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116" w:rsidRDefault="00AA4131" w:rsidP="008D79DC">
      <w:pPr>
        <w:jc w:val="center"/>
        <w:rPr>
          <w:b/>
          <w:sz w:val="36"/>
          <w:szCs w:val="36"/>
        </w:rPr>
      </w:pPr>
      <w:bookmarkStart w:id="0" w:name="_GoBack"/>
      <w:bookmarkEnd w:id="0"/>
      <w:r>
        <w:rPr>
          <w:noProof/>
          <w:sz w:val="36"/>
          <w:szCs w:val="36"/>
        </w:rPr>
        <w:drawing>
          <wp:inline distT="0" distB="0" distL="0" distR="0">
            <wp:extent cx="514350" cy="752475"/>
            <wp:effectExtent l="0" t="0" r="0" b="9525"/>
            <wp:docPr id="1" name="Рисунок 1" descr="Описание: Герб город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города для бланк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 cy="752475"/>
                    </a:xfrm>
                    <a:prstGeom prst="rect">
                      <a:avLst/>
                    </a:prstGeom>
                    <a:noFill/>
                    <a:ln>
                      <a:noFill/>
                    </a:ln>
                  </pic:spPr>
                </pic:pic>
              </a:graphicData>
            </a:graphic>
          </wp:inline>
        </w:drawing>
      </w:r>
    </w:p>
    <w:p w:rsidR="00413116" w:rsidRDefault="00413116" w:rsidP="008D79DC">
      <w:pPr>
        <w:jc w:val="center"/>
        <w:rPr>
          <w:b/>
          <w:sz w:val="36"/>
          <w:szCs w:val="36"/>
        </w:rPr>
      </w:pPr>
      <w:r>
        <w:rPr>
          <w:b/>
          <w:sz w:val="36"/>
          <w:szCs w:val="36"/>
        </w:rPr>
        <w:t>Ханты-Мансийский автономный округ-Югра</w:t>
      </w:r>
    </w:p>
    <w:p w:rsidR="00413116" w:rsidRDefault="00413116" w:rsidP="008D79DC">
      <w:pPr>
        <w:jc w:val="center"/>
        <w:rPr>
          <w:b/>
          <w:sz w:val="36"/>
          <w:szCs w:val="36"/>
        </w:rPr>
      </w:pPr>
      <w:r>
        <w:rPr>
          <w:b/>
          <w:sz w:val="36"/>
          <w:szCs w:val="36"/>
        </w:rPr>
        <w:t>муниципальное образование</w:t>
      </w:r>
    </w:p>
    <w:p w:rsidR="00413116" w:rsidRDefault="00413116" w:rsidP="008D79DC">
      <w:pPr>
        <w:jc w:val="center"/>
        <w:rPr>
          <w:b/>
          <w:sz w:val="36"/>
          <w:szCs w:val="36"/>
        </w:rPr>
      </w:pPr>
      <w:r>
        <w:rPr>
          <w:b/>
          <w:sz w:val="36"/>
          <w:szCs w:val="36"/>
        </w:rPr>
        <w:t>городской округ город Пыть-Ях</w:t>
      </w:r>
    </w:p>
    <w:p w:rsidR="00413116" w:rsidRDefault="00413116" w:rsidP="008D79DC">
      <w:pPr>
        <w:pStyle w:val="1"/>
        <w:spacing w:before="0" w:after="0"/>
        <w:jc w:val="center"/>
        <w:rPr>
          <w:rFonts w:ascii="Times New Roman" w:hAnsi="Times New Roman"/>
          <w:sz w:val="36"/>
          <w:szCs w:val="36"/>
        </w:rPr>
      </w:pPr>
      <w:r>
        <w:rPr>
          <w:rFonts w:ascii="Times New Roman" w:hAnsi="Times New Roman"/>
          <w:sz w:val="36"/>
          <w:szCs w:val="36"/>
        </w:rPr>
        <w:t>АДМИНИСТРАЦИЯ ГОРОДА</w:t>
      </w:r>
    </w:p>
    <w:p w:rsidR="00413116" w:rsidRDefault="00413116" w:rsidP="008D79DC">
      <w:pPr>
        <w:jc w:val="center"/>
        <w:rPr>
          <w:sz w:val="36"/>
          <w:szCs w:val="36"/>
        </w:rPr>
      </w:pPr>
    </w:p>
    <w:p w:rsidR="00413116" w:rsidRDefault="00413116" w:rsidP="008D79DC">
      <w:pPr>
        <w:jc w:val="center"/>
        <w:rPr>
          <w:b/>
          <w:sz w:val="36"/>
          <w:szCs w:val="36"/>
        </w:rPr>
      </w:pPr>
      <w:r>
        <w:rPr>
          <w:b/>
          <w:sz w:val="36"/>
          <w:szCs w:val="36"/>
        </w:rPr>
        <w:t>Р А С П О Р Я Ж Е Н И Е</w:t>
      </w:r>
    </w:p>
    <w:p w:rsidR="00413116" w:rsidRPr="005C5B46" w:rsidRDefault="00413116" w:rsidP="008D79DC">
      <w:pPr>
        <w:pStyle w:val="3"/>
        <w:tabs>
          <w:tab w:val="left" w:pos="0"/>
        </w:tabs>
        <w:jc w:val="both"/>
        <w:rPr>
          <w:sz w:val="28"/>
          <w:szCs w:val="28"/>
        </w:rPr>
      </w:pPr>
    </w:p>
    <w:p w:rsidR="00413116" w:rsidRDefault="00413116" w:rsidP="00680A62">
      <w:pPr>
        <w:rPr>
          <w:sz w:val="28"/>
          <w:szCs w:val="28"/>
        </w:rPr>
      </w:pPr>
      <w:r>
        <w:rPr>
          <w:sz w:val="28"/>
          <w:szCs w:val="28"/>
        </w:rPr>
        <w:t>От 17.10.2018</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1667-ра</w:t>
      </w:r>
    </w:p>
    <w:p w:rsidR="00413116" w:rsidRPr="005C5B46" w:rsidRDefault="00413116" w:rsidP="00680A62">
      <w:pPr>
        <w:rPr>
          <w:sz w:val="28"/>
          <w:szCs w:val="28"/>
        </w:rPr>
      </w:pPr>
    </w:p>
    <w:p w:rsidR="00413116" w:rsidRDefault="00413116" w:rsidP="008D79DC">
      <w:pPr>
        <w:pStyle w:val="3"/>
        <w:tabs>
          <w:tab w:val="left" w:pos="0"/>
        </w:tabs>
        <w:jc w:val="both"/>
        <w:rPr>
          <w:sz w:val="28"/>
          <w:szCs w:val="28"/>
        </w:rPr>
      </w:pPr>
      <w:r w:rsidRPr="008C71C7">
        <w:rPr>
          <w:sz w:val="28"/>
          <w:szCs w:val="28"/>
        </w:rPr>
        <w:t>Об утверждении основных направлений</w:t>
      </w:r>
    </w:p>
    <w:p w:rsidR="00413116" w:rsidRDefault="00413116" w:rsidP="008D79DC">
      <w:pPr>
        <w:pStyle w:val="3"/>
        <w:tabs>
          <w:tab w:val="left" w:pos="0"/>
        </w:tabs>
        <w:jc w:val="both"/>
        <w:rPr>
          <w:sz w:val="28"/>
          <w:szCs w:val="28"/>
        </w:rPr>
      </w:pPr>
      <w:r w:rsidRPr="008C71C7">
        <w:rPr>
          <w:sz w:val="28"/>
          <w:szCs w:val="28"/>
        </w:rPr>
        <w:t xml:space="preserve"> </w:t>
      </w:r>
      <w:r>
        <w:rPr>
          <w:sz w:val="28"/>
          <w:szCs w:val="28"/>
        </w:rPr>
        <w:t>н</w:t>
      </w:r>
      <w:r w:rsidRPr="008C71C7">
        <w:rPr>
          <w:sz w:val="28"/>
          <w:szCs w:val="28"/>
        </w:rPr>
        <w:t>алоговой,</w:t>
      </w:r>
      <w:r>
        <w:rPr>
          <w:sz w:val="28"/>
          <w:szCs w:val="28"/>
        </w:rPr>
        <w:t xml:space="preserve"> </w:t>
      </w:r>
      <w:r w:rsidRPr="008C71C7">
        <w:rPr>
          <w:sz w:val="28"/>
          <w:szCs w:val="28"/>
        </w:rPr>
        <w:t xml:space="preserve">бюджетной и долговой политики </w:t>
      </w:r>
    </w:p>
    <w:p w:rsidR="00413116" w:rsidRDefault="00413116" w:rsidP="008D79DC">
      <w:pPr>
        <w:pStyle w:val="3"/>
        <w:tabs>
          <w:tab w:val="left" w:pos="0"/>
        </w:tabs>
        <w:jc w:val="both"/>
        <w:rPr>
          <w:sz w:val="28"/>
          <w:szCs w:val="28"/>
        </w:rPr>
      </w:pPr>
      <w:r w:rsidRPr="008C71C7">
        <w:rPr>
          <w:sz w:val="28"/>
          <w:szCs w:val="28"/>
        </w:rPr>
        <w:t>муниципального</w:t>
      </w:r>
      <w:r>
        <w:rPr>
          <w:sz w:val="28"/>
          <w:szCs w:val="28"/>
        </w:rPr>
        <w:t xml:space="preserve"> </w:t>
      </w:r>
      <w:r w:rsidRPr="008C71C7">
        <w:rPr>
          <w:sz w:val="28"/>
          <w:szCs w:val="28"/>
        </w:rPr>
        <w:t>образования городско</w:t>
      </w:r>
      <w:r>
        <w:rPr>
          <w:sz w:val="28"/>
          <w:szCs w:val="28"/>
        </w:rPr>
        <w:t xml:space="preserve">го </w:t>
      </w:r>
      <w:r w:rsidRPr="008C71C7">
        <w:rPr>
          <w:sz w:val="28"/>
          <w:szCs w:val="28"/>
        </w:rPr>
        <w:t>округ</w:t>
      </w:r>
      <w:r>
        <w:rPr>
          <w:sz w:val="28"/>
          <w:szCs w:val="28"/>
        </w:rPr>
        <w:t>а</w:t>
      </w:r>
      <w:r w:rsidRPr="008C71C7">
        <w:rPr>
          <w:sz w:val="28"/>
          <w:szCs w:val="28"/>
        </w:rPr>
        <w:t xml:space="preserve"> </w:t>
      </w:r>
    </w:p>
    <w:p w:rsidR="00413116" w:rsidRPr="008C71C7" w:rsidRDefault="00413116" w:rsidP="008D79DC">
      <w:pPr>
        <w:pStyle w:val="3"/>
        <w:tabs>
          <w:tab w:val="left" w:pos="0"/>
        </w:tabs>
        <w:jc w:val="both"/>
        <w:rPr>
          <w:sz w:val="28"/>
          <w:szCs w:val="28"/>
        </w:rPr>
      </w:pPr>
      <w:r w:rsidRPr="008C71C7">
        <w:rPr>
          <w:sz w:val="28"/>
          <w:szCs w:val="28"/>
        </w:rPr>
        <w:t>город</w:t>
      </w:r>
      <w:r>
        <w:rPr>
          <w:sz w:val="28"/>
          <w:szCs w:val="28"/>
        </w:rPr>
        <w:t>а</w:t>
      </w:r>
      <w:r w:rsidRPr="008C71C7">
        <w:rPr>
          <w:sz w:val="28"/>
          <w:szCs w:val="28"/>
        </w:rPr>
        <w:t xml:space="preserve"> Пыть-Ях</w:t>
      </w:r>
      <w:r>
        <w:rPr>
          <w:sz w:val="28"/>
          <w:szCs w:val="28"/>
        </w:rPr>
        <w:t>а</w:t>
      </w:r>
      <w:r w:rsidRPr="008C71C7">
        <w:rPr>
          <w:sz w:val="28"/>
          <w:szCs w:val="28"/>
        </w:rPr>
        <w:t xml:space="preserve"> </w:t>
      </w:r>
      <w:r>
        <w:rPr>
          <w:sz w:val="28"/>
          <w:szCs w:val="28"/>
        </w:rPr>
        <w:t>на 2019</w:t>
      </w:r>
      <w:r w:rsidRPr="008C71C7">
        <w:rPr>
          <w:sz w:val="28"/>
          <w:szCs w:val="28"/>
        </w:rPr>
        <w:t>-20</w:t>
      </w:r>
      <w:r>
        <w:rPr>
          <w:sz w:val="28"/>
          <w:szCs w:val="28"/>
        </w:rPr>
        <w:t>21</w:t>
      </w:r>
      <w:r w:rsidRPr="008C71C7">
        <w:rPr>
          <w:sz w:val="28"/>
          <w:szCs w:val="28"/>
        </w:rPr>
        <w:t xml:space="preserve"> годы </w:t>
      </w:r>
    </w:p>
    <w:p w:rsidR="00413116" w:rsidRPr="005C5B46" w:rsidRDefault="00413116" w:rsidP="008D79DC">
      <w:pPr>
        <w:rPr>
          <w:sz w:val="28"/>
          <w:szCs w:val="28"/>
        </w:rPr>
      </w:pPr>
    </w:p>
    <w:p w:rsidR="00413116" w:rsidRPr="005C5B46" w:rsidRDefault="00413116" w:rsidP="008D79DC">
      <w:pPr>
        <w:rPr>
          <w:sz w:val="28"/>
          <w:szCs w:val="28"/>
        </w:rPr>
      </w:pPr>
    </w:p>
    <w:p w:rsidR="00413116" w:rsidRPr="005C5B46" w:rsidRDefault="00413116" w:rsidP="008D79DC">
      <w:pPr>
        <w:rPr>
          <w:sz w:val="28"/>
          <w:szCs w:val="28"/>
        </w:rPr>
      </w:pPr>
    </w:p>
    <w:p w:rsidR="00413116" w:rsidRDefault="00413116" w:rsidP="008D79DC">
      <w:pPr>
        <w:spacing w:line="360" w:lineRule="auto"/>
        <w:ind w:firstLine="709"/>
        <w:jc w:val="both"/>
        <w:rPr>
          <w:sz w:val="28"/>
          <w:szCs w:val="28"/>
        </w:rPr>
      </w:pPr>
      <w:r w:rsidRPr="008C71C7">
        <w:rPr>
          <w:sz w:val="28"/>
          <w:szCs w:val="28"/>
        </w:rPr>
        <w:t>На основании решения Думы города Пыть-Яха от 2</w:t>
      </w:r>
      <w:r>
        <w:rPr>
          <w:sz w:val="28"/>
          <w:szCs w:val="28"/>
        </w:rPr>
        <w:t>1</w:t>
      </w:r>
      <w:r w:rsidRPr="008C71C7">
        <w:rPr>
          <w:sz w:val="28"/>
          <w:szCs w:val="28"/>
        </w:rPr>
        <w:t>.0</w:t>
      </w:r>
      <w:r>
        <w:rPr>
          <w:sz w:val="28"/>
          <w:szCs w:val="28"/>
        </w:rPr>
        <w:t>3</w:t>
      </w:r>
      <w:r w:rsidRPr="008C71C7">
        <w:rPr>
          <w:sz w:val="28"/>
          <w:szCs w:val="28"/>
        </w:rPr>
        <w:t>.201</w:t>
      </w:r>
      <w:r>
        <w:rPr>
          <w:sz w:val="28"/>
          <w:szCs w:val="28"/>
        </w:rPr>
        <w:t>4</w:t>
      </w:r>
      <w:r w:rsidRPr="008C71C7">
        <w:rPr>
          <w:sz w:val="28"/>
          <w:szCs w:val="28"/>
        </w:rPr>
        <w:t xml:space="preserve"> № </w:t>
      </w:r>
      <w:r>
        <w:rPr>
          <w:sz w:val="28"/>
          <w:szCs w:val="28"/>
        </w:rPr>
        <w:t>258</w:t>
      </w:r>
      <w:r w:rsidRPr="008C71C7">
        <w:rPr>
          <w:sz w:val="28"/>
          <w:szCs w:val="28"/>
        </w:rPr>
        <w:t xml:space="preserve">                             «Об утверждении Положения о бюджетном процессе в муниципальном образовании городской округ город Пыть-Ях», в соответствии с постановлением администрации города от </w:t>
      </w:r>
      <w:r>
        <w:rPr>
          <w:sz w:val="28"/>
          <w:szCs w:val="28"/>
        </w:rPr>
        <w:t>14.07.2014 № 175-па</w:t>
      </w:r>
      <w:r w:rsidRPr="008C71C7">
        <w:rPr>
          <w:sz w:val="28"/>
          <w:szCs w:val="28"/>
        </w:rPr>
        <w:t xml:space="preserve"> «О порядке составления проекта бюджета муниципального образования на очередной финансовый год и плановый период»:</w:t>
      </w:r>
    </w:p>
    <w:p w:rsidR="00413116" w:rsidRPr="005C5B46" w:rsidRDefault="00413116" w:rsidP="008338BF">
      <w:pPr>
        <w:rPr>
          <w:sz w:val="28"/>
          <w:szCs w:val="28"/>
        </w:rPr>
      </w:pPr>
    </w:p>
    <w:p w:rsidR="00413116" w:rsidRPr="005C5B46" w:rsidRDefault="00413116" w:rsidP="008338BF">
      <w:pPr>
        <w:rPr>
          <w:sz w:val="28"/>
          <w:szCs w:val="28"/>
        </w:rPr>
      </w:pPr>
    </w:p>
    <w:p w:rsidR="00413116" w:rsidRPr="005C5B46" w:rsidRDefault="00413116" w:rsidP="008338BF">
      <w:pPr>
        <w:rPr>
          <w:sz w:val="28"/>
          <w:szCs w:val="28"/>
        </w:rPr>
      </w:pPr>
    </w:p>
    <w:p w:rsidR="00413116" w:rsidRPr="008C71C7" w:rsidRDefault="00413116" w:rsidP="008D79DC">
      <w:pPr>
        <w:pStyle w:val="3"/>
        <w:spacing w:line="360" w:lineRule="auto"/>
        <w:ind w:firstLine="540"/>
        <w:jc w:val="both"/>
        <w:rPr>
          <w:sz w:val="28"/>
          <w:szCs w:val="28"/>
        </w:rPr>
      </w:pPr>
      <w:r>
        <w:rPr>
          <w:sz w:val="28"/>
          <w:szCs w:val="28"/>
        </w:rPr>
        <w:lastRenderedPageBreak/>
        <w:t>1.</w:t>
      </w:r>
      <w:r>
        <w:rPr>
          <w:sz w:val="28"/>
          <w:szCs w:val="28"/>
        </w:rPr>
        <w:tab/>
        <w:t>Одобрить</w:t>
      </w:r>
      <w:r w:rsidRPr="008C71C7">
        <w:rPr>
          <w:sz w:val="28"/>
          <w:szCs w:val="28"/>
        </w:rPr>
        <w:tab/>
      </w:r>
      <w:r>
        <w:rPr>
          <w:sz w:val="28"/>
          <w:szCs w:val="28"/>
        </w:rPr>
        <w:t>о</w:t>
      </w:r>
      <w:r w:rsidRPr="008C71C7">
        <w:rPr>
          <w:sz w:val="28"/>
          <w:szCs w:val="28"/>
        </w:rPr>
        <w:t>сновные направления бюджетной, налоговой и долговой политики муниципального образования город</w:t>
      </w:r>
      <w:r>
        <w:rPr>
          <w:sz w:val="28"/>
          <w:szCs w:val="28"/>
        </w:rPr>
        <w:t>ского округа города Пыть-Яха на 2019</w:t>
      </w:r>
      <w:r w:rsidRPr="008C71C7">
        <w:rPr>
          <w:sz w:val="28"/>
          <w:szCs w:val="28"/>
        </w:rPr>
        <w:t xml:space="preserve"> год и на плановый период 2</w:t>
      </w:r>
      <w:r>
        <w:rPr>
          <w:sz w:val="28"/>
          <w:szCs w:val="28"/>
        </w:rPr>
        <w:t>020 и 2021</w:t>
      </w:r>
      <w:r w:rsidRPr="008C71C7">
        <w:rPr>
          <w:sz w:val="28"/>
          <w:szCs w:val="28"/>
        </w:rPr>
        <w:t xml:space="preserve"> годов (приложение).</w:t>
      </w:r>
    </w:p>
    <w:p w:rsidR="00413116" w:rsidRPr="008C71C7" w:rsidRDefault="00413116" w:rsidP="00680A62">
      <w:pPr>
        <w:spacing w:line="360" w:lineRule="auto"/>
        <w:ind w:firstLine="539"/>
        <w:jc w:val="both"/>
        <w:rPr>
          <w:sz w:val="28"/>
          <w:szCs w:val="28"/>
        </w:rPr>
      </w:pPr>
      <w:r w:rsidRPr="008C71C7">
        <w:rPr>
          <w:sz w:val="28"/>
          <w:szCs w:val="28"/>
        </w:rPr>
        <w:t xml:space="preserve">2. </w:t>
      </w:r>
      <w:r w:rsidRPr="008C71C7">
        <w:rPr>
          <w:sz w:val="28"/>
          <w:szCs w:val="28"/>
        </w:rPr>
        <w:tab/>
        <w:t>Направить настоящее распоряжение в Думу города Пыть-Яха.</w:t>
      </w:r>
    </w:p>
    <w:p w:rsidR="00413116" w:rsidRPr="008C71C7" w:rsidRDefault="00413116" w:rsidP="00680A62">
      <w:pPr>
        <w:spacing w:line="360" w:lineRule="auto"/>
        <w:ind w:firstLine="539"/>
        <w:jc w:val="both"/>
        <w:rPr>
          <w:sz w:val="28"/>
          <w:szCs w:val="28"/>
        </w:rPr>
      </w:pPr>
      <w:r w:rsidRPr="008C71C7">
        <w:rPr>
          <w:sz w:val="28"/>
          <w:szCs w:val="28"/>
        </w:rPr>
        <w:t xml:space="preserve">3. </w:t>
      </w:r>
      <w:r w:rsidRPr="008C71C7">
        <w:rPr>
          <w:sz w:val="28"/>
          <w:szCs w:val="28"/>
        </w:rPr>
        <w:tab/>
        <w:t>Заместителю главы города - председателю комитета по финансам Стефогло В.В. принять участие в депутатских слушаниях с представлением информации о характеристиках проекта бюджета муниципального образования город</w:t>
      </w:r>
      <w:r>
        <w:rPr>
          <w:sz w:val="28"/>
          <w:szCs w:val="28"/>
        </w:rPr>
        <w:t>ской округ город Пыть-Ях на 2019</w:t>
      </w:r>
      <w:r w:rsidRPr="008C71C7">
        <w:rPr>
          <w:sz w:val="28"/>
          <w:szCs w:val="28"/>
        </w:rPr>
        <w:t xml:space="preserve"> год и на плановый </w:t>
      </w:r>
      <w:r>
        <w:rPr>
          <w:sz w:val="28"/>
          <w:szCs w:val="28"/>
        </w:rPr>
        <w:t>период 2020</w:t>
      </w:r>
      <w:r w:rsidRPr="008C71C7">
        <w:rPr>
          <w:sz w:val="28"/>
          <w:szCs w:val="28"/>
        </w:rPr>
        <w:t xml:space="preserve"> и 20</w:t>
      </w:r>
      <w:r>
        <w:rPr>
          <w:sz w:val="28"/>
          <w:szCs w:val="28"/>
        </w:rPr>
        <w:t>21</w:t>
      </w:r>
      <w:r w:rsidRPr="008C71C7">
        <w:rPr>
          <w:sz w:val="28"/>
          <w:szCs w:val="28"/>
        </w:rPr>
        <w:t xml:space="preserve"> годов.</w:t>
      </w:r>
    </w:p>
    <w:p w:rsidR="00413116" w:rsidRPr="008C71C7" w:rsidRDefault="00413116" w:rsidP="00680A62">
      <w:pPr>
        <w:spacing w:line="360" w:lineRule="auto"/>
        <w:ind w:firstLine="539"/>
        <w:jc w:val="both"/>
        <w:rPr>
          <w:sz w:val="28"/>
          <w:szCs w:val="28"/>
        </w:rPr>
      </w:pPr>
      <w:r w:rsidRPr="008C71C7">
        <w:rPr>
          <w:sz w:val="28"/>
          <w:szCs w:val="28"/>
        </w:rPr>
        <w:t xml:space="preserve">4. </w:t>
      </w:r>
      <w:r w:rsidRPr="008C71C7">
        <w:rPr>
          <w:sz w:val="28"/>
          <w:szCs w:val="28"/>
        </w:rPr>
        <w:tab/>
        <w:t xml:space="preserve">Контроль за выполнением распоряжения </w:t>
      </w:r>
      <w:r>
        <w:rPr>
          <w:sz w:val="28"/>
          <w:szCs w:val="28"/>
        </w:rPr>
        <w:t>возложить на заместителя главы города - председателя комитета по финансам Стефогло В.В.</w:t>
      </w:r>
    </w:p>
    <w:p w:rsidR="00413116" w:rsidRPr="008C71C7" w:rsidRDefault="00413116" w:rsidP="008D79DC">
      <w:pPr>
        <w:ind w:firstLine="540"/>
        <w:jc w:val="both"/>
        <w:rPr>
          <w:sz w:val="28"/>
          <w:szCs w:val="28"/>
        </w:rPr>
      </w:pPr>
    </w:p>
    <w:p w:rsidR="00413116" w:rsidRDefault="00413116" w:rsidP="008D79DC">
      <w:pPr>
        <w:ind w:right="57" w:firstLine="539"/>
        <w:rPr>
          <w:sz w:val="28"/>
          <w:szCs w:val="28"/>
        </w:rPr>
      </w:pPr>
    </w:p>
    <w:p w:rsidR="00413116" w:rsidRPr="008C71C7" w:rsidRDefault="00413116" w:rsidP="008D79DC">
      <w:pPr>
        <w:ind w:right="57" w:firstLine="539"/>
        <w:rPr>
          <w:sz w:val="28"/>
          <w:szCs w:val="28"/>
        </w:rPr>
      </w:pPr>
    </w:p>
    <w:p w:rsidR="00413116" w:rsidRPr="00DD5FCF" w:rsidRDefault="00413116" w:rsidP="00B81051">
      <w:pPr>
        <w:rPr>
          <w:sz w:val="28"/>
          <w:szCs w:val="28"/>
        </w:rPr>
      </w:pPr>
      <w:r>
        <w:rPr>
          <w:sz w:val="28"/>
          <w:szCs w:val="28"/>
        </w:rPr>
        <w:t>И.о. г</w:t>
      </w:r>
      <w:r w:rsidRPr="00DD5FCF">
        <w:rPr>
          <w:sz w:val="28"/>
          <w:szCs w:val="28"/>
        </w:rPr>
        <w:t>лав</w:t>
      </w:r>
      <w:r>
        <w:rPr>
          <w:sz w:val="28"/>
          <w:szCs w:val="28"/>
        </w:rPr>
        <w:t xml:space="preserve">ы </w:t>
      </w:r>
      <w:r w:rsidRPr="00DD5FCF">
        <w:rPr>
          <w:sz w:val="28"/>
          <w:szCs w:val="28"/>
        </w:rPr>
        <w:t xml:space="preserve">города Пыть-Яха                           </w:t>
      </w:r>
      <w:r>
        <w:rPr>
          <w:sz w:val="28"/>
          <w:szCs w:val="28"/>
        </w:rPr>
        <w:t xml:space="preserve">                             А.Н. Морозов</w:t>
      </w:r>
    </w:p>
    <w:p w:rsidR="00413116" w:rsidRDefault="00413116" w:rsidP="008D79DC">
      <w:pPr>
        <w:ind w:right="57" w:firstLine="709"/>
        <w:jc w:val="right"/>
        <w:rPr>
          <w:sz w:val="24"/>
          <w:szCs w:val="24"/>
        </w:rPr>
      </w:pPr>
    </w:p>
    <w:p w:rsidR="00413116" w:rsidRDefault="00413116" w:rsidP="008D79DC">
      <w:pPr>
        <w:ind w:right="57" w:firstLine="709"/>
        <w:jc w:val="right"/>
        <w:rPr>
          <w:sz w:val="24"/>
          <w:szCs w:val="24"/>
        </w:rPr>
      </w:pPr>
    </w:p>
    <w:p w:rsidR="00413116" w:rsidRDefault="00413116" w:rsidP="008D79DC">
      <w:pPr>
        <w:ind w:right="57" w:firstLine="709"/>
        <w:jc w:val="right"/>
        <w:rPr>
          <w:sz w:val="24"/>
          <w:szCs w:val="24"/>
        </w:rPr>
      </w:pPr>
    </w:p>
    <w:p w:rsidR="00413116" w:rsidRDefault="00413116" w:rsidP="008D79DC">
      <w:pPr>
        <w:ind w:right="57" w:firstLine="709"/>
        <w:jc w:val="right"/>
        <w:rPr>
          <w:sz w:val="24"/>
          <w:szCs w:val="24"/>
        </w:rPr>
      </w:pPr>
    </w:p>
    <w:p w:rsidR="00413116" w:rsidRDefault="00413116" w:rsidP="008D79DC">
      <w:pPr>
        <w:ind w:right="57" w:firstLine="709"/>
        <w:jc w:val="right"/>
        <w:rPr>
          <w:sz w:val="24"/>
          <w:szCs w:val="24"/>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Default="00413116" w:rsidP="00C836CA">
      <w:pPr>
        <w:pStyle w:val="a8"/>
        <w:jc w:val="right"/>
        <w:rPr>
          <w:b w:val="0"/>
        </w:rPr>
      </w:pPr>
    </w:p>
    <w:p w:rsidR="00413116" w:rsidRPr="0024205D" w:rsidRDefault="00413116" w:rsidP="00C836CA">
      <w:pPr>
        <w:pStyle w:val="a8"/>
        <w:jc w:val="right"/>
        <w:rPr>
          <w:b w:val="0"/>
        </w:rPr>
      </w:pPr>
      <w:r>
        <w:rPr>
          <w:b w:val="0"/>
        </w:rPr>
        <w:t xml:space="preserve">Приложение </w:t>
      </w:r>
    </w:p>
    <w:p w:rsidR="00413116" w:rsidRPr="0024205D" w:rsidRDefault="00413116" w:rsidP="00C836CA">
      <w:pPr>
        <w:pStyle w:val="a8"/>
        <w:jc w:val="right"/>
        <w:rPr>
          <w:b w:val="0"/>
        </w:rPr>
      </w:pPr>
      <w:r w:rsidRPr="0024205D">
        <w:rPr>
          <w:b w:val="0"/>
        </w:rPr>
        <w:t xml:space="preserve">к распоряжению администрации </w:t>
      </w:r>
    </w:p>
    <w:p w:rsidR="00413116" w:rsidRPr="0024205D" w:rsidRDefault="00413116" w:rsidP="00C836CA">
      <w:pPr>
        <w:pStyle w:val="a8"/>
        <w:ind w:left="2123"/>
        <w:jc w:val="right"/>
        <w:rPr>
          <w:b w:val="0"/>
        </w:rPr>
      </w:pPr>
      <w:r>
        <w:rPr>
          <w:b w:val="0"/>
        </w:rPr>
        <w:t>г</w:t>
      </w:r>
      <w:r w:rsidRPr="0024205D">
        <w:rPr>
          <w:b w:val="0"/>
        </w:rPr>
        <w:t>орода Пыть-Яха</w:t>
      </w:r>
    </w:p>
    <w:p w:rsidR="00413116" w:rsidRDefault="00413116" w:rsidP="00680A62">
      <w:pPr>
        <w:widowControl w:val="0"/>
        <w:autoSpaceDE w:val="0"/>
        <w:autoSpaceDN w:val="0"/>
        <w:adjustRightInd w:val="0"/>
        <w:spacing w:line="360" w:lineRule="auto"/>
        <w:jc w:val="center"/>
        <w:rPr>
          <w:bCs/>
          <w:sz w:val="28"/>
          <w:szCs w:val="28"/>
        </w:rPr>
      </w:pP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от 17.10.2018 № 1667-ра</w:t>
      </w:r>
    </w:p>
    <w:p w:rsidR="00413116" w:rsidRDefault="00413116" w:rsidP="00680A62">
      <w:pPr>
        <w:widowControl w:val="0"/>
        <w:autoSpaceDE w:val="0"/>
        <w:autoSpaceDN w:val="0"/>
        <w:adjustRightInd w:val="0"/>
        <w:spacing w:line="360" w:lineRule="auto"/>
        <w:jc w:val="center"/>
        <w:rPr>
          <w:bCs/>
          <w:sz w:val="28"/>
          <w:szCs w:val="28"/>
        </w:rPr>
      </w:pPr>
    </w:p>
    <w:p w:rsidR="00413116" w:rsidRPr="00845E67" w:rsidRDefault="00413116" w:rsidP="00C66B0F">
      <w:pPr>
        <w:widowControl w:val="0"/>
        <w:autoSpaceDE w:val="0"/>
        <w:autoSpaceDN w:val="0"/>
        <w:adjustRightInd w:val="0"/>
        <w:spacing w:line="360" w:lineRule="auto"/>
        <w:ind w:firstLine="539"/>
        <w:jc w:val="center"/>
        <w:rPr>
          <w:bCs/>
          <w:sz w:val="28"/>
          <w:szCs w:val="28"/>
        </w:rPr>
      </w:pPr>
      <w:r w:rsidRPr="00845E67">
        <w:rPr>
          <w:bCs/>
          <w:sz w:val="28"/>
          <w:szCs w:val="28"/>
        </w:rPr>
        <w:t>Основные направления налоговой, бюджетной и долговой политики городского округа города Пыть-Яха на 201</w:t>
      </w:r>
      <w:r>
        <w:rPr>
          <w:bCs/>
          <w:sz w:val="28"/>
          <w:szCs w:val="28"/>
        </w:rPr>
        <w:t>9</w:t>
      </w:r>
      <w:r w:rsidRPr="00845E67">
        <w:rPr>
          <w:bCs/>
          <w:sz w:val="28"/>
          <w:szCs w:val="28"/>
        </w:rPr>
        <w:t xml:space="preserve"> год</w:t>
      </w:r>
    </w:p>
    <w:p w:rsidR="00413116" w:rsidRPr="00845E67" w:rsidRDefault="00413116" w:rsidP="00C66B0F">
      <w:pPr>
        <w:widowControl w:val="0"/>
        <w:autoSpaceDE w:val="0"/>
        <w:autoSpaceDN w:val="0"/>
        <w:adjustRightInd w:val="0"/>
        <w:spacing w:line="360" w:lineRule="auto"/>
        <w:ind w:firstLine="539"/>
        <w:jc w:val="center"/>
        <w:rPr>
          <w:bCs/>
          <w:sz w:val="28"/>
          <w:szCs w:val="28"/>
        </w:rPr>
      </w:pPr>
      <w:r w:rsidRPr="00845E67">
        <w:rPr>
          <w:bCs/>
          <w:sz w:val="28"/>
          <w:szCs w:val="28"/>
        </w:rPr>
        <w:t>и на плановый период 20</w:t>
      </w:r>
      <w:r>
        <w:rPr>
          <w:bCs/>
          <w:sz w:val="28"/>
          <w:szCs w:val="28"/>
        </w:rPr>
        <w:t>20</w:t>
      </w:r>
      <w:r w:rsidRPr="00845E67">
        <w:rPr>
          <w:bCs/>
          <w:sz w:val="28"/>
          <w:szCs w:val="28"/>
        </w:rPr>
        <w:t xml:space="preserve"> и 20</w:t>
      </w:r>
      <w:r>
        <w:rPr>
          <w:bCs/>
          <w:sz w:val="28"/>
          <w:szCs w:val="28"/>
        </w:rPr>
        <w:t>21</w:t>
      </w:r>
      <w:r w:rsidRPr="00845E67">
        <w:rPr>
          <w:bCs/>
          <w:sz w:val="28"/>
          <w:szCs w:val="28"/>
        </w:rPr>
        <w:t xml:space="preserve"> годов</w:t>
      </w:r>
    </w:p>
    <w:p w:rsidR="00413116" w:rsidRPr="00845E67" w:rsidRDefault="00413116" w:rsidP="00E37941">
      <w:pPr>
        <w:spacing w:line="360" w:lineRule="auto"/>
        <w:ind w:firstLine="539"/>
        <w:jc w:val="both"/>
        <w:rPr>
          <w:sz w:val="28"/>
          <w:szCs w:val="28"/>
        </w:rPr>
      </w:pPr>
    </w:p>
    <w:p w:rsidR="00413116" w:rsidRPr="00492136" w:rsidRDefault="00413116" w:rsidP="00001A04">
      <w:pPr>
        <w:numPr>
          <w:ilvl w:val="0"/>
          <w:numId w:val="1"/>
        </w:numPr>
        <w:spacing w:line="360" w:lineRule="auto"/>
        <w:ind w:left="0" w:firstLine="0"/>
        <w:jc w:val="center"/>
        <w:rPr>
          <w:bCs/>
          <w:sz w:val="28"/>
          <w:szCs w:val="28"/>
        </w:rPr>
      </w:pPr>
      <w:bookmarkStart w:id="1" w:name="Par1"/>
      <w:bookmarkStart w:id="2" w:name="Par28"/>
      <w:bookmarkEnd w:id="1"/>
      <w:bookmarkEnd w:id="2"/>
      <w:r w:rsidRPr="00492136">
        <w:rPr>
          <w:bCs/>
          <w:sz w:val="28"/>
          <w:szCs w:val="28"/>
        </w:rPr>
        <w:t>ОБЩИЕ ПОЛОЖЕНИЯ</w:t>
      </w:r>
    </w:p>
    <w:p w:rsidR="00413116" w:rsidRPr="00492136" w:rsidRDefault="00413116" w:rsidP="00E37941">
      <w:pPr>
        <w:spacing w:line="360" w:lineRule="auto"/>
        <w:ind w:firstLine="539"/>
        <w:jc w:val="both"/>
        <w:rPr>
          <w:b/>
          <w:bCs/>
          <w:sz w:val="28"/>
          <w:szCs w:val="28"/>
        </w:rPr>
      </w:pPr>
    </w:p>
    <w:p w:rsidR="00413116" w:rsidRPr="00C66B0F" w:rsidRDefault="00413116" w:rsidP="00E37941">
      <w:pPr>
        <w:spacing w:line="360" w:lineRule="auto"/>
        <w:ind w:firstLine="539"/>
        <w:jc w:val="both"/>
        <w:rPr>
          <w:sz w:val="28"/>
          <w:szCs w:val="28"/>
        </w:rPr>
      </w:pPr>
      <w:r w:rsidRPr="00C66B0F">
        <w:rPr>
          <w:sz w:val="28"/>
          <w:szCs w:val="28"/>
        </w:rPr>
        <w:t>Основные направления бюджетной и налоговой политики городского округа города Пыть-Яха на 201</w:t>
      </w:r>
      <w:r>
        <w:rPr>
          <w:sz w:val="28"/>
          <w:szCs w:val="28"/>
        </w:rPr>
        <w:t>9</w:t>
      </w:r>
      <w:r w:rsidRPr="00C66B0F">
        <w:rPr>
          <w:sz w:val="28"/>
          <w:szCs w:val="28"/>
        </w:rPr>
        <w:t xml:space="preserve"> год и плановый период 20</w:t>
      </w:r>
      <w:r>
        <w:rPr>
          <w:sz w:val="28"/>
          <w:szCs w:val="28"/>
        </w:rPr>
        <w:t>20</w:t>
      </w:r>
      <w:r w:rsidRPr="00C66B0F">
        <w:rPr>
          <w:sz w:val="28"/>
          <w:szCs w:val="28"/>
        </w:rPr>
        <w:t xml:space="preserve"> – 202</w:t>
      </w:r>
      <w:r>
        <w:rPr>
          <w:sz w:val="28"/>
          <w:szCs w:val="28"/>
        </w:rPr>
        <w:t>1</w:t>
      </w:r>
      <w:r w:rsidRPr="00C66B0F">
        <w:rPr>
          <w:sz w:val="28"/>
          <w:szCs w:val="28"/>
        </w:rPr>
        <w:t xml:space="preserve"> годов (далее – Основные направления) подготовлены в соответствии со статьёй 172 Бюджетного кодекса Российской Федерации, статьёй 13 Положения о бюджетном процессе в городском округе города Пыть-Яха.</w:t>
      </w:r>
    </w:p>
    <w:p w:rsidR="00413116" w:rsidRPr="00C66B0F" w:rsidRDefault="00413116" w:rsidP="00E87B50">
      <w:pPr>
        <w:autoSpaceDE w:val="0"/>
        <w:autoSpaceDN w:val="0"/>
        <w:adjustRightInd w:val="0"/>
        <w:spacing w:line="360" w:lineRule="auto"/>
        <w:ind w:firstLine="709"/>
        <w:jc w:val="both"/>
        <w:rPr>
          <w:sz w:val="28"/>
          <w:szCs w:val="28"/>
        </w:rPr>
      </w:pPr>
      <w:r>
        <w:rPr>
          <w:sz w:val="28"/>
          <w:szCs w:val="28"/>
        </w:rPr>
        <w:t>С</w:t>
      </w:r>
      <w:r w:rsidRPr="00DF1204">
        <w:rPr>
          <w:sz w:val="28"/>
          <w:szCs w:val="28"/>
        </w:rPr>
        <w:t>огласованност</w:t>
      </w:r>
      <w:r>
        <w:rPr>
          <w:sz w:val="28"/>
          <w:szCs w:val="28"/>
        </w:rPr>
        <w:t>ь</w:t>
      </w:r>
      <w:r w:rsidRPr="00DF1204">
        <w:rPr>
          <w:sz w:val="28"/>
          <w:szCs w:val="28"/>
        </w:rPr>
        <w:t xml:space="preserve"> бюджетной политики </w:t>
      </w:r>
      <w:r>
        <w:rPr>
          <w:sz w:val="28"/>
          <w:szCs w:val="28"/>
        </w:rPr>
        <w:t>муниципального образования</w:t>
      </w:r>
      <w:r w:rsidRPr="00DF1204">
        <w:rPr>
          <w:sz w:val="28"/>
          <w:szCs w:val="28"/>
        </w:rPr>
        <w:t xml:space="preserve"> и органов государственной власти</w:t>
      </w:r>
      <w:r>
        <w:rPr>
          <w:sz w:val="28"/>
          <w:szCs w:val="28"/>
        </w:rPr>
        <w:t xml:space="preserve"> Российской Федерации</w:t>
      </w:r>
      <w:r w:rsidRPr="00DF1204">
        <w:rPr>
          <w:sz w:val="28"/>
          <w:szCs w:val="28"/>
        </w:rPr>
        <w:t>,</w:t>
      </w:r>
      <w:r>
        <w:rPr>
          <w:sz w:val="28"/>
          <w:szCs w:val="28"/>
        </w:rPr>
        <w:t xml:space="preserve"> органов государственной власти Ханты-Мансийского округа – Югры достигается посредством учета в </w:t>
      </w:r>
      <w:r w:rsidRPr="00DF1204">
        <w:rPr>
          <w:sz w:val="28"/>
          <w:szCs w:val="28"/>
        </w:rPr>
        <w:t>Основных направлени</w:t>
      </w:r>
      <w:r>
        <w:rPr>
          <w:sz w:val="28"/>
          <w:szCs w:val="28"/>
        </w:rPr>
        <w:t>ях</w:t>
      </w:r>
      <w:r w:rsidRPr="00DF1204">
        <w:rPr>
          <w:sz w:val="28"/>
          <w:szCs w:val="28"/>
        </w:rPr>
        <w:t xml:space="preserve"> сформулирован </w:t>
      </w:r>
      <w:r w:rsidRPr="003A65BE">
        <w:rPr>
          <w:sz w:val="28"/>
          <w:szCs w:val="28"/>
        </w:rPr>
        <w:t>положений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(далее – Указ № 204)</w:t>
      </w:r>
      <w:r>
        <w:rPr>
          <w:sz w:val="28"/>
          <w:szCs w:val="28"/>
        </w:rPr>
        <w:t>,</w:t>
      </w:r>
      <w:r w:rsidRPr="00DF1204">
        <w:rPr>
          <w:sz w:val="28"/>
          <w:szCs w:val="28"/>
        </w:rPr>
        <w:t xml:space="preserve"> проекта </w:t>
      </w:r>
      <w:r w:rsidRPr="003A65BE">
        <w:rPr>
          <w:sz w:val="28"/>
          <w:szCs w:val="28"/>
        </w:rPr>
        <w:t>Основных направлений бюджетной, налоговой и таможенно-</w:t>
      </w:r>
      <w:r w:rsidRPr="00A948CB">
        <w:rPr>
          <w:sz w:val="28"/>
          <w:szCs w:val="28"/>
        </w:rPr>
        <w:t xml:space="preserve">тарифной политики на 2019 год и плановый период 2020 – 2021 годов Российской Федерации и </w:t>
      </w:r>
      <w:r w:rsidRPr="003A65BE">
        <w:rPr>
          <w:sz w:val="28"/>
          <w:szCs w:val="28"/>
        </w:rPr>
        <w:t>Основных направлений бюджетной и налоговой</w:t>
      </w:r>
      <w:r w:rsidRPr="00DF1204">
        <w:rPr>
          <w:sz w:val="28"/>
          <w:szCs w:val="28"/>
        </w:rPr>
        <w:t xml:space="preserve"> политики Ханты-Мансийского автономного округа – Югры на </w:t>
      </w:r>
      <w:r w:rsidRPr="00DF1204">
        <w:rPr>
          <w:sz w:val="28"/>
          <w:szCs w:val="28"/>
        </w:rPr>
        <w:lastRenderedPageBreak/>
        <w:t>201</w:t>
      </w:r>
      <w:r>
        <w:rPr>
          <w:sz w:val="28"/>
          <w:szCs w:val="28"/>
        </w:rPr>
        <w:t>9</w:t>
      </w:r>
      <w:r w:rsidRPr="00DF1204">
        <w:rPr>
          <w:sz w:val="28"/>
          <w:szCs w:val="28"/>
        </w:rPr>
        <w:t xml:space="preserve"> год и плановый период 20</w:t>
      </w:r>
      <w:r>
        <w:rPr>
          <w:sz w:val="28"/>
          <w:szCs w:val="28"/>
        </w:rPr>
        <w:t>20</w:t>
      </w:r>
      <w:r w:rsidRPr="00DF1204">
        <w:rPr>
          <w:sz w:val="28"/>
          <w:szCs w:val="28"/>
        </w:rPr>
        <w:t xml:space="preserve"> – 202</w:t>
      </w:r>
      <w:r>
        <w:rPr>
          <w:sz w:val="28"/>
          <w:szCs w:val="28"/>
        </w:rPr>
        <w:t>1</w:t>
      </w:r>
      <w:r w:rsidRPr="00DF1204">
        <w:rPr>
          <w:sz w:val="28"/>
          <w:szCs w:val="28"/>
        </w:rPr>
        <w:t xml:space="preserve"> годов</w:t>
      </w:r>
      <w:r>
        <w:rPr>
          <w:sz w:val="28"/>
          <w:szCs w:val="28"/>
        </w:rPr>
        <w:t>, Стратегии социально-экономического развития города Пыть-Яха до 2030 года.</w:t>
      </w:r>
    </w:p>
    <w:p w:rsidR="00413116" w:rsidRPr="00C66B0F" w:rsidRDefault="00413116" w:rsidP="00E37941">
      <w:pPr>
        <w:spacing w:line="360" w:lineRule="auto"/>
        <w:ind w:firstLine="539"/>
        <w:jc w:val="both"/>
        <w:rPr>
          <w:sz w:val="28"/>
          <w:szCs w:val="28"/>
        </w:rPr>
      </w:pPr>
      <w:r w:rsidRPr="00C66B0F">
        <w:rPr>
          <w:sz w:val="28"/>
          <w:szCs w:val="28"/>
        </w:rPr>
        <w:t>Целью Основных направлений является определение целей и задач бюджетной и налоговой политики в очередном бюджетном цикле, описание условий, принимаемых для составления проекта бюджета на 201</w:t>
      </w:r>
      <w:r>
        <w:rPr>
          <w:sz w:val="28"/>
          <w:szCs w:val="28"/>
        </w:rPr>
        <w:t>9</w:t>
      </w:r>
      <w:r w:rsidRPr="00C66B0F">
        <w:rPr>
          <w:sz w:val="28"/>
          <w:szCs w:val="28"/>
        </w:rPr>
        <w:t xml:space="preserve"> год и на плановый период 20</w:t>
      </w:r>
      <w:r>
        <w:rPr>
          <w:sz w:val="28"/>
          <w:szCs w:val="28"/>
        </w:rPr>
        <w:t>20</w:t>
      </w:r>
      <w:r w:rsidRPr="00C66B0F">
        <w:rPr>
          <w:sz w:val="28"/>
          <w:szCs w:val="28"/>
        </w:rPr>
        <w:t xml:space="preserve"> и 202</w:t>
      </w:r>
      <w:r>
        <w:rPr>
          <w:sz w:val="28"/>
          <w:szCs w:val="28"/>
        </w:rPr>
        <w:t>1</w:t>
      </w:r>
      <w:r w:rsidRPr="00C66B0F">
        <w:rPr>
          <w:sz w:val="28"/>
          <w:szCs w:val="28"/>
        </w:rPr>
        <w:t xml:space="preserve"> годы, основных подходов к его формированию и разработке прогнозируемых параметров, что позволит обеспечить прозрачность и открытость бюджетного планирования на всех его этапах. </w:t>
      </w:r>
    </w:p>
    <w:p w:rsidR="00413116" w:rsidRPr="00C66B0F" w:rsidRDefault="00413116" w:rsidP="00E37941">
      <w:pPr>
        <w:spacing w:line="360" w:lineRule="auto"/>
        <w:ind w:firstLine="539"/>
        <w:jc w:val="both"/>
        <w:rPr>
          <w:sz w:val="28"/>
          <w:szCs w:val="28"/>
        </w:rPr>
      </w:pPr>
      <w:r w:rsidRPr="00C66B0F">
        <w:rPr>
          <w:sz w:val="28"/>
          <w:szCs w:val="28"/>
        </w:rPr>
        <w:t>Ориентиром Основных направлений остается обеспечение стабильности и сбалансированности бюджета, повышение эффективности муниципального управления, преемственность целей и задач, определенных в предыдущих бюджетных циклах.</w:t>
      </w:r>
    </w:p>
    <w:p w:rsidR="00413116" w:rsidRPr="002918E8" w:rsidRDefault="00413116" w:rsidP="00C66B0F">
      <w:pPr>
        <w:spacing w:line="360" w:lineRule="auto"/>
        <w:ind w:firstLine="539"/>
        <w:jc w:val="center"/>
        <w:rPr>
          <w:sz w:val="28"/>
          <w:szCs w:val="28"/>
          <w:highlight w:val="yellow"/>
        </w:rPr>
      </w:pPr>
    </w:p>
    <w:p w:rsidR="00413116" w:rsidRPr="00C456E7" w:rsidRDefault="00413116" w:rsidP="00B81051">
      <w:pPr>
        <w:pStyle w:val="a9"/>
        <w:keepNext/>
        <w:numPr>
          <w:ilvl w:val="0"/>
          <w:numId w:val="1"/>
        </w:numPr>
        <w:suppressAutoHyphens/>
        <w:snapToGrid/>
        <w:spacing w:line="360" w:lineRule="auto"/>
        <w:ind w:left="0" w:firstLine="539"/>
        <w:jc w:val="center"/>
        <w:rPr>
          <w:bCs/>
          <w:color w:val="000000"/>
          <w:sz w:val="28"/>
          <w:szCs w:val="28"/>
        </w:rPr>
      </w:pPr>
      <w:r w:rsidRPr="00C456E7">
        <w:rPr>
          <w:bCs/>
          <w:color w:val="000000"/>
          <w:sz w:val="28"/>
          <w:szCs w:val="28"/>
        </w:rPr>
        <w:t>О</w:t>
      </w:r>
      <w:r>
        <w:rPr>
          <w:bCs/>
          <w:color w:val="000000"/>
          <w:sz w:val="28"/>
          <w:szCs w:val="28"/>
        </w:rPr>
        <w:t>сновные</w:t>
      </w:r>
      <w:r w:rsidRPr="00C456E7">
        <w:rPr>
          <w:bCs/>
          <w:color w:val="000000"/>
          <w:sz w:val="28"/>
          <w:szCs w:val="28"/>
        </w:rPr>
        <w:t xml:space="preserve"> </w:t>
      </w:r>
      <w:r>
        <w:rPr>
          <w:bCs/>
          <w:color w:val="000000"/>
          <w:sz w:val="28"/>
          <w:szCs w:val="28"/>
        </w:rPr>
        <w:t>направления</w:t>
      </w:r>
      <w:r w:rsidRPr="00C456E7">
        <w:rPr>
          <w:bCs/>
          <w:color w:val="000000"/>
          <w:sz w:val="28"/>
          <w:szCs w:val="28"/>
        </w:rPr>
        <w:t xml:space="preserve"> налоговой политики </w:t>
      </w:r>
      <w:r>
        <w:rPr>
          <w:bCs/>
          <w:color w:val="000000"/>
          <w:sz w:val="28"/>
          <w:szCs w:val="28"/>
        </w:rPr>
        <w:t>муниципального образования городской округ город Пыть-Ях на 2019 год и на плановый период 2020 и 2021 годов, основные подходы к ее формированию</w:t>
      </w:r>
    </w:p>
    <w:p w:rsidR="00413116" w:rsidRPr="00C456E7" w:rsidRDefault="00413116" w:rsidP="00E37941">
      <w:pPr>
        <w:spacing w:line="360" w:lineRule="auto"/>
        <w:ind w:firstLine="539"/>
        <w:jc w:val="both"/>
        <w:rPr>
          <w:b/>
          <w:bCs/>
          <w:color w:val="000000"/>
          <w:sz w:val="28"/>
          <w:szCs w:val="28"/>
        </w:rPr>
      </w:pPr>
    </w:p>
    <w:p w:rsidR="00413116" w:rsidRDefault="00413116" w:rsidP="006B7E3F">
      <w:pPr>
        <w:pStyle w:val="ConsPlusNormal"/>
        <w:spacing w:line="360" w:lineRule="auto"/>
        <w:ind w:firstLine="510"/>
        <w:jc w:val="both"/>
        <w:rPr>
          <w:rFonts w:ascii="Times New Roman" w:hAnsi="Times New Roman"/>
          <w:sz w:val="28"/>
          <w:szCs w:val="28"/>
        </w:rPr>
      </w:pPr>
      <w:r w:rsidRPr="006E10A8">
        <w:rPr>
          <w:rFonts w:ascii="Times New Roman" w:hAnsi="Times New Roman"/>
          <w:sz w:val="28"/>
          <w:szCs w:val="28"/>
        </w:rPr>
        <w:t xml:space="preserve">Налоговая политика </w:t>
      </w:r>
      <w:r w:rsidRPr="006E10A8">
        <w:rPr>
          <w:rFonts w:ascii="Times New Roman" w:hAnsi="Times New Roman"/>
          <w:bCs/>
          <w:color w:val="000000"/>
          <w:sz w:val="28"/>
          <w:szCs w:val="28"/>
        </w:rPr>
        <w:t xml:space="preserve">муниципального образования городской округ город Пыть-Ях на </w:t>
      </w:r>
      <w:r w:rsidRPr="006E10A8">
        <w:rPr>
          <w:rFonts w:ascii="Times New Roman" w:hAnsi="Times New Roman"/>
          <w:bCs/>
          <w:color w:val="000000"/>
          <w:sz w:val="28"/>
          <w:szCs w:val="28"/>
        </w:rPr>
        <w:lastRenderedPageBreak/>
        <w:t>2019 год и на плановый период 2020 и 2021 годов</w:t>
      </w:r>
      <w:r w:rsidRPr="006E10A8">
        <w:rPr>
          <w:rFonts w:ascii="Times New Roman" w:hAnsi="Times New Roman"/>
          <w:sz w:val="28"/>
          <w:szCs w:val="28"/>
        </w:rPr>
        <w:t xml:space="preserve"> (далее – налоговая политика </w:t>
      </w:r>
      <w:r>
        <w:rPr>
          <w:rFonts w:ascii="Times New Roman" w:hAnsi="Times New Roman"/>
          <w:sz w:val="28"/>
          <w:szCs w:val="28"/>
        </w:rPr>
        <w:t>города Пыть-Яха</w:t>
      </w:r>
      <w:r w:rsidRPr="006E10A8">
        <w:rPr>
          <w:rFonts w:ascii="Times New Roman" w:hAnsi="Times New Roman"/>
          <w:sz w:val="28"/>
          <w:szCs w:val="28"/>
        </w:rPr>
        <w:t xml:space="preserve"> на 2019-2021 годы), как и в предыдущие годы, будет направлена на сохранение и наращивание налогового потенциала за счет </w:t>
      </w:r>
      <w:r w:rsidRPr="00A30D45">
        <w:rPr>
          <w:rFonts w:ascii="Times New Roman" w:hAnsi="Times New Roman"/>
          <w:sz w:val="28"/>
          <w:szCs w:val="28"/>
        </w:rPr>
        <w:t>формирования благоприятного инвестиционного климата,</w:t>
      </w:r>
      <w:r w:rsidRPr="006E10A8">
        <w:rPr>
          <w:rFonts w:ascii="Times New Roman" w:hAnsi="Times New Roman"/>
          <w:sz w:val="28"/>
          <w:szCs w:val="28"/>
        </w:rPr>
        <w:t xml:space="preserve"> совершенствования и оптимизации порядка предоставления льгот, повышения качества администрирования доходов. </w:t>
      </w:r>
    </w:p>
    <w:p w:rsidR="00413116" w:rsidRPr="00395627" w:rsidRDefault="00413116" w:rsidP="006B7E3F">
      <w:pPr>
        <w:autoSpaceDE w:val="0"/>
        <w:autoSpaceDN w:val="0"/>
        <w:adjustRightInd w:val="0"/>
        <w:spacing w:line="360" w:lineRule="auto"/>
        <w:ind w:firstLine="510"/>
        <w:jc w:val="both"/>
        <w:rPr>
          <w:sz w:val="28"/>
          <w:szCs w:val="28"/>
        </w:rPr>
      </w:pPr>
      <w:r w:rsidRPr="00395627">
        <w:rPr>
          <w:sz w:val="28"/>
          <w:szCs w:val="28"/>
        </w:rPr>
        <w:t>Этому будет способствовать решение следующих задач:</w:t>
      </w:r>
    </w:p>
    <w:p w:rsidR="00413116" w:rsidRPr="00395627" w:rsidRDefault="00413116" w:rsidP="006B7E3F">
      <w:pPr>
        <w:autoSpaceDE w:val="0"/>
        <w:autoSpaceDN w:val="0"/>
        <w:adjustRightInd w:val="0"/>
        <w:spacing w:line="360" w:lineRule="auto"/>
        <w:ind w:firstLine="510"/>
        <w:jc w:val="both"/>
        <w:rPr>
          <w:sz w:val="28"/>
          <w:szCs w:val="28"/>
        </w:rPr>
      </w:pPr>
      <w:r>
        <w:rPr>
          <w:sz w:val="28"/>
          <w:szCs w:val="28"/>
        </w:rPr>
        <w:t>-</w:t>
      </w:r>
      <w:r w:rsidRPr="00395627">
        <w:rPr>
          <w:sz w:val="28"/>
          <w:szCs w:val="28"/>
        </w:rPr>
        <w:t>оптимизация состава налоговых льгот по местным налогам с учетом оценки их бюджетной, экономической, социальной эффективности и налоговых ставок;</w:t>
      </w:r>
    </w:p>
    <w:p w:rsidR="00413116" w:rsidRPr="00395627" w:rsidRDefault="00413116" w:rsidP="006B7E3F">
      <w:pPr>
        <w:autoSpaceDE w:val="0"/>
        <w:autoSpaceDN w:val="0"/>
        <w:adjustRightInd w:val="0"/>
        <w:spacing w:line="360" w:lineRule="auto"/>
        <w:ind w:firstLine="510"/>
        <w:jc w:val="both"/>
        <w:rPr>
          <w:sz w:val="28"/>
          <w:szCs w:val="28"/>
        </w:rPr>
      </w:pPr>
      <w:r>
        <w:rPr>
          <w:sz w:val="28"/>
          <w:szCs w:val="28"/>
        </w:rPr>
        <w:t>-</w:t>
      </w:r>
      <w:r w:rsidRPr="00395627">
        <w:rPr>
          <w:sz w:val="28"/>
          <w:szCs w:val="28"/>
        </w:rPr>
        <w:t xml:space="preserve">содействие дальнейшему развитию субъектов малого предпринимательства; </w:t>
      </w:r>
    </w:p>
    <w:p w:rsidR="00413116" w:rsidRPr="00395627" w:rsidRDefault="00413116" w:rsidP="006B7E3F">
      <w:pPr>
        <w:autoSpaceDE w:val="0"/>
        <w:autoSpaceDN w:val="0"/>
        <w:adjustRightInd w:val="0"/>
        <w:spacing w:line="360" w:lineRule="auto"/>
        <w:ind w:firstLine="510"/>
        <w:jc w:val="both"/>
        <w:rPr>
          <w:sz w:val="28"/>
          <w:szCs w:val="28"/>
        </w:rPr>
      </w:pPr>
      <w:r>
        <w:rPr>
          <w:sz w:val="28"/>
          <w:szCs w:val="28"/>
        </w:rPr>
        <w:t>-</w:t>
      </w:r>
      <w:r w:rsidRPr="00395627">
        <w:rPr>
          <w:sz w:val="28"/>
          <w:szCs w:val="28"/>
        </w:rPr>
        <w:t>сохранение на период 2019 – 2021 годов ограничений на принятие новых налоговых льгот по местным налогам;</w:t>
      </w:r>
    </w:p>
    <w:p w:rsidR="00413116" w:rsidRPr="00395627" w:rsidRDefault="00413116" w:rsidP="006B7E3F">
      <w:pPr>
        <w:autoSpaceDE w:val="0"/>
        <w:autoSpaceDN w:val="0"/>
        <w:adjustRightInd w:val="0"/>
        <w:spacing w:line="360" w:lineRule="auto"/>
        <w:ind w:firstLine="510"/>
        <w:jc w:val="both"/>
        <w:rPr>
          <w:sz w:val="28"/>
          <w:szCs w:val="28"/>
        </w:rPr>
      </w:pPr>
      <w:r>
        <w:rPr>
          <w:sz w:val="28"/>
          <w:szCs w:val="28"/>
        </w:rPr>
        <w:t>-</w:t>
      </w:r>
      <w:r w:rsidRPr="00395627">
        <w:rPr>
          <w:sz w:val="28"/>
          <w:szCs w:val="28"/>
        </w:rPr>
        <w:t>продолжение работы по вовлечению в налоговый оборот отдельных объектов недвижимости, в отношении которых налог исчисляется исходя из кадастровой стоимости;</w:t>
      </w:r>
    </w:p>
    <w:p w:rsidR="00413116" w:rsidRDefault="00413116" w:rsidP="006B7E3F">
      <w:pPr>
        <w:autoSpaceDE w:val="0"/>
        <w:autoSpaceDN w:val="0"/>
        <w:adjustRightInd w:val="0"/>
        <w:spacing w:line="360" w:lineRule="auto"/>
        <w:ind w:firstLine="510"/>
        <w:jc w:val="both"/>
        <w:rPr>
          <w:sz w:val="28"/>
          <w:szCs w:val="28"/>
        </w:rPr>
      </w:pPr>
      <w:r>
        <w:rPr>
          <w:sz w:val="28"/>
          <w:szCs w:val="28"/>
        </w:rPr>
        <w:t>-</w:t>
      </w:r>
      <w:r w:rsidRPr="00395627">
        <w:rPr>
          <w:sz w:val="28"/>
          <w:szCs w:val="28"/>
        </w:rPr>
        <w:t>сохранение в полном объеме льгот для наименее социально защищенных слоев населения муниципального образования.</w:t>
      </w:r>
    </w:p>
    <w:p w:rsidR="00413116" w:rsidRDefault="00413116" w:rsidP="006B7E3F">
      <w:pPr>
        <w:autoSpaceDE w:val="0"/>
        <w:autoSpaceDN w:val="0"/>
        <w:adjustRightInd w:val="0"/>
        <w:spacing w:line="360" w:lineRule="auto"/>
        <w:ind w:firstLine="510"/>
        <w:jc w:val="both"/>
        <w:rPr>
          <w:sz w:val="28"/>
          <w:szCs w:val="28"/>
        </w:rPr>
      </w:pPr>
      <w:r>
        <w:rPr>
          <w:sz w:val="28"/>
          <w:szCs w:val="28"/>
        </w:rPr>
        <w:lastRenderedPageBreak/>
        <w:t>О</w:t>
      </w:r>
      <w:r w:rsidRPr="00C35C3D">
        <w:rPr>
          <w:sz w:val="28"/>
          <w:szCs w:val="28"/>
        </w:rPr>
        <w:t xml:space="preserve">сновные мероприятия </w:t>
      </w:r>
      <w:r>
        <w:rPr>
          <w:sz w:val="28"/>
          <w:szCs w:val="28"/>
        </w:rPr>
        <w:t>налоговой</w:t>
      </w:r>
      <w:r w:rsidRPr="00C35C3D">
        <w:rPr>
          <w:sz w:val="28"/>
          <w:szCs w:val="28"/>
        </w:rPr>
        <w:t xml:space="preserve"> политики в части налогового стимулирования в предстоящем среднесрочном периоде характер налоговой политики </w:t>
      </w:r>
      <w:r>
        <w:rPr>
          <w:sz w:val="28"/>
          <w:szCs w:val="28"/>
        </w:rPr>
        <w:t>муниципалитета</w:t>
      </w:r>
      <w:r w:rsidRPr="00C35C3D">
        <w:rPr>
          <w:sz w:val="28"/>
          <w:szCs w:val="28"/>
        </w:rPr>
        <w:t xml:space="preserve"> будет определяться решениями, принимаемыми на федеральном </w:t>
      </w:r>
      <w:r>
        <w:rPr>
          <w:sz w:val="28"/>
          <w:szCs w:val="28"/>
        </w:rPr>
        <w:t xml:space="preserve">и региональном уровне </w:t>
      </w:r>
      <w:r w:rsidRPr="00C35C3D">
        <w:rPr>
          <w:sz w:val="28"/>
          <w:szCs w:val="28"/>
        </w:rPr>
        <w:t>с учетом изменившихся экономических условий</w:t>
      </w:r>
      <w:r>
        <w:rPr>
          <w:sz w:val="28"/>
          <w:szCs w:val="28"/>
        </w:rPr>
        <w:t>.</w:t>
      </w:r>
    </w:p>
    <w:p w:rsidR="00413116" w:rsidRPr="00AE19B8" w:rsidRDefault="00413116" w:rsidP="006B7E3F">
      <w:pPr>
        <w:autoSpaceDE w:val="0"/>
        <w:autoSpaceDN w:val="0"/>
        <w:adjustRightInd w:val="0"/>
        <w:spacing w:line="360" w:lineRule="auto"/>
        <w:ind w:firstLine="510"/>
        <w:jc w:val="both"/>
        <w:rPr>
          <w:sz w:val="28"/>
          <w:szCs w:val="28"/>
        </w:rPr>
      </w:pPr>
      <w:r>
        <w:rPr>
          <w:sz w:val="28"/>
          <w:szCs w:val="28"/>
        </w:rPr>
        <w:t>В</w:t>
      </w:r>
      <w:r w:rsidRPr="00AE19B8">
        <w:rPr>
          <w:sz w:val="28"/>
          <w:szCs w:val="28"/>
        </w:rPr>
        <w:t xml:space="preserve"> связи с принятыми на федеральном уровне решени</w:t>
      </w:r>
      <w:r>
        <w:rPr>
          <w:sz w:val="28"/>
          <w:szCs w:val="28"/>
        </w:rPr>
        <w:t>й</w:t>
      </w:r>
      <w:r w:rsidRPr="00AE19B8">
        <w:rPr>
          <w:sz w:val="28"/>
          <w:szCs w:val="28"/>
        </w:rPr>
        <w:t>, предусматривающи</w:t>
      </w:r>
      <w:r>
        <w:rPr>
          <w:sz w:val="28"/>
          <w:szCs w:val="28"/>
        </w:rPr>
        <w:t>х</w:t>
      </w:r>
      <w:r w:rsidRPr="00AE19B8">
        <w:rPr>
          <w:sz w:val="28"/>
          <w:szCs w:val="28"/>
        </w:rPr>
        <w:t>:</w:t>
      </w:r>
    </w:p>
    <w:p w:rsidR="00413116" w:rsidRPr="00AE19B8" w:rsidRDefault="00413116" w:rsidP="006B7E3F">
      <w:pPr>
        <w:autoSpaceDE w:val="0"/>
        <w:autoSpaceDN w:val="0"/>
        <w:adjustRightInd w:val="0"/>
        <w:spacing w:line="360" w:lineRule="auto"/>
        <w:ind w:firstLine="510"/>
        <w:jc w:val="both"/>
        <w:rPr>
          <w:sz w:val="28"/>
          <w:szCs w:val="28"/>
        </w:rPr>
      </w:pPr>
      <w:r>
        <w:rPr>
          <w:sz w:val="28"/>
          <w:szCs w:val="28"/>
        </w:rPr>
        <w:t>-</w:t>
      </w:r>
      <w:r w:rsidRPr="00AE19B8">
        <w:rPr>
          <w:sz w:val="28"/>
          <w:szCs w:val="28"/>
        </w:rPr>
        <w:t>возможность уменьшения с 1 января 2018 года суммы налога, исчисленной при применении единого налога на вмененный доход и патентной системы налогообложения, на расходы по приобретению «онлайн-касс» в размере не более 18 тыс. рублей на каждый экземпляр контрольно- кассовой техники (Федеральный закон от 27 ноября 2017 года № 349-ФЗ);</w:t>
      </w:r>
    </w:p>
    <w:p w:rsidR="00413116" w:rsidRPr="00AE19B8" w:rsidRDefault="00413116" w:rsidP="006B7E3F">
      <w:pPr>
        <w:autoSpaceDE w:val="0"/>
        <w:autoSpaceDN w:val="0"/>
        <w:adjustRightInd w:val="0"/>
        <w:spacing w:line="360" w:lineRule="auto"/>
        <w:ind w:firstLine="510"/>
        <w:jc w:val="both"/>
        <w:rPr>
          <w:sz w:val="28"/>
          <w:szCs w:val="28"/>
        </w:rPr>
      </w:pPr>
      <w:r>
        <w:rPr>
          <w:sz w:val="28"/>
          <w:szCs w:val="28"/>
        </w:rPr>
        <w:t>-</w:t>
      </w:r>
      <w:r w:rsidRPr="00AE19B8">
        <w:rPr>
          <w:sz w:val="28"/>
          <w:szCs w:val="28"/>
        </w:rPr>
        <w:t>введение налогового вычета по земельному налогу на величину кадастровой стоимости 600 квадратных метров для льготных категорий налогоплательщиков (Федеральный закон от 28 декабря 2017 года № 436-ФЗ);</w:t>
      </w:r>
    </w:p>
    <w:p w:rsidR="00413116" w:rsidRPr="00395627" w:rsidRDefault="00413116" w:rsidP="006B7E3F">
      <w:pPr>
        <w:autoSpaceDE w:val="0"/>
        <w:autoSpaceDN w:val="0"/>
        <w:adjustRightInd w:val="0"/>
        <w:spacing w:line="360" w:lineRule="auto"/>
        <w:ind w:firstLine="510"/>
        <w:jc w:val="both"/>
        <w:rPr>
          <w:sz w:val="28"/>
          <w:szCs w:val="28"/>
        </w:rPr>
      </w:pPr>
      <w:r>
        <w:rPr>
          <w:sz w:val="28"/>
          <w:szCs w:val="28"/>
        </w:rPr>
        <w:t>-</w:t>
      </w:r>
      <w:r w:rsidRPr="00AE19B8">
        <w:rPr>
          <w:sz w:val="28"/>
          <w:szCs w:val="28"/>
        </w:rPr>
        <w:t>изменение порядка исчисления налога на имущество физических лиц по кадастровой стоимости (Федеральный закон от 3 августа 2018 года 334-ФЗ)</w:t>
      </w:r>
      <w:r>
        <w:rPr>
          <w:sz w:val="28"/>
          <w:szCs w:val="28"/>
        </w:rPr>
        <w:t xml:space="preserve">      и с целью максимального </w:t>
      </w:r>
      <w:r>
        <w:rPr>
          <w:sz w:val="28"/>
          <w:szCs w:val="28"/>
        </w:rPr>
        <w:lastRenderedPageBreak/>
        <w:t>сокращения выпадающих доходов</w:t>
      </w:r>
      <w:r w:rsidRPr="00AE19B8">
        <w:rPr>
          <w:sz w:val="28"/>
          <w:szCs w:val="28"/>
        </w:rPr>
        <w:t xml:space="preserve"> муниципальных образований</w:t>
      </w:r>
      <w:r w:rsidRPr="00395627">
        <w:rPr>
          <w:sz w:val="28"/>
          <w:szCs w:val="28"/>
        </w:rPr>
        <w:t xml:space="preserve"> на уровне субъекта планируется:</w:t>
      </w:r>
    </w:p>
    <w:p w:rsidR="00413116" w:rsidRPr="00395627" w:rsidRDefault="00413116" w:rsidP="006B7E3F">
      <w:pPr>
        <w:autoSpaceDE w:val="0"/>
        <w:autoSpaceDN w:val="0"/>
        <w:adjustRightInd w:val="0"/>
        <w:spacing w:line="360" w:lineRule="auto"/>
        <w:ind w:firstLine="510"/>
        <w:jc w:val="both"/>
        <w:rPr>
          <w:sz w:val="28"/>
          <w:szCs w:val="28"/>
        </w:rPr>
      </w:pPr>
      <w:r w:rsidRPr="00395627">
        <w:rPr>
          <w:sz w:val="28"/>
          <w:szCs w:val="28"/>
        </w:rPr>
        <w:t xml:space="preserve">1) </w:t>
      </w:r>
      <w:r w:rsidRPr="00C35C3D">
        <w:rPr>
          <w:sz w:val="28"/>
          <w:szCs w:val="28"/>
        </w:rPr>
        <w:t>продлить действие пониженной ставки по упрощенной системе налогообложения, применяемой при объекте налогообложения «доходы» в размере 5%, для отдельных видов деятельности, при этом ставку, применяемую при объекте налогообложения «доходы, уменьшенные на величину расходов», установить в размере 15%</w:t>
      </w:r>
      <w:r>
        <w:rPr>
          <w:sz w:val="28"/>
          <w:szCs w:val="28"/>
        </w:rPr>
        <w:t>;</w:t>
      </w:r>
    </w:p>
    <w:p w:rsidR="00413116" w:rsidRPr="00395627" w:rsidRDefault="00413116" w:rsidP="006B7E3F">
      <w:pPr>
        <w:autoSpaceDE w:val="0"/>
        <w:autoSpaceDN w:val="0"/>
        <w:adjustRightInd w:val="0"/>
        <w:spacing w:line="360" w:lineRule="auto"/>
        <w:ind w:firstLine="510"/>
        <w:jc w:val="both"/>
        <w:rPr>
          <w:sz w:val="28"/>
          <w:szCs w:val="28"/>
        </w:rPr>
      </w:pPr>
      <w:r w:rsidRPr="00395627">
        <w:rPr>
          <w:sz w:val="28"/>
          <w:szCs w:val="28"/>
        </w:rPr>
        <w:t>2) продолжить работу по выявлению объектов, не включенных в перечни объектов недвижимого имущества в соответствии со статьей 378.2 Налогового кодекса Российской Федерации, в отношении которых налоговая база по налогу на имущество организаций и налогу на имущество физических лиц определяется как кадастровая стоимость;</w:t>
      </w:r>
    </w:p>
    <w:p w:rsidR="00413116" w:rsidRPr="006E10A8" w:rsidRDefault="00413116" w:rsidP="006B7E3F">
      <w:pPr>
        <w:autoSpaceDE w:val="0"/>
        <w:autoSpaceDN w:val="0"/>
        <w:adjustRightInd w:val="0"/>
        <w:spacing w:line="360" w:lineRule="auto"/>
        <w:ind w:firstLine="510"/>
        <w:jc w:val="both"/>
        <w:rPr>
          <w:sz w:val="28"/>
          <w:szCs w:val="28"/>
        </w:rPr>
      </w:pPr>
      <w:r w:rsidRPr="00395627">
        <w:rPr>
          <w:sz w:val="28"/>
          <w:szCs w:val="28"/>
        </w:rPr>
        <w:t>3) пересмотреть с 2019 года в сторону увеличения коэффициент, отражающий региональные особенности рынка труда в автономном округе, с 2,054 до 2,142 в целях стимулирования привлечения квалифицированной рабочей силы.</w:t>
      </w:r>
    </w:p>
    <w:p w:rsidR="00413116" w:rsidRPr="006B7E3F" w:rsidRDefault="00413116" w:rsidP="006B7E3F">
      <w:pPr>
        <w:spacing w:line="360" w:lineRule="auto"/>
        <w:ind w:firstLine="510"/>
        <w:jc w:val="both"/>
        <w:rPr>
          <w:sz w:val="28"/>
          <w:szCs w:val="28"/>
        </w:rPr>
      </w:pPr>
      <w:r>
        <w:rPr>
          <w:sz w:val="28"/>
          <w:szCs w:val="28"/>
        </w:rPr>
        <w:t>В очередном бюджетном</w:t>
      </w:r>
      <w:r w:rsidRPr="00A531B4">
        <w:rPr>
          <w:sz w:val="28"/>
          <w:szCs w:val="28"/>
        </w:rPr>
        <w:t xml:space="preserve"> </w:t>
      </w:r>
      <w:r>
        <w:rPr>
          <w:sz w:val="28"/>
          <w:szCs w:val="28"/>
        </w:rPr>
        <w:t>цикле</w:t>
      </w:r>
      <w:r w:rsidRPr="006B7E3F">
        <w:rPr>
          <w:sz w:val="28"/>
          <w:szCs w:val="28"/>
        </w:rPr>
        <w:t xml:space="preserve"> </w:t>
      </w:r>
      <w:r>
        <w:rPr>
          <w:sz w:val="28"/>
          <w:szCs w:val="28"/>
        </w:rPr>
        <w:t>в</w:t>
      </w:r>
      <w:r w:rsidRPr="006B7E3F">
        <w:rPr>
          <w:sz w:val="28"/>
          <w:szCs w:val="28"/>
        </w:rPr>
        <w:t xml:space="preserve"> сфере доходов бюджета </w:t>
      </w:r>
      <w:r>
        <w:rPr>
          <w:sz w:val="28"/>
          <w:szCs w:val="28"/>
        </w:rPr>
        <w:t xml:space="preserve">муниципального образования </w:t>
      </w:r>
      <w:r w:rsidRPr="006B7E3F">
        <w:rPr>
          <w:sz w:val="28"/>
          <w:szCs w:val="28"/>
        </w:rPr>
        <w:t>приоритетными направлениями остаются:</w:t>
      </w:r>
    </w:p>
    <w:p w:rsidR="00413116" w:rsidRPr="006B7E3F" w:rsidRDefault="00413116" w:rsidP="006B7E3F">
      <w:pPr>
        <w:spacing w:line="360" w:lineRule="auto"/>
        <w:ind w:firstLine="510"/>
        <w:jc w:val="both"/>
        <w:rPr>
          <w:sz w:val="28"/>
          <w:szCs w:val="28"/>
        </w:rPr>
      </w:pPr>
      <w:r>
        <w:rPr>
          <w:sz w:val="28"/>
          <w:szCs w:val="28"/>
        </w:rPr>
        <w:lastRenderedPageBreak/>
        <w:t>-</w:t>
      </w:r>
      <w:r w:rsidRPr="006B7E3F">
        <w:rPr>
          <w:sz w:val="28"/>
          <w:szCs w:val="28"/>
        </w:rPr>
        <w:t xml:space="preserve">обеспечение надежности параметров, положенных в основу формирования доходной базы бюджета, </w:t>
      </w:r>
    </w:p>
    <w:p w:rsidR="00413116" w:rsidRPr="006B7E3F" w:rsidRDefault="00413116" w:rsidP="006B7E3F">
      <w:pPr>
        <w:spacing w:line="360" w:lineRule="auto"/>
        <w:ind w:firstLine="510"/>
        <w:jc w:val="both"/>
        <w:rPr>
          <w:sz w:val="28"/>
          <w:szCs w:val="28"/>
        </w:rPr>
      </w:pPr>
      <w:r>
        <w:rPr>
          <w:sz w:val="28"/>
          <w:szCs w:val="28"/>
        </w:rPr>
        <w:t>-</w:t>
      </w:r>
      <w:r w:rsidRPr="006B7E3F">
        <w:rPr>
          <w:sz w:val="28"/>
          <w:szCs w:val="28"/>
        </w:rPr>
        <w:t>повышение уровня ответственности главных администраторов доходов за качественное планирование и выполнение плановых назначений по доходам,</w:t>
      </w:r>
    </w:p>
    <w:p w:rsidR="00413116" w:rsidRPr="006B7E3F" w:rsidRDefault="00413116" w:rsidP="006B7E3F">
      <w:pPr>
        <w:spacing w:line="360" w:lineRule="auto"/>
        <w:ind w:firstLine="510"/>
        <w:jc w:val="both"/>
        <w:rPr>
          <w:sz w:val="28"/>
          <w:szCs w:val="28"/>
        </w:rPr>
      </w:pPr>
      <w:r>
        <w:rPr>
          <w:sz w:val="28"/>
          <w:szCs w:val="28"/>
        </w:rPr>
        <w:t>-</w:t>
      </w:r>
      <w:r w:rsidRPr="006B7E3F">
        <w:rPr>
          <w:sz w:val="28"/>
          <w:szCs w:val="28"/>
        </w:rPr>
        <w:t>урегулирование и снижение задолженности по обязательным платежам, обеспечение рационального и эффективного использования муниципального имущества.</w:t>
      </w:r>
    </w:p>
    <w:p w:rsidR="00413116" w:rsidRPr="006B7E3F" w:rsidRDefault="00413116" w:rsidP="006B7E3F">
      <w:pPr>
        <w:spacing w:line="360" w:lineRule="auto"/>
        <w:ind w:firstLine="510"/>
        <w:jc w:val="both"/>
        <w:rPr>
          <w:sz w:val="28"/>
          <w:szCs w:val="28"/>
        </w:rPr>
      </w:pPr>
      <w:r w:rsidRPr="006B7E3F">
        <w:rPr>
          <w:sz w:val="28"/>
          <w:szCs w:val="28"/>
        </w:rPr>
        <w:t>В связи с этим необходимо продолжить проведение мероприятий:</w:t>
      </w:r>
    </w:p>
    <w:p w:rsidR="00413116" w:rsidRPr="006B7E3F" w:rsidRDefault="00413116" w:rsidP="006B7E3F">
      <w:pPr>
        <w:spacing w:line="360" w:lineRule="auto"/>
        <w:ind w:firstLine="510"/>
        <w:jc w:val="both"/>
        <w:rPr>
          <w:sz w:val="28"/>
          <w:szCs w:val="28"/>
        </w:rPr>
      </w:pPr>
      <w:r w:rsidRPr="006B7E3F">
        <w:rPr>
          <w:sz w:val="28"/>
          <w:szCs w:val="28"/>
        </w:rPr>
        <w:t>1)</w:t>
      </w:r>
      <w:r w:rsidRPr="006B7E3F">
        <w:rPr>
          <w:sz w:val="28"/>
          <w:szCs w:val="28"/>
        </w:rPr>
        <w:tab/>
        <w:t>по выявлению объектов недвижимости, не включённых в Перечень объектов недвижимого имущества, в отношении которых налоговая база определяется как кадастровая стоимость, формируемого в соответствии со статьей 378.2 Налогового кодекса Российской Федерации.</w:t>
      </w:r>
    </w:p>
    <w:p w:rsidR="00413116" w:rsidRPr="006B7E3F" w:rsidRDefault="00413116" w:rsidP="006B7E3F">
      <w:pPr>
        <w:spacing w:line="360" w:lineRule="auto"/>
        <w:ind w:firstLine="510"/>
        <w:jc w:val="both"/>
        <w:rPr>
          <w:sz w:val="28"/>
          <w:szCs w:val="28"/>
        </w:rPr>
      </w:pPr>
      <w:r w:rsidRPr="006B7E3F">
        <w:rPr>
          <w:sz w:val="28"/>
          <w:szCs w:val="28"/>
        </w:rPr>
        <w:t xml:space="preserve">В целях выявления таких объектов администрацией города совместно с МРИ ФНС №7 по Ханты-Мансийскому автономному округу- Югры следует продолжать мониторинг объектов, находящихся в базе данных Росреестра, направлять предложения о дополнительном включении отдельных объектов недвижимости </w:t>
      </w:r>
      <w:r w:rsidRPr="006B7E3F">
        <w:rPr>
          <w:sz w:val="28"/>
          <w:szCs w:val="28"/>
        </w:rPr>
        <w:lastRenderedPageBreak/>
        <w:t>в вышеуказанный Перечень в Департамент финансов автономного округа;</w:t>
      </w:r>
    </w:p>
    <w:p w:rsidR="00413116" w:rsidRPr="006B7E3F" w:rsidRDefault="00413116" w:rsidP="006B7E3F">
      <w:pPr>
        <w:spacing w:line="360" w:lineRule="auto"/>
        <w:ind w:firstLine="510"/>
        <w:jc w:val="both"/>
        <w:rPr>
          <w:sz w:val="28"/>
          <w:szCs w:val="28"/>
        </w:rPr>
      </w:pPr>
      <w:r w:rsidRPr="006B7E3F">
        <w:rPr>
          <w:sz w:val="28"/>
          <w:szCs w:val="28"/>
        </w:rPr>
        <w:t>2) по обеспечению взаимодействия и координации деятельности администрации города и федеральных фискальных, контролирующих органов по информационному взаимодействию с налогоплательщиками, выявлению налоговых правонарушений, взысканию задолженности по платежам в бюджет города;</w:t>
      </w:r>
    </w:p>
    <w:p w:rsidR="00413116" w:rsidRPr="006B7E3F" w:rsidRDefault="00413116" w:rsidP="006B7E3F">
      <w:pPr>
        <w:spacing w:line="360" w:lineRule="auto"/>
        <w:ind w:firstLine="510"/>
        <w:jc w:val="both"/>
        <w:rPr>
          <w:sz w:val="28"/>
          <w:szCs w:val="28"/>
        </w:rPr>
      </w:pPr>
      <w:r w:rsidRPr="006B7E3F">
        <w:rPr>
          <w:sz w:val="28"/>
          <w:szCs w:val="28"/>
        </w:rPr>
        <w:t>3) по снижению неформальной занятости, легализации заработной платы, повышению собираемости страховых взносов во внебюджетные фонды.</w:t>
      </w:r>
    </w:p>
    <w:p w:rsidR="00413116" w:rsidRPr="006B7E3F" w:rsidRDefault="00413116" w:rsidP="006B7E3F">
      <w:pPr>
        <w:spacing w:line="360" w:lineRule="auto"/>
        <w:ind w:firstLine="510"/>
        <w:jc w:val="both"/>
        <w:rPr>
          <w:sz w:val="28"/>
          <w:szCs w:val="28"/>
        </w:rPr>
      </w:pPr>
      <w:r w:rsidRPr="006B7E3F">
        <w:rPr>
          <w:sz w:val="28"/>
          <w:szCs w:val="28"/>
        </w:rPr>
        <w:t>Следует продолжать деятельность рабочей группы по выявлению и снижению неформальной занятости, легализации «серой» заработной платы, повышению собираемости страховых взносов во внебюджетные фонды;</w:t>
      </w:r>
    </w:p>
    <w:p w:rsidR="00413116" w:rsidRPr="006B7E3F" w:rsidRDefault="00413116" w:rsidP="006B7E3F">
      <w:pPr>
        <w:spacing w:line="360" w:lineRule="auto"/>
        <w:ind w:firstLine="510"/>
        <w:jc w:val="both"/>
        <w:rPr>
          <w:sz w:val="28"/>
          <w:szCs w:val="28"/>
        </w:rPr>
      </w:pPr>
      <w:r w:rsidRPr="006B7E3F">
        <w:rPr>
          <w:sz w:val="28"/>
          <w:szCs w:val="28"/>
        </w:rPr>
        <w:t>4) по проведению анализа возможностей увеличения поступлений доходов от использования муниципального имущества путём проведения инвентаризации имущества, выявления неиспользованного (бесхозного) имущества и принятия мер по перепрофилированию, продаже или предоставлению в аренду, проведения муниципального земельного контроля;</w:t>
      </w:r>
    </w:p>
    <w:p w:rsidR="00413116" w:rsidRDefault="00413116" w:rsidP="006B7E3F">
      <w:pPr>
        <w:spacing w:line="360" w:lineRule="auto"/>
        <w:ind w:firstLine="510"/>
        <w:jc w:val="both"/>
        <w:rPr>
          <w:sz w:val="28"/>
          <w:szCs w:val="28"/>
        </w:rPr>
      </w:pPr>
      <w:r w:rsidRPr="006B7E3F">
        <w:rPr>
          <w:sz w:val="28"/>
          <w:szCs w:val="28"/>
        </w:rPr>
        <w:t>5) по снижению дебиторской задолженности по доходам бюджета города.</w:t>
      </w:r>
    </w:p>
    <w:p w:rsidR="00413116" w:rsidRDefault="00413116" w:rsidP="006B7E3F">
      <w:pPr>
        <w:spacing w:line="360" w:lineRule="auto"/>
        <w:ind w:firstLine="510"/>
        <w:jc w:val="both"/>
        <w:rPr>
          <w:sz w:val="28"/>
          <w:szCs w:val="28"/>
        </w:rPr>
      </w:pPr>
    </w:p>
    <w:p w:rsidR="00413116" w:rsidRPr="006E10A8" w:rsidRDefault="00413116" w:rsidP="00425A23">
      <w:pPr>
        <w:numPr>
          <w:ilvl w:val="0"/>
          <w:numId w:val="1"/>
        </w:numPr>
        <w:spacing w:line="360" w:lineRule="auto"/>
        <w:jc w:val="center"/>
        <w:rPr>
          <w:sz w:val="28"/>
          <w:szCs w:val="28"/>
        </w:rPr>
      </w:pPr>
      <w:r w:rsidRPr="006E10A8">
        <w:rPr>
          <w:sz w:val="28"/>
          <w:szCs w:val="28"/>
        </w:rPr>
        <w:t>Основные направления бюджетной</w:t>
      </w:r>
      <w:r>
        <w:rPr>
          <w:sz w:val="28"/>
          <w:szCs w:val="28"/>
        </w:rPr>
        <w:t xml:space="preserve"> и долговой политики</w:t>
      </w:r>
      <w:r w:rsidRPr="006E10A8">
        <w:rPr>
          <w:bCs/>
          <w:color w:val="000000"/>
          <w:sz w:val="28"/>
          <w:szCs w:val="28"/>
        </w:rPr>
        <w:t xml:space="preserve"> </w:t>
      </w:r>
      <w:r>
        <w:rPr>
          <w:bCs/>
          <w:color w:val="000000"/>
          <w:sz w:val="28"/>
          <w:szCs w:val="28"/>
        </w:rPr>
        <w:t>муниципального образования городской округ город Пыть-Ях на 2019 год и на плановый период 2020 и 2021 годов и подходы к формированию характеристик проекта бюджета города Пыть-Яха на 2019 год и на плановый период 2020 и 2021 годов</w:t>
      </w:r>
    </w:p>
    <w:p w:rsidR="00413116" w:rsidRDefault="00413116" w:rsidP="00E37941">
      <w:pPr>
        <w:spacing w:line="360" w:lineRule="auto"/>
        <w:ind w:firstLine="539"/>
        <w:jc w:val="both"/>
        <w:rPr>
          <w:sz w:val="28"/>
          <w:szCs w:val="28"/>
        </w:rPr>
      </w:pPr>
    </w:p>
    <w:p w:rsidR="00413116" w:rsidRDefault="00413116" w:rsidP="00E37941">
      <w:pPr>
        <w:spacing w:line="360" w:lineRule="auto"/>
        <w:ind w:firstLine="539"/>
        <w:jc w:val="both"/>
        <w:rPr>
          <w:sz w:val="28"/>
          <w:szCs w:val="28"/>
        </w:rPr>
      </w:pPr>
      <w:r w:rsidRPr="00C35C3D">
        <w:rPr>
          <w:sz w:val="28"/>
          <w:szCs w:val="28"/>
        </w:rPr>
        <w:t xml:space="preserve">Формирование бюджетной политики </w:t>
      </w:r>
      <w:r>
        <w:rPr>
          <w:bCs/>
          <w:color w:val="000000"/>
          <w:sz w:val="28"/>
          <w:szCs w:val="28"/>
        </w:rPr>
        <w:t>муниципального образования городской округ город Пыть-Ях на 2019 год и на плановый период 2020 и 2021 годов</w:t>
      </w:r>
      <w:r w:rsidRPr="00C35C3D">
        <w:rPr>
          <w:sz w:val="28"/>
          <w:szCs w:val="28"/>
        </w:rPr>
        <w:t xml:space="preserve"> (далее также – бюджетная политика </w:t>
      </w:r>
      <w:r>
        <w:rPr>
          <w:sz w:val="28"/>
          <w:szCs w:val="28"/>
        </w:rPr>
        <w:t>города Пыть-Яха</w:t>
      </w:r>
      <w:r w:rsidRPr="00C35C3D">
        <w:rPr>
          <w:sz w:val="28"/>
          <w:szCs w:val="28"/>
        </w:rPr>
        <w:t xml:space="preserve"> на 2019-2021 годы) осуществляется на принципах обеспечения устойчивости и сбалансированности бюджетной системы </w:t>
      </w:r>
      <w:r>
        <w:rPr>
          <w:sz w:val="28"/>
          <w:szCs w:val="28"/>
        </w:rPr>
        <w:t>городского</w:t>
      </w:r>
      <w:r w:rsidRPr="00C35C3D">
        <w:rPr>
          <w:sz w:val="28"/>
          <w:szCs w:val="28"/>
        </w:rPr>
        <w:t xml:space="preserve"> округа</w:t>
      </w:r>
      <w:r>
        <w:rPr>
          <w:sz w:val="28"/>
          <w:szCs w:val="28"/>
        </w:rPr>
        <w:t>.</w:t>
      </w:r>
    </w:p>
    <w:p w:rsidR="00413116" w:rsidRDefault="00413116" w:rsidP="00487BA2">
      <w:pPr>
        <w:pStyle w:val="ConsPlusNormal"/>
        <w:spacing w:line="360" w:lineRule="auto"/>
        <w:ind w:firstLine="709"/>
        <w:jc w:val="both"/>
        <w:rPr>
          <w:rFonts w:ascii="Times New Roman" w:hAnsi="Times New Roman"/>
          <w:bCs/>
          <w:sz w:val="28"/>
          <w:szCs w:val="28"/>
        </w:rPr>
      </w:pPr>
      <w:r w:rsidRPr="00C35C3D">
        <w:rPr>
          <w:rFonts w:ascii="Times New Roman" w:hAnsi="Times New Roman"/>
          <w:bCs/>
          <w:sz w:val="28"/>
          <w:szCs w:val="28"/>
        </w:rPr>
        <w:t xml:space="preserve">Реализация бюджетной политики </w:t>
      </w:r>
      <w:r>
        <w:rPr>
          <w:rFonts w:ascii="Times New Roman" w:hAnsi="Times New Roman"/>
          <w:bCs/>
          <w:sz w:val="28"/>
          <w:szCs w:val="28"/>
        </w:rPr>
        <w:t>города Пыть-Яха</w:t>
      </w:r>
      <w:r w:rsidRPr="00C35C3D">
        <w:rPr>
          <w:rFonts w:ascii="Times New Roman" w:hAnsi="Times New Roman"/>
          <w:bCs/>
          <w:sz w:val="28"/>
          <w:szCs w:val="28"/>
        </w:rPr>
        <w:t xml:space="preserve"> в 2019-2021 годах в части формирования расходов бюджета </w:t>
      </w:r>
      <w:r>
        <w:rPr>
          <w:rFonts w:ascii="Times New Roman" w:hAnsi="Times New Roman"/>
          <w:bCs/>
          <w:sz w:val="28"/>
          <w:szCs w:val="28"/>
        </w:rPr>
        <w:t>городского</w:t>
      </w:r>
      <w:r w:rsidRPr="00C35C3D">
        <w:rPr>
          <w:rFonts w:ascii="Times New Roman" w:hAnsi="Times New Roman"/>
          <w:bCs/>
          <w:sz w:val="28"/>
          <w:szCs w:val="28"/>
        </w:rPr>
        <w:t xml:space="preserve"> округа на предстоящий трехлетний период направлена, в первую очередь, на решение задач и достижение национальных целей, обозначенных Президентом Российской Федерации. </w:t>
      </w:r>
    </w:p>
    <w:p w:rsidR="00413116" w:rsidRPr="00DD2FD6" w:rsidRDefault="00413116" w:rsidP="00921536">
      <w:pPr>
        <w:autoSpaceDE w:val="0"/>
        <w:autoSpaceDN w:val="0"/>
        <w:adjustRightInd w:val="0"/>
        <w:spacing w:line="360" w:lineRule="auto"/>
        <w:ind w:firstLine="539"/>
        <w:jc w:val="both"/>
        <w:rPr>
          <w:sz w:val="28"/>
          <w:szCs w:val="28"/>
        </w:rPr>
      </w:pPr>
      <w:r w:rsidRPr="00DD2FD6">
        <w:rPr>
          <w:sz w:val="28"/>
          <w:szCs w:val="28"/>
        </w:rPr>
        <w:t xml:space="preserve">Главной целью бюджетной политики в сфере </w:t>
      </w:r>
      <w:r w:rsidRPr="00921536">
        <w:rPr>
          <w:sz w:val="28"/>
          <w:szCs w:val="28"/>
        </w:rPr>
        <w:t>расходов бюджета</w:t>
      </w:r>
      <w:r w:rsidRPr="00DD2FD6">
        <w:rPr>
          <w:sz w:val="28"/>
          <w:szCs w:val="28"/>
        </w:rPr>
        <w:t xml:space="preserve"> в следующем бюджетном цикле остается обеспечение мер, </w:t>
      </w:r>
      <w:r w:rsidRPr="00DD2FD6">
        <w:rPr>
          <w:sz w:val="28"/>
          <w:szCs w:val="28"/>
        </w:rPr>
        <w:lastRenderedPageBreak/>
        <w:t xml:space="preserve">направленных на устойчивое социально-экономическое развитие города, создание благоприятных и комфортных условий для проживания. </w:t>
      </w:r>
    </w:p>
    <w:p w:rsidR="00413116" w:rsidRDefault="00413116" w:rsidP="00921536">
      <w:pPr>
        <w:pStyle w:val="ConsPlusNormal"/>
        <w:spacing w:line="360" w:lineRule="auto"/>
        <w:ind w:firstLine="709"/>
        <w:jc w:val="both"/>
        <w:rPr>
          <w:rFonts w:ascii="Times New Roman" w:hAnsi="Times New Roman"/>
          <w:bCs/>
          <w:color w:val="FF0000"/>
          <w:sz w:val="28"/>
          <w:szCs w:val="28"/>
        </w:rPr>
      </w:pPr>
      <w:r w:rsidRPr="00C35C3D">
        <w:rPr>
          <w:rFonts w:ascii="Times New Roman" w:hAnsi="Times New Roman"/>
          <w:bCs/>
          <w:sz w:val="28"/>
          <w:szCs w:val="28"/>
        </w:rPr>
        <w:t xml:space="preserve">Ключевым условием обеспечения на территории </w:t>
      </w:r>
      <w:r>
        <w:rPr>
          <w:rFonts w:ascii="Times New Roman" w:hAnsi="Times New Roman"/>
          <w:bCs/>
          <w:sz w:val="28"/>
          <w:szCs w:val="28"/>
        </w:rPr>
        <w:t>города</w:t>
      </w:r>
      <w:r w:rsidRPr="00C35C3D">
        <w:rPr>
          <w:rFonts w:ascii="Times New Roman" w:hAnsi="Times New Roman"/>
          <w:bCs/>
          <w:sz w:val="28"/>
          <w:szCs w:val="28"/>
        </w:rPr>
        <w:t xml:space="preserve"> достижения национальных целей развития является реализация мер по повышению эффективности управления бюджетными </w:t>
      </w:r>
      <w:r>
        <w:rPr>
          <w:rFonts w:ascii="Times New Roman" w:hAnsi="Times New Roman"/>
          <w:bCs/>
          <w:sz w:val="28"/>
          <w:szCs w:val="28"/>
        </w:rPr>
        <w:t>ресурсами</w:t>
      </w:r>
      <w:r w:rsidRPr="00C35C3D">
        <w:rPr>
          <w:rFonts w:ascii="Times New Roman" w:hAnsi="Times New Roman"/>
          <w:bCs/>
          <w:sz w:val="28"/>
          <w:szCs w:val="28"/>
        </w:rPr>
        <w:t xml:space="preserve"> по следующим направлениям:</w:t>
      </w:r>
      <w:r w:rsidRPr="00C35C3D">
        <w:rPr>
          <w:rFonts w:ascii="Times New Roman" w:hAnsi="Times New Roman"/>
          <w:bCs/>
          <w:color w:val="FF0000"/>
          <w:sz w:val="28"/>
          <w:szCs w:val="28"/>
        </w:rPr>
        <w:t xml:space="preserve"> </w:t>
      </w:r>
    </w:p>
    <w:p w:rsidR="00413116" w:rsidRDefault="00413116" w:rsidP="00252FB8">
      <w:pPr>
        <w:spacing w:line="360" w:lineRule="auto"/>
        <w:ind w:firstLine="709"/>
        <w:jc w:val="both"/>
        <w:rPr>
          <w:sz w:val="28"/>
          <w:szCs w:val="28"/>
        </w:rPr>
      </w:pPr>
      <w:r>
        <w:rPr>
          <w:sz w:val="28"/>
          <w:szCs w:val="28"/>
        </w:rPr>
        <w:t xml:space="preserve">-повышение </w:t>
      </w:r>
      <w:r w:rsidRPr="00D066D6">
        <w:rPr>
          <w:sz w:val="28"/>
          <w:szCs w:val="28"/>
        </w:rPr>
        <w:t>эффективности деятельности действующей сети муниципальных учреждений</w:t>
      </w:r>
      <w:r>
        <w:rPr>
          <w:sz w:val="28"/>
          <w:szCs w:val="28"/>
        </w:rPr>
        <w:t xml:space="preserve">. Задача по разработке соответствующих «дорожных карт» поставлена Губернатором автономного округа как для отраслевых департаментов ХМАО – Югры, так и органов местного самоуправления. </w:t>
      </w:r>
      <w:r w:rsidRPr="00C26BE1">
        <w:rPr>
          <w:sz w:val="28"/>
          <w:szCs w:val="28"/>
        </w:rPr>
        <w:t>Реализация мероприятия требует организационно-управленческих решений и проведения действий, предусмотренных трудовым законодательством. Эффект сложится в отложенном периоде, его оценка зависит от масштабности принятых решений</w:t>
      </w:r>
      <w:r>
        <w:rPr>
          <w:sz w:val="28"/>
          <w:szCs w:val="28"/>
        </w:rPr>
        <w:t>;</w:t>
      </w:r>
    </w:p>
    <w:p w:rsidR="00413116" w:rsidRDefault="00413116" w:rsidP="00921536">
      <w:pPr>
        <w:pStyle w:val="ConsPlusNormal"/>
        <w:spacing w:line="360" w:lineRule="auto"/>
        <w:ind w:firstLine="709"/>
        <w:jc w:val="both"/>
        <w:rPr>
          <w:rFonts w:ascii="Times New Roman" w:hAnsi="Times New Roman"/>
          <w:sz w:val="28"/>
          <w:szCs w:val="28"/>
        </w:rPr>
      </w:pPr>
      <w:r>
        <w:rPr>
          <w:rFonts w:ascii="Times New Roman" w:hAnsi="Times New Roman"/>
          <w:sz w:val="28"/>
          <w:szCs w:val="28"/>
        </w:rPr>
        <w:t>-</w:t>
      </w:r>
      <w:r w:rsidRPr="00044C45">
        <w:rPr>
          <w:rFonts w:ascii="Times New Roman" w:hAnsi="Times New Roman"/>
          <w:sz w:val="28"/>
          <w:szCs w:val="28"/>
        </w:rPr>
        <w:t>проведение инвентаризации и пересмотра действующих расходных обязательств в целях сокращения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w:t>
      </w:r>
      <w:r>
        <w:rPr>
          <w:rFonts w:ascii="Times New Roman" w:hAnsi="Times New Roman"/>
          <w:sz w:val="28"/>
          <w:szCs w:val="28"/>
        </w:rPr>
        <w:t xml:space="preserve">. В частности, это </w:t>
      </w:r>
      <w:r>
        <w:rPr>
          <w:rFonts w:ascii="Times New Roman" w:hAnsi="Times New Roman"/>
          <w:sz w:val="28"/>
          <w:szCs w:val="28"/>
        </w:rPr>
        <w:lastRenderedPageBreak/>
        <w:t xml:space="preserve">относится к </w:t>
      </w:r>
      <w:r w:rsidRPr="00FA6291">
        <w:rPr>
          <w:rFonts w:ascii="Times New Roman" w:hAnsi="Times New Roman"/>
          <w:sz w:val="28"/>
          <w:szCs w:val="28"/>
        </w:rPr>
        <w:t>решени</w:t>
      </w:r>
      <w:r>
        <w:rPr>
          <w:rFonts w:ascii="Times New Roman" w:hAnsi="Times New Roman"/>
          <w:sz w:val="28"/>
          <w:szCs w:val="28"/>
        </w:rPr>
        <w:t>ям</w:t>
      </w:r>
      <w:r w:rsidRPr="00FA6291">
        <w:rPr>
          <w:rFonts w:ascii="Times New Roman" w:hAnsi="Times New Roman"/>
          <w:sz w:val="28"/>
          <w:szCs w:val="28"/>
        </w:rPr>
        <w:t xml:space="preserve"> Дум</w:t>
      </w:r>
      <w:r>
        <w:rPr>
          <w:rFonts w:ascii="Times New Roman" w:hAnsi="Times New Roman"/>
          <w:sz w:val="28"/>
          <w:szCs w:val="28"/>
        </w:rPr>
        <w:t>ы</w:t>
      </w:r>
      <w:r w:rsidRPr="00FA6291">
        <w:rPr>
          <w:rFonts w:ascii="Times New Roman" w:hAnsi="Times New Roman"/>
          <w:sz w:val="28"/>
          <w:szCs w:val="28"/>
        </w:rPr>
        <w:t xml:space="preserve"> города</w:t>
      </w:r>
      <w:r>
        <w:rPr>
          <w:rFonts w:ascii="Times New Roman" w:hAnsi="Times New Roman"/>
          <w:sz w:val="28"/>
          <w:szCs w:val="28"/>
        </w:rPr>
        <w:t xml:space="preserve"> о </w:t>
      </w:r>
      <w:r w:rsidRPr="00FA6291">
        <w:rPr>
          <w:rFonts w:ascii="Times New Roman" w:hAnsi="Times New Roman"/>
          <w:sz w:val="28"/>
          <w:szCs w:val="28"/>
        </w:rPr>
        <w:t>дополнительны</w:t>
      </w:r>
      <w:r>
        <w:rPr>
          <w:rFonts w:ascii="Times New Roman" w:hAnsi="Times New Roman"/>
          <w:sz w:val="28"/>
          <w:szCs w:val="28"/>
        </w:rPr>
        <w:t>х</w:t>
      </w:r>
      <w:r w:rsidRPr="00FA6291">
        <w:rPr>
          <w:rFonts w:ascii="Times New Roman" w:hAnsi="Times New Roman"/>
          <w:sz w:val="28"/>
          <w:szCs w:val="28"/>
        </w:rPr>
        <w:t xml:space="preserve"> мер</w:t>
      </w:r>
      <w:r>
        <w:rPr>
          <w:rFonts w:ascii="Times New Roman" w:hAnsi="Times New Roman"/>
          <w:sz w:val="28"/>
          <w:szCs w:val="28"/>
        </w:rPr>
        <w:t>ах</w:t>
      </w:r>
      <w:r w:rsidRPr="00FA6291">
        <w:rPr>
          <w:rFonts w:ascii="Times New Roman" w:hAnsi="Times New Roman"/>
          <w:sz w:val="28"/>
          <w:szCs w:val="28"/>
        </w:rPr>
        <w:t xml:space="preserve"> социальной поддержки отдельных категорий граждан</w:t>
      </w:r>
      <w:r>
        <w:rPr>
          <w:rFonts w:ascii="Times New Roman" w:hAnsi="Times New Roman"/>
          <w:sz w:val="28"/>
          <w:szCs w:val="28"/>
        </w:rPr>
        <w:t>;</w:t>
      </w:r>
    </w:p>
    <w:p w:rsidR="00413116" w:rsidRDefault="00413116" w:rsidP="00252FB8">
      <w:pPr>
        <w:tabs>
          <w:tab w:val="left" w:pos="567"/>
        </w:tabs>
        <w:spacing w:line="360" w:lineRule="auto"/>
        <w:ind w:firstLine="567"/>
        <w:jc w:val="both"/>
        <w:rPr>
          <w:sz w:val="28"/>
          <w:szCs w:val="28"/>
        </w:rPr>
      </w:pPr>
      <w:r>
        <w:rPr>
          <w:sz w:val="28"/>
          <w:szCs w:val="28"/>
        </w:rPr>
        <w:t>-</w:t>
      </w:r>
      <w:r w:rsidRPr="00044C45">
        <w:rPr>
          <w:sz w:val="28"/>
          <w:szCs w:val="28"/>
        </w:rPr>
        <w:t>интеграция региональных портфелей проектов в систему муниципальных программ</w:t>
      </w:r>
      <w:r>
        <w:rPr>
          <w:sz w:val="28"/>
          <w:szCs w:val="28"/>
        </w:rPr>
        <w:t xml:space="preserve"> и</w:t>
      </w:r>
      <w:r w:rsidRPr="00044C45">
        <w:rPr>
          <w:sz w:val="28"/>
          <w:szCs w:val="28"/>
        </w:rPr>
        <w:t xml:space="preserve"> расширение практики осуществления бюджетных расходов на принципах проектного управления деятельностью;</w:t>
      </w:r>
    </w:p>
    <w:p w:rsidR="00413116" w:rsidRPr="00044C45" w:rsidRDefault="00413116" w:rsidP="00252FB8">
      <w:pPr>
        <w:tabs>
          <w:tab w:val="left" w:pos="567"/>
        </w:tabs>
        <w:spacing w:line="360" w:lineRule="auto"/>
        <w:ind w:firstLine="567"/>
        <w:jc w:val="both"/>
        <w:rPr>
          <w:sz w:val="28"/>
          <w:szCs w:val="28"/>
        </w:rPr>
      </w:pPr>
      <w:r>
        <w:rPr>
          <w:sz w:val="28"/>
          <w:szCs w:val="28"/>
        </w:rPr>
        <w:t>-внедрение бережливых технологий в органах местного самоуправления;</w:t>
      </w:r>
    </w:p>
    <w:p w:rsidR="00413116" w:rsidRPr="00C35C3D" w:rsidRDefault="00413116" w:rsidP="00921536">
      <w:pPr>
        <w:pStyle w:val="ConsPlusNormal"/>
        <w:spacing w:line="360" w:lineRule="auto"/>
        <w:ind w:firstLine="709"/>
        <w:jc w:val="both"/>
        <w:rPr>
          <w:rFonts w:ascii="Times New Roman" w:hAnsi="Times New Roman"/>
          <w:sz w:val="28"/>
          <w:szCs w:val="28"/>
        </w:rPr>
      </w:pPr>
      <w:r>
        <w:rPr>
          <w:rFonts w:ascii="Times New Roman" w:hAnsi="Times New Roman"/>
          <w:sz w:val="28"/>
          <w:szCs w:val="28"/>
        </w:rPr>
        <w:t>-</w:t>
      </w:r>
      <w:r w:rsidRPr="00C35C3D">
        <w:rPr>
          <w:rFonts w:ascii="Times New Roman" w:hAnsi="Times New Roman"/>
          <w:sz w:val="28"/>
          <w:szCs w:val="28"/>
        </w:rPr>
        <w:t xml:space="preserve">повышение качества планирования расходов на финансовое обеспечение </w:t>
      </w:r>
      <w:r>
        <w:rPr>
          <w:rFonts w:ascii="Times New Roman" w:hAnsi="Times New Roman"/>
          <w:sz w:val="28"/>
          <w:szCs w:val="28"/>
        </w:rPr>
        <w:t>муниципальных</w:t>
      </w:r>
      <w:r w:rsidRPr="00C35C3D">
        <w:rPr>
          <w:rFonts w:ascii="Times New Roman" w:hAnsi="Times New Roman"/>
          <w:sz w:val="28"/>
          <w:szCs w:val="28"/>
        </w:rPr>
        <w:t xml:space="preserve"> заданий на оказание </w:t>
      </w:r>
      <w:r>
        <w:rPr>
          <w:rFonts w:ascii="Times New Roman" w:hAnsi="Times New Roman"/>
          <w:sz w:val="28"/>
          <w:szCs w:val="28"/>
        </w:rPr>
        <w:t>муниципальных</w:t>
      </w:r>
      <w:r w:rsidRPr="00C35C3D">
        <w:rPr>
          <w:rFonts w:ascii="Times New Roman" w:hAnsi="Times New Roman"/>
          <w:sz w:val="28"/>
          <w:szCs w:val="28"/>
        </w:rPr>
        <w:t xml:space="preserve"> услуг (выполнение работ);</w:t>
      </w:r>
    </w:p>
    <w:p w:rsidR="00413116" w:rsidRPr="00C35C3D" w:rsidRDefault="00413116" w:rsidP="00921536">
      <w:pPr>
        <w:pStyle w:val="ConsPlusNormal"/>
        <w:spacing w:line="360" w:lineRule="auto"/>
        <w:ind w:firstLine="709"/>
        <w:jc w:val="both"/>
        <w:rPr>
          <w:rFonts w:ascii="Times New Roman" w:hAnsi="Times New Roman"/>
          <w:bCs/>
          <w:sz w:val="28"/>
          <w:szCs w:val="28"/>
        </w:rPr>
      </w:pPr>
      <w:r>
        <w:rPr>
          <w:rFonts w:ascii="Times New Roman" w:hAnsi="Times New Roman"/>
          <w:sz w:val="28"/>
          <w:szCs w:val="28"/>
        </w:rPr>
        <w:t>-</w:t>
      </w:r>
      <w:r w:rsidRPr="00C35C3D">
        <w:rPr>
          <w:rFonts w:ascii="Times New Roman" w:hAnsi="Times New Roman"/>
          <w:sz w:val="28"/>
          <w:szCs w:val="28"/>
        </w:rPr>
        <w:t>развитие конкурентной</w:t>
      </w:r>
      <w:r w:rsidRPr="00C35C3D">
        <w:rPr>
          <w:rFonts w:ascii="Times New Roman" w:hAnsi="Times New Roman"/>
          <w:bCs/>
          <w:sz w:val="28"/>
          <w:szCs w:val="28"/>
        </w:rPr>
        <w:t xml:space="preserve"> модели оказания </w:t>
      </w:r>
      <w:r>
        <w:rPr>
          <w:rFonts w:ascii="Times New Roman" w:hAnsi="Times New Roman"/>
          <w:bCs/>
          <w:sz w:val="28"/>
          <w:szCs w:val="28"/>
        </w:rPr>
        <w:t>муниципальных</w:t>
      </w:r>
      <w:r w:rsidRPr="00C35C3D">
        <w:rPr>
          <w:rFonts w:ascii="Times New Roman" w:hAnsi="Times New Roman"/>
          <w:bCs/>
          <w:sz w:val="28"/>
          <w:szCs w:val="28"/>
        </w:rPr>
        <w:t xml:space="preserve"> услуг, обеспечивающей повышение качества их предоставления;</w:t>
      </w:r>
    </w:p>
    <w:p w:rsidR="00413116" w:rsidRPr="00C35C3D" w:rsidRDefault="00413116" w:rsidP="00921536">
      <w:pPr>
        <w:pStyle w:val="ConsPlusNormal"/>
        <w:spacing w:line="360" w:lineRule="auto"/>
        <w:ind w:firstLine="709"/>
        <w:jc w:val="both"/>
        <w:rPr>
          <w:rFonts w:ascii="Times New Roman" w:hAnsi="Times New Roman"/>
          <w:bCs/>
          <w:sz w:val="28"/>
          <w:szCs w:val="28"/>
        </w:rPr>
      </w:pPr>
      <w:r>
        <w:rPr>
          <w:rFonts w:ascii="Times New Roman" w:hAnsi="Times New Roman"/>
          <w:bCs/>
          <w:sz w:val="28"/>
          <w:szCs w:val="28"/>
        </w:rPr>
        <w:t>-</w:t>
      </w:r>
      <w:r w:rsidRPr="00C35C3D">
        <w:rPr>
          <w:rFonts w:ascii="Times New Roman" w:hAnsi="Times New Roman"/>
          <w:bCs/>
          <w:sz w:val="28"/>
          <w:szCs w:val="28"/>
        </w:rPr>
        <w:t xml:space="preserve">совершенствование технологий и процедур планирования, исполнения расходов бюджета </w:t>
      </w:r>
      <w:r>
        <w:rPr>
          <w:rFonts w:ascii="Times New Roman" w:hAnsi="Times New Roman"/>
          <w:bCs/>
          <w:sz w:val="28"/>
          <w:szCs w:val="28"/>
        </w:rPr>
        <w:t>городского</w:t>
      </w:r>
      <w:r w:rsidRPr="00C35C3D">
        <w:rPr>
          <w:rFonts w:ascii="Times New Roman" w:hAnsi="Times New Roman"/>
          <w:bCs/>
          <w:sz w:val="28"/>
          <w:szCs w:val="28"/>
        </w:rPr>
        <w:t xml:space="preserve"> округа;</w:t>
      </w:r>
    </w:p>
    <w:p w:rsidR="00413116" w:rsidRPr="00C35C3D" w:rsidRDefault="00413116" w:rsidP="00921536">
      <w:pPr>
        <w:spacing w:line="360" w:lineRule="auto"/>
        <w:ind w:firstLine="708"/>
        <w:jc w:val="both"/>
        <w:rPr>
          <w:color w:val="000000"/>
          <w:sz w:val="28"/>
          <w:szCs w:val="28"/>
        </w:rPr>
      </w:pPr>
      <w:r>
        <w:rPr>
          <w:color w:val="000000"/>
          <w:sz w:val="28"/>
          <w:szCs w:val="28"/>
        </w:rPr>
        <w:t>-</w:t>
      </w:r>
      <w:r w:rsidRPr="00C35C3D">
        <w:rPr>
          <w:color w:val="000000"/>
          <w:sz w:val="28"/>
          <w:szCs w:val="28"/>
        </w:rPr>
        <w:t xml:space="preserve">совершенствование механизмов мониторинга и контроля реализации </w:t>
      </w:r>
      <w:r>
        <w:rPr>
          <w:color w:val="000000"/>
          <w:sz w:val="28"/>
          <w:szCs w:val="28"/>
        </w:rPr>
        <w:t>муниципальных</w:t>
      </w:r>
      <w:r w:rsidRPr="00C35C3D">
        <w:rPr>
          <w:color w:val="000000"/>
          <w:sz w:val="28"/>
          <w:szCs w:val="28"/>
        </w:rPr>
        <w:t xml:space="preserve"> программ;</w:t>
      </w:r>
    </w:p>
    <w:p w:rsidR="00413116" w:rsidRPr="00C35C3D" w:rsidRDefault="00413116" w:rsidP="00921536">
      <w:pPr>
        <w:spacing w:line="360" w:lineRule="auto"/>
        <w:ind w:firstLine="708"/>
        <w:jc w:val="both"/>
        <w:rPr>
          <w:color w:val="000000"/>
          <w:sz w:val="28"/>
          <w:szCs w:val="28"/>
        </w:rPr>
      </w:pPr>
      <w:r>
        <w:rPr>
          <w:color w:val="000000"/>
          <w:sz w:val="28"/>
          <w:szCs w:val="28"/>
        </w:rPr>
        <w:t>-</w:t>
      </w:r>
      <w:r w:rsidRPr="00C35C3D">
        <w:rPr>
          <w:color w:val="000000"/>
          <w:sz w:val="28"/>
          <w:szCs w:val="28"/>
        </w:rPr>
        <w:t>обеспечение открытости бюджетного процесса и вовлечения в него граждан.</w:t>
      </w:r>
    </w:p>
    <w:p w:rsidR="00413116" w:rsidRPr="00DD2FD6" w:rsidRDefault="00413116" w:rsidP="00E37941">
      <w:pPr>
        <w:autoSpaceDE w:val="0"/>
        <w:autoSpaceDN w:val="0"/>
        <w:adjustRightInd w:val="0"/>
        <w:spacing w:line="360" w:lineRule="auto"/>
        <w:ind w:firstLine="539"/>
        <w:jc w:val="both"/>
        <w:rPr>
          <w:sz w:val="28"/>
          <w:szCs w:val="28"/>
        </w:rPr>
      </w:pPr>
      <w:r w:rsidRPr="00DD2FD6">
        <w:rPr>
          <w:sz w:val="28"/>
          <w:szCs w:val="28"/>
        </w:rPr>
        <w:t>Для сохранения достигнутого уровня предоставляемых населению услуг и дальней</w:t>
      </w:r>
      <w:r w:rsidRPr="00DD2FD6">
        <w:rPr>
          <w:sz w:val="28"/>
          <w:szCs w:val="28"/>
        </w:rPr>
        <w:lastRenderedPageBreak/>
        <w:t>шего развития городской среды на фоне негативных проявлений в экономике, снижающихся доходов бюджета и структурного дисбаланса бюджетных расходов, ключевая роль отводится эффективности муниципального управления, ориентированного не только на концентрацию и рациональное использование имеющихся ресурсов, но и на стимулирование экономической активности населения и бизнеса.</w:t>
      </w:r>
    </w:p>
    <w:p w:rsidR="00413116" w:rsidRPr="00DD2FD6" w:rsidRDefault="00413116" w:rsidP="00E37941">
      <w:pPr>
        <w:tabs>
          <w:tab w:val="left" w:pos="0"/>
        </w:tabs>
        <w:spacing w:line="360" w:lineRule="auto"/>
        <w:ind w:firstLine="539"/>
        <w:jc w:val="both"/>
        <w:rPr>
          <w:sz w:val="28"/>
          <w:szCs w:val="28"/>
        </w:rPr>
      </w:pPr>
      <w:r w:rsidRPr="00DD2FD6">
        <w:rPr>
          <w:sz w:val="28"/>
          <w:szCs w:val="28"/>
        </w:rPr>
        <w:tab/>
        <w:t xml:space="preserve">Во-первых, это создание условий для развития конкуренции на рынке социально значимых услуг и расширение доступа негосударственных организаций к их предоставлению. </w:t>
      </w:r>
    </w:p>
    <w:p w:rsidR="00413116" w:rsidRPr="000F71A9" w:rsidRDefault="00413116" w:rsidP="00E37941">
      <w:pPr>
        <w:spacing w:line="360" w:lineRule="auto"/>
        <w:ind w:firstLine="539"/>
        <w:jc w:val="both"/>
        <w:rPr>
          <w:rFonts w:cs="Verdana"/>
          <w:color w:val="000000"/>
          <w:sz w:val="28"/>
          <w:szCs w:val="28"/>
        </w:rPr>
      </w:pPr>
      <w:r w:rsidRPr="00B44667">
        <w:rPr>
          <w:rFonts w:cs="Verdana"/>
          <w:color w:val="000000"/>
          <w:sz w:val="28"/>
          <w:szCs w:val="28"/>
        </w:rPr>
        <w:t xml:space="preserve">В рамках плана утверждены перечни услуг (работ), востребованных </w:t>
      </w:r>
      <w:r w:rsidRPr="000F71A9">
        <w:rPr>
          <w:rFonts w:cs="Verdana"/>
          <w:color w:val="000000"/>
          <w:sz w:val="28"/>
          <w:szCs w:val="28"/>
        </w:rPr>
        <w:t>населением города, услуг, на получение которых есть спрос, превышающий возможности муниципальных учреждений, для их передачи на исполнение немуниципальным учреждениям, и перечень потенциальных поставщиков таких услуг. Для информационной поддержки поставщиков социальны</w:t>
      </w:r>
      <w:r>
        <w:rPr>
          <w:rFonts w:cs="Verdana"/>
          <w:color w:val="000000"/>
          <w:sz w:val="28"/>
          <w:szCs w:val="28"/>
        </w:rPr>
        <w:t>х услуг на официальном портале  а</w:t>
      </w:r>
      <w:r w:rsidRPr="000F71A9">
        <w:rPr>
          <w:rFonts w:cs="Verdana"/>
          <w:color w:val="000000"/>
          <w:sz w:val="28"/>
          <w:szCs w:val="28"/>
        </w:rPr>
        <w:t xml:space="preserve">дминистрации города создан специальный раздел. </w:t>
      </w:r>
    </w:p>
    <w:p w:rsidR="00413116" w:rsidRPr="000F71A9" w:rsidRDefault="00413116" w:rsidP="00E37941">
      <w:pPr>
        <w:autoSpaceDE w:val="0"/>
        <w:autoSpaceDN w:val="0"/>
        <w:adjustRightInd w:val="0"/>
        <w:spacing w:line="360" w:lineRule="auto"/>
        <w:ind w:firstLine="539"/>
        <w:jc w:val="both"/>
        <w:rPr>
          <w:sz w:val="28"/>
          <w:szCs w:val="28"/>
        </w:rPr>
      </w:pPr>
      <w:r w:rsidRPr="000F71A9">
        <w:rPr>
          <w:sz w:val="28"/>
          <w:szCs w:val="28"/>
        </w:rPr>
        <w:lastRenderedPageBreak/>
        <w:t>Начиная с 201</w:t>
      </w:r>
      <w:r>
        <w:rPr>
          <w:sz w:val="28"/>
          <w:szCs w:val="28"/>
        </w:rPr>
        <w:t>8</w:t>
      </w:r>
      <w:r w:rsidRPr="000F71A9">
        <w:rPr>
          <w:sz w:val="28"/>
          <w:szCs w:val="28"/>
        </w:rPr>
        <w:t xml:space="preserve"> года, в соответствии с утвержденной «дорожной карт</w:t>
      </w:r>
      <w:r>
        <w:rPr>
          <w:sz w:val="28"/>
          <w:szCs w:val="28"/>
        </w:rPr>
        <w:t>ой</w:t>
      </w:r>
      <w:r w:rsidRPr="000F71A9">
        <w:rPr>
          <w:sz w:val="28"/>
          <w:szCs w:val="28"/>
        </w:rPr>
        <w:t>» планируется переход на персонифицированное финансирование дополнительного образования детей путем предоставления именных сертификатов для детей на получение гарантированных бесплатных услуг дополнительного образования, позволяющих детям самостоятельно формировать спрос на дополнительное образование, тем самым стимулируя конкуренцию между муниципальными и немуниципальными организациями за получение средств из бюджета города.</w:t>
      </w:r>
    </w:p>
    <w:p w:rsidR="00413116" w:rsidRPr="000F71A9" w:rsidRDefault="00413116" w:rsidP="00E37941">
      <w:pPr>
        <w:tabs>
          <w:tab w:val="left" w:pos="720"/>
        </w:tabs>
        <w:spacing w:line="360" w:lineRule="auto"/>
        <w:ind w:firstLine="539"/>
        <w:jc w:val="both"/>
        <w:rPr>
          <w:sz w:val="28"/>
          <w:szCs w:val="28"/>
        </w:rPr>
      </w:pPr>
      <w:r w:rsidRPr="000F71A9">
        <w:rPr>
          <w:sz w:val="28"/>
          <w:szCs w:val="28"/>
        </w:rPr>
        <w:t>В предстоящем бюджетном цикле следует расширить сферу внедрения персонифицированного финансирования дополнительного образования детей в городе, включив в нее учреждения культуры и увеличив количество участвующих в ней немуниципальных организаций.</w:t>
      </w:r>
    </w:p>
    <w:p w:rsidR="00413116" w:rsidRPr="000F71A9" w:rsidRDefault="00413116" w:rsidP="00E37941">
      <w:pPr>
        <w:autoSpaceDE w:val="0"/>
        <w:autoSpaceDN w:val="0"/>
        <w:adjustRightInd w:val="0"/>
        <w:spacing w:line="360" w:lineRule="auto"/>
        <w:ind w:firstLine="539"/>
        <w:jc w:val="both"/>
        <w:rPr>
          <w:sz w:val="28"/>
          <w:szCs w:val="28"/>
        </w:rPr>
      </w:pPr>
      <w:r w:rsidRPr="000F71A9">
        <w:rPr>
          <w:sz w:val="28"/>
          <w:szCs w:val="28"/>
        </w:rPr>
        <w:t xml:space="preserve">Для сохранения доступности и качества услуг на фоне демографического роста особое внимание необходимо уделить взаимодействию с автономным округом и потенциальными инвесторами по развитию городской инфраструктуры, в частности, созданию новых современных зданий общеобразовательных </w:t>
      </w:r>
      <w:r w:rsidRPr="000F71A9">
        <w:rPr>
          <w:sz w:val="28"/>
          <w:szCs w:val="28"/>
        </w:rPr>
        <w:lastRenderedPageBreak/>
        <w:t xml:space="preserve">учреждений, строительству детских садов и прочих социальных и досуговых объектов.  </w:t>
      </w:r>
    </w:p>
    <w:p w:rsidR="00413116" w:rsidRPr="000F71A9" w:rsidRDefault="00413116" w:rsidP="00E37941">
      <w:pPr>
        <w:autoSpaceDE w:val="0"/>
        <w:autoSpaceDN w:val="0"/>
        <w:adjustRightInd w:val="0"/>
        <w:spacing w:line="360" w:lineRule="auto"/>
        <w:ind w:firstLine="539"/>
        <w:jc w:val="both"/>
        <w:rPr>
          <w:sz w:val="28"/>
          <w:szCs w:val="28"/>
        </w:rPr>
      </w:pPr>
      <w:r w:rsidRPr="000F71A9">
        <w:rPr>
          <w:sz w:val="28"/>
          <w:szCs w:val="28"/>
        </w:rPr>
        <w:t xml:space="preserve">Вторым, не менее значимым направлением деятельности по созданию благоприятных условий для роста экономической активности в муниципальном образовании в планируемом периоде является улучшение инвестиционного климата. </w:t>
      </w:r>
    </w:p>
    <w:p w:rsidR="00413116" w:rsidRPr="007E4603" w:rsidRDefault="00413116" w:rsidP="00663B49">
      <w:pPr>
        <w:spacing w:line="360" w:lineRule="auto"/>
        <w:ind w:firstLine="709"/>
        <w:jc w:val="both"/>
        <w:rPr>
          <w:sz w:val="28"/>
          <w:szCs w:val="28"/>
        </w:rPr>
      </w:pPr>
      <w:r w:rsidRPr="007E4603">
        <w:rPr>
          <w:sz w:val="28"/>
          <w:szCs w:val="28"/>
        </w:rPr>
        <w:t xml:space="preserve">Инвестиционная привлекательность муниципального образования является одним из определяющих условий социально-экономического развития муниципалитета. </w:t>
      </w:r>
    </w:p>
    <w:p w:rsidR="00413116" w:rsidRPr="007E4603" w:rsidRDefault="00413116" w:rsidP="00663B49">
      <w:pPr>
        <w:spacing w:line="360" w:lineRule="auto"/>
        <w:ind w:firstLine="708"/>
        <w:jc w:val="both"/>
        <w:rPr>
          <w:sz w:val="28"/>
          <w:szCs w:val="28"/>
        </w:rPr>
      </w:pPr>
      <w:r w:rsidRPr="007E4603">
        <w:rPr>
          <w:sz w:val="28"/>
          <w:szCs w:val="28"/>
        </w:rPr>
        <w:t xml:space="preserve">В целях создания условий для обеспечения благоприятного инвестиционного климата планом создания объектов инвестиционной инфраструктуры на территории города предусматривается строительство объектов образования, спорта, ремонт и строительство автомобильных дорог, </w:t>
      </w:r>
      <w:r w:rsidRPr="00A30D45">
        <w:rPr>
          <w:sz w:val="28"/>
          <w:szCs w:val="28"/>
        </w:rPr>
        <w:t>строительство объектов электросетевого хозяйства и коммунальной инфраструктуры на период до 2020 года. Для информирования более широкого</w:t>
      </w:r>
      <w:r>
        <w:rPr>
          <w:sz w:val="28"/>
          <w:szCs w:val="28"/>
        </w:rPr>
        <w:t xml:space="preserve"> круга потенциальных инвесторов актуальная информация о планируемых к созданию объектах размещается на Интерактивной карте Югры.</w:t>
      </w:r>
    </w:p>
    <w:p w:rsidR="00413116" w:rsidRPr="007E4603" w:rsidRDefault="00413116" w:rsidP="00663B49">
      <w:pPr>
        <w:spacing w:line="360" w:lineRule="auto"/>
        <w:ind w:firstLine="540"/>
        <w:jc w:val="both"/>
        <w:rPr>
          <w:sz w:val="28"/>
          <w:szCs w:val="28"/>
        </w:rPr>
      </w:pPr>
      <w:r w:rsidRPr="007E4603">
        <w:rPr>
          <w:sz w:val="28"/>
          <w:szCs w:val="28"/>
        </w:rPr>
        <w:t>Для стимулирования инвестиционной и предпринимательской активности на террито</w:t>
      </w:r>
      <w:r w:rsidRPr="007E4603">
        <w:rPr>
          <w:sz w:val="28"/>
          <w:szCs w:val="28"/>
        </w:rPr>
        <w:lastRenderedPageBreak/>
        <w:t>рии города Пыть-Яха ведется работа по внедрению успешных практик, включенных в атлас муниципальных практик, разработанный АНО «Агентство стратегических инициатив», направленных на развитие и поддержку малого и среднего предпринимательства на муниципальном уровне.</w:t>
      </w:r>
    </w:p>
    <w:p w:rsidR="00413116" w:rsidRPr="007E4603" w:rsidRDefault="00413116" w:rsidP="00921536">
      <w:pPr>
        <w:spacing w:line="360" w:lineRule="auto"/>
        <w:ind w:firstLine="540"/>
        <w:jc w:val="both"/>
        <w:rPr>
          <w:sz w:val="28"/>
          <w:szCs w:val="28"/>
        </w:rPr>
      </w:pPr>
      <w:r w:rsidRPr="007E4603">
        <w:rPr>
          <w:sz w:val="28"/>
          <w:szCs w:val="28"/>
        </w:rPr>
        <w:t>При внедрении практик для более эффективной их реализации используются методы проектного управления, как на местном, так и на окружном</w:t>
      </w:r>
      <w:r w:rsidRPr="00895C68">
        <w:rPr>
          <w:sz w:val="28"/>
          <w:szCs w:val="28"/>
        </w:rPr>
        <w:t xml:space="preserve"> </w:t>
      </w:r>
      <w:r w:rsidRPr="007E4603">
        <w:rPr>
          <w:sz w:val="28"/>
          <w:szCs w:val="28"/>
        </w:rPr>
        <w:t>уровне.</w:t>
      </w:r>
      <w:r>
        <w:rPr>
          <w:sz w:val="28"/>
          <w:szCs w:val="28"/>
        </w:rPr>
        <w:t xml:space="preserve"> </w:t>
      </w:r>
    </w:p>
    <w:p w:rsidR="00413116" w:rsidRDefault="00413116" w:rsidP="00663B49">
      <w:pPr>
        <w:spacing w:line="360" w:lineRule="auto"/>
        <w:ind w:firstLine="709"/>
        <w:jc w:val="both"/>
        <w:rPr>
          <w:sz w:val="28"/>
          <w:szCs w:val="28"/>
        </w:rPr>
      </w:pPr>
      <w:r w:rsidRPr="007E4603">
        <w:rPr>
          <w:sz w:val="28"/>
          <w:szCs w:val="28"/>
        </w:rPr>
        <w:t xml:space="preserve">Муниципальное образование в рамках реализации инвестиционной политики предлагает взаимное сотрудничество с инвесторами в рамках сопровождения инвестиционных проектов </w:t>
      </w:r>
      <w:r>
        <w:rPr>
          <w:sz w:val="28"/>
          <w:szCs w:val="28"/>
        </w:rPr>
        <w:t>по принципу</w:t>
      </w:r>
      <w:r w:rsidRPr="007E4603">
        <w:rPr>
          <w:sz w:val="28"/>
          <w:szCs w:val="28"/>
        </w:rPr>
        <w:t xml:space="preserve"> </w:t>
      </w:r>
      <w:r>
        <w:rPr>
          <w:sz w:val="28"/>
          <w:szCs w:val="28"/>
        </w:rPr>
        <w:t>«</w:t>
      </w:r>
      <w:r w:rsidRPr="007E4603">
        <w:rPr>
          <w:sz w:val="28"/>
          <w:szCs w:val="28"/>
        </w:rPr>
        <w:t>одного окна</w:t>
      </w:r>
      <w:r>
        <w:rPr>
          <w:sz w:val="28"/>
          <w:szCs w:val="28"/>
        </w:rPr>
        <w:t>»</w:t>
      </w:r>
      <w:r w:rsidRPr="007E4603">
        <w:rPr>
          <w:sz w:val="28"/>
          <w:szCs w:val="28"/>
        </w:rPr>
        <w:t>.</w:t>
      </w:r>
    </w:p>
    <w:p w:rsidR="00413116" w:rsidRDefault="00413116" w:rsidP="00663B49">
      <w:pPr>
        <w:spacing w:line="360" w:lineRule="auto"/>
        <w:ind w:firstLine="709"/>
        <w:jc w:val="both"/>
        <w:rPr>
          <w:sz w:val="28"/>
          <w:szCs w:val="28"/>
        </w:rPr>
      </w:pPr>
      <w:r>
        <w:rPr>
          <w:sz w:val="28"/>
          <w:szCs w:val="28"/>
        </w:rPr>
        <w:t>В планируемом периоде продолжится дальнейшая поддержка инвестиционных проектов, имеющих важное значение для экономики города, реализация которых в ближайшей перспективе принесет как социальный, так и экономический эффект.</w:t>
      </w:r>
    </w:p>
    <w:p w:rsidR="00413116" w:rsidRPr="007E4603" w:rsidRDefault="00413116" w:rsidP="00663B49">
      <w:pPr>
        <w:spacing w:line="360" w:lineRule="auto"/>
        <w:ind w:firstLine="709"/>
        <w:jc w:val="both"/>
        <w:rPr>
          <w:sz w:val="28"/>
          <w:szCs w:val="28"/>
        </w:rPr>
      </w:pPr>
      <w:r>
        <w:rPr>
          <w:sz w:val="28"/>
          <w:szCs w:val="28"/>
        </w:rPr>
        <w:t>Будет продолжена работа по формированию системы управления земельно-имущественным комплексом, соответствующим инвестиционным приоритетам муниципального образования.</w:t>
      </w:r>
    </w:p>
    <w:p w:rsidR="00413116" w:rsidRDefault="00413116" w:rsidP="00663B49">
      <w:pPr>
        <w:spacing w:line="360" w:lineRule="auto"/>
        <w:ind w:firstLine="709"/>
        <w:jc w:val="both"/>
        <w:rPr>
          <w:sz w:val="28"/>
          <w:szCs w:val="28"/>
        </w:rPr>
      </w:pPr>
      <w:r w:rsidRPr="00D1508C">
        <w:rPr>
          <w:sz w:val="28"/>
          <w:szCs w:val="28"/>
        </w:rPr>
        <w:lastRenderedPageBreak/>
        <w:t xml:space="preserve">Также одним из перспективных направлений привлечения </w:t>
      </w:r>
      <w:r>
        <w:rPr>
          <w:sz w:val="28"/>
          <w:szCs w:val="28"/>
        </w:rPr>
        <w:t xml:space="preserve">долгосрочных </w:t>
      </w:r>
      <w:r w:rsidRPr="00D1508C">
        <w:rPr>
          <w:sz w:val="28"/>
          <w:szCs w:val="28"/>
        </w:rPr>
        <w:t xml:space="preserve">внебюджетных инвестиций является развитие института муниципально-частного партнерства, заключение концессионных соглашений. </w:t>
      </w:r>
      <w:r>
        <w:rPr>
          <w:sz w:val="28"/>
          <w:szCs w:val="28"/>
        </w:rPr>
        <w:t xml:space="preserve">администрацией города разработана нормативно-правовая база в данной сфере, определен порядок формирования перечня объектов, </w:t>
      </w:r>
      <w:r w:rsidRPr="002736E6">
        <w:rPr>
          <w:sz w:val="28"/>
          <w:szCs w:val="28"/>
        </w:rPr>
        <w:t>в отношении которых планируется заключение концессионных соглашений</w:t>
      </w:r>
      <w:r>
        <w:rPr>
          <w:sz w:val="28"/>
          <w:szCs w:val="28"/>
        </w:rPr>
        <w:t>.</w:t>
      </w:r>
    </w:p>
    <w:p w:rsidR="00413116" w:rsidRDefault="00413116" w:rsidP="00663B49">
      <w:pPr>
        <w:spacing w:line="360" w:lineRule="auto"/>
        <w:ind w:firstLine="709"/>
        <w:jc w:val="both"/>
        <w:rPr>
          <w:sz w:val="28"/>
          <w:szCs w:val="28"/>
        </w:rPr>
      </w:pPr>
      <w:r>
        <w:rPr>
          <w:sz w:val="28"/>
          <w:szCs w:val="28"/>
        </w:rPr>
        <w:t>Формированию положительного инвестиционного имиджа территории способствует разработанный инвестиционный паспорт города, размещенный как на сайте органов местного самоуправления, так и на Инвестиционном портале Югры. Помимо этого, проводится работа по информированию субъектов инвестиционной и предпринимательской деятельности, посредством размещения необходимой информации на официальном сайте города в разделе «Инвестиционная деятельность».</w:t>
      </w:r>
    </w:p>
    <w:p w:rsidR="00413116" w:rsidRPr="00D1508C" w:rsidRDefault="00413116" w:rsidP="00663B49">
      <w:pPr>
        <w:spacing w:line="360" w:lineRule="auto"/>
        <w:ind w:firstLine="709"/>
        <w:jc w:val="both"/>
        <w:rPr>
          <w:sz w:val="28"/>
          <w:szCs w:val="28"/>
        </w:rPr>
      </w:pPr>
      <w:r>
        <w:rPr>
          <w:sz w:val="28"/>
          <w:szCs w:val="28"/>
        </w:rPr>
        <w:t xml:space="preserve">В целях организации наиболее информативного взаимодействия с инвесторами и предпринимателями города, планируется организовать инвестиционный портал города Пыть-Яха, где будет размещена необходимая информация об инвестиционных площадках, плане </w:t>
      </w:r>
      <w:r>
        <w:rPr>
          <w:sz w:val="28"/>
          <w:szCs w:val="28"/>
        </w:rPr>
        <w:lastRenderedPageBreak/>
        <w:t>создания объектов инвестиционной инфраструктуры, нормативно-правовая база, об услугах, предоставляемых индивидуальным предпринимателям и юридическим лицам.</w:t>
      </w:r>
    </w:p>
    <w:p w:rsidR="00413116" w:rsidRPr="002736E6" w:rsidRDefault="00413116" w:rsidP="00663B49">
      <w:pPr>
        <w:spacing w:line="360" w:lineRule="auto"/>
        <w:ind w:firstLine="709"/>
        <w:jc w:val="both"/>
        <w:rPr>
          <w:sz w:val="28"/>
          <w:szCs w:val="28"/>
        </w:rPr>
      </w:pPr>
      <w:r w:rsidRPr="002736E6">
        <w:rPr>
          <w:sz w:val="28"/>
          <w:szCs w:val="28"/>
        </w:rPr>
        <w:t>На территории города значительный объем инвестиций привлекается</w:t>
      </w:r>
      <w:r>
        <w:rPr>
          <w:sz w:val="28"/>
          <w:szCs w:val="28"/>
        </w:rPr>
        <w:t xml:space="preserve"> и планируется к привлечению</w:t>
      </w:r>
      <w:r w:rsidRPr="002736E6">
        <w:rPr>
          <w:sz w:val="28"/>
          <w:szCs w:val="28"/>
        </w:rPr>
        <w:t xml:space="preserve"> в жилищное строительство. Продолжаются работы по строительству многоквартирных жилых домов. </w:t>
      </w:r>
    </w:p>
    <w:p w:rsidR="00413116" w:rsidRPr="002736E6" w:rsidRDefault="00413116" w:rsidP="00663B49">
      <w:pPr>
        <w:spacing w:line="360" w:lineRule="auto"/>
        <w:ind w:firstLine="709"/>
        <w:jc w:val="both"/>
        <w:rPr>
          <w:sz w:val="28"/>
          <w:szCs w:val="28"/>
        </w:rPr>
      </w:pPr>
      <w:r w:rsidRPr="002736E6">
        <w:rPr>
          <w:sz w:val="28"/>
          <w:szCs w:val="28"/>
        </w:rPr>
        <w:t xml:space="preserve">Администрацией города будет продолжена работа по улучшению инвестиционного климата, создание благоприятных условий для ведения предпринимательской и инвестиционной деятельности. </w:t>
      </w:r>
      <w:r>
        <w:rPr>
          <w:sz w:val="28"/>
          <w:szCs w:val="28"/>
        </w:rPr>
        <w:t>Также в планируемом периоде необходимо продолжить поддержку малого и среднего предпринимательства, в том числе посредством предоставления консультационно-информационной, образовательной, финансовой и имущественной поддержки.</w:t>
      </w:r>
      <w:r w:rsidRPr="002736E6">
        <w:rPr>
          <w:sz w:val="28"/>
          <w:szCs w:val="28"/>
        </w:rPr>
        <w:t xml:space="preserve"> </w:t>
      </w:r>
    </w:p>
    <w:p w:rsidR="00413116" w:rsidRPr="00663B49" w:rsidRDefault="00413116" w:rsidP="00E37941">
      <w:pPr>
        <w:pBdr>
          <w:top w:val="single" w:sz="4" w:space="0" w:color="FFFFFF"/>
          <w:left w:val="single" w:sz="4" w:space="0" w:color="FFFFFF"/>
          <w:bottom w:val="single" w:sz="4" w:space="7" w:color="FFFFFF"/>
          <w:right w:val="single" w:sz="4" w:space="0" w:color="FFFFFF"/>
        </w:pBdr>
        <w:spacing w:line="360" w:lineRule="auto"/>
        <w:ind w:firstLine="539"/>
        <w:jc w:val="both"/>
        <w:rPr>
          <w:sz w:val="28"/>
          <w:szCs w:val="28"/>
        </w:rPr>
      </w:pPr>
      <w:r w:rsidRPr="00663B49">
        <w:rPr>
          <w:sz w:val="28"/>
          <w:szCs w:val="28"/>
        </w:rPr>
        <w:t xml:space="preserve">Особое внимание в среднесрочном периоде необходимо уделить формированию комфортной городской среды, отвечающей современным запросам жителей города и способствующей развитию человеческого капитала. </w:t>
      </w:r>
    </w:p>
    <w:p w:rsidR="00413116" w:rsidRPr="00663B49" w:rsidRDefault="00413116" w:rsidP="00E37941">
      <w:pPr>
        <w:pBdr>
          <w:top w:val="single" w:sz="4" w:space="0" w:color="FFFFFF"/>
          <w:left w:val="single" w:sz="4" w:space="0" w:color="FFFFFF"/>
          <w:bottom w:val="single" w:sz="4" w:space="7" w:color="FFFFFF"/>
          <w:right w:val="single" w:sz="4" w:space="0" w:color="FFFFFF"/>
        </w:pBdr>
        <w:spacing w:line="360" w:lineRule="auto"/>
        <w:ind w:firstLine="539"/>
        <w:jc w:val="both"/>
        <w:rPr>
          <w:sz w:val="28"/>
          <w:szCs w:val="28"/>
        </w:rPr>
      </w:pPr>
      <w:r w:rsidRPr="00663B49">
        <w:rPr>
          <w:sz w:val="28"/>
          <w:szCs w:val="28"/>
        </w:rPr>
        <w:t>Эта задача обозначена на всех уровнях власти и частично решается в рамках соответствующего федерального приоритетного наци</w:t>
      </w:r>
      <w:r w:rsidRPr="00663B49">
        <w:rPr>
          <w:sz w:val="28"/>
          <w:szCs w:val="28"/>
        </w:rPr>
        <w:lastRenderedPageBreak/>
        <w:t xml:space="preserve">онального проекта. В этом направлении планируется продолжить обустройство парков, скверов, благоустройство дворовых территорий многоквартирных домов, в том числе с привлечением софинансирования жителей. </w:t>
      </w:r>
    </w:p>
    <w:p w:rsidR="00413116" w:rsidRPr="00663B49" w:rsidRDefault="00413116" w:rsidP="005F752D">
      <w:pPr>
        <w:pBdr>
          <w:top w:val="single" w:sz="4" w:space="0" w:color="FFFFFF"/>
          <w:left w:val="single" w:sz="4" w:space="0" w:color="FFFFFF"/>
          <w:bottom w:val="single" w:sz="4" w:space="7" w:color="FFFFFF"/>
          <w:right w:val="single" w:sz="4" w:space="0" w:color="FFFFFF"/>
        </w:pBdr>
        <w:spacing w:line="360" w:lineRule="auto"/>
        <w:ind w:firstLine="539"/>
        <w:jc w:val="both"/>
        <w:rPr>
          <w:sz w:val="28"/>
          <w:szCs w:val="28"/>
        </w:rPr>
      </w:pPr>
      <w:r w:rsidRPr="00663B49">
        <w:rPr>
          <w:sz w:val="28"/>
          <w:szCs w:val="28"/>
        </w:rPr>
        <w:t>По-прежнему актуальна в среднесрочной перспективе задача совершенствования системы документов стратегического планирования.</w:t>
      </w:r>
      <w:r w:rsidRPr="00663B49">
        <w:rPr>
          <w:b/>
          <w:sz w:val="28"/>
          <w:szCs w:val="28"/>
        </w:rPr>
        <w:t xml:space="preserve">  </w:t>
      </w:r>
    </w:p>
    <w:p w:rsidR="00413116" w:rsidRDefault="00413116" w:rsidP="00E37941">
      <w:pPr>
        <w:pBdr>
          <w:top w:val="single" w:sz="4" w:space="0" w:color="FFFFFF"/>
          <w:left w:val="single" w:sz="4" w:space="0" w:color="FFFFFF"/>
          <w:bottom w:val="single" w:sz="4" w:space="0" w:color="FFFFFF"/>
          <w:right w:val="single" w:sz="4" w:space="0" w:color="FFFFFF"/>
        </w:pBdr>
        <w:spacing w:line="360" w:lineRule="auto"/>
        <w:ind w:firstLine="539"/>
        <w:jc w:val="both"/>
        <w:rPr>
          <w:sz w:val="28"/>
          <w:szCs w:val="28"/>
        </w:rPr>
      </w:pPr>
      <w:r w:rsidRPr="00663B49">
        <w:rPr>
          <w:sz w:val="28"/>
          <w:szCs w:val="28"/>
        </w:rPr>
        <w:t xml:space="preserve">В целях установления ориентиров для определения объема финансового обеспечения муниципальных программ и выстраивания взаимоувязанной системы документов стратегического планирования муниципалитета, начиная с составления проекта бюджета на 2019 год и плановый период 2020-2021 годов предстоит разработать долгосрочный бюджетный прогноз муниципального образования. </w:t>
      </w:r>
    </w:p>
    <w:p w:rsidR="00413116" w:rsidRPr="002C2998" w:rsidRDefault="00413116" w:rsidP="00252FB8">
      <w:pPr>
        <w:pBdr>
          <w:top w:val="single" w:sz="4" w:space="0" w:color="FFFFFF"/>
          <w:left w:val="single" w:sz="4" w:space="0" w:color="FFFFFF"/>
          <w:bottom w:val="single" w:sz="4" w:space="7" w:color="FFFFFF"/>
          <w:right w:val="single" w:sz="4" w:space="0" w:color="FFFFFF"/>
        </w:pBdr>
        <w:spacing w:line="360" w:lineRule="auto"/>
        <w:ind w:firstLine="567"/>
        <w:jc w:val="both"/>
        <w:rPr>
          <w:sz w:val="28"/>
          <w:szCs w:val="28"/>
        </w:rPr>
      </w:pPr>
      <w:r w:rsidRPr="002C2998">
        <w:rPr>
          <w:sz w:val="28"/>
          <w:szCs w:val="28"/>
        </w:rPr>
        <w:t xml:space="preserve">Кроме того, в составе данных проектов будет отражена муниципальная составляющая по достижению показателей портфелей региональных проектов, направленных на достижение национальных стратегических целей.  </w:t>
      </w:r>
    </w:p>
    <w:p w:rsidR="00413116" w:rsidRPr="002C2998" w:rsidRDefault="00413116" w:rsidP="00252FB8">
      <w:pPr>
        <w:pBdr>
          <w:top w:val="single" w:sz="4" w:space="0" w:color="FFFFFF"/>
          <w:left w:val="single" w:sz="4" w:space="0" w:color="FFFFFF"/>
          <w:bottom w:val="single" w:sz="4" w:space="7" w:color="FFFFFF"/>
          <w:right w:val="single" w:sz="4" w:space="0" w:color="FFFFFF"/>
        </w:pBdr>
        <w:spacing w:line="360" w:lineRule="auto"/>
        <w:ind w:firstLine="567"/>
        <w:jc w:val="both"/>
        <w:rPr>
          <w:sz w:val="28"/>
          <w:szCs w:val="28"/>
        </w:rPr>
      </w:pPr>
      <w:r w:rsidRPr="002C2998">
        <w:rPr>
          <w:sz w:val="28"/>
          <w:szCs w:val="28"/>
        </w:rPr>
        <w:t>Формат муниципальных программ к проекту бюджета будет несколько видоизменен, поскольку в рамках решения задачи по интеграции в муниципальные программы портфе</w:t>
      </w:r>
      <w:r w:rsidRPr="002C2998">
        <w:rPr>
          <w:sz w:val="28"/>
          <w:szCs w:val="28"/>
        </w:rPr>
        <w:lastRenderedPageBreak/>
        <w:t xml:space="preserve">лей региональных проектов на уровне муниципального образования городской округ город </w:t>
      </w:r>
      <w:r>
        <w:rPr>
          <w:sz w:val="28"/>
          <w:szCs w:val="28"/>
        </w:rPr>
        <w:t>Пыть-Ях</w:t>
      </w:r>
      <w:r w:rsidRPr="002C2998">
        <w:rPr>
          <w:sz w:val="28"/>
          <w:szCs w:val="28"/>
        </w:rPr>
        <w:t xml:space="preserve"> по аналогии с автономным округом разработана модельная муниципальная программа.</w:t>
      </w:r>
    </w:p>
    <w:p w:rsidR="00413116" w:rsidRPr="00663B49" w:rsidRDefault="00413116" w:rsidP="00E37941">
      <w:pPr>
        <w:pBdr>
          <w:top w:val="single" w:sz="4" w:space="0" w:color="FFFFFF"/>
          <w:left w:val="single" w:sz="4" w:space="0" w:color="FFFFFF"/>
          <w:bottom w:val="single" w:sz="4" w:space="0" w:color="FFFFFF"/>
          <w:right w:val="single" w:sz="4" w:space="0" w:color="FFFFFF"/>
        </w:pBdr>
        <w:spacing w:line="360" w:lineRule="auto"/>
        <w:ind w:firstLine="539"/>
        <w:jc w:val="both"/>
        <w:rPr>
          <w:sz w:val="28"/>
          <w:szCs w:val="28"/>
        </w:rPr>
      </w:pPr>
      <w:r w:rsidRPr="00663B49">
        <w:rPr>
          <w:sz w:val="28"/>
          <w:szCs w:val="28"/>
        </w:rPr>
        <w:t xml:space="preserve">В течение следующего бюджетного цикла необходимо продолжить последовательную работу по повышению открытости деятельности органов местного самоуправления и вовлечению в процесс управления городом граждан. </w:t>
      </w:r>
    </w:p>
    <w:p w:rsidR="00413116" w:rsidRPr="00663B49" w:rsidRDefault="00413116" w:rsidP="00E37941">
      <w:pPr>
        <w:pBdr>
          <w:top w:val="single" w:sz="4" w:space="0" w:color="FFFFFF"/>
          <w:left w:val="single" w:sz="4" w:space="0" w:color="FFFFFF"/>
          <w:bottom w:val="single" w:sz="4" w:space="0" w:color="FFFFFF"/>
          <w:right w:val="single" w:sz="4" w:space="0" w:color="FFFFFF"/>
        </w:pBdr>
        <w:spacing w:line="360" w:lineRule="auto"/>
        <w:ind w:firstLine="539"/>
        <w:jc w:val="both"/>
        <w:rPr>
          <w:sz w:val="28"/>
          <w:szCs w:val="28"/>
        </w:rPr>
      </w:pPr>
      <w:r w:rsidRPr="00663B49">
        <w:rPr>
          <w:sz w:val="28"/>
          <w:szCs w:val="28"/>
        </w:rPr>
        <w:t>На территории города, на регулярной основе проводится комплекс мероприятий, направленных на повышение финансовой грамотности населения, функционирует информационный портал «Бюджет для граждан».</w:t>
      </w:r>
    </w:p>
    <w:p w:rsidR="00413116" w:rsidRPr="000D42A2" w:rsidRDefault="00413116" w:rsidP="00E37941">
      <w:pPr>
        <w:pBdr>
          <w:top w:val="single" w:sz="4" w:space="0" w:color="FFFFFF"/>
          <w:left w:val="single" w:sz="4" w:space="0" w:color="FFFFFF"/>
          <w:bottom w:val="single" w:sz="4" w:space="0" w:color="FFFFFF"/>
          <w:right w:val="single" w:sz="4" w:space="0" w:color="FFFFFF"/>
        </w:pBdr>
        <w:spacing w:line="360" w:lineRule="auto"/>
        <w:ind w:firstLine="539"/>
        <w:jc w:val="both"/>
        <w:rPr>
          <w:sz w:val="28"/>
          <w:szCs w:val="28"/>
        </w:rPr>
      </w:pPr>
      <w:r w:rsidRPr="000D42A2">
        <w:rPr>
          <w:sz w:val="28"/>
          <w:szCs w:val="28"/>
        </w:rPr>
        <w:t>В 2017 году начата реализация проекта инициативного бюджетирования. Постановлением администрации города утверждено Положение о проведении конкурсного отбора проектов инициативного бюджетирования «Твоя инициатива – Твой бюджет». Конкурсный отбор проектов инициативного бюджетирования «Твоя инициатива – Твой бюджет» направлен на определение и реализацию социально значимых проектов на территории города с привлечением граждан и организаций к деятельности органов местного самоуправления в решении вопросов местного значения.</w:t>
      </w:r>
    </w:p>
    <w:p w:rsidR="00413116" w:rsidRPr="000D42A2" w:rsidRDefault="00413116" w:rsidP="00E37941">
      <w:pPr>
        <w:pBdr>
          <w:top w:val="single" w:sz="4" w:space="0" w:color="FFFFFF"/>
          <w:left w:val="single" w:sz="4" w:space="0" w:color="FFFFFF"/>
          <w:bottom w:val="single" w:sz="4" w:space="0" w:color="FFFFFF"/>
          <w:right w:val="single" w:sz="4" w:space="0" w:color="FFFFFF"/>
        </w:pBdr>
        <w:spacing w:line="360" w:lineRule="auto"/>
        <w:ind w:firstLine="539"/>
        <w:jc w:val="both"/>
        <w:rPr>
          <w:sz w:val="28"/>
          <w:szCs w:val="28"/>
        </w:rPr>
      </w:pPr>
      <w:r w:rsidRPr="000D42A2">
        <w:rPr>
          <w:sz w:val="28"/>
          <w:szCs w:val="28"/>
        </w:rPr>
        <w:lastRenderedPageBreak/>
        <w:t>Развитие деятельности по внедрению инструментов учета мнений и предложений граждан во всех сферах станет приоритетом бюджетной политики на 201</w:t>
      </w:r>
      <w:r>
        <w:rPr>
          <w:sz w:val="28"/>
          <w:szCs w:val="28"/>
        </w:rPr>
        <w:t>9</w:t>
      </w:r>
      <w:r w:rsidRPr="000D42A2">
        <w:rPr>
          <w:sz w:val="28"/>
          <w:szCs w:val="28"/>
        </w:rPr>
        <w:t xml:space="preserve"> – 202</w:t>
      </w:r>
      <w:r>
        <w:rPr>
          <w:sz w:val="28"/>
          <w:szCs w:val="28"/>
        </w:rPr>
        <w:t>1</w:t>
      </w:r>
      <w:r w:rsidRPr="000D42A2">
        <w:rPr>
          <w:sz w:val="28"/>
          <w:szCs w:val="28"/>
        </w:rPr>
        <w:t xml:space="preserve"> годы, однако реализация поставленной задачи должна осуществляется комплексно. Для этого следует консолидировать используемые органами местного самоуправления механизмы и элементы инициативного бюджетирования в единую систему.</w:t>
      </w:r>
    </w:p>
    <w:p w:rsidR="00413116" w:rsidRPr="000D42A2" w:rsidRDefault="00413116" w:rsidP="00E37941">
      <w:pPr>
        <w:pBdr>
          <w:top w:val="single" w:sz="4" w:space="0" w:color="FFFFFF"/>
          <w:left w:val="single" w:sz="4" w:space="0" w:color="FFFFFF"/>
          <w:bottom w:val="single" w:sz="4" w:space="0" w:color="FFFFFF"/>
          <w:right w:val="single" w:sz="4" w:space="0" w:color="FFFFFF"/>
        </w:pBdr>
        <w:spacing w:line="360" w:lineRule="auto"/>
        <w:ind w:firstLine="539"/>
        <w:jc w:val="both"/>
        <w:rPr>
          <w:sz w:val="28"/>
          <w:szCs w:val="28"/>
        </w:rPr>
      </w:pPr>
      <w:r w:rsidRPr="000D42A2">
        <w:rPr>
          <w:sz w:val="28"/>
          <w:szCs w:val="28"/>
        </w:rPr>
        <w:t xml:space="preserve">На фоне таких масштабных задач в планируемом периоде не следует забывать о соблюдении и совершенствовании бюджетных процедур. </w:t>
      </w:r>
    </w:p>
    <w:p w:rsidR="00413116" w:rsidRPr="000D42A2" w:rsidRDefault="00413116" w:rsidP="00E37941">
      <w:pPr>
        <w:pBdr>
          <w:top w:val="single" w:sz="4" w:space="0" w:color="FFFFFF"/>
          <w:left w:val="single" w:sz="4" w:space="0" w:color="FFFFFF"/>
          <w:bottom w:val="single" w:sz="4" w:space="0" w:color="FFFFFF"/>
          <w:right w:val="single" w:sz="4" w:space="0" w:color="FFFFFF"/>
        </w:pBdr>
        <w:spacing w:line="360" w:lineRule="auto"/>
        <w:ind w:firstLine="539"/>
        <w:jc w:val="both"/>
        <w:rPr>
          <w:sz w:val="28"/>
          <w:szCs w:val="28"/>
        </w:rPr>
      </w:pPr>
      <w:r w:rsidRPr="000D42A2">
        <w:rPr>
          <w:sz w:val="28"/>
          <w:szCs w:val="28"/>
        </w:rPr>
        <w:t>В настоящее время на уровне муниципального образования завершена интеграция закупочного и бюджетного процессов, функционирует информационная система, в автоматическом режиме реализован механизм финансового контроля в сфере закупок.</w:t>
      </w:r>
    </w:p>
    <w:p w:rsidR="00413116" w:rsidRPr="00687A55" w:rsidRDefault="00413116" w:rsidP="00E37941">
      <w:pPr>
        <w:pBdr>
          <w:top w:val="single" w:sz="4" w:space="0" w:color="FFFFFF"/>
          <w:left w:val="single" w:sz="4" w:space="0" w:color="FFFFFF"/>
          <w:bottom w:val="single" w:sz="4" w:space="0" w:color="FFFFFF"/>
          <w:right w:val="single" w:sz="4" w:space="0" w:color="FFFFFF"/>
        </w:pBdr>
        <w:spacing w:line="360" w:lineRule="auto"/>
        <w:ind w:firstLine="539"/>
        <w:jc w:val="both"/>
        <w:rPr>
          <w:sz w:val="28"/>
          <w:szCs w:val="28"/>
        </w:rPr>
      </w:pPr>
      <w:r w:rsidRPr="00687A55">
        <w:rPr>
          <w:sz w:val="28"/>
          <w:szCs w:val="28"/>
        </w:rPr>
        <w:t>Дальнейшее развитие контрактной системы планируется по следующим направлениям:</w:t>
      </w:r>
    </w:p>
    <w:p w:rsidR="00413116" w:rsidRPr="00687A55" w:rsidRDefault="00413116" w:rsidP="00E37941">
      <w:pPr>
        <w:spacing w:line="360" w:lineRule="auto"/>
        <w:ind w:firstLine="539"/>
        <w:jc w:val="both"/>
        <w:rPr>
          <w:sz w:val="28"/>
          <w:szCs w:val="28"/>
        </w:rPr>
      </w:pPr>
      <w:r>
        <w:rPr>
          <w:sz w:val="28"/>
          <w:szCs w:val="28"/>
        </w:rPr>
        <w:t>-</w:t>
      </w:r>
      <w:r w:rsidRPr="00687A55">
        <w:rPr>
          <w:sz w:val="28"/>
          <w:szCs w:val="28"/>
        </w:rPr>
        <w:t xml:space="preserve">практики проведения совместных процедур определения поставщиков на территории города в целях консолидации закупок продукции, приобретаемой всеми заказчиками из года в год, и, как следствие, обеспечение достижения </w:t>
      </w:r>
      <w:r w:rsidRPr="00687A55">
        <w:rPr>
          <w:sz w:val="28"/>
          <w:szCs w:val="28"/>
        </w:rPr>
        <w:lastRenderedPageBreak/>
        <w:t>максимального экономического эффекта от их осуществления;</w:t>
      </w:r>
    </w:p>
    <w:p w:rsidR="00413116" w:rsidRPr="00687A55" w:rsidRDefault="00413116" w:rsidP="00E37941">
      <w:pPr>
        <w:spacing w:line="360" w:lineRule="auto"/>
        <w:ind w:firstLine="539"/>
        <w:jc w:val="both"/>
        <w:rPr>
          <w:sz w:val="28"/>
          <w:szCs w:val="28"/>
        </w:rPr>
      </w:pPr>
      <w:r>
        <w:rPr>
          <w:sz w:val="28"/>
          <w:szCs w:val="28"/>
        </w:rPr>
        <w:t>-</w:t>
      </w:r>
      <w:r w:rsidRPr="00687A55">
        <w:rPr>
          <w:sz w:val="28"/>
          <w:szCs w:val="28"/>
        </w:rPr>
        <w:t>внедрение унифицированных описаний объектов закупок при их осуществлении для обеспечения муниципальных нужд;</w:t>
      </w:r>
    </w:p>
    <w:p w:rsidR="00413116" w:rsidRPr="00687A55" w:rsidRDefault="00413116" w:rsidP="00E37941">
      <w:pPr>
        <w:spacing w:line="360" w:lineRule="auto"/>
        <w:ind w:firstLine="539"/>
        <w:jc w:val="both"/>
        <w:rPr>
          <w:sz w:val="28"/>
          <w:szCs w:val="28"/>
        </w:rPr>
      </w:pPr>
      <w:r>
        <w:rPr>
          <w:sz w:val="28"/>
          <w:szCs w:val="28"/>
        </w:rPr>
        <w:t>-</w:t>
      </w:r>
      <w:r w:rsidRPr="00687A55">
        <w:rPr>
          <w:sz w:val="28"/>
          <w:szCs w:val="28"/>
        </w:rPr>
        <w:t>развитие института нормирования закупок, развитие информационного пространства в целях повышения прозрачности закупочных процессов.</w:t>
      </w:r>
    </w:p>
    <w:p w:rsidR="00413116" w:rsidRDefault="00413116" w:rsidP="00E37941">
      <w:pPr>
        <w:pBdr>
          <w:top w:val="single" w:sz="4" w:space="0" w:color="FFFFFF"/>
          <w:left w:val="single" w:sz="4" w:space="0" w:color="FFFFFF"/>
          <w:bottom w:val="single" w:sz="4" w:space="7" w:color="FFFFFF"/>
          <w:right w:val="single" w:sz="4" w:space="0" w:color="FFFFFF"/>
        </w:pBdr>
        <w:spacing w:line="360" w:lineRule="auto"/>
        <w:ind w:firstLine="539"/>
        <w:jc w:val="both"/>
        <w:rPr>
          <w:sz w:val="28"/>
          <w:szCs w:val="28"/>
        </w:rPr>
      </w:pPr>
      <w:r w:rsidRPr="00687A55">
        <w:rPr>
          <w:sz w:val="28"/>
          <w:szCs w:val="28"/>
        </w:rPr>
        <w:t>В целях повышения операционной эффективности бюджетных средств и снижения уровня остатков на лицевых счетах бюджетных и автономных учреждений приняты муниципальные правовые акты по предоставлению в течение года субсидий на финансовое обеспечение муниципальных заданий в пределах суммы, необходимой для оплаты денежных обязательств ее получателей.</w:t>
      </w:r>
    </w:p>
    <w:p w:rsidR="00413116" w:rsidRPr="00ED4A68" w:rsidRDefault="00413116" w:rsidP="00425A23">
      <w:pPr>
        <w:spacing w:line="360" w:lineRule="auto"/>
        <w:ind w:firstLine="709"/>
        <w:jc w:val="both"/>
        <w:rPr>
          <w:sz w:val="28"/>
          <w:szCs w:val="28"/>
        </w:rPr>
      </w:pPr>
      <w:r w:rsidRPr="00455695">
        <w:rPr>
          <w:sz w:val="28"/>
          <w:szCs w:val="28"/>
        </w:rPr>
        <w:t xml:space="preserve">В сфере финансирования дефицита бюджета </w:t>
      </w:r>
      <w:r>
        <w:rPr>
          <w:sz w:val="28"/>
          <w:szCs w:val="28"/>
        </w:rPr>
        <w:t>ставятся задачи</w:t>
      </w:r>
      <w:r w:rsidRPr="00ED4A68">
        <w:rPr>
          <w:sz w:val="28"/>
          <w:szCs w:val="28"/>
        </w:rPr>
        <w:t>:</w:t>
      </w:r>
    </w:p>
    <w:p w:rsidR="00413116" w:rsidRDefault="00413116" w:rsidP="00425A23">
      <w:pPr>
        <w:pStyle w:val="a9"/>
        <w:tabs>
          <w:tab w:val="left" w:pos="993"/>
        </w:tabs>
        <w:spacing w:line="360" w:lineRule="auto"/>
        <w:ind w:left="0" w:firstLine="709"/>
        <w:jc w:val="both"/>
        <w:rPr>
          <w:sz w:val="28"/>
          <w:szCs w:val="28"/>
        </w:rPr>
      </w:pPr>
      <w:r>
        <w:rPr>
          <w:sz w:val="28"/>
          <w:szCs w:val="28"/>
        </w:rPr>
        <w:t>-</w:t>
      </w:r>
      <w:r w:rsidRPr="00845970">
        <w:rPr>
          <w:sz w:val="28"/>
          <w:szCs w:val="28"/>
        </w:rPr>
        <w:t xml:space="preserve">обеспечения </w:t>
      </w:r>
      <w:r>
        <w:rPr>
          <w:sz w:val="28"/>
          <w:szCs w:val="28"/>
        </w:rPr>
        <w:t xml:space="preserve">соблюдения </w:t>
      </w:r>
      <w:r w:rsidRPr="00845970">
        <w:rPr>
          <w:sz w:val="28"/>
          <w:szCs w:val="28"/>
        </w:rPr>
        <w:t>норм бюджетного законодательства</w:t>
      </w:r>
      <w:r>
        <w:rPr>
          <w:sz w:val="28"/>
          <w:szCs w:val="28"/>
        </w:rPr>
        <w:t xml:space="preserve"> по размеру</w:t>
      </w:r>
      <w:r w:rsidRPr="00845970">
        <w:rPr>
          <w:sz w:val="28"/>
          <w:szCs w:val="28"/>
        </w:rPr>
        <w:t xml:space="preserve"> муниципального долга и расходов на его обслуживание;</w:t>
      </w:r>
    </w:p>
    <w:p w:rsidR="00413116" w:rsidRPr="001113C0" w:rsidRDefault="00413116" w:rsidP="00425A23">
      <w:pPr>
        <w:tabs>
          <w:tab w:val="left" w:pos="993"/>
        </w:tabs>
        <w:spacing w:line="360" w:lineRule="auto"/>
        <w:ind w:firstLine="709"/>
        <w:jc w:val="both"/>
        <w:rPr>
          <w:sz w:val="28"/>
          <w:szCs w:val="28"/>
        </w:rPr>
      </w:pPr>
      <w:r>
        <w:rPr>
          <w:sz w:val="28"/>
          <w:szCs w:val="28"/>
        </w:rPr>
        <w:t>-</w:t>
      </w:r>
      <w:r w:rsidRPr="001113C0">
        <w:rPr>
          <w:sz w:val="28"/>
          <w:szCs w:val="28"/>
        </w:rPr>
        <w:t xml:space="preserve">сохранения долговой нагрузки на экономически безопасном уровне с учетом всех возможных рисков; </w:t>
      </w:r>
    </w:p>
    <w:p w:rsidR="00413116" w:rsidRPr="00845970" w:rsidRDefault="00413116" w:rsidP="00425A23">
      <w:pPr>
        <w:pStyle w:val="a9"/>
        <w:tabs>
          <w:tab w:val="left" w:pos="993"/>
        </w:tabs>
        <w:spacing w:line="360" w:lineRule="auto"/>
        <w:ind w:left="709"/>
        <w:jc w:val="both"/>
        <w:rPr>
          <w:sz w:val="28"/>
          <w:szCs w:val="28"/>
        </w:rPr>
      </w:pPr>
      <w:r>
        <w:rPr>
          <w:sz w:val="28"/>
          <w:szCs w:val="28"/>
        </w:rPr>
        <w:lastRenderedPageBreak/>
        <w:t>-</w:t>
      </w:r>
      <w:r w:rsidRPr="00845970">
        <w:rPr>
          <w:sz w:val="28"/>
          <w:szCs w:val="28"/>
        </w:rPr>
        <w:t>безусловного обеспечения принятых городом долговых обязательств;</w:t>
      </w:r>
    </w:p>
    <w:p w:rsidR="00413116" w:rsidRDefault="00413116" w:rsidP="00425A23">
      <w:pPr>
        <w:pStyle w:val="a9"/>
        <w:tabs>
          <w:tab w:val="left" w:pos="993"/>
        </w:tabs>
        <w:spacing w:line="360" w:lineRule="auto"/>
        <w:ind w:left="0" w:firstLine="709"/>
        <w:jc w:val="both"/>
        <w:rPr>
          <w:sz w:val="28"/>
          <w:szCs w:val="28"/>
        </w:rPr>
      </w:pPr>
      <w:r>
        <w:rPr>
          <w:sz w:val="28"/>
          <w:szCs w:val="28"/>
        </w:rPr>
        <w:t>-</w:t>
      </w:r>
      <w:r w:rsidRPr="00845970">
        <w:rPr>
          <w:sz w:val="28"/>
          <w:szCs w:val="28"/>
        </w:rPr>
        <w:t>планирования оптимальных сроков осуществления муниципальных заимствований в зависимости от текущей ситуации на финансовом рынке;</w:t>
      </w:r>
    </w:p>
    <w:p w:rsidR="00413116" w:rsidRPr="00845970" w:rsidRDefault="00413116" w:rsidP="00425A23">
      <w:pPr>
        <w:pStyle w:val="a9"/>
        <w:tabs>
          <w:tab w:val="left" w:pos="993"/>
        </w:tabs>
        <w:spacing w:line="360" w:lineRule="auto"/>
        <w:ind w:left="0" w:firstLine="709"/>
        <w:jc w:val="both"/>
        <w:rPr>
          <w:sz w:val="28"/>
          <w:szCs w:val="28"/>
        </w:rPr>
      </w:pPr>
      <w:r w:rsidRPr="00845970">
        <w:rPr>
          <w:sz w:val="28"/>
          <w:szCs w:val="28"/>
        </w:rPr>
        <w:t>обеспечения равномерного распределения долговой нагрузки на бюджет города по годам.</w:t>
      </w:r>
    </w:p>
    <w:p w:rsidR="00413116" w:rsidRDefault="00413116" w:rsidP="000A7BC3">
      <w:pPr>
        <w:spacing w:line="360" w:lineRule="auto"/>
        <w:ind w:firstLine="539"/>
        <w:jc w:val="center"/>
        <w:rPr>
          <w:sz w:val="28"/>
          <w:szCs w:val="28"/>
        </w:rPr>
      </w:pPr>
    </w:p>
    <w:p w:rsidR="00413116" w:rsidRPr="00492136" w:rsidRDefault="00413116" w:rsidP="00425A23">
      <w:pPr>
        <w:widowControl w:val="0"/>
        <w:numPr>
          <w:ilvl w:val="0"/>
          <w:numId w:val="1"/>
        </w:numPr>
        <w:autoSpaceDE w:val="0"/>
        <w:autoSpaceDN w:val="0"/>
        <w:adjustRightInd w:val="0"/>
        <w:spacing w:line="360" w:lineRule="auto"/>
        <w:jc w:val="center"/>
        <w:rPr>
          <w:rFonts w:cs="Calibri"/>
          <w:sz w:val="28"/>
          <w:szCs w:val="28"/>
        </w:rPr>
      </w:pPr>
      <w:r>
        <w:rPr>
          <w:rFonts w:cs="Calibri"/>
          <w:sz w:val="28"/>
          <w:szCs w:val="28"/>
        </w:rPr>
        <w:t>О</w:t>
      </w:r>
      <w:r w:rsidRPr="00492136">
        <w:rPr>
          <w:rFonts w:cs="Calibri"/>
          <w:sz w:val="28"/>
          <w:szCs w:val="28"/>
        </w:rPr>
        <w:t>ценка проектируемых параметров бюджета города на 2018 год и плановый период 2019 – 2020 годов</w:t>
      </w:r>
    </w:p>
    <w:p w:rsidR="00413116" w:rsidRPr="00492136" w:rsidRDefault="00413116" w:rsidP="000A7BC3">
      <w:pPr>
        <w:widowControl w:val="0"/>
        <w:autoSpaceDE w:val="0"/>
        <w:autoSpaceDN w:val="0"/>
        <w:adjustRightInd w:val="0"/>
        <w:spacing w:line="360" w:lineRule="auto"/>
        <w:ind w:firstLine="539"/>
        <w:jc w:val="center"/>
        <w:rPr>
          <w:sz w:val="28"/>
          <w:szCs w:val="28"/>
        </w:rPr>
      </w:pPr>
    </w:p>
    <w:p w:rsidR="00413116" w:rsidRPr="00492136" w:rsidRDefault="00413116" w:rsidP="006E2EBE">
      <w:pPr>
        <w:widowControl w:val="0"/>
        <w:autoSpaceDE w:val="0"/>
        <w:autoSpaceDN w:val="0"/>
        <w:adjustRightInd w:val="0"/>
        <w:spacing w:line="360" w:lineRule="auto"/>
        <w:ind w:firstLine="539"/>
        <w:jc w:val="both"/>
        <w:rPr>
          <w:sz w:val="28"/>
          <w:szCs w:val="28"/>
        </w:rPr>
      </w:pPr>
      <w:r w:rsidRPr="00492136">
        <w:rPr>
          <w:sz w:val="28"/>
          <w:szCs w:val="28"/>
        </w:rPr>
        <w:t>Прогнозирование доходной части бюджета осуществлялось исходя из действующих норм бюджетного и налогового законодательства Российской Федерации, автономного округа и городского округа город</w:t>
      </w:r>
      <w:r>
        <w:rPr>
          <w:sz w:val="28"/>
          <w:szCs w:val="28"/>
        </w:rPr>
        <w:t>а</w:t>
      </w:r>
      <w:r w:rsidRPr="00492136">
        <w:rPr>
          <w:sz w:val="28"/>
          <w:szCs w:val="28"/>
        </w:rPr>
        <w:t xml:space="preserve"> </w:t>
      </w:r>
      <w:r>
        <w:rPr>
          <w:sz w:val="28"/>
          <w:szCs w:val="28"/>
        </w:rPr>
        <w:t>Пыть-Яха</w:t>
      </w:r>
      <w:r w:rsidRPr="00492136">
        <w:rPr>
          <w:sz w:val="28"/>
          <w:szCs w:val="28"/>
        </w:rPr>
        <w:t>, в условиях сохранения стабильности налогообложения.</w:t>
      </w:r>
    </w:p>
    <w:p w:rsidR="00413116" w:rsidRPr="00492136" w:rsidRDefault="00413116" w:rsidP="006E2EBE">
      <w:pPr>
        <w:spacing w:line="360" w:lineRule="auto"/>
        <w:ind w:firstLine="539"/>
        <w:jc w:val="both"/>
        <w:rPr>
          <w:sz w:val="28"/>
          <w:szCs w:val="28"/>
        </w:rPr>
      </w:pPr>
      <w:r>
        <w:rPr>
          <w:sz w:val="28"/>
          <w:szCs w:val="28"/>
        </w:rPr>
        <w:t>В</w:t>
      </w:r>
      <w:r w:rsidRPr="00492136">
        <w:rPr>
          <w:sz w:val="28"/>
          <w:szCs w:val="28"/>
        </w:rPr>
        <w:t xml:space="preserve"> целях обеспечения единого с автономным округом подхода к формированию параметров бюджета, при определении прогнозных показателей по доходам бюджета применялся базовый вариант прогноза социально-экономического развития города, учитывающего </w:t>
      </w:r>
      <w:r w:rsidRPr="00492136">
        <w:rPr>
          <w:sz w:val="28"/>
          <w:szCs w:val="28"/>
        </w:rPr>
        <w:lastRenderedPageBreak/>
        <w:t>возможности положительной динамики основных показателей развития.</w:t>
      </w:r>
    </w:p>
    <w:p w:rsidR="00413116" w:rsidRPr="00492136" w:rsidRDefault="00413116" w:rsidP="006E2EBE">
      <w:pPr>
        <w:widowControl w:val="0"/>
        <w:autoSpaceDE w:val="0"/>
        <w:autoSpaceDN w:val="0"/>
        <w:adjustRightInd w:val="0"/>
        <w:spacing w:line="360" w:lineRule="auto"/>
        <w:ind w:firstLine="539"/>
        <w:jc w:val="both"/>
        <w:rPr>
          <w:sz w:val="28"/>
          <w:szCs w:val="28"/>
        </w:rPr>
      </w:pPr>
      <w:r w:rsidRPr="00D318CA">
        <w:rPr>
          <w:sz w:val="28"/>
          <w:szCs w:val="28"/>
        </w:rPr>
        <w:t>На дату подготовки настоящих основных направлений, показатели по доходам согласованы с Департаментом финансов автономного округа.</w:t>
      </w:r>
    </w:p>
    <w:p w:rsidR="00413116" w:rsidRDefault="00413116" w:rsidP="006E2EBE">
      <w:pPr>
        <w:spacing w:line="360" w:lineRule="auto"/>
        <w:ind w:firstLine="539"/>
        <w:jc w:val="both"/>
        <w:rPr>
          <w:sz w:val="28"/>
          <w:szCs w:val="28"/>
        </w:rPr>
      </w:pPr>
      <w:r w:rsidRPr="00492136">
        <w:rPr>
          <w:sz w:val="28"/>
          <w:szCs w:val="28"/>
        </w:rPr>
        <w:t>Основное внимание уделено оценке исполнения доходов в текущем периоде, которая легла в основу формирования доходной базы в очередном бюджетном цикле.</w:t>
      </w:r>
      <w:r w:rsidRPr="00DE5EDB">
        <w:rPr>
          <w:sz w:val="28"/>
          <w:szCs w:val="28"/>
        </w:rPr>
        <w:t xml:space="preserve"> </w:t>
      </w:r>
    </w:p>
    <w:p w:rsidR="00413116" w:rsidRDefault="00413116" w:rsidP="006E2EBE">
      <w:pPr>
        <w:widowControl w:val="0"/>
        <w:tabs>
          <w:tab w:val="left" w:pos="3402"/>
        </w:tabs>
        <w:autoSpaceDE w:val="0"/>
        <w:autoSpaceDN w:val="0"/>
        <w:adjustRightInd w:val="0"/>
        <w:spacing w:line="360" w:lineRule="auto"/>
        <w:ind w:firstLine="539"/>
        <w:jc w:val="both"/>
        <w:rPr>
          <w:sz w:val="28"/>
          <w:szCs w:val="28"/>
        </w:rPr>
      </w:pPr>
      <w:r w:rsidRPr="00E43609">
        <w:rPr>
          <w:color w:val="000000"/>
          <w:sz w:val="28"/>
          <w:szCs w:val="28"/>
        </w:rPr>
        <w:t>С учетом этого прогнозный</w:t>
      </w:r>
      <w:r w:rsidRPr="00E43609">
        <w:rPr>
          <w:sz w:val="28"/>
          <w:szCs w:val="28"/>
        </w:rPr>
        <w:t xml:space="preserve"> объем поступлений в бюджет города доходов на 201</w:t>
      </w:r>
      <w:r>
        <w:rPr>
          <w:sz w:val="28"/>
          <w:szCs w:val="28"/>
        </w:rPr>
        <w:t>9 год и плановый период 2020</w:t>
      </w:r>
      <w:r w:rsidRPr="00E43609">
        <w:rPr>
          <w:sz w:val="28"/>
          <w:szCs w:val="28"/>
        </w:rPr>
        <w:t xml:space="preserve"> – 202</w:t>
      </w:r>
      <w:r>
        <w:rPr>
          <w:sz w:val="28"/>
          <w:szCs w:val="28"/>
        </w:rPr>
        <w:t>1</w:t>
      </w:r>
      <w:r w:rsidRPr="00E43609">
        <w:rPr>
          <w:sz w:val="28"/>
          <w:szCs w:val="28"/>
        </w:rPr>
        <w:t xml:space="preserve"> годов оценивается в следующих размерах:</w:t>
      </w:r>
    </w:p>
    <w:p w:rsidR="00413116" w:rsidRPr="00E7402E" w:rsidRDefault="00413116" w:rsidP="006E2EBE">
      <w:pPr>
        <w:widowControl w:val="0"/>
        <w:tabs>
          <w:tab w:val="left" w:pos="3402"/>
        </w:tabs>
        <w:autoSpaceDE w:val="0"/>
        <w:autoSpaceDN w:val="0"/>
        <w:adjustRightInd w:val="0"/>
        <w:spacing w:line="360" w:lineRule="auto"/>
        <w:ind w:firstLine="539"/>
        <w:jc w:val="right"/>
      </w:pPr>
      <w:r w:rsidRPr="00E7402E">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1276"/>
        <w:gridCol w:w="1276"/>
        <w:gridCol w:w="1134"/>
        <w:gridCol w:w="1226"/>
        <w:gridCol w:w="1183"/>
        <w:gridCol w:w="1134"/>
        <w:gridCol w:w="1241"/>
      </w:tblGrid>
      <w:tr w:rsidR="00413116" w:rsidRPr="005F0498" w:rsidTr="008D0EEA">
        <w:tc>
          <w:tcPr>
            <w:tcW w:w="1384" w:type="dxa"/>
            <w:vMerge w:val="restart"/>
          </w:tcPr>
          <w:p w:rsidR="00413116" w:rsidRPr="005F0498" w:rsidRDefault="00413116" w:rsidP="008D0EEA">
            <w:r w:rsidRPr="005F0498">
              <w:t>Вид доходов</w:t>
            </w:r>
          </w:p>
        </w:tc>
        <w:tc>
          <w:tcPr>
            <w:tcW w:w="3686" w:type="dxa"/>
            <w:gridSpan w:val="3"/>
          </w:tcPr>
          <w:p w:rsidR="00413116" w:rsidRPr="005F0498" w:rsidRDefault="00413116" w:rsidP="008D0EEA">
            <w:pPr>
              <w:jc w:val="center"/>
            </w:pPr>
            <w:r>
              <w:t>2019</w:t>
            </w:r>
          </w:p>
        </w:tc>
        <w:tc>
          <w:tcPr>
            <w:tcW w:w="3543" w:type="dxa"/>
            <w:gridSpan w:val="3"/>
          </w:tcPr>
          <w:p w:rsidR="00413116" w:rsidRPr="005F0498" w:rsidRDefault="00413116" w:rsidP="008D0EEA">
            <w:pPr>
              <w:jc w:val="center"/>
            </w:pPr>
            <w:r>
              <w:t>2020</w:t>
            </w:r>
          </w:p>
        </w:tc>
        <w:tc>
          <w:tcPr>
            <w:tcW w:w="1241" w:type="dxa"/>
          </w:tcPr>
          <w:p w:rsidR="00413116" w:rsidRPr="005F0498" w:rsidRDefault="00413116" w:rsidP="008D0EEA">
            <w:pPr>
              <w:jc w:val="center"/>
            </w:pPr>
            <w:r w:rsidRPr="005F0498">
              <w:t>202</w:t>
            </w:r>
            <w:r>
              <w:t>1</w:t>
            </w:r>
          </w:p>
        </w:tc>
      </w:tr>
      <w:tr w:rsidR="00413116" w:rsidRPr="005F0498" w:rsidTr="008D0EEA">
        <w:tc>
          <w:tcPr>
            <w:tcW w:w="1384" w:type="dxa"/>
            <w:vMerge/>
          </w:tcPr>
          <w:p w:rsidR="00413116" w:rsidRPr="005F0498" w:rsidRDefault="00413116" w:rsidP="008D0EEA"/>
        </w:tc>
        <w:tc>
          <w:tcPr>
            <w:tcW w:w="1276" w:type="dxa"/>
          </w:tcPr>
          <w:p w:rsidR="00413116" w:rsidRPr="00AF1B21" w:rsidRDefault="00413116" w:rsidP="008D0EEA">
            <w:pPr>
              <w:jc w:val="both"/>
            </w:pPr>
            <w:r w:rsidRPr="00AF1B21">
              <w:t>Утв. в бюджете</w:t>
            </w:r>
          </w:p>
        </w:tc>
        <w:tc>
          <w:tcPr>
            <w:tcW w:w="1276" w:type="dxa"/>
          </w:tcPr>
          <w:p w:rsidR="00413116" w:rsidRPr="00AF1B21" w:rsidRDefault="00413116" w:rsidP="008D0EEA">
            <w:pPr>
              <w:jc w:val="both"/>
            </w:pPr>
            <w:r w:rsidRPr="00AF1B21">
              <w:t>Проект на 2019-2021</w:t>
            </w:r>
          </w:p>
        </w:tc>
        <w:tc>
          <w:tcPr>
            <w:tcW w:w="1134" w:type="dxa"/>
          </w:tcPr>
          <w:p w:rsidR="00413116" w:rsidRPr="00AF1B21" w:rsidRDefault="00413116" w:rsidP="008D0EEA">
            <w:pPr>
              <w:jc w:val="both"/>
            </w:pPr>
            <w:r w:rsidRPr="00AF1B21">
              <w:t>Отк.</w:t>
            </w:r>
          </w:p>
          <w:p w:rsidR="00413116" w:rsidRPr="00AF1B21" w:rsidRDefault="00413116" w:rsidP="008D0EEA">
            <w:pPr>
              <w:jc w:val="both"/>
            </w:pPr>
            <w:r w:rsidRPr="00AF1B21">
              <w:t>(+,-)</w:t>
            </w:r>
          </w:p>
        </w:tc>
        <w:tc>
          <w:tcPr>
            <w:tcW w:w="1226" w:type="dxa"/>
          </w:tcPr>
          <w:p w:rsidR="00413116" w:rsidRPr="00AF1B21" w:rsidRDefault="00413116" w:rsidP="008D0EEA">
            <w:pPr>
              <w:rPr>
                <w:sz w:val="22"/>
                <w:szCs w:val="22"/>
              </w:rPr>
            </w:pPr>
            <w:r w:rsidRPr="00AF1B21">
              <w:rPr>
                <w:sz w:val="22"/>
                <w:szCs w:val="22"/>
              </w:rPr>
              <w:t>Утв. в бюджете</w:t>
            </w:r>
          </w:p>
        </w:tc>
        <w:tc>
          <w:tcPr>
            <w:tcW w:w="1183" w:type="dxa"/>
          </w:tcPr>
          <w:p w:rsidR="00413116" w:rsidRPr="00AF1B21" w:rsidRDefault="00413116" w:rsidP="008D0EEA">
            <w:pPr>
              <w:rPr>
                <w:sz w:val="22"/>
                <w:szCs w:val="22"/>
              </w:rPr>
            </w:pPr>
            <w:r w:rsidRPr="00AF1B21">
              <w:rPr>
                <w:sz w:val="22"/>
                <w:szCs w:val="22"/>
              </w:rPr>
              <w:t>Проект на 2019-2021</w:t>
            </w:r>
          </w:p>
        </w:tc>
        <w:tc>
          <w:tcPr>
            <w:tcW w:w="1134" w:type="dxa"/>
          </w:tcPr>
          <w:p w:rsidR="00413116" w:rsidRPr="005F0498" w:rsidRDefault="00413116" w:rsidP="008D0EEA">
            <w:pPr>
              <w:jc w:val="both"/>
            </w:pPr>
            <w:r w:rsidRPr="005F0498">
              <w:t>Отк.</w:t>
            </w:r>
          </w:p>
          <w:p w:rsidR="00413116" w:rsidRPr="005F0498" w:rsidRDefault="00413116" w:rsidP="008D0EEA">
            <w:pPr>
              <w:rPr>
                <w:sz w:val="22"/>
                <w:szCs w:val="22"/>
              </w:rPr>
            </w:pPr>
            <w:r w:rsidRPr="005F0498">
              <w:t>(+,-)</w:t>
            </w:r>
          </w:p>
        </w:tc>
        <w:tc>
          <w:tcPr>
            <w:tcW w:w="1241" w:type="dxa"/>
          </w:tcPr>
          <w:p w:rsidR="00413116" w:rsidRPr="005F0498" w:rsidRDefault="00413116" w:rsidP="008D0EEA">
            <w:pPr>
              <w:jc w:val="both"/>
            </w:pPr>
            <w:r w:rsidRPr="005F0498">
              <w:t>Проект на 201</w:t>
            </w:r>
            <w:r>
              <w:t>9</w:t>
            </w:r>
            <w:r w:rsidRPr="005F0498">
              <w:t>-202</w:t>
            </w:r>
            <w:r>
              <w:t>1</w:t>
            </w:r>
          </w:p>
        </w:tc>
      </w:tr>
      <w:tr w:rsidR="00413116" w:rsidRPr="00000517" w:rsidTr="008D0EEA">
        <w:tc>
          <w:tcPr>
            <w:tcW w:w="1384" w:type="dxa"/>
          </w:tcPr>
          <w:p w:rsidR="00413116" w:rsidRPr="005F0498" w:rsidRDefault="00413116" w:rsidP="008D0EEA">
            <w:r w:rsidRPr="005F0498">
              <w:t>Всего доходов</w:t>
            </w:r>
          </w:p>
        </w:tc>
        <w:tc>
          <w:tcPr>
            <w:tcW w:w="1276" w:type="dxa"/>
          </w:tcPr>
          <w:p w:rsidR="00413116" w:rsidRPr="00AF1B21" w:rsidRDefault="00413116" w:rsidP="008D0EEA">
            <w:r w:rsidRPr="00AF1B21">
              <w:t>3 073 399,2</w:t>
            </w:r>
          </w:p>
        </w:tc>
        <w:tc>
          <w:tcPr>
            <w:tcW w:w="1276" w:type="dxa"/>
          </w:tcPr>
          <w:p w:rsidR="00413116" w:rsidRPr="00AF1B21" w:rsidRDefault="00413116" w:rsidP="007E301A">
            <w:r w:rsidRPr="00AF1B21">
              <w:t>2 94</w:t>
            </w:r>
            <w:r>
              <w:t>9</w:t>
            </w:r>
            <w:r w:rsidRPr="00AF1B21">
              <w:t> </w:t>
            </w:r>
            <w:r>
              <w:t>432</w:t>
            </w:r>
            <w:r w:rsidRPr="00AF1B21">
              <w:t>,</w:t>
            </w:r>
            <w:r>
              <w:t>9</w:t>
            </w:r>
          </w:p>
        </w:tc>
        <w:tc>
          <w:tcPr>
            <w:tcW w:w="1134" w:type="dxa"/>
          </w:tcPr>
          <w:p w:rsidR="00413116" w:rsidRPr="00AF1B21" w:rsidRDefault="00413116" w:rsidP="00193951">
            <w:r w:rsidRPr="00AF1B21">
              <w:t>-</w:t>
            </w:r>
            <w:r>
              <w:t>123 966,3</w:t>
            </w:r>
          </w:p>
        </w:tc>
        <w:tc>
          <w:tcPr>
            <w:tcW w:w="1226" w:type="dxa"/>
          </w:tcPr>
          <w:p w:rsidR="00413116" w:rsidRPr="00AF1B21" w:rsidRDefault="00413116" w:rsidP="008D0EEA">
            <w:r w:rsidRPr="00AF1B21">
              <w:t>3 124 457,6</w:t>
            </w:r>
          </w:p>
        </w:tc>
        <w:tc>
          <w:tcPr>
            <w:tcW w:w="1183" w:type="dxa"/>
          </w:tcPr>
          <w:p w:rsidR="00413116" w:rsidRPr="00AF1B21" w:rsidRDefault="00413116" w:rsidP="008D0EEA">
            <w:r w:rsidRPr="00AF1B21">
              <w:t>2 907 971,1</w:t>
            </w:r>
          </w:p>
        </w:tc>
        <w:tc>
          <w:tcPr>
            <w:tcW w:w="1134" w:type="dxa"/>
          </w:tcPr>
          <w:p w:rsidR="00413116" w:rsidRPr="005F0498" w:rsidRDefault="00413116" w:rsidP="008D0EEA">
            <w:r>
              <w:t>-216 486,5</w:t>
            </w:r>
          </w:p>
        </w:tc>
        <w:tc>
          <w:tcPr>
            <w:tcW w:w="1241" w:type="dxa"/>
          </w:tcPr>
          <w:p w:rsidR="00413116" w:rsidRPr="005F0498" w:rsidRDefault="00413116" w:rsidP="008D0EEA">
            <w:r>
              <w:t>2 889 767,5</w:t>
            </w:r>
          </w:p>
        </w:tc>
      </w:tr>
      <w:tr w:rsidR="00413116" w:rsidRPr="00000517" w:rsidTr="008D0EEA">
        <w:tc>
          <w:tcPr>
            <w:tcW w:w="1384" w:type="dxa"/>
          </w:tcPr>
          <w:p w:rsidR="00413116" w:rsidRPr="005F0498" w:rsidRDefault="00413116" w:rsidP="008D0EEA">
            <w:r w:rsidRPr="005F0498">
              <w:t>Налоговые</w:t>
            </w:r>
          </w:p>
        </w:tc>
        <w:tc>
          <w:tcPr>
            <w:tcW w:w="1276" w:type="dxa"/>
          </w:tcPr>
          <w:p w:rsidR="00413116" w:rsidRPr="00AF1B21" w:rsidRDefault="00413116" w:rsidP="008D0EEA">
            <w:pPr>
              <w:jc w:val="both"/>
            </w:pPr>
            <w:r w:rsidRPr="00AF1B21">
              <w:t>834 805,7</w:t>
            </w:r>
          </w:p>
        </w:tc>
        <w:tc>
          <w:tcPr>
            <w:tcW w:w="1276" w:type="dxa"/>
          </w:tcPr>
          <w:p w:rsidR="00413116" w:rsidRPr="00AF1B21" w:rsidRDefault="00413116" w:rsidP="008D0EEA">
            <w:pPr>
              <w:jc w:val="both"/>
            </w:pPr>
            <w:r w:rsidRPr="00AF1B21">
              <w:t>938 270,2</w:t>
            </w:r>
          </w:p>
        </w:tc>
        <w:tc>
          <w:tcPr>
            <w:tcW w:w="1134" w:type="dxa"/>
          </w:tcPr>
          <w:p w:rsidR="00413116" w:rsidRPr="00AF1B21" w:rsidRDefault="00413116" w:rsidP="008D0EEA">
            <w:pPr>
              <w:jc w:val="both"/>
            </w:pPr>
            <w:r w:rsidRPr="00AF1B21">
              <w:t>103 464,5</w:t>
            </w:r>
          </w:p>
        </w:tc>
        <w:tc>
          <w:tcPr>
            <w:tcW w:w="1226" w:type="dxa"/>
          </w:tcPr>
          <w:p w:rsidR="00413116" w:rsidRPr="00AF1B21" w:rsidRDefault="00413116" w:rsidP="008D0EEA">
            <w:pPr>
              <w:jc w:val="both"/>
            </w:pPr>
            <w:r w:rsidRPr="00AF1B21">
              <w:t>856 904,2</w:t>
            </w:r>
          </w:p>
        </w:tc>
        <w:tc>
          <w:tcPr>
            <w:tcW w:w="1183" w:type="dxa"/>
          </w:tcPr>
          <w:p w:rsidR="00413116" w:rsidRPr="00AF1B21" w:rsidRDefault="00413116" w:rsidP="008D0EEA">
            <w:pPr>
              <w:jc w:val="both"/>
            </w:pPr>
            <w:r w:rsidRPr="00AF1B21">
              <w:t>946 079,6</w:t>
            </w:r>
          </w:p>
        </w:tc>
        <w:tc>
          <w:tcPr>
            <w:tcW w:w="1134" w:type="dxa"/>
          </w:tcPr>
          <w:p w:rsidR="00413116" w:rsidRPr="005F0498" w:rsidRDefault="00413116" w:rsidP="008D0EEA">
            <w:pPr>
              <w:jc w:val="both"/>
            </w:pPr>
            <w:r>
              <w:t>89 175,4</w:t>
            </w:r>
          </w:p>
        </w:tc>
        <w:tc>
          <w:tcPr>
            <w:tcW w:w="1241" w:type="dxa"/>
          </w:tcPr>
          <w:p w:rsidR="00413116" w:rsidRPr="005F0498" w:rsidRDefault="00413116" w:rsidP="008D0EEA">
            <w:pPr>
              <w:jc w:val="both"/>
            </w:pPr>
            <w:r>
              <w:t>958 942,2</w:t>
            </w:r>
          </w:p>
        </w:tc>
      </w:tr>
      <w:tr w:rsidR="00413116" w:rsidRPr="00000517" w:rsidTr="008D0EEA">
        <w:tc>
          <w:tcPr>
            <w:tcW w:w="1384" w:type="dxa"/>
          </w:tcPr>
          <w:p w:rsidR="00413116" w:rsidRPr="005F0498" w:rsidRDefault="00413116" w:rsidP="008D0EEA">
            <w:r w:rsidRPr="005F0498">
              <w:t>в т.ч.:</w:t>
            </w:r>
          </w:p>
        </w:tc>
        <w:tc>
          <w:tcPr>
            <w:tcW w:w="1276" w:type="dxa"/>
          </w:tcPr>
          <w:p w:rsidR="00413116" w:rsidRPr="00AF1B21" w:rsidRDefault="00413116" w:rsidP="008D0EEA">
            <w:pPr>
              <w:jc w:val="both"/>
            </w:pPr>
          </w:p>
        </w:tc>
        <w:tc>
          <w:tcPr>
            <w:tcW w:w="1276" w:type="dxa"/>
          </w:tcPr>
          <w:p w:rsidR="00413116" w:rsidRPr="00AF1B21" w:rsidRDefault="00413116" w:rsidP="008D0EEA">
            <w:pPr>
              <w:jc w:val="both"/>
            </w:pPr>
          </w:p>
        </w:tc>
        <w:tc>
          <w:tcPr>
            <w:tcW w:w="1134" w:type="dxa"/>
          </w:tcPr>
          <w:p w:rsidR="00413116" w:rsidRPr="00AF1B21" w:rsidRDefault="00413116" w:rsidP="008D0EEA">
            <w:pPr>
              <w:jc w:val="both"/>
            </w:pPr>
          </w:p>
        </w:tc>
        <w:tc>
          <w:tcPr>
            <w:tcW w:w="1226" w:type="dxa"/>
          </w:tcPr>
          <w:p w:rsidR="00413116" w:rsidRPr="00AF1B21" w:rsidRDefault="00413116" w:rsidP="008D0EEA">
            <w:pPr>
              <w:jc w:val="both"/>
            </w:pPr>
          </w:p>
        </w:tc>
        <w:tc>
          <w:tcPr>
            <w:tcW w:w="1183" w:type="dxa"/>
          </w:tcPr>
          <w:p w:rsidR="00413116" w:rsidRPr="00AF1B21" w:rsidRDefault="00413116" w:rsidP="008D0EEA">
            <w:pPr>
              <w:jc w:val="both"/>
            </w:pPr>
          </w:p>
        </w:tc>
        <w:tc>
          <w:tcPr>
            <w:tcW w:w="1134" w:type="dxa"/>
          </w:tcPr>
          <w:p w:rsidR="00413116" w:rsidRPr="005F0498" w:rsidRDefault="00413116" w:rsidP="008D0EEA">
            <w:pPr>
              <w:jc w:val="both"/>
            </w:pPr>
          </w:p>
        </w:tc>
        <w:tc>
          <w:tcPr>
            <w:tcW w:w="1241" w:type="dxa"/>
          </w:tcPr>
          <w:p w:rsidR="00413116" w:rsidRPr="005F0498" w:rsidRDefault="00413116" w:rsidP="008D0EEA">
            <w:pPr>
              <w:jc w:val="both"/>
            </w:pPr>
          </w:p>
        </w:tc>
      </w:tr>
      <w:tr w:rsidR="00413116" w:rsidRPr="00000517" w:rsidTr="008D0EEA">
        <w:tc>
          <w:tcPr>
            <w:tcW w:w="1384" w:type="dxa"/>
          </w:tcPr>
          <w:p w:rsidR="00413116" w:rsidRPr="005F0498" w:rsidRDefault="00413116" w:rsidP="008D0EEA">
            <w:r w:rsidRPr="005F0498">
              <w:t>НДФЛ</w:t>
            </w:r>
            <w:r>
              <w:t>*</w:t>
            </w:r>
          </w:p>
        </w:tc>
        <w:tc>
          <w:tcPr>
            <w:tcW w:w="1276" w:type="dxa"/>
          </w:tcPr>
          <w:p w:rsidR="00413116" w:rsidRPr="00AF1B21" w:rsidRDefault="00413116" w:rsidP="008D0EEA">
            <w:pPr>
              <w:jc w:val="both"/>
            </w:pPr>
            <w:r w:rsidRPr="00AF1B21">
              <w:t>609 809,9</w:t>
            </w:r>
          </w:p>
        </w:tc>
        <w:tc>
          <w:tcPr>
            <w:tcW w:w="1276" w:type="dxa"/>
          </w:tcPr>
          <w:p w:rsidR="00413116" w:rsidRPr="00AF1B21" w:rsidRDefault="00413116" w:rsidP="008D0EEA">
            <w:pPr>
              <w:jc w:val="both"/>
            </w:pPr>
            <w:r w:rsidRPr="00AF1B21">
              <w:t>699 580,7</w:t>
            </w:r>
          </w:p>
        </w:tc>
        <w:tc>
          <w:tcPr>
            <w:tcW w:w="1134" w:type="dxa"/>
          </w:tcPr>
          <w:p w:rsidR="00413116" w:rsidRPr="00AF1B21" w:rsidRDefault="00413116" w:rsidP="008D0EEA">
            <w:pPr>
              <w:jc w:val="both"/>
            </w:pPr>
            <w:r w:rsidRPr="00AF1B21">
              <w:t>89 770,8</w:t>
            </w:r>
          </w:p>
        </w:tc>
        <w:tc>
          <w:tcPr>
            <w:tcW w:w="1226" w:type="dxa"/>
          </w:tcPr>
          <w:p w:rsidR="00413116" w:rsidRPr="00AF1B21" w:rsidRDefault="00413116" w:rsidP="008D0EEA">
            <w:pPr>
              <w:jc w:val="both"/>
            </w:pPr>
            <w:r w:rsidRPr="00AF1B21">
              <w:t>631 414,2</w:t>
            </w:r>
          </w:p>
        </w:tc>
        <w:tc>
          <w:tcPr>
            <w:tcW w:w="1183" w:type="dxa"/>
          </w:tcPr>
          <w:p w:rsidR="00413116" w:rsidRPr="00AF1B21" w:rsidRDefault="00413116" w:rsidP="008D0EEA">
            <w:pPr>
              <w:jc w:val="both"/>
            </w:pPr>
            <w:r w:rsidRPr="00AF1B21">
              <w:t>705 373,5</w:t>
            </w:r>
          </w:p>
        </w:tc>
        <w:tc>
          <w:tcPr>
            <w:tcW w:w="1134" w:type="dxa"/>
          </w:tcPr>
          <w:p w:rsidR="00413116" w:rsidRPr="005F0498" w:rsidRDefault="00413116" w:rsidP="008D0EEA">
            <w:pPr>
              <w:jc w:val="both"/>
            </w:pPr>
            <w:r>
              <w:t>73 959,3</w:t>
            </w:r>
          </w:p>
        </w:tc>
        <w:tc>
          <w:tcPr>
            <w:tcW w:w="1241" w:type="dxa"/>
          </w:tcPr>
          <w:p w:rsidR="00413116" w:rsidRPr="005F0498" w:rsidRDefault="00413116" w:rsidP="008D0EEA">
            <w:pPr>
              <w:jc w:val="both"/>
            </w:pPr>
            <w:r>
              <w:t>734 737,3</w:t>
            </w:r>
          </w:p>
        </w:tc>
      </w:tr>
      <w:tr w:rsidR="00413116" w:rsidRPr="00000517" w:rsidTr="008D0EEA">
        <w:tc>
          <w:tcPr>
            <w:tcW w:w="1384" w:type="dxa"/>
          </w:tcPr>
          <w:p w:rsidR="00413116" w:rsidRPr="005F0498" w:rsidRDefault="00413116" w:rsidP="008D0EEA">
            <w:r w:rsidRPr="005F0498">
              <w:t xml:space="preserve">Налоги на совокупный доход </w:t>
            </w:r>
          </w:p>
        </w:tc>
        <w:tc>
          <w:tcPr>
            <w:tcW w:w="1276" w:type="dxa"/>
          </w:tcPr>
          <w:p w:rsidR="00413116" w:rsidRPr="00AF1B21" w:rsidRDefault="00413116" w:rsidP="008D0EEA">
            <w:pPr>
              <w:jc w:val="both"/>
            </w:pPr>
            <w:r w:rsidRPr="00AF1B21">
              <w:t>136 892,4</w:t>
            </w:r>
          </w:p>
        </w:tc>
        <w:tc>
          <w:tcPr>
            <w:tcW w:w="1276" w:type="dxa"/>
          </w:tcPr>
          <w:p w:rsidR="00413116" w:rsidRPr="00AF1B21" w:rsidRDefault="00413116" w:rsidP="008D0EEA">
            <w:pPr>
              <w:jc w:val="both"/>
            </w:pPr>
            <w:r w:rsidRPr="00AF1B21">
              <w:t>156 127,4</w:t>
            </w:r>
          </w:p>
        </w:tc>
        <w:tc>
          <w:tcPr>
            <w:tcW w:w="1134" w:type="dxa"/>
          </w:tcPr>
          <w:p w:rsidR="00413116" w:rsidRPr="00AF1B21" w:rsidRDefault="00413116" w:rsidP="008D0EEA">
            <w:pPr>
              <w:jc w:val="both"/>
            </w:pPr>
            <w:r w:rsidRPr="00AF1B21">
              <w:t>19 235,0</w:t>
            </w:r>
          </w:p>
        </w:tc>
        <w:tc>
          <w:tcPr>
            <w:tcW w:w="1226" w:type="dxa"/>
          </w:tcPr>
          <w:p w:rsidR="00413116" w:rsidRPr="00AF1B21" w:rsidRDefault="00413116" w:rsidP="008D0EEA">
            <w:pPr>
              <w:jc w:val="both"/>
            </w:pPr>
            <w:r w:rsidRPr="00AF1B21">
              <w:t>137 248,2</w:t>
            </w:r>
          </w:p>
        </w:tc>
        <w:tc>
          <w:tcPr>
            <w:tcW w:w="1183" w:type="dxa"/>
          </w:tcPr>
          <w:p w:rsidR="00413116" w:rsidRPr="00AF1B21" w:rsidRDefault="00413116" w:rsidP="008D0EEA">
            <w:pPr>
              <w:jc w:val="both"/>
            </w:pPr>
            <w:r w:rsidRPr="00AF1B21">
              <w:t>157 092,1</w:t>
            </w:r>
          </w:p>
        </w:tc>
        <w:tc>
          <w:tcPr>
            <w:tcW w:w="1134" w:type="dxa"/>
          </w:tcPr>
          <w:p w:rsidR="00413116" w:rsidRPr="005F0498" w:rsidRDefault="00413116" w:rsidP="008D0EEA">
            <w:pPr>
              <w:jc w:val="both"/>
            </w:pPr>
            <w:r>
              <w:t>19 843,9</w:t>
            </w:r>
          </w:p>
        </w:tc>
        <w:tc>
          <w:tcPr>
            <w:tcW w:w="1241" w:type="dxa"/>
          </w:tcPr>
          <w:p w:rsidR="00413116" w:rsidRPr="005F0498" w:rsidRDefault="00413116" w:rsidP="008D0EEA">
            <w:pPr>
              <w:jc w:val="both"/>
            </w:pPr>
            <w:r>
              <w:t>139 838,2</w:t>
            </w:r>
          </w:p>
          <w:p w:rsidR="00413116" w:rsidRPr="005F0498" w:rsidRDefault="00413116" w:rsidP="008D0EEA">
            <w:pPr>
              <w:jc w:val="both"/>
            </w:pPr>
          </w:p>
        </w:tc>
      </w:tr>
      <w:tr w:rsidR="00413116" w:rsidRPr="00000517" w:rsidTr="008D0EEA">
        <w:tc>
          <w:tcPr>
            <w:tcW w:w="1384" w:type="dxa"/>
          </w:tcPr>
          <w:p w:rsidR="00413116" w:rsidRPr="005F0498" w:rsidRDefault="00413116" w:rsidP="008D0EEA">
            <w:r w:rsidRPr="005F0498">
              <w:t>Налоги на имущество</w:t>
            </w:r>
          </w:p>
        </w:tc>
        <w:tc>
          <w:tcPr>
            <w:tcW w:w="1276" w:type="dxa"/>
          </w:tcPr>
          <w:p w:rsidR="00413116" w:rsidRPr="00AF1B21" w:rsidRDefault="00413116" w:rsidP="008D0EEA">
            <w:pPr>
              <w:jc w:val="both"/>
            </w:pPr>
            <w:r w:rsidRPr="00AF1B21">
              <w:t>70 992,0</w:t>
            </w:r>
          </w:p>
        </w:tc>
        <w:tc>
          <w:tcPr>
            <w:tcW w:w="1276" w:type="dxa"/>
          </w:tcPr>
          <w:p w:rsidR="00413116" w:rsidRPr="00AF1B21" w:rsidRDefault="00413116" w:rsidP="008D0EEA">
            <w:pPr>
              <w:jc w:val="both"/>
            </w:pPr>
            <w:r w:rsidRPr="00AF1B21">
              <w:t>64 652,0</w:t>
            </w:r>
          </w:p>
        </w:tc>
        <w:tc>
          <w:tcPr>
            <w:tcW w:w="1134" w:type="dxa"/>
          </w:tcPr>
          <w:p w:rsidR="00413116" w:rsidRPr="00AF1B21" w:rsidRDefault="00413116" w:rsidP="008D0EEA">
            <w:pPr>
              <w:jc w:val="both"/>
            </w:pPr>
            <w:r w:rsidRPr="00AF1B21">
              <w:t>-6 340,0</w:t>
            </w:r>
          </w:p>
        </w:tc>
        <w:tc>
          <w:tcPr>
            <w:tcW w:w="1226" w:type="dxa"/>
          </w:tcPr>
          <w:p w:rsidR="00413116" w:rsidRPr="00AF1B21" w:rsidRDefault="00413116" w:rsidP="008D0EEA">
            <w:pPr>
              <w:jc w:val="both"/>
            </w:pPr>
            <w:r w:rsidRPr="00AF1B21">
              <w:t>71 130,4</w:t>
            </w:r>
          </w:p>
        </w:tc>
        <w:tc>
          <w:tcPr>
            <w:tcW w:w="1183" w:type="dxa"/>
          </w:tcPr>
          <w:p w:rsidR="00413116" w:rsidRPr="00AF1B21" w:rsidRDefault="00413116" w:rsidP="008D0EEA">
            <w:pPr>
              <w:jc w:val="both"/>
            </w:pPr>
            <w:r w:rsidRPr="00AF1B21">
              <w:t>65 397,2</w:t>
            </w:r>
          </w:p>
        </w:tc>
        <w:tc>
          <w:tcPr>
            <w:tcW w:w="1134" w:type="dxa"/>
          </w:tcPr>
          <w:p w:rsidR="00413116" w:rsidRPr="005F0498" w:rsidRDefault="00413116" w:rsidP="008D0EEA">
            <w:pPr>
              <w:jc w:val="both"/>
            </w:pPr>
            <w:r>
              <w:t>-5 733,2</w:t>
            </w:r>
          </w:p>
        </w:tc>
        <w:tc>
          <w:tcPr>
            <w:tcW w:w="1241" w:type="dxa"/>
          </w:tcPr>
          <w:p w:rsidR="00413116" w:rsidRPr="005F0498" w:rsidRDefault="00413116" w:rsidP="008D0EEA">
            <w:pPr>
              <w:jc w:val="both"/>
            </w:pPr>
            <w:r>
              <w:t>66 150,1</w:t>
            </w:r>
          </w:p>
        </w:tc>
      </w:tr>
      <w:tr w:rsidR="00413116" w:rsidRPr="00000517" w:rsidTr="008D0EEA">
        <w:tc>
          <w:tcPr>
            <w:tcW w:w="1384" w:type="dxa"/>
          </w:tcPr>
          <w:p w:rsidR="00413116" w:rsidRPr="005F0498" w:rsidRDefault="00413116" w:rsidP="008D0EEA">
            <w:r w:rsidRPr="005F0498">
              <w:t>Неналоговые доходы</w:t>
            </w:r>
          </w:p>
        </w:tc>
        <w:tc>
          <w:tcPr>
            <w:tcW w:w="1276" w:type="dxa"/>
          </w:tcPr>
          <w:p w:rsidR="00413116" w:rsidRPr="00AF1B21" w:rsidRDefault="00413116" w:rsidP="008D0EEA">
            <w:pPr>
              <w:jc w:val="both"/>
            </w:pPr>
            <w:r w:rsidRPr="00AF1B21">
              <w:t>225 551,8</w:t>
            </w:r>
          </w:p>
        </w:tc>
        <w:tc>
          <w:tcPr>
            <w:tcW w:w="1276" w:type="dxa"/>
          </w:tcPr>
          <w:p w:rsidR="00413116" w:rsidRPr="00AF1B21" w:rsidRDefault="00413116" w:rsidP="007E301A">
            <w:pPr>
              <w:jc w:val="both"/>
            </w:pPr>
            <w:r w:rsidRPr="00AF1B21">
              <w:t>2</w:t>
            </w:r>
            <w:r>
              <w:t>26</w:t>
            </w:r>
            <w:r w:rsidRPr="00AF1B21">
              <w:t> </w:t>
            </w:r>
            <w:r>
              <w:t>236</w:t>
            </w:r>
            <w:r w:rsidRPr="00AF1B21">
              <w:t>,</w:t>
            </w:r>
            <w:r>
              <w:t>2</w:t>
            </w:r>
          </w:p>
        </w:tc>
        <w:tc>
          <w:tcPr>
            <w:tcW w:w="1134" w:type="dxa"/>
          </w:tcPr>
          <w:p w:rsidR="00413116" w:rsidRPr="00AF1B21" w:rsidRDefault="00413116" w:rsidP="008D0EEA">
            <w:pPr>
              <w:jc w:val="both"/>
            </w:pPr>
            <w:r>
              <w:t>684,4</w:t>
            </w:r>
          </w:p>
        </w:tc>
        <w:tc>
          <w:tcPr>
            <w:tcW w:w="1226" w:type="dxa"/>
          </w:tcPr>
          <w:p w:rsidR="00413116" w:rsidRPr="00AF1B21" w:rsidRDefault="00413116" w:rsidP="008D0EEA">
            <w:pPr>
              <w:jc w:val="both"/>
            </w:pPr>
            <w:r w:rsidRPr="00AF1B21">
              <w:t>227 803,9</w:t>
            </w:r>
          </w:p>
        </w:tc>
        <w:tc>
          <w:tcPr>
            <w:tcW w:w="1183" w:type="dxa"/>
          </w:tcPr>
          <w:p w:rsidR="00413116" w:rsidRPr="00AF1B21" w:rsidRDefault="00413116" w:rsidP="008D0EEA">
            <w:pPr>
              <w:jc w:val="both"/>
            </w:pPr>
            <w:r w:rsidRPr="00AF1B21">
              <w:t>209 827,9</w:t>
            </w:r>
          </w:p>
        </w:tc>
        <w:tc>
          <w:tcPr>
            <w:tcW w:w="1134" w:type="dxa"/>
          </w:tcPr>
          <w:p w:rsidR="00413116" w:rsidRPr="005F0498" w:rsidRDefault="00413116" w:rsidP="008D0EEA">
            <w:pPr>
              <w:jc w:val="both"/>
            </w:pPr>
            <w:r>
              <w:t>-17 976,0</w:t>
            </w:r>
          </w:p>
        </w:tc>
        <w:tc>
          <w:tcPr>
            <w:tcW w:w="1241" w:type="dxa"/>
          </w:tcPr>
          <w:p w:rsidR="00413116" w:rsidRPr="005F0498" w:rsidRDefault="00413116" w:rsidP="008D0EEA">
            <w:pPr>
              <w:jc w:val="both"/>
            </w:pPr>
            <w:r>
              <w:t>198739,1</w:t>
            </w:r>
          </w:p>
        </w:tc>
      </w:tr>
      <w:tr w:rsidR="00413116" w:rsidRPr="00000517" w:rsidTr="008D0EEA">
        <w:tc>
          <w:tcPr>
            <w:tcW w:w="1384" w:type="dxa"/>
          </w:tcPr>
          <w:p w:rsidR="00413116" w:rsidRPr="005F0498" w:rsidRDefault="00413116" w:rsidP="008D0EEA">
            <w:r w:rsidRPr="005F0498">
              <w:t>в т.ч.:</w:t>
            </w:r>
          </w:p>
        </w:tc>
        <w:tc>
          <w:tcPr>
            <w:tcW w:w="1276" w:type="dxa"/>
          </w:tcPr>
          <w:p w:rsidR="00413116" w:rsidRPr="00AF1B21" w:rsidRDefault="00413116" w:rsidP="008D0EEA">
            <w:pPr>
              <w:jc w:val="both"/>
            </w:pPr>
          </w:p>
        </w:tc>
        <w:tc>
          <w:tcPr>
            <w:tcW w:w="1276" w:type="dxa"/>
          </w:tcPr>
          <w:p w:rsidR="00413116" w:rsidRPr="00AF1B21" w:rsidRDefault="00413116" w:rsidP="008D0EEA">
            <w:pPr>
              <w:jc w:val="both"/>
            </w:pPr>
          </w:p>
        </w:tc>
        <w:tc>
          <w:tcPr>
            <w:tcW w:w="1134" w:type="dxa"/>
          </w:tcPr>
          <w:p w:rsidR="00413116" w:rsidRPr="00AF1B21" w:rsidRDefault="00413116" w:rsidP="008D0EEA">
            <w:pPr>
              <w:jc w:val="both"/>
            </w:pPr>
          </w:p>
        </w:tc>
        <w:tc>
          <w:tcPr>
            <w:tcW w:w="1226" w:type="dxa"/>
          </w:tcPr>
          <w:p w:rsidR="00413116" w:rsidRPr="00AF1B21" w:rsidRDefault="00413116" w:rsidP="008D0EEA">
            <w:pPr>
              <w:jc w:val="both"/>
            </w:pPr>
          </w:p>
        </w:tc>
        <w:tc>
          <w:tcPr>
            <w:tcW w:w="1183" w:type="dxa"/>
          </w:tcPr>
          <w:p w:rsidR="00413116" w:rsidRPr="00AF1B21" w:rsidRDefault="00413116" w:rsidP="008D0EEA">
            <w:pPr>
              <w:jc w:val="both"/>
            </w:pPr>
          </w:p>
        </w:tc>
        <w:tc>
          <w:tcPr>
            <w:tcW w:w="1134" w:type="dxa"/>
          </w:tcPr>
          <w:p w:rsidR="00413116" w:rsidRPr="005F0498" w:rsidRDefault="00413116" w:rsidP="008D0EEA">
            <w:pPr>
              <w:jc w:val="both"/>
            </w:pPr>
          </w:p>
        </w:tc>
        <w:tc>
          <w:tcPr>
            <w:tcW w:w="1241" w:type="dxa"/>
          </w:tcPr>
          <w:p w:rsidR="00413116" w:rsidRPr="005F0498" w:rsidRDefault="00413116" w:rsidP="008D0EEA">
            <w:pPr>
              <w:jc w:val="both"/>
            </w:pPr>
          </w:p>
        </w:tc>
      </w:tr>
      <w:tr w:rsidR="00413116" w:rsidRPr="00000517" w:rsidTr="008D0EEA">
        <w:tc>
          <w:tcPr>
            <w:tcW w:w="1384" w:type="dxa"/>
          </w:tcPr>
          <w:p w:rsidR="00413116" w:rsidRPr="005F0498" w:rsidRDefault="00413116" w:rsidP="008D0EEA">
            <w:r w:rsidRPr="005F0498">
              <w:t>Доходы от использования муниципального имущества</w:t>
            </w:r>
          </w:p>
        </w:tc>
        <w:tc>
          <w:tcPr>
            <w:tcW w:w="1276" w:type="dxa"/>
          </w:tcPr>
          <w:p w:rsidR="00413116" w:rsidRPr="00AF1B21" w:rsidRDefault="00413116" w:rsidP="008D0EEA">
            <w:pPr>
              <w:jc w:val="both"/>
            </w:pPr>
            <w:r w:rsidRPr="00AF1B21">
              <w:t>178 117,6</w:t>
            </w:r>
          </w:p>
        </w:tc>
        <w:tc>
          <w:tcPr>
            <w:tcW w:w="1276" w:type="dxa"/>
          </w:tcPr>
          <w:p w:rsidR="00413116" w:rsidRPr="00AF1B21" w:rsidRDefault="00413116" w:rsidP="008D0EEA">
            <w:pPr>
              <w:jc w:val="both"/>
            </w:pPr>
            <w:r w:rsidRPr="00AF1B21">
              <w:t>176 225,1</w:t>
            </w:r>
          </w:p>
        </w:tc>
        <w:tc>
          <w:tcPr>
            <w:tcW w:w="1134" w:type="dxa"/>
          </w:tcPr>
          <w:p w:rsidR="00413116" w:rsidRPr="00AF1B21" w:rsidRDefault="00413116" w:rsidP="008D0EEA">
            <w:pPr>
              <w:jc w:val="both"/>
            </w:pPr>
            <w:r w:rsidRPr="00AF1B21">
              <w:t>-1 892,5</w:t>
            </w:r>
          </w:p>
        </w:tc>
        <w:tc>
          <w:tcPr>
            <w:tcW w:w="1226" w:type="dxa"/>
          </w:tcPr>
          <w:p w:rsidR="00413116" w:rsidRPr="00AF1B21" w:rsidRDefault="00413116" w:rsidP="008D0EEA">
            <w:pPr>
              <w:jc w:val="both"/>
            </w:pPr>
            <w:r w:rsidRPr="00AF1B21">
              <w:t>178 117,6</w:t>
            </w:r>
          </w:p>
        </w:tc>
        <w:tc>
          <w:tcPr>
            <w:tcW w:w="1183" w:type="dxa"/>
          </w:tcPr>
          <w:p w:rsidR="00413116" w:rsidRPr="00AF1B21" w:rsidRDefault="00413116" w:rsidP="008D0EEA">
            <w:pPr>
              <w:jc w:val="both"/>
            </w:pPr>
            <w:r w:rsidRPr="00AF1B21">
              <w:t>172 854,5</w:t>
            </w:r>
          </w:p>
        </w:tc>
        <w:tc>
          <w:tcPr>
            <w:tcW w:w="1134" w:type="dxa"/>
          </w:tcPr>
          <w:p w:rsidR="00413116" w:rsidRPr="005F0498" w:rsidRDefault="00413116" w:rsidP="008D0EEA">
            <w:pPr>
              <w:jc w:val="both"/>
            </w:pPr>
            <w:r>
              <w:t>5 263,1</w:t>
            </w:r>
          </w:p>
        </w:tc>
        <w:tc>
          <w:tcPr>
            <w:tcW w:w="1241" w:type="dxa"/>
          </w:tcPr>
          <w:p w:rsidR="00413116" w:rsidRPr="005F0498" w:rsidRDefault="00413116" w:rsidP="008D0EEA">
            <w:pPr>
              <w:jc w:val="both"/>
            </w:pPr>
            <w:r>
              <w:t>172 854,5</w:t>
            </w:r>
          </w:p>
        </w:tc>
      </w:tr>
      <w:tr w:rsidR="00413116" w:rsidRPr="00000517" w:rsidTr="008D0EEA">
        <w:tc>
          <w:tcPr>
            <w:tcW w:w="1384" w:type="dxa"/>
          </w:tcPr>
          <w:p w:rsidR="00413116" w:rsidRPr="005F0498" w:rsidRDefault="00413116" w:rsidP="008D0EEA">
            <w:r>
              <w:t>Доходы от продажи материальных и нематериальных активов</w:t>
            </w:r>
          </w:p>
        </w:tc>
        <w:tc>
          <w:tcPr>
            <w:tcW w:w="1276" w:type="dxa"/>
          </w:tcPr>
          <w:p w:rsidR="00413116" w:rsidRPr="00AF1B21" w:rsidRDefault="00413116" w:rsidP="008D0EEA">
            <w:pPr>
              <w:jc w:val="both"/>
            </w:pPr>
            <w:r w:rsidRPr="00AF1B21">
              <w:t>38 515,1</w:t>
            </w:r>
          </w:p>
        </w:tc>
        <w:tc>
          <w:tcPr>
            <w:tcW w:w="1276" w:type="dxa"/>
          </w:tcPr>
          <w:p w:rsidR="00413116" w:rsidRPr="00AF1B21" w:rsidRDefault="00413116" w:rsidP="007E301A">
            <w:pPr>
              <w:jc w:val="both"/>
            </w:pPr>
            <w:r w:rsidRPr="00AF1B21">
              <w:t>4</w:t>
            </w:r>
            <w:r>
              <w:t>7</w:t>
            </w:r>
            <w:r w:rsidRPr="00AF1B21">
              <w:t> </w:t>
            </w:r>
            <w:r>
              <w:t>972</w:t>
            </w:r>
            <w:r w:rsidRPr="00AF1B21">
              <w:t>,</w:t>
            </w:r>
            <w:r>
              <w:t>6</w:t>
            </w:r>
          </w:p>
        </w:tc>
        <w:tc>
          <w:tcPr>
            <w:tcW w:w="1134" w:type="dxa"/>
          </w:tcPr>
          <w:p w:rsidR="00413116" w:rsidRPr="00AF1B21" w:rsidRDefault="00413116" w:rsidP="008D0EEA">
            <w:pPr>
              <w:jc w:val="both"/>
            </w:pPr>
            <w:r w:rsidRPr="00AF1B21">
              <w:t>2 253,0</w:t>
            </w:r>
          </w:p>
        </w:tc>
        <w:tc>
          <w:tcPr>
            <w:tcW w:w="1226" w:type="dxa"/>
          </w:tcPr>
          <w:p w:rsidR="00413116" w:rsidRPr="00AF1B21" w:rsidRDefault="00413116" w:rsidP="008D0EEA">
            <w:pPr>
              <w:jc w:val="both"/>
            </w:pPr>
            <w:r w:rsidRPr="00AF1B21">
              <w:t>40 546,1</w:t>
            </w:r>
          </w:p>
        </w:tc>
        <w:tc>
          <w:tcPr>
            <w:tcW w:w="1183" w:type="dxa"/>
          </w:tcPr>
          <w:p w:rsidR="00413116" w:rsidRPr="00AF1B21" w:rsidRDefault="00413116" w:rsidP="008D0EEA">
            <w:pPr>
              <w:jc w:val="both"/>
            </w:pPr>
            <w:r w:rsidRPr="00AF1B21">
              <w:t>34 924,9</w:t>
            </w:r>
          </w:p>
        </w:tc>
        <w:tc>
          <w:tcPr>
            <w:tcW w:w="1134" w:type="dxa"/>
          </w:tcPr>
          <w:p w:rsidR="00413116" w:rsidRPr="005F0498" w:rsidRDefault="00413116" w:rsidP="008D0EEA">
            <w:pPr>
              <w:jc w:val="both"/>
            </w:pPr>
            <w:r>
              <w:t xml:space="preserve">5 621,2 </w:t>
            </w:r>
          </w:p>
        </w:tc>
        <w:tc>
          <w:tcPr>
            <w:tcW w:w="1241" w:type="dxa"/>
          </w:tcPr>
          <w:p w:rsidR="00413116" w:rsidRPr="005F0498" w:rsidRDefault="00413116" w:rsidP="008D0EEA">
            <w:pPr>
              <w:jc w:val="both"/>
            </w:pPr>
            <w:r>
              <w:t>24 334,8</w:t>
            </w:r>
          </w:p>
        </w:tc>
      </w:tr>
      <w:tr w:rsidR="00413116" w:rsidRPr="00000517" w:rsidTr="008D0EEA">
        <w:tc>
          <w:tcPr>
            <w:tcW w:w="1384" w:type="dxa"/>
          </w:tcPr>
          <w:p w:rsidR="00413116" w:rsidRPr="005F0498" w:rsidRDefault="00413116" w:rsidP="008D0EEA">
            <w:r w:rsidRPr="005F0498">
              <w:t>Безвозмездные поступления от других бюджетов</w:t>
            </w:r>
          </w:p>
        </w:tc>
        <w:tc>
          <w:tcPr>
            <w:tcW w:w="1276" w:type="dxa"/>
          </w:tcPr>
          <w:p w:rsidR="00413116" w:rsidRPr="00AF1B21" w:rsidRDefault="00413116" w:rsidP="008D0EEA">
            <w:pPr>
              <w:jc w:val="both"/>
            </w:pPr>
            <w:r w:rsidRPr="00AF1B21">
              <w:t>2 013 041,7</w:t>
            </w:r>
          </w:p>
        </w:tc>
        <w:tc>
          <w:tcPr>
            <w:tcW w:w="1276" w:type="dxa"/>
          </w:tcPr>
          <w:p w:rsidR="00413116" w:rsidRPr="00AF1B21" w:rsidRDefault="00413116" w:rsidP="008D0EEA">
            <w:pPr>
              <w:jc w:val="both"/>
            </w:pPr>
            <w:r w:rsidRPr="00AF1B21">
              <w:t>1 784 926,5</w:t>
            </w:r>
          </w:p>
        </w:tc>
        <w:tc>
          <w:tcPr>
            <w:tcW w:w="1134" w:type="dxa"/>
          </w:tcPr>
          <w:p w:rsidR="00413116" w:rsidRPr="00AF1B21" w:rsidRDefault="00413116" w:rsidP="008D0EEA">
            <w:pPr>
              <w:jc w:val="both"/>
            </w:pPr>
            <w:r w:rsidRPr="00AF1B21">
              <w:t>-228 115,2</w:t>
            </w:r>
          </w:p>
        </w:tc>
        <w:tc>
          <w:tcPr>
            <w:tcW w:w="1226" w:type="dxa"/>
          </w:tcPr>
          <w:p w:rsidR="00413116" w:rsidRPr="00AF1B21" w:rsidRDefault="00413116" w:rsidP="008D0EEA">
            <w:pPr>
              <w:jc w:val="both"/>
            </w:pPr>
            <w:r w:rsidRPr="00AF1B21">
              <w:t>2 039 749,5</w:t>
            </w:r>
          </w:p>
        </w:tc>
        <w:tc>
          <w:tcPr>
            <w:tcW w:w="1183" w:type="dxa"/>
          </w:tcPr>
          <w:p w:rsidR="00413116" w:rsidRPr="00AF1B21" w:rsidRDefault="00413116" w:rsidP="008D0EEA">
            <w:pPr>
              <w:jc w:val="both"/>
            </w:pPr>
            <w:r w:rsidRPr="00AF1B21">
              <w:t>1 752 063,6</w:t>
            </w:r>
          </w:p>
        </w:tc>
        <w:tc>
          <w:tcPr>
            <w:tcW w:w="1134" w:type="dxa"/>
          </w:tcPr>
          <w:p w:rsidR="00413116" w:rsidRPr="005F0498" w:rsidRDefault="00413116" w:rsidP="008D0EEA">
            <w:pPr>
              <w:jc w:val="both"/>
            </w:pPr>
            <w:r>
              <w:t>-287 685,9</w:t>
            </w:r>
          </w:p>
        </w:tc>
        <w:tc>
          <w:tcPr>
            <w:tcW w:w="1241" w:type="dxa"/>
          </w:tcPr>
          <w:p w:rsidR="00413116" w:rsidRPr="005F0498" w:rsidRDefault="00413116" w:rsidP="008D0EEA">
            <w:pPr>
              <w:jc w:val="both"/>
            </w:pPr>
            <w:r>
              <w:t>1 732 086,2</w:t>
            </w:r>
          </w:p>
        </w:tc>
      </w:tr>
      <w:tr w:rsidR="00413116" w:rsidRPr="00000517" w:rsidTr="008D0EEA">
        <w:tc>
          <w:tcPr>
            <w:tcW w:w="1384" w:type="dxa"/>
          </w:tcPr>
          <w:p w:rsidR="00413116" w:rsidRPr="005F0498" w:rsidRDefault="00413116" w:rsidP="008D0EEA">
            <w:r w:rsidRPr="005F0498">
              <w:t>в т.ч.:</w:t>
            </w:r>
          </w:p>
        </w:tc>
        <w:tc>
          <w:tcPr>
            <w:tcW w:w="1276" w:type="dxa"/>
          </w:tcPr>
          <w:p w:rsidR="00413116" w:rsidRPr="00AF1B21" w:rsidRDefault="00413116" w:rsidP="008D0EEA">
            <w:pPr>
              <w:jc w:val="both"/>
            </w:pPr>
          </w:p>
        </w:tc>
        <w:tc>
          <w:tcPr>
            <w:tcW w:w="1276" w:type="dxa"/>
          </w:tcPr>
          <w:p w:rsidR="00413116" w:rsidRPr="00AF1B21" w:rsidRDefault="00413116" w:rsidP="008D0EEA">
            <w:pPr>
              <w:jc w:val="both"/>
            </w:pPr>
          </w:p>
        </w:tc>
        <w:tc>
          <w:tcPr>
            <w:tcW w:w="1134" w:type="dxa"/>
          </w:tcPr>
          <w:p w:rsidR="00413116" w:rsidRPr="00AF1B21" w:rsidRDefault="00413116" w:rsidP="008D0EEA">
            <w:pPr>
              <w:jc w:val="both"/>
            </w:pPr>
          </w:p>
        </w:tc>
        <w:tc>
          <w:tcPr>
            <w:tcW w:w="1226" w:type="dxa"/>
          </w:tcPr>
          <w:p w:rsidR="00413116" w:rsidRPr="00AF1B21" w:rsidRDefault="00413116" w:rsidP="008D0EEA">
            <w:pPr>
              <w:jc w:val="both"/>
            </w:pPr>
          </w:p>
        </w:tc>
        <w:tc>
          <w:tcPr>
            <w:tcW w:w="1183" w:type="dxa"/>
          </w:tcPr>
          <w:p w:rsidR="00413116" w:rsidRPr="00AF1B21" w:rsidRDefault="00413116" w:rsidP="008D0EEA">
            <w:pPr>
              <w:jc w:val="both"/>
            </w:pPr>
          </w:p>
        </w:tc>
        <w:tc>
          <w:tcPr>
            <w:tcW w:w="1134" w:type="dxa"/>
          </w:tcPr>
          <w:p w:rsidR="00413116" w:rsidRPr="005F0498" w:rsidRDefault="00413116" w:rsidP="008D0EEA">
            <w:pPr>
              <w:jc w:val="both"/>
            </w:pPr>
          </w:p>
        </w:tc>
        <w:tc>
          <w:tcPr>
            <w:tcW w:w="1241" w:type="dxa"/>
          </w:tcPr>
          <w:p w:rsidR="00413116" w:rsidRPr="005F0498" w:rsidRDefault="00413116" w:rsidP="008D0EEA">
            <w:pPr>
              <w:jc w:val="both"/>
            </w:pPr>
          </w:p>
        </w:tc>
      </w:tr>
      <w:tr w:rsidR="00413116" w:rsidRPr="00000517" w:rsidTr="008D0EEA">
        <w:tc>
          <w:tcPr>
            <w:tcW w:w="1384" w:type="dxa"/>
          </w:tcPr>
          <w:p w:rsidR="00413116" w:rsidRPr="005F0498" w:rsidRDefault="00413116" w:rsidP="008D0EEA">
            <w:r w:rsidRPr="005F0498">
              <w:t>Дотации</w:t>
            </w:r>
          </w:p>
        </w:tc>
        <w:tc>
          <w:tcPr>
            <w:tcW w:w="1276" w:type="dxa"/>
          </w:tcPr>
          <w:p w:rsidR="00413116" w:rsidRPr="00AF1B21" w:rsidRDefault="00413116" w:rsidP="008D0EEA">
            <w:pPr>
              <w:jc w:val="both"/>
            </w:pPr>
            <w:r w:rsidRPr="00AF1B21">
              <w:t>285 515,7</w:t>
            </w:r>
          </w:p>
        </w:tc>
        <w:tc>
          <w:tcPr>
            <w:tcW w:w="1276" w:type="dxa"/>
          </w:tcPr>
          <w:p w:rsidR="00413116" w:rsidRPr="00AF1B21" w:rsidRDefault="00413116" w:rsidP="008D0EEA">
            <w:pPr>
              <w:jc w:val="both"/>
            </w:pPr>
            <w:r w:rsidRPr="00AF1B21">
              <w:t>324 411,6</w:t>
            </w:r>
          </w:p>
        </w:tc>
        <w:tc>
          <w:tcPr>
            <w:tcW w:w="1134" w:type="dxa"/>
          </w:tcPr>
          <w:p w:rsidR="00413116" w:rsidRPr="00AF1B21" w:rsidRDefault="00413116" w:rsidP="008D0EEA">
            <w:pPr>
              <w:jc w:val="both"/>
            </w:pPr>
            <w:r w:rsidRPr="00AF1B21">
              <w:t>38 895,9</w:t>
            </w:r>
          </w:p>
        </w:tc>
        <w:tc>
          <w:tcPr>
            <w:tcW w:w="1226" w:type="dxa"/>
          </w:tcPr>
          <w:p w:rsidR="00413116" w:rsidRPr="00AF1B21" w:rsidRDefault="00413116" w:rsidP="008D0EEA">
            <w:pPr>
              <w:jc w:val="both"/>
            </w:pPr>
            <w:r w:rsidRPr="00AF1B21">
              <w:t>285 515,7</w:t>
            </w:r>
          </w:p>
        </w:tc>
        <w:tc>
          <w:tcPr>
            <w:tcW w:w="1183" w:type="dxa"/>
          </w:tcPr>
          <w:p w:rsidR="00413116" w:rsidRPr="00AF1B21" w:rsidRDefault="00413116" w:rsidP="008D0EEA">
            <w:pPr>
              <w:jc w:val="both"/>
            </w:pPr>
            <w:r w:rsidRPr="00AF1B21">
              <w:t>279 034,1</w:t>
            </w:r>
          </w:p>
        </w:tc>
        <w:tc>
          <w:tcPr>
            <w:tcW w:w="1134" w:type="dxa"/>
          </w:tcPr>
          <w:p w:rsidR="00413116" w:rsidRPr="005F0498" w:rsidRDefault="00413116" w:rsidP="008D0EEA">
            <w:pPr>
              <w:jc w:val="both"/>
            </w:pPr>
            <w:r>
              <w:t>-6 481,6</w:t>
            </w:r>
          </w:p>
        </w:tc>
        <w:tc>
          <w:tcPr>
            <w:tcW w:w="1241" w:type="dxa"/>
          </w:tcPr>
          <w:p w:rsidR="00413116" w:rsidRPr="005F0498" w:rsidRDefault="00413116" w:rsidP="008D0EEA">
            <w:pPr>
              <w:jc w:val="both"/>
            </w:pPr>
            <w:r>
              <w:t>286 302,5</w:t>
            </w:r>
          </w:p>
        </w:tc>
      </w:tr>
      <w:tr w:rsidR="00413116" w:rsidRPr="00000517" w:rsidTr="008D0EEA">
        <w:tc>
          <w:tcPr>
            <w:tcW w:w="1384" w:type="dxa"/>
          </w:tcPr>
          <w:p w:rsidR="00413116" w:rsidRPr="005F0498" w:rsidRDefault="00413116" w:rsidP="008D0EEA">
            <w:r w:rsidRPr="005F0498">
              <w:t>Субсидии</w:t>
            </w:r>
          </w:p>
        </w:tc>
        <w:tc>
          <w:tcPr>
            <w:tcW w:w="1276" w:type="dxa"/>
          </w:tcPr>
          <w:p w:rsidR="00413116" w:rsidRPr="00AF1B21" w:rsidRDefault="00413116" w:rsidP="008D0EEA">
            <w:pPr>
              <w:jc w:val="both"/>
            </w:pPr>
            <w:r w:rsidRPr="00AF1B21">
              <w:t>495 728,2</w:t>
            </w:r>
          </w:p>
        </w:tc>
        <w:tc>
          <w:tcPr>
            <w:tcW w:w="1276" w:type="dxa"/>
          </w:tcPr>
          <w:p w:rsidR="00413116" w:rsidRPr="00AF1B21" w:rsidRDefault="00413116" w:rsidP="008D0EEA">
            <w:pPr>
              <w:jc w:val="both"/>
            </w:pPr>
            <w:r w:rsidRPr="00AF1B21">
              <w:t>130 703,1</w:t>
            </w:r>
          </w:p>
        </w:tc>
        <w:tc>
          <w:tcPr>
            <w:tcW w:w="1134" w:type="dxa"/>
          </w:tcPr>
          <w:p w:rsidR="00413116" w:rsidRPr="00AF1B21" w:rsidRDefault="00413116" w:rsidP="008D0EEA">
            <w:pPr>
              <w:jc w:val="both"/>
            </w:pPr>
            <w:r w:rsidRPr="00AF1B21">
              <w:t>-365 025,1</w:t>
            </w:r>
          </w:p>
        </w:tc>
        <w:tc>
          <w:tcPr>
            <w:tcW w:w="1226" w:type="dxa"/>
          </w:tcPr>
          <w:p w:rsidR="00413116" w:rsidRPr="00AF1B21" w:rsidRDefault="00413116" w:rsidP="008D0EEA">
            <w:pPr>
              <w:jc w:val="both"/>
            </w:pPr>
            <w:r w:rsidRPr="00AF1B21">
              <w:t>534 607,1</w:t>
            </w:r>
          </w:p>
        </w:tc>
        <w:tc>
          <w:tcPr>
            <w:tcW w:w="1183" w:type="dxa"/>
          </w:tcPr>
          <w:p w:rsidR="00413116" w:rsidRPr="00AF1B21" w:rsidRDefault="00413116" w:rsidP="008D0EEA">
            <w:pPr>
              <w:jc w:val="both"/>
            </w:pPr>
            <w:r w:rsidRPr="00AF1B21">
              <w:t>142 011,3</w:t>
            </w:r>
          </w:p>
        </w:tc>
        <w:tc>
          <w:tcPr>
            <w:tcW w:w="1134" w:type="dxa"/>
          </w:tcPr>
          <w:p w:rsidR="00413116" w:rsidRPr="005F0498" w:rsidRDefault="00413116" w:rsidP="008D0EEA">
            <w:pPr>
              <w:jc w:val="both"/>
            </w:pPr>
            <w:r>
              <w:t>-392 595,8</w:t>
            </w:r>
          </w:p>
        </w:tc>
        <w:tc>
          <w:tcPr>
            <w:tcW w:w="1241" w:type="dxa"/>
          </w:tcPr>
          <w:p w:rsidR="00413116" w:rsidRPr="005F0498" w:rsidRDefault="00413116" w:rsidP="008D0EEA">
            <w:pPr>
              <w:jc w:val="both"/>
            </w:pPr>
            <w:r>
              <w:t>111 666,7</w:t>
            </w:r>
          </w:p>
        </w:tc>
      </w:tr>
      <w:tr w:rsidR="00413116" w:rsidRPr="00000517" w:rsidTr="008D0EEA">
        <w:tc>
          <w:tcPr>
            <w:tcW w:w="1384" w:type="dxa"/>
          </w:tcPr>
          <w:p w:rsidR="00413116" w:rsidRPr="005F0498" w:rsidRDefault="00413116" w:rsidP="008D0EEA">
            <w:r w:rsidRPr="005F0498">
              <w:t>Субвенции</w:t>
            </w:r>
          </w:p>
        </w:tc>
        <w:tc>
          <w:tcPr>
            <w:tcW w:w="1276" w:type="dxa"/>
          </w:tcPr>
          <w:p w:rsidR="00413116" w:rsidRPr="00AF1B21" w:rsidRDefault="00413116" w:rsidP="008D0EEA">
            <w:pPr>
              <w:jc w:val="both"/>
            </w:pPr>
            <w:r w:rsidRPr="00AF1B21">
              <w:t>1 230 103,5</w:t>
            </w:r>
          </w:p>
        </w:tc>
        <w:tc>
          <w:tcPr>
            <w:tcW w:w="1276" w:type="dxa"/>
          </w:tcPr>
          <w:p w:rsidR="00413116" w:rsidRPr="00AF1B21" w:rsidRDefault="00413116" w:rsidP="008D0EEA">
            <w:pPr>
              <w:jc w:val="both"/>
            </w:pPr>
            <w:r w:rsidRPr="00AF1B21">
              <w:t>1 328 008,1</w:t>
            </w:r>
          </w:p>
        </w:tc>
        <w:tc>
          <w:tcPr>
            <w:tcW w:w="1134" w:type="dxa"/>
          </w:tcPr>
          <w:p w:rsidR="00413116" w:rsidRPr="00AF1B21" w:rsidRDefault="00413116" w:rsidP="008D0EEA">
            <w:pPr>
              <w:jc w:val="both"/>
            </w:pPr>
            <w:r w:rsidRPr="00AF1B21">
              <w:t>97 904,6</w:t>
            </w:r>
          </w:p>
        </w:tc>
        <w:tc>
          <w:tcPr>
            <w:tcW w:w="1226" w:type="dxa"/>
          </w:tcPr>
          <w:p w:rsidR="00413116" w:rsidRPr="00AF1B21" w:rsidRDefault="00413116" w:rsidP="008D0EEA">
            <w:pPr>
              <w:jc w:val="both"/>
            </w:pPr>
            <w:r w:rsidRPr="00AF1B21">
              <w:t>1 217 770,5</w:t>
            </w:r>
          </w:p>
        </w:tc>
        <w:tc>
          <w:tcPr>
            <w:tcW w:w="1183" w:type="dxa"/>
          </w:tcPr>
          <w:p w:rsidR="00413116" w:rsidRPr="00AF1B21" w:rsidRDefault="00413116" w:rsidP="008D0EEA">
            <w:pPr>
              <w:jc w:val="both"/>
            </w:pPr>
            <w:r w:rsidRPr="00AF1B21">
              <w:t>1 329 201,1</w:t>
            </w:r>
          </w:p>
        </w:tc>
        <w:tc>
          <w:tcPr>
            <w:tcW w:w="1134" w:type="dxa"/>
          </w:tcPr>
          <w:p w:rsidR="00413116" w:rsidRPr="005F0498" w:rsidRDefault="00413116" w:rsidP="008D0EEA">
            <w:pPr>
              <w:jc w:val="both"/>
            </w:pPr>
            <w:r>
              <w:t>111 430,6</w:t>
            </w:r>
          </w:p>
        </w:tc>
        <w:tc>
          <w:tcPr>
            <w:tcW w:w="1241" w:type="dxa"/>
          </w:tcPr>
          <w:p w:rsidR="00413116" w:rsidRPr="005F0498" w:rsidRDefault="00413116" w:rsidP="008D0EEA">
            <w:pPr>
              <w:jc w:val="both"/>
            </w:pPr>
            <w:r>
              <w:t>1 332 299,9</w:t>
            </w:r>
          </w:p>
        </w:tc>
      </w:tr>
      <w:tr w:rsidR="00413116" w:rsidRPr="00000517" w:rsidTr="008D0EEA">
        <w:tc>
          <w:tcPr>
            <w:tcW w:w="1384" w:type="dxa"/>
          </w:tcPr>
          <w:p w:rsidR="00413116" w:rsidRPr="005F0498" w:rsidRDefault="00413116" w:rsidP="008D0EEA">
            <w:r w:rsidRPr="005F0498">
              <w:t>Иные межбюдж</w:t>
            </w:r>
            <w:r>
              <w:t xml:space="preserve">. </w:t>
            </w:r>
            <w:r w:rsidRPr="005F0498">
              <w:t>траснферты</w:t>
            </w:r>
          </w:p>
        </w:tc>
        <w:tc>
          <w:tcPr>
            <w:tcW w:w="1276" w:type="dxa"/>
          </w:tcPr>
          <w:p w:rsidR="00413116" w:rsidRPr="00AF1B21" w:rsidRDefault="00413116" w:rsidP="008D0EEA">
            <w:pPr>
              <w:jc w:val="both"/>
            </w:pPr>
            <w:r w:rsidRPr="00AF1B21">
              <w:t>1 694,3</w:t>
            </w:r>
          </w:p>
        </w:tc>
        <w:tc>
          <w:tcPr>
            <w:tcW w:w="1276" w:type="dxa"/>
          </w:tcPr>
          <w:p w:rsidR="00413116" w:rsidRPr="00AF1B21" w:rsidRDefault="00413116" w:rsidP="008D0EEA">
            <w:pPr>
              <w:jc w:val="both"/>
            </w:pPr>
            <w:r w:rsidRPr="00AF1B21">
              <w:t>1 803,7</w:t>
            </w:r>
          </w:p>
        </w:tc>
        <w:tc>
          <w:tcPr>
            <w:tcW w:w="1134" w:type="dxa"/>
          </w:tcPr>
          <w:p w:rsidR="00413116" w:rsidRPr="00AF1B21" w:rsidRDefault="00413116" w:rsidP="008D0EEA">
            <w:pPr>
              <w:jc w:val="both"/>
            </w:pPr>
            <w:r w:rsidRPr="00AF1B21">
              <w:t>109,4</w:t>
            </w:r>
          </w:p>
        </w:tc>
        <w:tc>
          <w:tcPr>
            <w:tcW w:w="1226" w:type="dxa"/>
          </w:tcPr>
          <w:p w:rsidR="00413116" w:rsidRPr="00AF1B21" w:rsidRDefault="00413116" w:rsidP="008D0EEA">
            <w:pPr>
              <w:jc w:val="both"/>
            </w:pPr>
            <w:r w:rsidRPr="00AF1B21">
              <w:t>1 856,2</w:t>
            </w:r>
          </w:p>
        </w:tc>
        <w:tc>
          <w:tcPr>
            <w:tcW w:w="1183" w:type="dxa"/>
          </w:tcPr>
          <w:p w:rsidR="00413116" w:rsidRPr="00AF1B21" w:rsidRDefault="00413116" w:rsidP="008D0EEA">
            <w:pPr>
              <w:jc w:val="both"/>
            </w:pPr>
            <w:r w:rsidRPr="00AF1B21">
              <w:t>1 817,1</w:t>
            </w:r>
          </w:p>
        </w:tc>
        <w:tc>
          <w:tcPr>
            <w:tcW w:w="1134" w:type="dxa"/>
          </w:tcPr>
          <w:p w:rsidR="00413116" w:rsidRPr="005F0498" w:rsidRDefault="00413116" w:rsidP="008D0EEA">
            <w:pPr>
              <w:jc w:val="both"/>
            </w:pPr>
            <w:r>
              <w:t>-39,1</w:t>
            </w:r>
          </w:p>
        </w:tc>
        <w:tc>
          <w:tcPr>
            <w:tcW w:w="1241" w:type="dxa"/>
          </w:tcPr>
          <w:p w:rsidR="00413116" w:rsidRPr="005F0498" w:rsidRDefault="00413116" w:rsidP="008D0EEA">
            <w:pPr>
              <w:jc w:val="both"/>
            </w:pPr>
            <w:r>
              <w:t>1 817,1</w:t>
            </w:r>
          </w:p>
        </w:tc>
      </w:tr>
    </w:tbl>
    <w:p w:rsidR="00413116" w:rsidRPr="00000517" w:rsidRDefault="00413116" w:rsidP="006E2EBE">
      <w:pPr>
        <w:spacing w:line="360" w:lineRule="auto"/>
        <w:ind w:firstLine="539"/>
        <w:jc w:val="both"/>
      </w:pPr>
    </w:p>
    <w:p w:rsidR="00413116" w:rsidRPr="00492136" w:rsidRDefault="00413116" w:rsidP="006E2EBE">
      <w:pPr>
        <w:spacing w:line="360" w:lineRule="auto"/>
        <w:ind w:firstLine="539"/>
        <w:jc w:val="both"/>
        <w:rPr>
          <w:sz w:val="24"/>
          <w:szCs w:val="24"/>
        </w:rPr>
      </w:pPr>
      <w:r w:rsidRPr="00492136">
        <w:rPr>
          <w:sz w:val="24"/>
          <w:szCs w:val="24"/>
        </w:rPr>
        <w:t xml:space="preserve">Примечание: </w:t>
      </w:r>
    </w:p>
    <w:p w:rsidR="00413116" w:rsidRPr="00A26EAB" w:rsidRDefault="00413116" w:rsidP="006E2EBE">
      <w:pPr>
        <w:spacing w:line="360" w:lineRule="auto"/>
        <w:ind w:firstLine="539"/>
        <w:jc w:val="both"/>
        <w:rPr>
          <w:sz w:val="24"/>
          <w:szCs w:val="24"/>
        </w:rPr>
      </w:pPr>
      <w:r w:rsidRPr="00492136">
        <w:rPr>
          <w:sz w:val="24"/>
          <w:szCs w:val="24"/>
        </w:rPr>
        <w:lastRenderedPageBreak/>
        <w:t>* Показатели налога на доходы физических лиц, соответствуют нормативу зачисления в бюджет города в размере 201</w:t>
      </w:r>
      <w:r>
        <w:rPr>
          <w:sz w:val="24"/>
          <w:szCs w:val="24"/>
        </w:rPr>
        <w:t>8</w:t>
      </w:r>
      <w:r w:rsidRPr="00492136">
        <w:rPr>
          <w:sz w:val="24"/>
          <w:szCs w:val="24"/>
        </w:rPr>
        <w:t xml:space="preserve"> </w:t>
      </w:r>
      <w:r>
        <w:rPr>
          <w:sz w:val="24"/>
          <w:szCs w:val="24"/>
        </w:rPr>
        <w:t xml:space="preserve">– 38,3%; 2019 </w:t>
      </w:r>
      <w:r w:rsidRPr="00492136">
        <w:rPr>
          <w:sz w:val="24"/>
          <w:szCs w:val="24"/>
        </w:rPr>
        <w:t>-</w:t>
      </w:r>
      <w:r>
        <w:rPr>
          <w:sz w:val="24"/>
          <w:szCs w:val="24"/>
        </w:rPr>
        <w:t xml:space="preserve"> 38,2</w:t>
      </w:r>
      <w:r w:rsidRPr="00492136">
        <w:rPr>
          <w:sz w:val="24"/>
          <w:szCs w:val="24"/>
        </w:rPr>
        <w:t>%; 20</w:t>
      </w:r>
      <w:r>
        <w:rPr>
          <w:sz w:val="24"/>
          <w:szCs w:val="24"/>
        </w:rPr>
        <w:t>20 – 38,1</w:t>
      </w:r>
      <w:r w:rsidRPr="00492136">
        <w:rPr>
          <w:sz w:val="24"/>
          <w:szCs w:val="24"/>
        </w:rPr>
        <w:t>%</w:t>
      </w:r>
      <w:r>
        <w:rPr>
          <w:sz w:val="24"/>
          <w:szCs w:val="24"/>
        </w:rPr>
        <w:t xml:space="preserve"> (решение Думы города </w:t>
      </w:r>
      <w:r w:rsidRPr="00A26EAB">
        <w:rPr>
          <w:color w:val="000000"/>
          <w:sz w:val="24"/>
          <w:szCs w:val="24"/>
        </w:rPr>
        <w:t>от 26.09.2017 №109</w:t>
      </w:r>
      <w:r w:rsidRPr="00A26EAB">
        <w:rPr>
          <w:sz w:val="24"/>
          <w:szCs w:val="24"/>
        </w:rPr>
        <w:t>).</w:t>
      </w:r>
    </w:p>
    <w:p w:rsidR="00413116" w:rsidRDefault="00413116" w:rsidP="006E2EBE">
      <w:pPr>
        <w:autoSpaceDE w:val="0"/>
        <w:autoSpaceDN w:val="0"/>
        <w:adjustRightInd w:val="0"/>
        <w:spacing w:line="360" w:lineRule="auto"/>
        <w:ind w:firstLine="539"/>
        <w:jc w:val="both"/>
        <w:rPr>
          <w:color w:val="000000"/>
          <w:sz w:val="28"/>
          <w:szCs w:val="28"/>
        </w:rPr>
      </w:pPr>
      <w:r>
        <w:rPr>
          <w:color w:val="000000"/>
          <w:sz w:val="28"/>
          <w:szCs w:val="28"/>
        </w:rPr>
        <w:t>Н</w:t>
      </w:r>
      <w:r>
        <w:rPr>
          <w:sz w:val="28"/>
          <w:szCs w:val="28"/>
        </w:rPr>
        <w:t>ормативы отчислений НДФЛ</w:t>
      </w:r>
      <w:r>
        <w:rPr>
          <w:color w:val="000000"/>
          <w:sz w:val="28"/>
          <w:szCs w:val="28"/>
        </w:rPr>
        <w:t xml:space="preserve"> спрогнозированы в соответствии с п</w:t>
      </w:r>
      <w:r w:rsidRPr="0084744F">
        <w:rPr>
          <w:color w:val="000000"/>
          <w:sz w:val="28"/>
          <w:szCs w:val="28"/>
        </w:rPr>
        <w:t>роектируем</w:t>
      </w:r>
      <w:r>
        <w:rPr>
          <w:color w:val="000000"/>
          <w:sz w:val="28"/>
          <w:szCs w:val="28"/>
        </w:rPr>
        <w:t xml:space="preserve">ыми объемами </w:t>
      </w:r>
      <w:r w:rsidRPr="0084744F">
        <w:rPr>
          <w:color w:val="000000"/>
          <w:sz w:val="28"/>
          <w:szCs w:val="28"/>
        </w:rPr>
        <w:t>распределение дотации из регионального фонда финансовой поддержки муниципальных районов (городских округов) и регионального фонда финансовой поддержки поселений, подлежащее замене дополнительным нормативом отчислений от НДФЛ на 2019-2021 годы</w:t>
      </w:r>
      <w:r>
        <w:rPr>
          <w:color w:val="000000"/>
          <w:sz w:val="28"/>
          <w:szCs w:val="28"/>
        </w:rPr>
        <w:t xml:space="preserve"> (письмо ДФ ХМАО – Югры от 05.09.2018 № 20-Исх-3724)</w:t>
      </w:r>
    </w:p>
    <w:p w:rsidR="00413116" w:rsidRDefault="00413116" w:rsidP="006E2EBE">
      <w:pPr>
        <w:autoSpaceDE w:val="0"/>
        <w:autoSpaceDN w:val="0"/>
        <w:adjustRightInd w:val="0"/>
        <w:spacing w:line="360" w:lineRule="auto"/>
        <w:ind w:firstLine="539"/>
        <w:jc w:val="both"/>
        <w:rPr>
          <w:color w:val="000000"/>
          <w:sz w:val="28"/>
          <w:szCs w:val="28"/>
        </w:rPr>
      </w:pPr>
      <w:r>
        <w:rPr>
          <w:color w:val="000000"/>
          <w:sz w:val="28"/>
          <w:szCs w:val="28"/>
        </w:rPr>
        <w:t>в размерах:</w:t>
      </w:r>
    </w:p>
    <w:p w:rsidR="00413116" w:rsidRDefault="00413116" w:rsidP="006E2EBE">
      <w:pPr>
        <w:autoSpaceDE w:val="0"/>
        <w:autoSpaceDN w:val="0"/>
        <w:adjustRightInd w:val="0"/>
        <w:spacing w:line="360" w:lineRule="auto"/>
        <w:ind w:firstLine="539"/>
        <w:jc w:val="both"/>
        <w:rPr>
          <w:color w:val="000000"/>
          <w:sz w:val="28"/>
          <w:szCs w:val="28"/>
        </w:rPr>
      </w:pPr>
      <w:r>
        <w:rPr>
          <w:color w:val="000000"/>
          <w:sz w:val="28"/>
          <w:szCs w:val="28"/>
        </w:rPr>
        <w:t>на 2019 год – 42,44%;</w:t>
      </w:r>
    </w:p>
    <w:p w:rsidR="00413116" w:rsidRDefault="00413116" w:rsidP="006E2EBE">
      <w:pPr>
        <w:autoSpaceDE w:val="0"/>
        <w:autoSpaceDN w:val="0"/>
        <w:adjustRightInd w:val="0"/>
        <w:spacing w:line="360" w:lineRule="auto"/>
        <w:ind w:firstLine="539"/>
        <w:jc w:val="both"/>
        <w:rPr>
          <w:color w:val="000000"/>
          <w:sz w:val="28"/>
          <w:szCs w:val="28"/>
        </w:rPr>
      </w:pPr>
      <w:r>
        <w:rPr>
          <w:color w:val="000000"/>
          <w:sz w:val="28"/>
          <w:szCs w:val="28"/>
        </w:rPr>
        <w:t>на 2020 год – 40,95%;</w:t>
      </w:r>
    </w:p>
    <w:p w:rsidR="00413116" w:rsidRDefault="00413116" w:rsidP="006E2EBE">
      <w:pPr>
        <w:autoSpaceDE w:val="0"/>
        <w:autoSpaceDN w:val="0"/>
        <w:adjustRightInd w:val="0"/>
        <w:spacing w:line="360" w:lineRule="auto"/>
        <w:ind w:firstLine="539"/>
        <w:jc w:val="both"/>
        <w:rPr>
          <w:color w:val="000000"/>
          <w:sz w:val="28"/>
          <w:szCs w:val="28"/>
        </w:rPr>
      </w:pPr>
      <w:r>
        <w:rPr>
          <w:color w:val="000000"/>
          <w:sz w:val="28"/>
          <w:szCs w:val="28"/>
        </w:rPr>
        <w:t xml:space="preserve">на 2021 год – 40,82%. </w:t>
      </w:r>
    </w:p>
    <w:p w:rsidR="00413116" w:rsidRDefault="00413116" w:rsidP="00125FE3">
      <w:pPr>
        <w:spacing w:line="360" w:lineRule="auto"/>
        <w:ind w:firstLine="539"/>
        <w:jc w:val="both"/>
        <w:rPr>
          <w:sz w:val="28"/>
          <w:szCs w:val="28"/>
        </w:rPr>
      </w:pPr>
      <w:r>
        <w:rPr>
          <w:sz w:val="28"/>
          <w:szCs w:val="28"/>
        </w:rPr>
        <w:t xml:space="preserve">В связи с изменением механизма предоставления финансовой помощи из бюджета автономного округа на обеспечение расходных обязательств местных бюджетов, связанных с выплатой заработной платы работникам бюджетной сферы и обеспечением мероприятий по организации питания обучающихся общеобразовательных организаций, планируется передача из регионального бюджета в бюджеты муниципальных образований единого норматива </w:t>
      </w:r>
      <w:r>
        <w:rPr>
          <w:sz w:val="28"/>
          <w:szCs w:val="28"/>
        </w:rPr>
        <w:lastRenderedPageBreak/>
        <w:t>отчислений от налога на доходы физических лиц в размере 1,5%.</w:t>
      </w:r>
    </w:p>
    <w:p w:rsidR="00413116" w:rsidRDefault="00413116" w:rsidP="00125FE3">
      <w:pPr>
        <w:autoSpaceDE w:val="0"/>
        <w:autoSpaceDN w:val="0"/>
        <w:adjustRightInd w:val="0"/>
        <w:spacing w:line="360" w:lineRule="auto"/>
        <w:ind w:firstLine="539"/>
        <w:jc w:val="both"/>
        <w:rPr>
          <w:sz w:val="28"/>
          <w:szCs w:val="28"/>
        </w:rPr>
      </w:pPr>
      <w:r>
        <w:rPr>
          <w:color w:val="000000"/>
          <w:sz w:val="28"/>
          <w:szCs w:val="28"/>
        </w:rPr>
        <w:t xml:space="preserve">В целом налоговые и неналоговые доходы спрогнозированы с увеличением к утвержденному бюджету 2018-2020 года. </w:t>
      </w:r>
    </w:p>
    <w:p w:rsidR="00413116" w:rsidRDefault="00413116" w:rsidP="00125FE3">
      <w:pPr>
        <w:spacing w:line="360" w:lineRule="auto"/>
        <w:ind w:firstLine="539"/>
        <w:jc w:val="both"/>
        <w:rPr>
          <w:sz w:val="28"/>
          <w:szCs w:val="28"/>
        </w:rPr>
      </w:pPr>
      <w:r w:rsidRPr="00E37941">
        <w:rPr>
          <w:color w:val="000000"/>
          <w:sz w:val="28"/>
          <w:szCs w:val="28"/>
        </w:rPr>
        <w:t>Налог на доходы физических лиц.</w:t>
      </w:r>
      <w:r w:rsidRPr="00E37941">
        <w:rPr>
          <w:i/>
          <w:color w:val="000000"/>
          <w:sz w:val="28"/>
          <w:szCs w:val="28"/>
        </w:rPr>
        <w:t xml:space="preserve"> </w:t>
      </w:r>
      <w:r>
        <w:rPr>
          <w:sz w:val="28"/>
          <w:szCs w:val="28"/>
        </w:rPr>
        <w:t>Прогнозные назначения планируются исходя из ожидаемой оценки, с учетом темпов роста фонда заработной платы в городе 114,5%, а также с учетом динамики возвратов физическим лицам имущественных вычетов.</w:t>
      </w:r>
    </w:p>
    <w:p w:rsidR="00413116" w:rsidRPr="00492136" w:rsidRDefault="00413116" w:rsidP="00125FE3">
      <w:pPr>
        <w:pStyle w:val="a9"/>
        <w:spacing w:line="360" w:lineRule="auto"/>
        <w:ind w:left="0" w:firstLine="539"/>
        <w:jc w:val="both"/>
        <w:rPr>
          <w:sz w:val="28"/>
          <w:szCs w:val="28"/>
        </w:rPr>
      </w:pPr>
      <w:r>
        <w:rPr>
          <w:color w:val="000000"/>
          <w:sz w:val="28"/>
          <w:szCs w:val="28"/>
        </w:rPr>
        <w:t>Налоги на имущество</w:t>
      </w:r>
      <w:r w:rsidRPr="00E37941">
        <w:rPr>
          <w:color w:val="000000"/>
          <w:sz w:val="28"/>
          <w:szCs w:val="28"/>
        </w:rPr>
        <w:t>.</w:t>
      </w:r>
      <w:r w:rsidRPr="00E37941">
        <w:rPr>
          <w:i/>
          <w:color w:val="000000"/>
          <w:sz w:val="28"/>
          <w:szCs w:val="28"/>
        </w:rPr>
        <w:t xml:space="preserve"> </w:t>
      </w:r>
      <w:r>
        <w:rPr>
          <w:color w:val="000000"/>
          <w:sz w:val="28"/>
          <w:szCs w:val="28"/>
        </w:rPr>
        <w:t>Показатели запланированы исходя из ожидаемой оценки, с учетом роста поступлений по налогу на имущество физических лиц в результате применения коэффициентов переходного</w:t>
      </w:r>
      <w:r w:rsidRPr="00492136">
        <w:rPr>
          <w:sz w:val="28"/>
          <w:szCs w:val="28"/>
        </w:rPr>
        <w:t xml:space="preserve"> </w:t>
      </w:r>
      <w:r>
        <w:rPr>
          <w:sz w:val="28"/>
          <w:szCs w:val="28"/>
        </w:rPr>
        <w:t>периода, а также возможного снижения поступлений земельного налога, в следствии оспаривание кадастровой стоимости земельных участков в сторону уменьшения.</w:t>
      </w:r>
    </w:p>
    <w:p w:rsidR="00413116" w:rsidRPr="00492136" w:rsidRDefault="00413116" w:rsidP="00125FE3">
      <w:pPr>
        <w:widowControl w:val="0"/>
        <w:autoSpaceDE w:val="0"/>
        <w:autoSpaceDN w:val="0"/>
        <w:adjustRightInd w:val="0"/>
        <w:spacing w:line="360" w:lineRule="auto"/>
        <w:ind w:firstLine="539"/>
        <w:contextualSpacing/>
        <w:jc w:val="both"/>
        <w:rPr>
          <w:color w:val="000000"/>
          <w:sz w:val="28"/>
          <w:szCs w:val="28"/>
        </w:rPr>
      </w:pPr>
      <w:r>
        <w:rPr>
          <w:spacing w:val="-4"/>
          <w:sz w:val="28"/>
          <w:szCs w:val="28"/>
        </w:rPr>
        <w:t>В связи с увеличение величины предельного размера доходов для перехода на упрощённую систему налогообложения в 2018 году,</w:t>
      </w:r>
      <w:r w:rsidRPr="00E26813">
        <w:rPr>
          <w:spacing w:val="-4"/>
          <w:sz w:val="28"/>
          <w:szCs w:val="28"/>
        </w:rPr>
        <w:t xml:space="preserve"> </w:t>
      </w:r>
      <w:r>
        <w:rPr>
          <w:spacing w:val="-4"/>
          <w:sz w:val="28"/>
          <w:szCs w:val="28"/>
        </w:rPr>
        <w:t>а также исходя из ожидаемой оценки поступлений, н</w:t>
      </w:r>
      <w:r w:rsidRPr="00E26813">
        <w:rPr>
          <w:spacing w:val="-4"/>
          <w:sz w:val="28"/>
          <w:szCs w:val="28"/>
        </w:rPr>
        <w:t>алоги</w:t>
      </w:r>
      <w:r w:rsidRPr="00E26813">
        <w:rPr>
          <w:color w:val="000000"/>
          <w:sz w:val="28"/>
          <w:szCs w:val="28"/>
        </w:rPr>
        <w:t xml:space="preserve"> на совокупный доход</w:t>
      </w:r>
      <w:r w:rsidRPr="00492136">
        <w:rPr>
          <w:color w:val="000000"/>
          <w:sz w:val="28"/>
          <w:szCs w:val="28"/>
        </w:rPr>
        <w:t xml:space="preserve"> прогнозиру</w:t>
      </w:r>
      <w:r>
        <w:rPr>
          <w:color w:val="000000"/>
          <w:sz w:val="28"/>
          <w:szCs w:val="28"/>
        </w:rPr>
        <w:t>ются с ростом на 114,1</w:t>
      </w:r>
      <w:r w:rsidRPr="00492136">
        <w:rPr>
          <w:color w:val="000000"/>
          <w:sz w:val="28"/>
          <w:szCs w:val="28"/>
        </w:rPr>
        <w:t xml:space="preserve"> %.</w:t>
      </w:r>
    </w:p>
    <w:p w:rsidR="00413116" w:rsidRPr="00FA20EC" w:rsidRDefault="00413116" w:rsidP="00DB3D32">
      <w:pPr>
        <w:pBdr>
          <w:top w:val="single" w:sz="4" w:space="0" w:color="FFFFFF"/>
          <w:left w:val="single" w:sz="4" w:space="0" w:color="FFFFFF"/>
          <w:bottom w:val="single" w:sz="4" w:space="3" w:color="FFFFFF"/>
          <w:right w:val="single" w:sz="4" w:space="0" w:color="FFFFFF"/>
        </w:pBdr>
        <w:spacing w:line="360" w:lineRule="auto"/>
        <w:ind w:firstLine="539"/>
        <w:contextualSpacing/>
        <w:jc w:val="both"/>
        <w:rPr>
          <w:sz w:val="28"/>
          <w:szCs w:val="28"/>
          <w:highlight w:val="yellow"/>
        </w:rPr>
      </w:pPr>
      <w:r w:rsidRPr="000A7BC3">
        <w:rPr>
          <w:sz w:val="28"/>
          <w:szCs w:val="28"/>
        </w:rPr>
        <w:lastRenderedPageBreak/>
        <w:t xml:space="preserve">При формировании источников финансирования дефицита бюджета будет учтена необходимость погашения долговых обязательств в рамках действующих муниципальных контрактов и обеспечения возможного исполнения обязательств по муниципальной гарантии МУП «УГХ», действующей до конца 2019 года. </w:t>
      </w:r>
    </w:p>
    <w:p w:rsidR="00413116" w:rsidRPr="00DB3D32" w:rsidRDefault="00413116" w:rsidP="00E37941">
      <w:pPr>
        <w:spacing w:line="360" w:lineRule="auto"/>
        <w:ind w:firstLine="539"/>
        <w:jc w:val="both"/>
        <w:rPr>
          <w:sz w:val="28"/>
          <w:szCs w:val="28"/>
        </w:rPr>
      </w:pPr>
      <w:r w:rsidRPr="00DB3D32">
        <w:rPr>
          <w:sz w:val="28"/>
          <w:szCs w:val="28"/>
        </w:rPr>
        <w:t>Общие параметры проекта бюджета по расходам определены с учетом прогнозируемого объема доходов и поступлений источников финансирования дефицита бюджета и составляют по годам:</w:t>
      </w:r>
    </w:p>
    <w:p w:rsidR="00413116" w:rsidRPr="00DB3D32" w:rsidRDefault="00413116" w:rsidP="00E37941">
      <w:pPr>
        <w:spacing w:line="360" w:lineRule="auto"/>
        <w:ind w:firstLine="539"/>
        <w:jc w:val="both"/>
        <w:rPr>
          <w:sz w:val="28"/>
          <w:szCs w:val="28"/>
        </w:rPr>
      </w:pPr>
      <w:r w:rsidRPr="00DB3D32">
        <w:rPr>
          <w:sz w:val="28"/>
          <w:szCs w:val="28"/>
        </w:rPr>
        <w:t>- на 201</w:t>
      </w:r>
      <w:r>
        <w:rPr>
          <w:sz w:val="28"/>
          <w:szCs w:val="28"/>
        </w:rPr>
        <w:t>9</w:t>
      </w:r>
      <w:r w:rsidRPr="00DB3D32">
        <w:rPr>
          <w:sz w:val="28"/>
          <w:szCs w:val="28"/>
        </w:rPr>
        <w:t xml:space="preserve"> год –</w:t>
      </w:r>
      <w:r>
        <w:rPr>
          <w:sz w:val="28"/>
          <w:szCs w:val="28"/>
        </w:rPr>
        <w:t>3 018 178,4</w:t>
      </w:r>
      <w:r w:rsidRPr="00DB3D32">
        <w:rPr>
          <w:sz w:val="28"/>
          <w:szCs w:val="28"/>
        </w:rPr>
        <w:t xml:space="preserve"> </w:t>
      </w:r>
      <w:r>
        <w:rPr>
          <w:sz w:val="28"/>
          <w:szCs w:val="28"/>
        </w:rPr>
        <w:t>тыс</w:t>
      </w:r>
      <w:r w:rsidRPr="00DB3D32">
        <w:rPr>
          <w:sz w:val="28"/>
          <w:szCs w:val="28"/>
        </w:rPr>
        <w:t>. рублей;</w:t>
      </w:r>
    </w:p>
    <w:p w:rsidR="00413116" w:rsidRPr="00DB3D32" w:rsidRDefault="00413116" w:rsidP="00E37941">
      <w:pPr>
        <w:spacing w:line="360" w:lineRule="auto"/>
        <w:ind w:firstLine="539"/>
        <w:jc w:val="both"/>
        <w:rPr>
          <w:sz w:val="28"/>
          <w:szCs w:val="28"/>
        </w:rPr>
      </w:pPr>
      <w:r w:rsidRPr="00DB3D32">
        <w:rPr>
          <w:sz w:val="28"/>
          <w:szCs w:val="28"/>
        </w:rPr>
        <w:t>- на 20</w:t>
      </w:r>
      <w:r>
        <w:rPr>
          <w:sz w:val="28"/>
          <w:szCs w:val="28"/>
        </w:rPr>
        <w:t>20</w:t>
      </w:r>
      <w:r w:rsidRPr="00DB3D32">
        <w:rPr>
          <w:sz w:val="28"/>
          <w:szCs w:val="28"/>
        </w:rPr>
        <w:t xml:space="preserve"> год –</w:t>
      </w:r>
      <w:r>
        <w:rPr>
          <w:sz w:val="28"/>
          <w:szCs w:val="28"/>
        </w:rPr>
        <w:t>2 977 034,7</w:t>
      </w:r>
      <w:r w:rsidRPr="00DB3D32">
        <w:rPr>
          <w:sz w:val="28"/>
          <w:szCs w:val="28"/>
        </w:rPr>
        <w:t xml:space="preserve"> </w:t>
      </w:r>
      <w:r>
        <w:rPr>
          <w:sz w:val="28"/>
          <w:szCs w:val="28"/>
        </w:rPr>
        <w:t>тыс</w:t>
      </w:r>
      <w:r w:rsidRPr="00DB3D32">
        <w:rPr>
          <w:sz w:val="28"/>
          <w:szCs w:val="28"/>
        </w:rPr>
        <w:t>. рублей;</w:t>
      </w:r>
    </w:p>
    <w:p w:rsidR="00413116" w:rsidRPr="00DB3D32" w:rsidRDefault="00413116" w:rsidP="00E37941">
      <w:pPr>
        <w:spacing w:line="360" w:lineRule="auto"/>
        <w:ind w:firstLine="539"/>
        <w:jc w:val="both"/>
        <w:rPr>
          <w:sz w:val="28"/>
          <w:szCs w:val="28"/>
        </w:rPr>
      </w:pPr>
      <w:r w:rsidRPr="00DB3D32">
        <w:rPr>
          <w:sz w:val="28"/>
          <w:szCs w:val="28"/>
        </w:rPr>
        <w:t>- на 202</w:t>
      </w:r>
      <w:r>
        <w:rPr>
          <w:sz w:val="28"/>
          <w:szCs w:val="28"/>
        </w:rPr>
        <w:t>1</w:t>
      </w:r>
      <w:r w:rsidRPr="00DB3D32">
        <w:rPr>
          <w:sz w:val="28"/>
          <w:szCs w:val="28"/>
        </w:rPr>
        <w:t xml:space="preserve"> год –</w:t>
      </w:r>
      <w:r>
        <w:rPr>
          <w:sz w:val="28"/>
          <w:szCs w:val="28"/>
        </w:rPr>
        <w:t>2 963 428,4</w:t>
      </w:r>
      <w:r w:rsidRPr="00DB3D32">
        <w:rPr>
          <w:sz w:val="28"/>
          <w:szCs w:val="28"/>
        </w:rPr>
        <w:t xml:space="preserve"> </w:t>
      </w:r>
      <w:r>
        <w:rPr>
          <w:sz w:val="28"/>
          <w:szCs w:val="28"/>
        </w:rPr>
        <w:t>тыс</w:t>
      </w:r>
      <w:r w:rsidRPr="00DB3D32">
        <w:rPr>
          <w:sz w:val="28"/>
          <w:szCs w:val="28"/>
        </w:rPr>
        <w:t>. рублей.</w:t>
      </w:r>
    </w:p>
    <w:p w:rsidR="00413116" w:rsidRPr="00DB3D32" w:rsidRDefault="00413116" w:rsidP="00E37941">
      <w:pPr>
        <w:spacing w:line="360" w:lineRule="auto"/>
        <w:ind w:firstLine="539"/>
        <w:jc w:val="both"/>
        <w:rPr>
          <w:sz w:val="28"/>
          <w:szCs w:val="28"/>
        </w:rPr>
      </w:pPr>
      <w:r w:rsidRPr="00DB3D32">
        <w:rPr>
          <w:sz w:val="28"/>
          <w:szCs w:val="28"/>
        </w:rPr>
        <w:t>Указанный объем расходов позволяет обеспечить утвержденные действующей редакцией решения о бюджете расходы главных распорядителей бюджетных средств на 201</w:t>
      </w:r>
      <w:r>
        <w:rPr>
          <w:sz w:val="28"/>
          <w:szCs w:val="28"/>
        </w:rPr>
        <w:t>9</w:t>
      </w:r>
      <w:r w:rsidRPr="00DB3D32">
        <w:rPr>
          <w:sz w:val="28"/>
          <w:szCs w:val="28"/>
        </w:rPr>
        <w:t xml:space="preserve"> год.</w:t>
      </w:r>
    </w:p>
    <w:p w:rsidR="00413116" w:rsidRPr="00DB3D32" w:rsidRDefault="00413116" w:rsidP="00E37941">
      <w:pPr>
        <w:spacing w:line="360" w:lineRule="auto"/>
        <w:ind w:firstLine="539"/>
        <w:jc w:val="both"/>
        <w:rPr>
          <w:rFonts w:ascii="Times New Roman CYR" w:hAnsi="Times New Roman CYR" w:cs="Times New Roman CYR"/>
          <w:color w:val="000000"/>
          <w:sz w:val="28"/>
          <w:szCs w:val="28"/>
        </w:rPr>
      </w:pPr>
      <w:r w:rsidRPr="00DB3D32">
        <w:rPr>
          <w:rFonts w:cs="Verdana"/>
          <w:color w:val="000000"/>
          <w:sz w:val="28"/>
          <w:szCs w:val="28"/>
        </w:rPr>
        <w:t xml:space="preserve">Дальнейшая процедура составления проекта бюджета предполагает самостоятельное распределение ГРБС доведенного объема ассигнований </w:t>
      </w:r>
      <w:r w:rsidRPr="00DB3D32">
        <w:rPr>
          <w:rFonts w:ascii="Times New Roman CYR" w:hAnsi="Times New Roman CYR" w:cs="Times New Roman CYR"/>
          <w:color w:val="000000"/>
          <w:sz w:val="28"/>
          <w:szCs w:val="28"/>
        </w:rPr>
        <w:t xml:space="preserve">с учетом определенных ими приоритетов, принятия конкретных мер по оптимизации действующих расходных обязательств </w:t>
      </w:r>
      <w:r w:rsidRPr="00DB3D32">
        <w:rPr>
          <w:rFonts w:cs="Verdana"/>
          <w:color w:val="000000"/>
          <w:sz w:val="28"/>
          <w:szCs w:val="28"/>
        </w:rPr>
        <w:t xml:space="preserve">с учетом ответственности за достижение показателей реализации муниципальных программ. </w:t>
      </w:r>
      <w:r w:rsidRPr="00DB3D32">
        <w:rPr>
          <w:rFonts w:ascii="Times New Roman CYR" w:hAnsi="Times New Roman CYR" w:cs="Times New Roman CYR"/>
          <w:color w:val="000000"/>
          <w:sz w:val="28"/>
          <w:szCs w:val="28"/>
        </w:rPr>
        <w:lastRenderedPageBreak/>
        <w:t xml:space="preserve">При финансовом обеспечении оказания муниципальных услуг необходимо учитывать такие внутренние ресурсы, как остатки средств на счетах бюджетных и автономных учреждений на начало года с учетом их динамики за ряд лет, с учетом их размера возможно корректировать нормативные затраты на оказание услуг. </w:t>
      </w:r>
    </w:p>
    <w:p w:rsidR="00413116" w:rsidRPr="00DB3D32" w:rsidRDefault="00413116" w:rsidP="00E37941">
      <w:pPr>
        <w:pBdr>
          <w:top w:val="single" w:sz="4" w:space="0" w:color="FFFFFF"/>
          <w:left w:val="single" w:sz="4" w:space="0" w:color="FFFFFF"/>
          <w:bottom w:val="single" w:sz="4" w:space="11" w:color="FFFFFF"/>
          <w:right w:val="single" w:sz="4" w:space="0" w:color="FFFFFF"/>
        </w:pBdr>
        <w:spacing w:line="360" w:lineRule="auto"/>
        <w:ind w:firstLine="539"/>
        <w:jc w:val="both"/>
        <w:rPr>
          <w:sz w:val="28"/>
          <w:szCs w:val="28"/>
        </w:rPr>
      </w:pPr>
      <w:r w:rsidRPr="00DB3D32">
        <w:rPr>
          <w:sz w:val="28"/>
          <w:szCs w:val="28"/>
        </w:rPr>
        <w:t>Финансовое обеспечение Указов Президента Российской Федерации в части повышения оплаты труда отдельным категориям работников необходимо обеспечить путем проведения структурных изменений в отраслях, оптимизационных мероприятий с привлечением на эти цели доходов от предпринимательской деятельности.</w:t>
      </w:r>
    </w:p>
    <w:p w:rsidR="00413116" w:rsidRPr="00DB3D32" w:rsidRDefault="00413116" w:rsidP="00E37941">
      <w:pPr>
        <w:pBdr>
          <w:top w:val="single" w:sz="4" w:space="0" w:color="FFFFFF"/>
          <w:left w:val="single" w:sz="4" w:space="0" w:color="FFFFFF"/>
          <w:bottom w:val="single" w:sz="4" w:space="11" w:color="FFFFFF"/>
          <w:right w:val="single" w:sz="4" w:space="0" w:color="FFFFFF"/>
        </w:pBdr>
        <w:spacing w:line="360" w:lineRule="auto"/>
        <w:ind w:firstLine="539"/>
        <w:jc w:val="both"/>
        <w:rPr>
          <w:sz w:val="28"/>
          <w:szCs w:val="28"/>
        </w:rPr>
      </w:pPr>
      <w:r w:rsidRPr="00DB3D32">
        <w:rPr>
          <w:sz w:val="28"/>
          <w:szCs w:val="28"/>
        </w:rPr>
        <w:t xml:space="preserve">Бюджетные ассигнования будут направлены на выполнение законодательно установленных полномочий. Расходы бюджета будут сформированы на основе муниципальных программ, за исключением расходов на обеспечение деятельности представительного и счетного - контрольного органов. </w:t>
      </w:r>
    </w:p>
    <w:p w:rsidR="00413116" w:rsidRPr="00DB3D32" w:rsidRDefault="00413116" w:rsidP="00E37941">
      <w:pPr>
        <w:pBdr>
          <w:top w:val="single" w:sz="4" w:space="0" w:color="FFFFFF"/>
          <w:left w:val="single" w:sz="4" w:space="0" w:color="FFFFFF"/>
          <w:bottom w:val="single" w:sz="4" w:space="11" w:color="FFFFFF"/>
          <w:right w:val="single" w:sz="4" w:space="0" w:color="FFFFFF"/>
        </w:pBdr>
        <w:spacing w:line="360" w:lineRule="auto"/>
        <w:ind w:firstLine="539"/>
        <w:jc w:val="both"/>
        <w:rPr>
          <w:sz w:val="28"/>
          <w:szCs w:val="28"/>
        </w:rPr>
      </w:pPr>
      <w:r w:rsidRPr="00DB3D32">
        <w:rPr>
          <w:sz w:val="28"/>
          <w:szCs w:val="28"/>
        </w:rPr>
        <w:t>Программная структура бюджета города в целом будет сохранена. Перечень и структура муниципальных программ будут оптимизированы, общая их характеристика на следу</w:t>
      </w:r>
      <w:r w:rsidRPr="00DB3D32">
        <w:rPr>
          <w:sz w:val="28"/>
          <w:szCs w:val="28"/>
        </w:rPr>
        <w:lastRenderedPageBreak/>
        <w:t>ющий бюджетный цикл, показатели результатов бюджетной деятельности, которые будут включены в их состав, будут отражены в пояснительной записке к проекту бюджета города на 201</w:t>
      </w:r>
      <w:r>
        <w:rPr>
          <w:sz w:val="28"/>
          <w:szCs w:val="28"/>
        </w:rPr>
        <w:t>9</w:t>
      </w:r>
      <w:r w:rsidRPr="00DB3D32">
        <w:rPr>
          <w:sz w:val="28"/>
          <w:szCs w:val="28"/>
        </w:rPr>
        <w:t xml:space="preserve"> год и плановый период 20</w:t>
      </w:r>
      <w:r>
        <w:rPr>
          <w:sz w:val="28"/>
          <w:szCs w:val="28"/>
        </w:rPr>
        <w:t>20</w:t>
      </w:r>
      <w:r w:rsidRPr="00DB3D32">
        <w:rPr>
          <w:sz w:val="28"/>
          <w:szCs w:val="28"/>
        </w:rPr>
        <w:t xml:space="preserve"> – 202</w:t>
      </w:r>
      <w:r>
        <w:rPr>
          <w:sz w:val="28"/>
          <w:szCs w:val="28"/>
        </w:rPr>
        <w:t>1</w:t>
      </w:r>
      <w:r w:rsidRPr="00DB3D32">
        <w:rPr>
          <w:sz w:val="28"/>
          <w:szCs w:val="28"/>
        </w:rPr>
        <w:t xml:space="preserve"> годов.</w:t>
      </w:r>
    </w:p>
    <w:p w:rsidR="00413116" w:rsidRPr="0024205D" w:rsidRDefault="00413116" w:rsidP="00DB3D32">
      <w:pPr>
        <w:pBdr>
          <w:top w:val="single" w:sz="4" w:space="0" w:color="FFFFFF"/>
          <w:left w:val="single" w:sz="4" w:space="0" w:color="FFFFFF"/>
          <w:bottom w:val="single" w:sz="4" w:space="11" w:color="FFFFFF"/>
          <w:right w:val="single" w:sz="4" w:space="0" w:color="FFFFFF"/>
        </w:pBdr>
        <w:spacing w:line="360" w:lineRule="auto"/>
        <w:ind w:firstLine="539"/>
        <w:jc w:val="both"/>
        <w:rPr>
          <w:sz w:val="28"/>
          <w:szCs w:val="28"/>
        </w:rPr>
      </w:pPr>
      <w:r w:rsidRPr="00DB3D32">
        <w:rPr>
          <w:sz w:val="28"/>
          <w:szCs w:val="28"/>
        </w:rPr>
        <w:t>К моменту внесения проекта бюджета в Думу города параметры расходов могут быть скорректированы на объем межбюджетных трансфертов из бюджета автономного округа, а также в случае уточнения прогнозных значений главными администраторами доходов бюджета.</w:t>
      </w:r>
    </w:p>
    <w:sectPr w:rsidR="00413116" w:rsidRPr="0024205D" w:rsidSect="005C5B46">
      <w:headerReference w:type="even" r:id="rId8"/>
      <w:headerReference w:type="default" r:id="rId9"/>
      <w:pgSz w:w="11906" w:h="16838"/>
      <w:pgMar w:top="1134" w:right="567" w:bottom="1134" w:left="1701"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116" w:rsidRDefault="00413116">
      <w:r>
        <w:separator/>
      </w:r>
    </w:p>
  </w:endnote>
  <w:endnote w:type="continuationSeparator" w:id="0">
    <w:p w:rsidR="00413116" w:rsidRDefault="0041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Zhikaryov">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116" w:rsidRDefault="00413116">
      <w:r>
        <w:separator/>
      </w:r>
    </w:p>
  </w:footnote>
  <w:footnote w:type="continuationSeparator" w:id="0">
    <w:p w:rsidR="00413116" w:rsidRDefault="00413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116" w:rsidRDefault="00413116" w:rsidP="004B26AC">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413116" w:rsidRDefault="00413116">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116" w:rsidRDefault="00413116" w:rsidP="004B26AC">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A4131">
      <w:rPr>
        <w:rStyle w:val="af1"/>
        <w:noProof/>
      </w:rPr>
      <w:t>4</w:t>
    </w:r>
    <w:r>
      <w:rPr>
        <w:rStyle w:val="af1"/>
      </w:rPr>
      <w:fldChar w:fldCharType="end"/>
    </w:r>
  </w:p>
  <w:p w:rsidR="00413116" w:rsidRDefault="00413116" w:rsidP="008338BF">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27595"/>
    <w:multiLevelType w:val="hybridMultilevel"/>
    <w:tmpl w:val="2D56B42A"/>
    <w:lvl w:ilvl="0" w:tplc="CC1E16EC">
      <w:start w:val="1"/>
      <w:numFmt w:val="bullet"/>
      <w:lvlText w:val=""/>
      <w:lvlJc w:val="left"/>
      <w:pPr>
        <w:tabs>
          <w:tab w:val="num" w:pos="1164"/>
        </w:tabs>
        <w:ind w:left="1164" w:hanging="360"/>
      </w:pPr>
      <w:rPr>
        <w:rFonts w:ascii="Symbol" w:hAnsi="Symbol" w:hint="default"/>
      </w:rPr>
    </w:lvl>
    <w:lvl w:ilvl="1" w:tplc="04190003" w:tentative="1">
      <w:start w:val="1"/>
      <w:numFmt w:val="bullet"/>
      <w:lvlText w:val="o"/>
      <w:lvlJc w:val="left"/>
      <w:pPr>
        <w:tabs>
          <w:tab w:val="num" w:pos="1884"/>
        </w:tabs>
        <w:ind w:left="1884" w:hanging="360"/>
      </w:pPr>
      <w:rPr>
        <w:rFonts w:ascii="Courier New" w:hAnsi="Courier New" w:hint="default"/>
      </w:rPr>
    </w:lvl>
    <w:lvl w:ilvl="2" w:tplc="04190005" w:tentative="1">
      <w:start w:val="1"/>
      <w:numFmt w:val="bullet"/>
      <w:lvlText w:val=""/>
      <w:lvlJc w:val="left"/>
      <w:pPr>
        <w:tabs>
          <w:tab w:val="num" w:pos="2604"/>
        </w:tabs>
        <w:ind w:left="2604" w:hanging="360"/>
      </w:pPr>
      <w:rPr>
        <w:rFonts w:ascii="Wingdings" w:hAnsi="Wingdings" w:hint="default"/>
      </w:rPr>
    </w:lvl>
    <w:lvl w:ilvl="3" w:tplc="04190001" w:tentative="1">
      <w:start w:val="1"/>
      <w:numFmt w:val="bullet"/>
      <w:lvlText w:val=""/>
      <w:lvlJc w:val="left"/>
      <w:pPr>
        <w:tabs>
          <w:tab w:val="num" w:pos="3324"/>
        </w:tabs>
        <w:ind w:left="3324" w:hanging="360"/>
      </w:pPr>
      <w:rPr>
        <w:rFonts w:ascii="Symbol" w:hAnsi="Symbol" w:hint="default"/>
      </w:rPr>
    </w:lvl>
    <w:lvl w:ilvl="4" w:tplc="04190003" w:tentative="1">
      <w:start w:val="1"/>
      <w:numFmt w:val="bullet"/>
      <w:lvlText w:val="o"/>
      <w:lvlJc w:val="left"/>
      <w:pPr>
        <w:tabs>
          <w:tab w:val="num" w:pos="4044"/>
        </w:tabs>
        <w:ind w:left="4044" w:hanging="360"/>
      </w:pPr>
      <w:rPr>
        <w:rFonts w:ascii="Courier New" w:hAnsi="Courier New" w:hint="default"/>
      </w:rPr>
    </w:lvl>
    <w:lvl w:ilvl="5" w:tplc="04190005" w:tentative="1">
      <w:start w:val="1"/>
      <w:numFmt w:val="bullet"/>
      <w:lvlText w:val=""/>
      <w:lvlJc w:val="left"/>
      <w:pPr>
        <w:tabs>
          <w:tab w:val="num" w:pos="4764"/>
        </w:tabs>
        <w:ind w:left="4764" w:hanging="360"/>
      </w:pPr>
      <w:rPr>
        <w:rFonts w:ascii="Wingdings" w:hAnsi="Wingdings" w:hint="default"/>
      </w:rPr>
    </w:lvl>
    <w:lvl w:ilvl="6" w:tplc="04190001" w:tentative="1">
      <w:start w:val="1"/>
      <w:numFmt w:val="bullet"/>
      <w:lvlText w:val=""/>
      <w:lvlJc w:val="left"/>
      <w:pPr>
        <w:tabs>
          <w:tab w:val="num" w:pos="5484"/>
        </w:tabs>
        <w:ind w:left="5484" w:hanging="360"/>
      </w:pPr>
      <w:rPr>
        <w:rFonts w:ascii="Symbol" w:hAnsi="Symbol" w:hint="default"/>
      </w:rPr>
    </w:lvl>
    <w:lvl w:ilvl="7" w:tplc="04190003" w:tentative="1">
      <w:start w:val="1"/>
      <w:numFmt w:val="bullet"/>
      <w:lvlText w:val="o"/>
      <w:lvlJc w:val="left"/>
      <w:pPr>
        <w:tabs>
          <w:tab w:val="num" w:pos="6204"/>
        </w:tabs>
        <w:ind w:left="6204" w:hanging="360"/>
      </w:pPr>
      <w:rPr>
        <w:rFonts w:ascii="Courier New" w:hAnsi="Courier New" w:hint="default"/>
      </w:rPr>
    </w:lvl>
    <w:lvl w:ilvl="8" w:tplc="04190005" w:tentative="1">
      <w:start w:val="1"/>
      <w:numFmt w:val="bullet"/>
      <w:lvlText w:val=""/>
      <w:lvlJc w:val="left"/>
      <w:pPr>
        <w:tabs>
          <w:tab w:val="num" w:pos="6924"/>
        </w:tabs>
        <w:ind w:left="6924" w:hanging="360"/>
      </w:pPr>
      <w:rPr>
        <w:rFonts w:ascii="Wingdings" w:hAnsi="Wingdings" w:hint="default"/>
      </w:rPr>
    </w:lvl>
  </w:abstractNum>
  <w:abstractNum w:abstractNumId="1" w15:restartNumberingAfterBreak="0">
    <w:nsid w:val="30D93188"/>
    <w:multiLevelType w:val="hybridMultilevel"/>
    <w:tmpl w:val="ED7A1250"/>
    <w:lvl w:ilvl="0" w:tplc="CC1E16EC">
      <w:start w:val="1"/>
      <w:numFmt w:val="bullet"/>
      <w:lvlText w:val=""/>
      <w:lvlJc w:val="left"/>
      <w:pPr>
        <w:ind w:left="360" w:hanging="360"/>
      </w:pPr>
      <w:rPr>
        <w:rFonts w:ascii="Symbol" w:hAnsi="Symbol"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 w15:restartNumberingAfterBreak="0">
    <w:nsid w:val="344A392D"/>
    <w:multiLevelType w:val="hybridMultilevel"/>
    <w:tmpl w:val="77E86F92"/>
    <w:lvl w:ilvl="0" w:tplc="CC1E16E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69041164"/>
    <w:multiLevelType w:val="hybridMultilevel"/>
    <w:tmpl w:val="20523A94"/>
    <w:lvl w:ilvl="0" w:tplc="E72AD94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15:restartNumberingAfterBreak="0">
    <w:nsid w:val="6BD63517"/>
    <w:multiLevelType w:val="multilevel"/>
    <w:tmpl w:val="91E0EBE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764B7253"/>
    <w:multiLevelType w:val="hybridMultilevel"/>
    <w:tmpl w:val="21EA991E"/>
    <w:lvl w:ilvl="0" w:tplc="9300DB50">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F9F"/>
    <w:rsid w:val="00000517"/>
    <w:rsid w:val="00001A04"/>
    <w:rsid w:val="0000472A"/>
    <w:rsid w:val="000069E3"/>
    <w:rsid w:val="00016B25"/>
    <w:rsid w:val="00035715"/>
    <w:rsid w:val="00044C45"/>
    <w:rsid w:val="0005092E"/>
    <w:rsid w:val="000540E4"/>
    <w:rsid w:val="000601C9"/>
    <w:rsid w:val="00064F2A"/>
    <w:rsid w:val="000767E6"/>
    <w:rsid w:val="00080E66"/>
    <w:rsid w:val="00082869"/>
    <w:rsid w:val="00085429"/>
    <w:rsid w:val="00091743"/>
    <w:rsid w:val="00096B75"/>
    <w:rsid w:val="00097F36"/>
    <w:rsid w:val="000A2E08"/>
    <w:rsid w:val="000A7BC3"/>
    <w:rsid w:val="000B4D4F"/>
    <w:rsid w:val="000C6BF4"/>
    <w:rsid w:val="000C7EF7"/>
    <w:rsid w:val="000D42A2"/>
    <w:rsid w:val="000D531E"/>
    <w:rsid w:val="000D7187"/>
    <w:rsid w:val="000F1BEB"/>
    <w:rsid w:val="000F71A9"/>
    <w:rsid w:val="00101A1C"/>
    <w:rsid w:val="00102B54"/>
    <w:rsid w:val="001113C0"/>
    <w:rsid w:val="001116F8"/>
    <w:rsid w:val="00112084"/>
    <w:rsid w:val="001235DA"/>
    <w:rsid w:val="00123BE7"/>
    <w:rsid w:val="001248FB"/>
    <w:rsid w:val="00124DFD"/>
    <w:rsid w:val="00125FE3"/>
    <w:rsid w:val="001263F9"/>
    <w:rsid w:val="00130130"/>
    <w:rsid w:val="00131A6B"/>
    <w:rsid w:val="001343DE"/>
    <w:rsid w:val="001365FC"/>
    <w:rsid w:val="001536CC"/>
    <w:rsid w:val="00166B07"/>
    <w:rsid w:val="001701C8"/>
    <w:rsid w:val="0017465F"/>
    <w:rsid w:val="0019250B"/>
    <w:rsid w:val="00193951"/>
    <w:rsid w:val="00193B99"/>
    <w:rsid w:val="00194DB5"/>
    <w:rsid w:val="00196C1E"/>
    <w:rsid w:val="001A5555"/>
    <w:rsid w:val="001D43A6"/>
    <w:rsid w:val="001E345A"/>
    <w:rsid w:val="001E6023"/>
    <w:rsid w:val="001E6236"/>
    <w:rsid w:val="001E6860"/>
    <w:rsid w:val="001F0CF2"/>
    <w:rsid w:val="00201B18"/>
    <w:rsid w:val="00201C45"/>
    <w:rsid w:val="002035F0"/>
    <w:rsid w:val="00211419"/>
    <w:rsid w:val="00221336"/>
    <w:rsid w:val="00224745"/>
    <w:rsid w:val="00237071"/>
    <w:rsid w:val="0024205D"/>
    <w:rsid w:val="00252FB8"/>
    <w:rsid w:val="00253A29"/>
    <w:rsid w:val="00263471"/>
    <w:rsid w:val="00263F83"/>
    <w:rsid w:val="00266893"/>
    <w:rsid w:val="00271531"/>
    <w:rsid w:val="002736E6"/>
    <w:rsid w:val="0028341F"/>
    <w:rsid w:val="002918E8"/>
    <w:rsid w:val="002B4D93"/>
    <w:rsid w:val="002C12F0"/>
    <w:rsid w:val="002C1BF8"/>
    <w:rsid w:val="002C2998"/>
    <w:rsid w:val="002C2F36"/>
    <w:rsid w:val="002D1D7C"/>
    <w:rsid w:val="002D3D75"/>
    <w:rsid w:val="002E3E22"/>
    <w:rsid w:val="002E6154"/>
    <w:rsid w:val="002F3C5F"/>
    <w:rsid w:val="00301F39"/>
    <w:rsid w:val="0030263F"/>
    <w:rsid w:val="003028E7"/>
    <w:rsid w:val="0031086D"/>
    <w:rsid w:val="0031202E"/>
    <w:rsid w:val="00315348"/>
    <w:rsid w:val="00317625"/>
    <w:rsid w:val="003250A8"/>
    <w:rsid w:val="0032519E"/>
    <w:rsid w:val="00330E5C"/>
    <w:rsid w:val="00331423"/>
    <w:rsid w:val="003472EC"/>
    <w:rsid w:val="003615F2"/>
    <w:rsid w:val="00380787"/>
    <w:rsid w:val="00387788"/>
    <w:rsid w:val="00392D76"/>
    <w:rsid w:val="00395627"/>
    <w:rsid w:val="003A5714"/>
    <w:rsid w:val="003A65BE"/>
    <w:rsid w:val="003A759B"/>
    <w:rsid w:val="003A7DF9"/>
    <w:rsid w:val="003C3574"/>
    <w:rsid w:val="003D19CD"/>
    <w:rsid w:val="003D7F95"/>
    <w:rsid w:val="003E1228"/>
    <w:rsid w:val="003E23BD"/>
    <w:rsid w:val="003E4CCF"/>
    <w:rsid w:val="003E64FF"/>
    <w:rsid w:val="003E6932"/>
    <w:rsid w:val="003F3B13"/>
    <w:rsid w:val="003F6E5B"/>
    <w:rsid w:val="00402FFA"/>
    <w:rsid w:val="00413116"/>
    <w:rsid w:val="00424B54"/>
    <w:rsid w:val="00425A23"/>
    <w:rsid w:val="004441D9"/>
    <w:rsid w:val="00453917"/>
    <w:rsid w:val="00453AB0"/>
    <w:rsid w:val="00453D53"/>
    <w:rsid w:val="00453F3F"/>
    <w:rsid w:val="00455238"/>
    <w:rsid w:val="00455695"/>
    <w:rsid w:val="00460C32"/>
    <w:rsid w:val="00463E85"/>
    <w:rsid w:val="00475987"/>
    <w:rsid w:val="00481822"/>
    <w:rsid w:val="0048453B"/>
    <w:rsid w:val="00487BA2"/>
    <w:rsid w:val="00492136"/>
    <w:rsid w:val="0049367D"/>
    <w:rsid w:val="004A1F9F"/>
    <w:rsid w:val="004B26AC"/>
    <w:rsid w:val="004B5F1A"/>
    <w:rsid w:val="004D0509"/>
    <w:rsid w:val="004D1809"/>
    <w:rsid w:val="004D2EFE"/>
    <w:rsid w:val="004D42E6"/>
    <w:rsid w:val="004D6080"/>
    <w:rsid w:val="004D7DAD"/>
    <w:rsid w:val="004E192D"/>
    <w:rsid w:val="004F59C3"/>
    <w:rsid w:val="005021FB"/>
    <w:rsid w:val="005037C5"/>
    <w:rsid w:val="005163AC"/>
    <w:rsid w:val="0052543F"/>
    <w:rsid w:val="005360E7"/>
    <w:rsid w:val="00546574"/>
    <w:rsid w:val="0056342F"/>
    <w:rsid w:val="00566361"/>
    <w:rsid w:val="00585D51"/>
    <w:rsid w:val="00585E4C"/>
    <w:rsid w:val="00592B85"/>
    <w:rsid w:val="005953B6"/>
    <w:rsid w:val="005A017E"/>
    <w:rsid w:val="005A0D3C"/>
    <w:rsid w:val="005A4D7E"/>
    <w:rsid w:val="005A4F6D"/>
    <w:rsid w:val="005A64B1"/>
    <w:rsid w:val="005A7CC4"/>
    <w:rsid w:val="005B17A6"/>
    <w:rsid w:val="005B264C"/>
    <w:rsid w:val="005B49F7"/>
    <w:rsid w:val="005B5A6C"/>
    <w:rsid w:val="005B7851"/>
    <w:rsid w:val="005C0F1E"/>
    <w:rsid w:val="005C5B46"/>
    <w:rsid w:val="005D05A5"/>
    <w:rsid w:val="005D16EF"/>
    <w:rsid w:val="005F0498"/>
    <w:rsid w:val="005F752D"/>
    <w:rsid w:val="005F7F5C"/>
    <w:rsid w:val="00610A2B"/>
    <w:rsid w:val="00613C80"/>
    <w:rsid w:val="006158BF"/>
    <w:rsid w:val="006170B4"/>
    <w:rsid w:val="0062720F"/>
    <w:rsid w:val="00627338"/>
    <w:rsid w:val="00627C2C"/>
    <w:rsid w:val="0063190F"/>
    <w:rsid w:val="006345DB"/>
    <w:rsid w:val="00635C44"/>
    <w:rsid w:val="00660642"/>
    <w:rsid w:val="00663B49"/>
    <w:rsid w:val="00680A62"/>
    <w:rsid w:val="00680A71"/>
    <w:rsid w:val="006843CB"/>
    <w:rsid w:val="00687A55"/>
    <w:rsid w:val="00690CEC"/>
    <w:rsid w:val="006933C3"/>
    <w:rsid w:val="00696EFB"/>
    <w:rsid w:val="006A3AD7"/>
    <w:rsid w:val="006A6626"/>
    <w:rsid w:val="006A74E5"/>
    <w:rsid w:val="006B1568"/>
    <w:rsid w:val="006B1AC9"/>
    <w:rsid w:val="006B2CF9"/>
    <w:rsid w:val="006B7E3F"/>
    <w:rsid w:val="006C56B2"/>
    <w:rsid w:val="006D4B58"/>
    <w:rsid w:val="006D59F4"/>
    <w:rsid w:val="006E10A8"/>
    <w:rsid w:val="006E26F2"/>
    <w:rsid w:val="006E2EBE"/>
    <w:rsid w:val="006E52BD"/>
    <w:rsid w:val="006F215D"/>
    <w:rsid w:val="0072657A"/>
    <w:rsid w:val="007340F5"/>
    <w:rsid w:val="00744E05"/>
    <w:rsid w:val="007578F4"/>
    <w:rsid w:val="00757FB6"/>
    <w:rsid w:val="00773EB6"/>
    <w:rsid w:val="00777580"/>
    <w:rsid w:val="00781402"/>
    <w:rsid w:val="00785584"/>
    <w:rsid w:val="00785CE1"/>
    <w:rsid w:val="00792960"/>
    <w:rsid w:val="007A51D1"/>
    <w:rsid w:val="007B4081"/>
    <w:rsid w:val="007B550D"/>
    <w:rsid w:val="007B5A85"/>
    <w:rsid w:val="007B5B86"/>
    <w:rsid w:val="007B5C97"/>
    <w:rsid w:val="007C59D6"/>
    <w:rsid w:val="007D0C72"/>
    <w:rsid w:val="007E2097"/>
    <w:rsid w:val="007E301A"/>
    <w:rsid w:val="007E375C"/>
    <w:rsid w:val="007E4603"/>
    <w:rsid w:val="007E5F98"/>
    <w:rsid w:val="007F1B4D"/>
    <w:rsid w:val="007F3DFD"/>
    <w:rsid w:val="007F5B0C"/>
    <w:rsid w:val="00804992"/>
    <w:rsid w:val="0082023F"/>
    <w:rsid w:val="008273A5"/>
    <w:rsid w:val="008332D5"/>
    <w:rsid w:val="008338BF"/>
    <w:rsid w:val="00835210"/>
    <w:rsid w:val="00836C1C"/>
    <w:rsid w:val="00845970"/>
    <w:rsid w:val="00845E67"/>
    <w:rsid w:val="0084744F"/>
    <w:rsid w:val="008479AF"/>
    <w:rsid w:val="008531F6"/>
    <w:rsid w:val="00863554"/>
    <w:rsid w:val="0086717B"/>
    <w:rsid w:val="008672F9"/>
    <w:rsid w:val="008678B0"/>
    <w:rsid w:val="00883FF8"/>
    <w:rsid w:val="00894DC8"/>
    <w:rsid w:val="00895C68"/>
    <w:rsid w:val="008A6028"/>
    <w:rsid w:val="008A7588"/>
    <w:rsid w:val="008B526B"/>
    <w:rsid w:val="008C71C7"/>
    <w:rsid w:val="008D09DA"/>
    <w:rsid w:val="008D0EEA"/>
    <w:rsid w:val="008D79DC"/>
    <w:rsid w:val="008E1FC9"/>
    <w:rsid w:val="008E6B7F"/>
    <w:rsid w:val="008F073A"/>
    <w:rsid w:val="008F7201"/>
    <w:rsid w:val="008F7DA8"/>
    <w:rsid w:val="009007BE"/>
    <w:rsid w:val="00901FC6"/>
    <w:rsid w:val="009032B5"/>
    <w:rsid w:val="009060D6"/>
    <w:rsid w:val="00910EAB"/>
    <w:rsid w:val="00912E2C"/>
    <w:rsid w:val="00915550"/>
    <w:rsid w:val="00920720"/>
    <w:rsid w:val="00920963"/>
    <w:rsid w:val="00921536"/>
    <w:rsid w:val="00923B65"/>
    <w:rsid w:val="00931DF6"/>
    <w:rsid w:val="00932DE2"/>
    <w:rsid w:val="00940126"/>
    <w:rsid w:val="009402EF"/>
    <w:rsid w:val="0094395A"/>
    <w:rsid w:val="009440A4"/>
    <w:rsid w:val="009500E0"/>
    <w:rsid w:val="00961503"/>
    <w:rsid w:val="00966EAF"/>
    <w:rsid w:val="00985E98"/>
    <w:rsid w:val="0099082E"/>
    <w:rsid w:val="00994450"/>
    <w:rsid w:val="009A15AC"/>
    <w:rsid w:val="009A68E8"/>
    <w:rsid w:val="009C09E3"/>
    <w:rsid w:val="009C61D8"/>
    <w:rsid w:val="009D6741"/>
    <w:rsid w:val="009F1EF2"/>
    <w:rsid w:val="00A03B5B"/>
    <w:rsid w:val="00A14912"/>
    <w:rsid w:val="00A15073"/>
    <w:rsid w:val="00A245A1"/>
    <w:rsid w:val="00A250B7"/>
    <w:rsid w:val="00A26EAB"/>
    <w:rsid w:val="00A30A1C"/>
    <w:rsid w:val="00A30D45"/>
    <w:rsid w:val="00A41040"/>
    <w:rsid w:val="00A507CE"/>
    <w:rsid w:val="00A531B4"/>
    <w:rsid w:val="00A63490"/>
    <w:rsid w:val="00A676F8"/>
    <w:rsid w:val="00A7226C"/>
    <w:rsid w:val="00A804B9"/>
    <w:rsid w:val="00A8402A"/>
    <w:rsid w:val="00A948CB"/>
    <w:rsid w:val="00A979AB"/>
    <w:rsid w:val="00AA4131"/>
    <w:rsid w:val="00AA7352"/>
    <w:rsid w:val="00AC01D2"/>
    <w:rsid w:val="00AC6E30"/>
    <w:rsid w:val="00AE19B8"/>
    <w:rsid w:val="00AE59D3"/>
    <w:rsid w:val="00AF1B21"/>
    <w:rsid w:val="00B00F22"/>
    <w:rsid w:val="00B35D4C"/>
    <w:rsid w:val="00B40ECA"/>
    <w:rsid w:val="00B41E44"/>
    <w:rsid w:val="00B43C96"/>
    <w:rsid w:val="00B44667"/>
    <w:rsid w:val="00B51ECE"/>
    <w:rsid w:val="00B61F0C"/>
    <w:rsid w:val="00B63FA7"/>
    <w:rsid w:val="00B64D13"/>
    <w:rsid w:val="00B8101F"/>
    <w:rsid w:val="00B81051"/>
    <w:rsid w:val="00B817F3"/>
    <w:rsid w:val="00BA375B"/>
    <w:rsid w:val="00BB7D4F"/>
    <w:rsid w:val="00BC2D7D"/>
    <w:rsid w:val="00BC7926"/>
    <w:rsid w:val="00BD0945"/>
    <w:rsid w:val="00BD4503"/>
    <w:rsid w:val="00BF7325"/>
    <w:rsid w:val="00C017A1"/>
    <w:rsid w:val="00C0421B"/>
    <w:rsid w:val="00C14350"/>
    <w:rsid w:val="00C20D21"/>
    <w:rsid w:val="00C216D7"/>
    <w:rsid w:val="00C22623"/>
    <w:rsid w:val="00C26641"/>
    <w:rsid w:val="00C26BE1"/>
    <w:rsid w:val="00C3194E"/>
    <w:rsid w:val="00C33102"/>
    <w:rsid w:val="00C35C3D"/>
    <w:rsid w:val="00C420A1"/>
    <w:rsid w:val="00C456E7"/>
    <w:rsid w:val="00C555B8"/>
    <w:rsid w:val="00C66B0F"/>
    <w:rsid w:val="00C71AA1"/>
    <w:rsid w:val="00C73A7A"/>
    <w:rsid w:val="00C836CA"/>
    <w:rsid w:val="00C84717"/>
    <w:rsid w:val="00CA015B"/>
    <w:rsid w:val="00CA4D2A"/>
    <w:rsid w:val="00CB1768"/>
    <w:rsid w:val="00CC08B8"/>
    <w:rsid w:val="00CC371F"/>
    <w:rsid w:val="00CD6F36"/>
    <w:rsid w:val="00CF09D2"/>
    <w:rsid w:val="00D007CE"/>
    <w:rsid w:val="00D066D6"/>
    <w:rsid w:val="00D075AC"/>
    <w:rsid w:val="00D12086"/>
    <w:rsid w:val="00D13A28"/>
    <w:rsid w:val="00D1508C"/>
    <w:rsid w:val="00D157C6"/>
    <w:rsid w:val="00D17069"/>
    <w:rsid w:val="00D21D62"/>
    <w:rsid w:val="00D318CA"/>
    <w:rsid w:val="00D32553"/>
    <w:rsid w:val="00D34FE1"/>
    <w:rsid w:val="00D64635"/>
    <w:rsid w:val="00D64CE3"/>
    <w:rsid w:val="00D71C24"/>
    <w:rsid w:val="00D73824"/>
    <w:rsid w:val="00D81FA8"/>
    <w:rsid w:val="00D85356"/>
    <w:rsid w:val="00DA3796"/>
    <w:rsid w:val="00DA4197"/>
    <w:rsid w:val="00DA512B"/>
    <w:rsid w:val="00DB3D32"/>
    <w:rsid w:val="00DD2E2C"/>
    <w:rsid w:val="00DD2FD6"/>
    <w:rsid w:val="00DD5FCF"/>
    <w:rsid w:val="00DD704B"/>
    <w:rsid w:val="00DE58D7"/>
    <w:rsid w:val="00DE5EDB"/>
    <w:rsid w:val="00DF1204"/>
    <w:rsid w:val="00DF6E5A"/>
    <w:rsid w:val="00E00A9C"/>
    <w:rsid w:val="00E017F0"/>
    <w:rsid w:val="00E26813"/>
    <w:rsid w:val="00E37941"/>
    <w:rsid w:val="00E43609"/>
    <w:rsid w:val="00E523FC"/>
    <w:rsid w:val="00E52C52"/>
    <w:rsid w:val="00E65D93"/>
    <w:rsid w:val="00E66DC4"/>
    <w:rsid w:val="00E73147"/>
    <w:rsid w:val="00E7402E"/>
    <w:rsid w:val="00E87B50"/>
    <w:rsid w:val="00E87FB7"/>
    <w:rsid w:val="00EA4C92"/>
    <w:rsid w:val="00EB5A2C"/>
    <w:rsid w:val="00EC5C77"/>
    <w:rsid w:val="00EC6A61"/>
    <w:rsid w:val="00EC6CE4"/>
    <w:rsid w:val="00ED1496"/>
    <w:rsid w:val="00ED4A68"/>
    <w:rsid w:val="00F007ED"/>
    <w:rsid w:val="00F0201A"/>
    <w:rsid w:val="00F02927"/>
    <w:rsid w:val="00F031FD"/>
    <w:rsid w:val="00F034FB"/>
    <w:rsid w:val="00F0431F"/>
    <w:rsid w:val="00F04AE7"/>
    <w:rsid w:val="00F11FAA"/>
    <w:rsid w:val="00F13FFD"/>
    <w:rsid w:val="00F34B77"/>
    <w:rsid w:val="00F43380"/>
    <w:rsid w:val="00F83C1D"/>
    <w:rsid w:val="00F8737F"/>
    <w:rsid w:val="00F87B3B"/>
    <w:rsid w:val="00F94277"/>
    <w:rsid w:val="00F94EC3"/>
    <w:rsid w:val="00FA05A3"/>
    <w:rsid w:val="00FA20EC"/>
    <w:rsid w:val="00FA6291"/>
    <w:rsid w:val="00FB3EFA"/>
    <w:rsid w:val="00FB6D8D"/>
    <w:rsid w:val="00FB79F5"/>
    <w:rsid w:val="00FC17CF"/>
    <w:rsid w:val="00FD0B2A"/>
    <w:rsid w:val="00FE064D"/>
    <w:rsid w:val="00FF06C5"/>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42A27A48-32CC-43E9-A073-0E2C92DF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F9F"/>
    <w:rPr>
      <w:sz w:val="20"/>
      <w:szCs w:val="20"/>
    </w:rPr>
  </w:style>
  <w:style w:type="paragraph" w:styleId="1">
    <w:name w:val="heading 1"/>
    <w:basedOn w:val="a"/>
    <w:next w:val="a"/>
    <w:link w:val="10"/>
    <w:uiPriority w:val="99"/>
    <w:qFormat/>
    <w:rsid w:val="008D79D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8D79DC"/>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420A1"/>
    <w:rPr>
      <w:rFonts w:ascii="Arial" w:hAnsi="Arial" w:cs="Times New Roman"/>
      <w:b/>
      <w:kern w:val="32"/>
      <w:sz w:val="32"/>
      <w:lang w:val="ru-RU" w:eastAsia="ru-RU"/>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paragraph" w:styleId="a3">
    <w:name w:val="Normal (Web)"/>
    <w:basedOn w:val="a"/>
    <w:uiPriority w:val="99"/>
    <w:rsid w:val="004A1F9F"/>
    <w:pPr>
      <w:spacing w:before="100" w:beforeAutospacing="1" w:after="100" w:afterAutospacing="1"/>
    </w:pPr>
    <w:rPr>
      <w:sz w:val="24"/>
      <w:szCs w:val="24"/>
    </w:rPr>
  </w:style>
  <w:style w:type="character" w:customStyle="1" w:styleId="BodyTextChar">
    <w:name w:val="Body Text Char"/>
    <w:uiPriority w:val="99"/>
    <w:locked/>
    <w:rsid w:val="004A1F9F"/>
    <w:rPr>
      <w:rFonts w:ascii="Zhikaryov" w:hAnsi="Zhikaryov"/>
      <w:b/>
      <w:sz w:val="26"/>
    </w:rPr>
  </w:style>
  <w:style w:type="paragraph" w:styleId="a4">
    <w:name w:val="Body Text"/>
    <w:basedOn w:val="a"/>
    <w:link w:val="a5"/>
    <w:uiPriority w:val="99"/>
    <w:rsid w:val="004A1F9F"/>
    <w:pPr>
      <w:ind w:right="4109"/>
      <w:jc w:val="both"/>
    </w:pPr>
    <w:rPr>
      <w:rFonts w:ascii="Zhikaryov" w:hAnsi="Zhikaryov"/>
      <w:b/>
      <w:sz w:val="26"/>
    </w:rPr>
  </w:style>
  <w:style w:type="character" w:customStyle="1" w:styleId="a5">
    <w:name w:val="Основной текст Знак"/>
    <w:basedOn w:val="a0"/>
    <w:link w:val="a4"/>
    <w:uiPriority w:val="99"/>
    <w:semiHidden/>
    <w:locked/>
    <w:rPr>
      <w:rFonts w:cs="Times New Roman"/>
      <w:sz w:val="20"/>
      <w:szCs w:val="20"/>
    </w:rPr>
  </w:style>
  <w:style w:type="character" w:customStyle="1" w:styleId="BodyTextIndentChar">
    <w:name w:val="Body Text Indent Char"/>
    <w:uiPriority w:val="99"/>
    <w:locked/>
    <w:rsid w:val="004A1F9F"/>
    <w:rPr>
      <w:rFonts w:ascii="Calibri" w:hAnsi="Calibri"/>
      <w:sz w:val="22"/>
      <w:lang w:eastAsia="en-US"/>
    </w:rPr>
  </w:style>
  <w:style w:type="paragraph" w:styleId="a6">
    <w:name w:val="Body Text Indent"/>
    <w:basedOn w:val="a"/>
    <w:link w:val="a7"/>
    <w:uiPriority w:val="99"/>
    <w:rsid w:val="004A1F9F"/>
    <w:pPr>
      <w:spacing w:after="120" w:line="276" w:lineRule="auto"/>
      <w:ind w:left="283"/>
    </w:pPr>
    <w:rPr>
      <w:rFonts w:ascii="Calibri" w:hAnsi="Calibri"/>
      <w:sz w:val="22"/>
      <w:lang w:eastAsia="en-US"/>
    </w:rPr>
  </w:style>
  <w:style w:type="character" w:customStyle="1" w:styleId="a7">
    <w:name w:val="Основной текст с отступом Знак"/>
    <w:basedOn w:val="a0"/>
    <w:link w:val="a6"/>
    <w:uiPriority w:val="99"/>
    <w:semiHidden/>
    <w:locked/>
    <w:rPr>
      <w:rFonts w:cs="Times New Roman"/>
      <w:sz w:val="20"/>
      <w:szCs w:val="20"/>
    </w:rPr>
  </w:style>
  <w:style w:type="paragraph" w:customStyle="1" w:styleId="a8">
    <w:name w:val="Всегда"/>
    <w:basedOn w:val="a"/>
    <w:autoRedefine/>
    <w:uiPriority w:val="99"/>
    <w:rsid w:val="004A1F9F"/>
    <w:pPr>
      <w:ind w:firstLine="709"/>
    </w:pPr>
    <w:rPr>
      <w:b/>
      <w:sz w:val="28"/>
      <w:szCs w:val="28"/>
      <w:lang w:eastAsia="en-US"/>
    </w:rPr>
  </w:style>
  <w:style w:type="paragraph" w:styleId="a9">
    <w:name w:val="List Paragraph"/>
    <w:basedOn w:val="a"/>
    <w:uiPriority w:val="99"/>
    <w:qFormat/>
    <w:rsid w:val="004A1F9F"/>
    <w:pPr>
      <w:snapToGrid w:val="0"/>
      <w:ind w:left="720"/>
      <w:contextualSpacing/>
    </w:pPr>
    <w:rPr>
      <w:sz w:val="26"/>
    </w:rPr>
  </w:style>
  <w:style w:type="paragraph" w:customStyle="1" w:styleId="11">
    <w:name w:val="Абзац списка1"/>
    <w:basedOn w:val="a"/>
    <w:uiPriority w:val="99"/>
    <w:rsid w:val="004A1F9F"/>
    <w:pPr>
      <w:ind w:left="720"/>
    </w:pPr>
  </w:style>
  <w:style w:type="paragraph" w:customStyle="1" w:styleId="Default">
    <w:name w:val="Default"/>
    <w:uiPriority w:val="99"/>
    <w:rsid w:val="004A1F9F"/>
    <w:pPr>
      <w:autoSpaceDE w:val="0"/>
      <w:autoSpaceDN w:val="0"/>
      <w:adjustRightInd w:val="0"/>
    </w:pPr>
    <w:rPr>
      <w:color w:val="000000"/>
      <w:sz w:val="24"/>
      <w:szCs w:val="24"/>
    </w:rPr>
  </w:style>
  <w:style w:type="paragraph" w:styleId="aa">
    <w:name w:val="No Spacing"/>
    <w:uiPriority w:val="99"/>
    <w:qFormat/>
    <w:rsid w:val="004A1F9F"/>
    <w:pPr>
      <w:snapToGrid w:val="0"/>
    </w:pPr>
    <w:rPr>
      <w:sz w:val="26"/>
      <w:szCs w:val="20"/>
    </w:rPr>
  </w:style>
  <w:style w:type="character" w:customStyle="1" w:styleId="apple-converted-space">
    <w:name w:val="apple-converted-space"/>
    <w:basedOn w:val="a0"/>
    <w:uiPriority w:val="99"/>
    <w:rsid w:val="004A1F9F"/>
    <w:rPr>
      <w:rFonts w:cs="Times New Roman"/>
    </w:rPr>
  </w:style>
  <w:style w:type="character" w:styleId="ab">
    <w:name w:val="Hyperlink"/>
    <w:basedOn w:val="a0"/>
    <w:uiPriority w:val="99"/>
    <w:rsid w:val="004A1F9F"/>
    <w:rPr>
      <w:rFonts w:cs="Times New Roman"/>
      <w:color w:val="0000FF"/>
      <w:u w:val="single"/>
    </w:rPr>
  </w:style>
  <w:style w:type="paragraph" w:styleId="ac">
    <w:name w:val="Balloon Text"/>
    <w:basedOn w:val="a"/>
    <w:link w:val="ad"/>
    <w:uiPriority w:val="99"/>
    <w:semiHidden/>
    <w:rsid w:val="00221336"/>
    <w:rPr>
      <w:rFonts w:ascii="Tahoma" w:hAnsi="Tahoma" w:cs="Tahoma"/>
      <w:sz w:val="16"/>
      <w:szCs w:val="16"/>
    </w:rPr>
  </w:style>
  <w:style w:type="character" w:customStyle="1" w:styleId="ad">
    <w:name w:val="Текст выноски Знак"/>
    <w:basedOn w:val="a0"/>
    <w:link w:val="ac"/>
    <w:uiPriority w:val="99"/>
    <w:semiHidden/>
    <w:locked/>
    <w:rPr>
      <w:rFonts w:cs="Times New Roman"/>
      <w:sz w:val="2"/>
    </w:rPr>
  </w:style>
  <w:style w:type="paragraph" w:customStyle="1" w:styleId="ListParagraph1">
    <w:name w:val="List Paragraph1"/>
    <w:basedOn w:val="a"/>
    <w:uiPriority w:val="99"/>
    <w:rsid w:val="007340F5"/>
    <w:pPr>
      <w:spacing w:after="200" w:line="276" w:lineRule="auto"/>
      <w:ind w:left="720"/>
      <w:contextualSpacing/>
    </w:pPr>
    <w:rPr>
      <w:rFonts w:ascii="Calibri" w:hAnsi="Calibri"/>
      <w:sz w:val="22"/>
      <w:szCs w:val="22"/>
    </w:rPr>
  </w:style>
  <w:style w:type="paragraph" w:customStyle="1" w:styleId="ConsPlusNormal">
    <w:name w:val="ConsPlusNormal"/>
    <w:link w:val="ConsPlusNormal0"/>
    <w:uiPriority w:val="99"/>
    <w:rsid w:val="007340F5"/>
    <w:pPr>
      <w:widowControl w:val="0"/>
      <w:autoSpaceDE w:val="0"/>
      <w:autoSpaceDN w:val="0"/>
      <w:adjustRightInd w:val="0"/>
      <w:ind w:firstLine="720"/>
    </w:pPr>
    <w:rPr>
      <w:rFonts w:ascii="Arial" w:hAnsi="Arial"/>
    </w:rPr>
  </w:style>
  <w:style w:type="character" w:styleId="ae">
    <w:name w:val="annotation reference"/>
    <w:basedOn w:val="a0"/>
    <w:uiPriority w:val="99"/>
    <w:rsid w:val="007340F5"/>
    <w:rPr>
      <w:rFonts w:cs="Times New Roman"/>
      <w:sz w:val="16"/>
    </w:rPr>
  </w:style>
  <w:style w:type="paragraph" w:customStyle="1" w:styleId="31">
    <w:name w:val="Основной текст с отступом 31"/>
    <w:basedOn w:val="a"/>
    <w:uiPriority w:val="99"/>
    <w:rsid w:val="00B51ECE"/>
    <w:pPr>
      <w:suppressAutoHyphens/>
      <w:spacing w:after="120"/>
      <w:ind w:left="283"/>
    </w:pPr>
    <w:rPr>
      <w:sz w:val="16"/>
      <w:szCs w:val="16"/>
      <w:lang w:eastAsia="ar-SA"/>
    </w:rPr>
  </w:style>
  <w:style w:type="paragraph" w:styleId="af">
    <w:name w:val="header"/>
    <w:basedOn w:val="a"/>
    <w:link w:val="af0"/>
    <w:uiPriority w:val="99"/>
    <w:rsid w:val="00680A62"/>
    <w:pPr>
      <w:tabs>
        <w:tab w:val="center" w:pos="4677"/>
        <w:tab w:val="right" w:pos="9355"/>
      </w:tabs>
    </w:pPr>
  </w:style>
  <w:style w:type="character" w:customStyle="1" w:styleId="af0">
    <w:name w:val="Верхний колонтитул Знак"/>
    <w:basedOn w:val="a0"/>
    <w:link w:val="af"/>
    <w:uiPriority w:val="99"/>
    <w:semiHidden/>
    <w:locked/>
    <w:rPr>
      <w:rFonts w:cs="Times New Roman"/>
      <w:sz w:val="20"/>
      <w:szCs w:val="20"/>
    </w:rPr>
  </w:style>
  <w:style w:type="character" w:styleId="af1">
    <w:name w:val="page number"/>
    <w:basedOn w:val="a0"/>
    <w:uiPriority w:val="99"/>
    <w:rsid w:val="00680A62"/>
    <w:rPr>
      <w:rFonts w:cs="Times New Roman"/>
    </w:rPr>
  </w:style>
  <w:style w:type="paragraph" w:styleId="af2">
    <w:name w:val="footer"/>
    <w:basedOn w:val="a"/>
    <w:link w:val="af3"/>
    <w:uiPriority w:val="99"/>
    <w:rsid w:val="008338BF"/>
    <w:pPr>
      <w:tabs>
        <w:tab w:val="center" w:pos="4677"/>
        <w:tab w:val="right" w:pos="9355"/>
      </w:tabs>
    </w:pPr>
  </w:style>
  <w:style w:type="character" w:customStyle="1" w:styleId="af3">
    <w:name w:val="Нижний колонтитул Знак"/>
    <w:basedOn w:val="a0"/>
    <w:link w:val="af2"/>
    <w:uiPriority w:val="99"/>
    <w:semiHidden/>
    <w:locked/>
    <w:rPr>
      <w:rFonts w:cs="Times New Roman"/>
      <w:sz w:val="20"/>
      <w:szCs w:val="20"/>
    </w:rPr>
  </w:style>
  <w:style w:type="character" w:customStyle="1" w:styleId="ConsPlusNormal0">
    <w:name w:val="ConsPlusNormal Знак"/>
    <w:link w:val="ConsPlusNormal"/>
    <w:uiPriority w:val="99"/>
    <w:locked/>
    <w:rsid w:val="00224745"/>
    <w:rPr>
      <w:rFonts w:ascii="Arial" w:hAnsi="Arial"/>
      <w:sz w:val="22"/>
      <w:lang w:val="ru-RU" w:eastAsia="ru-RU"/>
    </w:rPr>
  </w:style>
  <w:style w:type="table" w:styleId="af4">
    <w:name w:val="Table Grid"/>
    <w:basedOn w:val="a1"/>
    <w:uiPriority w:val="99"/>
    <w:rsid w:val="00E37941"/>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418889">
      <w:marLeft w:val="0"/>
      <w:marRight w:val="0"/>
      <w:marTop w:val="0"/>
      <w:marBottom w:val="0"/>
      <w:divBdr>
        <w:top w:val="none" w:sz="0" w:space="0" w:color="auto"/>
        <w:left w:val="none" w:sz="0" w:space="0" w:color="auto"/>
        <w:bottom w:val="none" w:sz="0" w:space="0" w:color="auto"/>
        <w:right w:val="none" w:sz="0" w:space="0" w:color="auto"/>
      </w:divBdr>
    </w:div>
    <w:div w:id="1662418890">
      <w:marLeft w:val="0"/>
      <w:marRight w:val="0"/>
      <w:marTop w:val="0"/>
      <w:marBottom w:val="0"/>
      <w:divBdr>
        <w:top w:val="none" w:sz="0" w:space="0" w:color="auto"/>
        <w:left w:val="none" w:sz="0" w:space="0" w:color="auto"/>
        <w:bottom w:val="none" w:sz="0" w:space="0" w:color="auto"/>
        <w:right w:val="none" w:sz="0" w:space="0" w:color="auto"/>
      </w:divBdr>
    </w:div>
    <w:div w:id="16624188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4432</Words>
  <Characters>25263</Characters>
  <Application>Microsoft Office Word</Application>
  <DocSecurity>4</DocSecurity>
  <Lines>210</Lines>
  <Paragraphs>59</Paragraphs>
  <ScaleCrop>false</ScaleCrop>
  <HeadingPairs>
    <vt:vector size="2" baseType="variant">
      <vt:variant>
        <vt:lpstr>Название</vt:lpstr>
      </vt:variant>
      <vt:variant>
        <vt:i4>1</vt:i4>
      </vt:variant>
    </vt:vector>
  </HeadingPairs>
  <TitlesOfParts>
    <vt:vector size="1" baseType="lpstr">
      <vt:lpstr>Основные направления налоговой, бюджетной и долговой политики Ханты-Мансийского автономного округа – Югры на 2015 год</vt:lpstr>
    </vt:vector>
  </TitlesOfParts>
  <Company>МКУ Администрация г.Пыть-Яха</Company>
  <LinksUpToDate>false</LinksUpToDate>
  <CharactersWithSpaces>29636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налоговой, бюджетной и долговой политики Ханты-Мансийского автономного округа – Югры на 2015 год</dc:title>
  <dc:subject/>
  <dc:creator>Баляева</dc:creator>
  <cp:keywords/>
  <dc:description/>
  <cp:lastModifiedBy>Сергей Медведев</cp:lastModifiedBy>
  <cp:revision>2</cp:revision>
  <cp:lastPrinted>2018-10-18T09:07:00Z</cp:lastPrinted>
  <dcterms:created xsi:type="dcterms:W3CDTF">2018-10-19T11:18:00Z</dcterms:created>
  <dcterms:modified xsi:type="dcterms:W3CDTF">2018-10-19T11:18:00Z</dcterms:modified>
</cp:coreProperties>
</file>