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AF088C" w:rsidRPr="00B2530A" w:rsidRDefault="00AF088C" w:rsidP="00AF088C">
      <w:pPr>
        <w:jc w:val="center"/>
        <w:rPr>
          <w:sz w:val="28"/>
          <w:szCs w:val="28"/>
        </w:rPr>
      </w:pPr>
    </w:p>
    <w:p w:rsidR="00B2530A" w:rsidRPr="00B2530A" w:rsidRDefault="00B2530A" w:rsidP="00AF088C">
      <w:pPr>
        <w:jc w:val="center"/>
        <w:rPr>
          <w:sz w:val="28"/>
          <w:szCs w:val="28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B2530A" w:rsidRDefault="00B2530A" w:rsidP="00B2530A">
      <w:pPr>
        <w:jc w:val="both"/>
        <w:rPr>
          <w:sz w:val="28"/>
          <w:szCs w:val="28"/>
        </w:rPr>
      </w:pPr>
    </w:p>
    <w:p w:rsidR="009262F8" w:rsidRDefault="004B5898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117-па</w:t>
      </w:r>
    </w:p>
    <w:p w:rsidR="001538C9" w:rsidRPr="000302DC" w:rsidRDefault="001538C9">
      <w:pPr>
        <w:jc w:val="center"/>
        <w:rPr>
          <w:sz w:val="28"/>
          <w:szCs w:val="28"/>
        </w:rPr>
      </w:pPr>
    </w:p>
    <w:p w:rsidR="00C40C02" w:rsidRDefault="001D4692" w:rsidP="001538C9">
      <w:pPr>
        <w:jc w:val="both"/>
      </w:pPr>
      <w:r>
        <w:rPr>
          <w:sz w:val="28"/>
          <w:szCs w:val="28"/>
        </w:rPr>
        <w:t>О</w:t>
      </w:r>
      <w:r w:rsidR="00C40C02">
        <w:rPr>
          <w:sz w:val="28"/>
          <w:szCs w:val="28"/>
        </w:rPr>
        <w:t>б утверждении</w:t>
      </w:r>
      <w:r w:rsidR="00C40C02" w:rsidRPr="00C40C02">
        <w:t xml:space="preserve"> </w:t>
      </w:r>
    </w:p>
    <w:p w:rsidR="00C40C02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топливно-энергетическ</w:t>
      </w:r>
      <w:r>
        <w:rPr>
          <w:sz w:val="28"/>
          <w:szCs w:val="28"/>
        </w:rPr>
        <w:t>ого</w:t>
      </w:r>
      <w:r w:rsidRPr="00C40C0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</w:p>
    <w:p w:rsidR="00903D71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город</w:t>
      </w:r>
      <w:r w:rsidR="00270C35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Пыть-Ях</w:t>
      </w:r>
      <w:r w:rsidR="00B70254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</w:t>
      </w:r>
    </w:p>
    <w:p w:rsidR="00903D71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:rsidR="00D84479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Югры </w:t>
      </w:r>
      <w:r w:rsidR="00C40C02" w:rsidRPr="00C40C02">
        <w:rPr>
          <w:sz w:val="28"/>
          <w:szCs w:val="28"/>
        </w:rPr>
        <w:t>за 202</w:t>
      </w:r>
      <w:r w:rsidR="00B743DC">
        <w:rPr>
          <w:sz w:val="28"/>
          <w:szCs w:val="28"/>
        </w:rPr>
        <w:t>1</w:t>
      </w:r>
      <w:r w:rsidR="00C40C02" w:rsidRPr="00C40C02">
        <w:rPr>
          <w:sz w:val="28"/>
          <w:szCs w:val="28"/>
        </w:rPr>
        <w:t xml:space="preserve"> год</w:t>
      </w:r>
      <w:r w:rsidR="00D84479">
        <w:rPr>
          <w:sz w:val="28"/>
          <w:szCs w:val="28"/>
        </w:rPr>
        <w:t xml:space="preserve"> </w:t>
      </w:r>
    </w:p>
    <w:p w:rsidR="001538C9" w:rsidRPr="000302DC" w:rsidRDefault="001538C9" w:rsidP="001538C9">
      <w:pPr>
        <w:jc w:val="center"/>
        <w:rPr>
          <w:sz w:val="28"/>
          <w:szCs w:val="28"/>
        </w:rPr>
      </w:pPr>
    </w:p>
    <w:p w:rsidR="0051076C" w:rsidRDefault="0051076C" w:rsidP="005B4A3B">
      <w:pPr>
        <w:jc w:val="both"/>
        <w:rPr>
          <w:sz w:val="28"/>
          <w:szCs w:val="28"/>
        </w:rPr>
      </w:pPr>
    </w:p>
    <w:p w:rsidR="0051076C" w:rsidRPr="000302DC" w:rsidRDefault="0051076C" w:rsidP="005B4A3B">
      <w:pPr>
        <w:jc w:val="both"/>
        <w:rPr>
          <w:sz w:val="28"/>
          <w:szCs w:val="28"/>
        </w:rPr>
      </w:pPr>
    </w:p>
    <w:p w:rsidR="00B662AA" w:rsidRPr="00B61C0F" w:rsidRDefault="00B70254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В соответствии с</w:t>
      </w:r>
      <w:r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Федеральными законами от 31 марта 1999 № 69-ФЗ «О газоснабжении в Российской Федерации», от 27 июля 2010 года № 190-ФЗ «О теплоснабжении»,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приказом Министерства энергетики Российской Федерации от 29 октября 2021 года № 1169 «Об утверждении п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составления топливно-энергетических балансов субъектов Российской Федерации, муниципальных образований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»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, в целях контроля</w:t>
      </w:r>
      <w:r w:rsidR="00C66655" w:rsidRPr="00C66655">
        <w:rPr>
          <w:rFonts w:ascii="Times New Roman" w:hAnsi="Times New Roman" w:cs="Times New Roman"/>
          <w:b w:val="0"/>
          <w:sz w:val="28"/>
          <w:szCs w:val="28"/>
        </w:rPr>
        <w:t xml:space="preserve"> за рациональным и эффективным использованием т</w:t>
      </w:r>
      <w:r w:rsidR="009E506B">
        <w:rPr>
          <w:rFonts w:ascii="Times New Roman" w:hAnsi="Times New Roman" w:cs="Times New Roman"/>
          <w:b w:val="0"/>
          <w:sz w:val="28"/>
          <w:szCs w:val="28"/>
        </w:rPr>
        <w:t>опливно-энергетических ресурсов</w:t>
      </w:r>
      <w:r w:rsidR="00B662AA"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38C9" w:rsidRPr="00AF088C" w:rsidRDefault="001538C9" w:rsidP="00903D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r w:rsidR="00C40C02" w:rsidRPr="00C40C02">
        <w:rPr>
          <w:rFonts w:ascii="Times New Roman" w:hAnsi="Times New Roman" w:cs="Times New Roman"/>
          <w:sz w:val="28"/>
          <w:szCs w:val="28"/>
        </w:rPr>
        <w:t>Утвердить топливно-энергетический баланс город</w:t>
      </w:r>
      <w:r w:rsidR="00270C35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B70254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C40C02" w:rsidRPr="00C40C02">
        <w:rPr>
          <w:rFonts w:ascii="Times New Roman" w:hAnsi="Times New Roman" w:cs="Times New Roman"/>
          <w:sz w:val="28"/>
          <w:szCs w:val="28"/>
        </w:rPr>
        <w:t>за 202</w:t>
      </w:r>
      <w:r w:rsidR="00B743DC">
        <w:rPr>
          <w:rFonts w:ascii="Times New Roman" w:hAnsi="Times New Roman" w:cs="Times New Roman"/>
          <w:sz w:val="28"/>
          <w:szCs w:val="28"/>
        </w:rPr>
        <w:t>1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год (</w:t>
      </w:r>
      <w:r w:rsidR="00016F93">
        <w:rPr>
          <w:rFonts w:ascii="Times New Roman" w:hAnsi="Times New Roman" w:cs="Times New Roman"/>
          <w:sz w:val="28"/>
          <w:szCs w:val="28"/>
        </w:rPr>
        <w:t>приложение</w:t>
      </w:r>
      <w:r w:rsidR="00C40C02" w:rsidRPr="00C40C02">
        <w:rPr>
          <w:rFonts w:ascii="Times New Roman" w:hAnsi="Times New Roman" w:cs="Times New Roman"/>
          <w:sz w:val="28"/>
          <w:szCs w:val="28"/>
        </w:rPr>
        <w:t>).</w:t>
      </w:r>
    </w:p>
    <w:p w:rsidR="00AF088C" w:rsidRPr="00485126" w:rsidRDefault="00C40C02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4B5898">
        <w:rPr>
          <w:sz w:val="28"/>
          <w:szCs w:val="28"/>
        </w:rPr>
        <w:t>Ю.А.Рыжих</w:t>
      </w:r>
      <w:proofErr w:type="spellEnd"/>
      <w:r w:rsidR="00AF088C" w:rsidRPr="00485126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="00AF088C" w:rsidRPr="00485126">
        <w:rPr>
          <w:sz w:val="28"/>
          <w:szCs w:val="28"/>
        </w:rPr>
        <w:lastRenderedPageBreak/>
        <w:t>издании в информационно-телекоммуникационной сети «Интернет» - pyt-yahinform.ru.</w:t>
      </w:r>
    </w:p>
    <w:p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 xml:space="preserve">Отделу по </w:t>
      </w:r>
      <w:r w:rsidR="00AF088C">
        <w:rPr>
          <w:sz w:val="28"/>
          <w:szCs w:val="28"/>
        </w:rPr>
        <w:t xml:space="preserve">обеспечению </w:t>
      </w:r>
      <w:r w:rsidR="00AF088C" w:rsidRPr="00210BF8">
        <w:rPr>
          <w:sz w:val="28"/>
          <w:szCs w:val="28"/>
        </w:rPr>
        <w:t>информационн</w:t>
      </w:r>
      <w:r w:rsidR="00AF088C">
        <w:rPr>
          <w:sz w:val="28"/>
          <w:szCs w:val="28"/>
        </w:rPr>
        <w:t>ой</w:t>
      </w:r>
      <w:r w:rsidR="00AF088C" w:rsidRPr="00210BF8">
        <w:rPr>
          <w:sz w:val="28"/>
          <w:szCs w:val="28"/>
        </w:rPr>
        <w:t xml:space="preserve"> </w:t>
      </w:r>
      <w:r w:rsidR="00AF088C">
        <w:rPr>
          <w:sz w:val="28"/>
          <w:szCs w:val="28"/>
        </w:rPr>
        <w:t xml:space="preserve">безопасности </w:t>
      </w:r>
      <w:r w:rsidR="00F337B3" w:rsidRPr="00F337B3">
        <w:rPr>
          <w:sz w:val="28"/>
          <w:szCs w:val="28"/>
        </w:rPr>
        <w:t xml:space="preserve">                                 </w:t>
      </w:r>
      <w:proofErr w:type="gramStart"/>
      <w:r w:rsidR="00F337B3" w:rsidRPr="00F337B3">
        <w:rPr>
          <w:sz w:val="28"/>
          <w:szCs w:val="28"/>
        </w:rPr>
        <w:t xml:space="preserve">   </w:t>
      </w:r>
      <w:r w:rsidR="00AF088C" w:rsidRPr="00210BF8">
        <w:rPr>
          <w:sz w:val="28"/>
          <w:szCs w:val="28"/>
        </w:rPr>
        <w:t>(</w:t>
      </w:r>
      <w:proofErr w:type="gramEnd"/>
      <w:r w:rsidR="00AF088C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F088C" w:rsidRPr="009E506B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AF088C">
        <w:rPr>
          <w:sz w:val="28"/>
          <w:szCs w:val="28"/>
        </w:rPr>
        <w:t xml:space="preserve"> (направление деятельности – </w:t>
      </w:r>
      <w:r w:rsidR="00CD3861" w:rsidRPr="009E506B">
        <w:rPr>
          <w:sz w:val="28"/>
          <w:szCs w:val="28"/>
        </w:rPr>
        <w:t>жилищно-коммунальн</w:t>
      </w:r>
      <w:r w:rsidR="009E506B" w:rsidRPr="009E506B">
        <w:rPr>
          <w:sz w:val="28"/>
          <w:szCs w:val="28"/>
        </w:rPr>
        <w:t>ые</w:t>
      </w:r>
      <w:r w:rsidR="00CD3861" w:rsidRPr="009E506B">
        <w:rPr>
          <w:sz w:val="28"/>
          <w:szCs w:val="28"/>
        </w:rPr>
        <w:t xml:space="preserve"> </w:t>
      </w:r>
      <w:r w:rsidR="009E506B" w:rsidRPr="009E506B">
        <w:rPr>
          <w:sz w:val="28"/>
          <w:szCs w:val="28"/>
        </w:rPr>
        <w:t>вопросы</w:t>
      </w:r>
      <w:r w:rsidR="00AF088C" w:rsidRPr="009E506B">
        <w:rPr>
          <w:sz w:val="28"/>
          <w:szCs w:val="28"/>
        </w:rPr>
        <w:t>).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B743DC" w:rsidRDefault="00B743D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96819" w:rsidSect="00F337B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:rsidR="009E506B" w:rsidRDefault="00016F9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4B5898">
        <w:rPr>
          <w:rFonts w:ascii="Times New Roman" w:hAnsi="Times New Roman" w:cs="Times New Roman"/>
          <w:sz w:val="28"/>
          <w:szCs w:val="28"/>
        </w:rPr>
        <w:t>18.04.2023 № 117-па</w:t>
      </w:r>
      <w:bookmarkStart w:id="0" w:name="_GoBack"/>
      <w:bookmarkEnd w:id="0"/>
    </w:p>
    <w:p w:rsidR="00F337B3" w:rsidRDefault="00F337B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71" w:rsidRDefault="0043564C" w:rsidP="00903D71">
      <w:pPr>
        <w:pStyle w:val="ConsPlusNormal"/>
        <w:spacing w:line="360" w:lineRule="auto"/>
        <w:ind w:firstLine="709"/>
        <w:jc w:val="center"/>
      </w:pPr>
      <w:r w:rsidRPr="0043564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9E506B">
        <w:rPr>
          <w:rFonts w:ascii="Times New Roman" w:hAnsi="Times New Roman" w:cs="Times New Roman"/>
          <w:sz w:val="28"/>
          <w:szCs w:val="28"/>
        </w:rPr>
        <w:t>а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72D28">
        <w:rPr>
          <w:rFonts w:ascii="Times New Roman" w:hAnsi="Times New Roman" w:cs="Times New Roman"/>
          <w:sz w:val="28"/>
          <w:szCs w:val="28"/>
        </w:rPr>
        <w:t>а</w:t>
      </w:r>
      <w:r w:rsidR="00903D71" w:rsidRPr="00903D71">
        <w:t xml:space="preserve"> </w:t>
      </w:r>
    </w:p>
    <w:p w:rsidR="009E506B" w:rsidRDefault="00903D71" w:rsidP="00903D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D71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71">
        <w:rPr>
          <w:rFonts w:ascii="Times New Roman" w:hAnsi="Times New Roman" w:cs="Times New Roman"/>
          <w:sz w:val="28"/>
          <w:szCs w:val="28"/>
        </w:rPr>
        <w:t>округа – Югры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53"/>
        <w:gridCol w:w="1137"/>
        <w:gridCol w:w="903"/>
        <w:gridCol w:w="1373"/>
        <w:gridCol w:w="1137"/>
        <w:gridCol w:w="1138"/>
        <w:gridCol w:w="1138"/>
        <w:gridCol w:w="1026"/>
        <w:gridCol w:w="1249"/>
        <w:gridCol w:w="1138"/>
        <w:gridCol w:w="1138"/>
      </w:tblGrid>
      <w:tr w:rsidR="00A96819" w:rsidRPr="00F73FAE" w:rsidTr="00A96819">
        <w:trPr>
          <w:trHeight w:val="630"/>
        </w:trPr>
        <w:tc>
          <w:tcPr>
            <w:tcW w:w="2405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90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Сырая нефть</w:t>
            </w:r>
          </w:p>
        </w:tc>
        <w:tc>
          <w:tcPr>
            <w:tcW w:w="1373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137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Прочее твердое топливо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Гидроэнергия и НВИЭ</w:t>
            </w:r>
          </w:p>
        </w:tc>
        <w:tc>
          <w:tcPr>
            <w:tcW w:w="1026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Атомная энергия</w:t>
            </w:r>
          </w:p>
        </w:tc>
        <w:tc>
          <w:tcPr>
            <w:tcW w:w="1249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86975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Тепловая энергия 202</w:t>
            </w:r>
            <w:r w:rsidR="00A86975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8" w:type="dxa"/>
            <w:vMerge w:val="restart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FF"/>
                <w:sz w:val="24"/>
                <w:szCs w:val="24"/>
              </w:rPr>
              <w:t>***</w:t>
            </w:r>
          </w:p>
        </w:tc>
        <w:tc>
          <w:tcPr>
            <w:tcW w:w="1026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:rsidR="00A96819" w:rsidRPr="00F73FAE" w:rsidRDefault="00A96819" w:rsidP="00A96819">
            <w:pP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6819" w:rsidRPr="00F73FAE" w:rsidTr="00A96819">
        <w:trPr>
          <w:trHeight w:val="66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95 090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:rsidR="00A96819" w:rsidRPr="00E05856" w:rsidRDefault="00B54F00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E05856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95 090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239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E05856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E05856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256</w:t>
            </w:r>
            <w:r w:rsidR="00BC5C3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5856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928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E05856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E05856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E05856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E05856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B54F00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  <w:highlight w:val="yellow"/>
              </w:rPr>
            </w:pPr>
            <w:r w:rsidRPr="00B54F00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95 090</w:t>
            </w:r>
          </w:p>
        </w:tc>
        <w:tc>
          <w:tcPr>
            <w:tcW w:w="1138" w:type="dxa"/>
            <w:hideMark/>
          </w:tcPr>
          <w:p w:rsidR="00A96819" w:rsidRPr="00A86975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  <w:highlight w:val="yellow"/>
              </w:rPr>
            </w:pPr>
            <w:r w:rsidRPr="00B54F00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A86975" w:rsidRDefault="00B54F00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95 090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Производство тепловой энергии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B54F00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="00B54F00">
              <w:rPr>
                <w:rFonts w:ascii="Book Antiqua" w:hAnsi="Book Antiqua"/>
                <w:color w:val="000000"/>
                <w:sz w:val="24"/>
                <w:szCs w:val="24"/>
              </w:rPr>
              <w:t>93 384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1A6F1E" w:rsidP="005B2A4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83 790</w:t>
            </w:r>
          </w:p>
        </w:tc>
        <w:tc>
          <w:tcPr>
            <w:tcW w:w="1138" w:type="dxa"/>
            <w:hideMark/>
          </w:tcPr>
          <w:p w:rsidR="00A96819" w:rsidRPr="00F73FAE" w:rsidRDefault="00A96819" w:rsidP="00A61525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A6152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A61525" w:rsidRPr="00A6152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9 594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Теплоэлектростанции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B54F00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="00B54F00">
              <w:rPr>
                <w:rFonts w:ascii="Book Antiqua" w:hAnsi="Book Antiqua"/>
                <w:color w:val="000000"/>
                <w:sz w:val="24"/>
                <w:szCs w:val="24"/>
              </w:rPr>
              <w:t>93 384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1A6F1E" w:rsidP="005B2A43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83 790</w:t>
            </w:r>
          </w:p>
        </w:tc>
        <w:tc>
          <w:tcPr>
            <w:tcW w:w="1138" w:type="dxa"/>
            <w:hideMark/>
          </w:tcPr>
          <w:p w:rsidR="00A96819" w:rsidRPr="00F73FAE" w:rsidRDefault="00A61525" w:rsidP="00BC5C3B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A6152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- 9 594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1A6F1E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="001A6F1E">
              <w:rPr>
                <w:rFonts w:ascii="Book Antiqua" w:hAnsi="Book Antiqua"/>
                <w:color w:val="000000"/>
                <w:sz w:val="24"/>
                <w:szCs w:val="24"/>
              </w:rPr>
              <w:t>7 427</w:t>
            </w:r>
          </w:p>
        </w:tc>
        <w:tc>
          <w:tcPr>
            <w:tcW w:w="1138" w:type="dxa"/>
            <w:hideMark/>
          </w:tcPr>
          <w:p w:rsidR="00A96819" w:rsidRPr="00F73FAE" w:rsidRDefault="005B2A43" w:rsidP="001A6F1E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- </w:t>
            </w:r>
            <w:r w:rsidR="001A6F1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7 427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1A6F1E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-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="001A6F1E">
              <w:rPr>
                <w:rFonts w:ascii="Book Antiqua" w:hAnsi="Book Antiqua"/>
                <w:color w:val="000000"/>
                <w:sz w:val="24"/>
                <w:szCs w:val="24"/>
              </w:rPr>
              <w:t>22 018</w:t>
            </w:r>
          </w:p>
        </w:tc>
        <w:tc>
          <w:tcPr>
            <w:tcW w:w="1138" w:type="dxa"/>
            <w:hideMark/>
          </w:tcPr>
          <w:p w:rsidR="00A96819" w:rsidRPr="00F73FAE" w:rsidRDefault="00A96819" w:rsidP="001A6F1E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6F1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22 018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239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7" w:type="dxa"/>
            <w:hideMark/>
          </w:tcPr>
          <w:p w:rsidR="00A96819" w:rsidRPr="00F73FAE" w:rsidRDefault="00A1181C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1 706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138" w:type="dxa"/>
            <w:hideMark/>
          </w:tcPr>
          <w:p w:rsidR="00A96819" w:rsidRPr="00F73FAE" w:rsidRDefault="00A61525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54 345</w:t>
            </w:r>
          </w:p>
        </w:tc>
        <w:tc>
          <w:tcPr>
            <w:tcW w:w="1138" w:type="dxa"/>
            <w:hideMark/>
          </w:tcPr>
          <w:p w:rsidR="00A96819" w:rsidRPr="00325517" w:rsidRDefault="005C051A" w:rsidP="00A1181C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A1181C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312 </w:t>
            </w:r>
            <w:r w:rsidR="00A1181C" w:rsidRPr="00A1181C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979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325517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9F1360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9</w:t>
            </w:r>
            <w:r w:rsidR="00BC5C3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210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Прочая промышленность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B54F00">
              <w:rPr>
                <w:rFonts w:ascii="Book Antiqua" w:hAnsi="Book Antiqua"/>
                <w:color w:val="000000"/>
                <w:sz w:val="24"/>
                <w:szCs w:val="24"/>
              </w:rPr>
              <w:t>239</w:t>
            </w:r>
            <w:r w:rsidR="00A4344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 w:rsidRPr="00B54F00">
              <w:rPr>
                <w:rFonts w:ascii="Book Antiqua" w:hAnsi="Book Antiqu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  <w:r w:rsidR="00BC5C3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325517" w:rsidRDefault="00BC5C3B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242 597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BC5C3B" w:rsidP="00BC5C3B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483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Трубопроводный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BC5C3B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BC5C3B">
              <w:rPr>
                <w:rFonts w:ascii="Book Antiqua" w:hAnsi="Book Antiqua"/>
                <w:b/>
                <w:color w:val="000000"/>
                <w:sz w:val="24"/>
                <w:szCs w:val="24"/>
              </w:rPr>
              <w:t>483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"НХТК"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BC5C3B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BC5C3B">
              <w:rPr>
                <w:rFonts w:ascii="Book Antiqua" w:hAnsi="Book Antiqua"/>
                <w:b/>
                <w:color w:val="000000"/>
                <w:sz w:val="24"/>
                <w:szCs w:val="24"/>
              </w:rPr>
              <w:t>383</w:t>
            </w:r>
          </w:p>
        </w:tc>
      </w:tr>
      <w:tr w:rsidR="00A96819" w:rsidRPr="00F73FAE" w:rsidTr="00A96819">
        <w:trPr>
          <w:trHeight w:val="94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Прочий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255</w:t>
            </w:r>
          </w:p>
        </w:tc>
      </w:tr>
      <w:tr w:rsidR="00A96819" w:rsidRPr="00F73FAE" w:rsidTr="00A96819">
        <w:trPr>
          <w:trHeight w:val="6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Экотон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255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138" w:type="dxa"/>
            <w:hideMark/>
          </w:tcPr>
          <w:p w:rsidR="00A96819" w:rsidRPr="00F73FAE" w:rsidRDefault="00A61525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25 355</w:t>
            </w:r>
          </w:p>
        </w:tc>
        <w:tc>
          <w:tcPr>
            <w:tcW w:w="1138" w:type="dxa"/>
            <w:hideMark/>
          </w:tcPr>
          <w:p w:rsidR="00A96819" w:rsidRPr="00A4344B" w:rsidRDefault="00A4344B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A4344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25 964</w:t>
            </w:r>
          </w:p>
        </w:tc>
      </w:tr>
      <w:tr w:rsidR="00A96819" w:rsidRPr="00F73FAE" w:rsidTr="00A96819">
        <w:trPr>
          <w:trHeight w:val="33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  <w:r w:rsidR="00A4344B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138" w:type="dxa"/>
            <w:hideMark/>
          </w:tcPr>
          <w:p w:rsidR="00A96819" w:rsidRPr="00F73FAE" w:rsidRDefault="00A61525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28 990</w:t>
            </w:r>
          </w:p>
        </w:tc>
        <w:tc>
          <w:tcPr>
            <w:tcW w:w="1138" w:type="dxa"/>
            <w:hideMark/>
          </w:tcPr>
          <w:p w:rsidR="00A96819" w:rsidRPr="00A4344B" w:rsidRDefault="00A4344B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A4344B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33 941</w:t>
            </w:r>
          </w:p>
        </w:tc>
      </w:tr>
      <w:tr w:rsidR="00A96819" w:rsidRPr="00F73FAE" w:rsidTr="00A96819">
        <w:trPr>
          <w:trHeight w:val="1260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529</w:t>
            </w:r>
          </w:p>
        </w:tc>
      </w:tr>
      <w:tr w:rsidR="00A96819" w:rsidRPr="00F73FAE" w:rsidTr="00A96819">
        <w:trPr>
          <w:trHeight w:val="405"/>
        </w:trPr>
        <w:tc>
          <w:tcPr>
            <w:tcW w:w="2405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ИП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Хужулов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65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137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3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7" w:type="dxa"/>
            <w:hideMark/>
          </w:tcPr>
          <w:p w:rsidR="00A96819" w:rsidRPr="00F73FAE" w:rsidRDefault="00B54F00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9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8" w:type="dxa"/>
            <w:hideMark/>
          </w:tcPr>
          <w:p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hideMark/>
          </w:tcPr>
          <w:p w:rsidR="00A96819" w:rsidRPr="00F73FAE" w:rsidRDefault="00E05856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529</w:t>
            </w:r>
          </w:p>
        </w:tc>
      </w:tr>
    </w:tbl>
    <w:p w:rsidR="00A96819" w:rsidRPr="001F2F51" w:rsidRDefault="00A96819" w:rsidP="00A9681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</w:t>
      </w:r>
      <w:r w:rsidRPr="001F2F5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пересчета в условное топливо, приведенные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Приказе </w:t>
      </w:r>
      <w:r w:rsidRPr="00A96819">
        <w:rPr>
          <w:rFonts w:ascii="Times New Roman" w:hAnsi="Times New Roman" w:cs="Times New Roman"/>
          <w:i/>
          <w:sz w:val="24"/>
          <w:szCs w:val="24"/>
        </w:rPr>
        <w:t>Министерства энергетики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 от 29 октября 2021 года № 1169 «Об утверждении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порядка составления топливно-энергетических балансов субъектов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Федерации, муниципальных образований»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F51">
        <w:rPr>
          <w:rFonts w:ascii="Times New Roman" w:hAnsi="Times New Roman" w:cs="Times New Roman"/>
          <w:i/>
          <w:sz w:val="24"/>
          <w:szCs w:val="24"/>
        </w:rPr>
        <w:cr/>
      </w:r>
    </w:p>
    <w:p w:rsidR="00A96819" w:rsidRDefault="00A96819" w:rsidP="009F45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96819" w:rsidSect="00A9681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к</w:t>
      </w:r>
      <w:r w:rsidRPr="00A96819">
        <w:t xml:space="preserve"> </w:t>
      </w:r>
      <w:r w:rsidRPr="00A96819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балансу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A96819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</w:p>
    <w:p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</w:p>
    <w:p w:rsidR="00A96819" w:rsidRDefault="00A96819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C35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B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Порядок формирования топливно-энергетического баланса</w:t>
      </w:r>
      <w:r w:rsidR="009E506B" w:rsidRPr="009E506B"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270C35">
        <w:rPr>
          <w:rFonts w:ascii="Times New Roman" w:hAnsi="Times New Roman" w:cs="Times New Roman"/>
          <w:sz w:val="28"/>
          <w:szCs w:val="28"/>
        </w:rPr>
        <w:t>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="00270C35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1.1. Основания формирования топливно-энергетического баланса.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Основаниями формирования топливно-энергетического баланса являются Федеральный</w:t>
      </w:r>
      <w:r w:rsidR="009E506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закон от 27.07.2010 года № 190-ФЗ «О теплоснабжении» и Приказ Мин</w:t>
      </w:r>
      <w:r w:rsidR="009E506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3564C">
        <w:rPr>
          <w:rFonts w:ascii="Times New Roman" w:hAnsi="Times New Roman" w:cs="Times New Roman"/>
          <w:sz w:val="28"/>
          <w:szCs w:val="28"/>
        </w:rPr>
        <w:t>энерг</w:t>
      </w:r>
      <w:r w:rsidR="009E506B">
        <w:rPr>
          <w:rFonts w:ascii="Times New Roman" w:hAnsi="Times New Roman" w:cs="Times New Roman"/>
          <w:sz w:val="28"/>
          <w:szCs w:val="28"/>
        </w:rPr>
        <w:t>етики Российской Федерации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от</w:t>
      </w:r>
      <w:r w:rsidR="009E506B">
        <w:rPr>
          <w:rFonts w:ascii="Times New Roman" w:hAnsi="Times New Roman" w:cs="Times New Roman"/>
          <w:sz w:val="28"/>
          <w:szCs w:val="28"/>
        </w:rPr>
        <w:t xml:space="preserve"> 29 октября 2021 года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№</w:t>
      </w:r>
      <w:r w:rsidR="00270C35">
        <w:rPr>
          <w:rFonts w:ascii="Times New Roman" w:hAnsi="Times New Roman" w:cs="Times New Roman"/>
          <w:sz w:val="28"/>
          <w:szCs w:val="28"/>
        </w:rPr>
        <w:t xml:space="preserve"> </w:t>
      </w:r>
      <w:r w:rsidR="001B18AB">
        <w:rPr>
          <w:rFonts w:ascii="Times New Roman" w:hAnsi="Times New Roman" w:cs="Times New Roman"/>
          <w:sz w:val="28"/>
          <w:szCs w:val="28"/>
        </w:rPr>
        <w:t>1169</w:t>
      </w:r>
      <w:r w:rsidRPr="0043564C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топливно</w:t>
      </w:r>
      <w:r w:rsidR="001B18AB">
        <w:rPr>
          <w:rFonts w:ascii="Times New Roman" w:hAnsi="Times New Roman" w:cs="Times New Roman"/>
          <w:sz w:val="28"/>
          <w:szCs w:val="28"/>
        </w:rPr>
        <w:t>-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балансов субъектов Российской Федерации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образований».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1.2. Источники информации для формирования топливно-энергетического</w:t>
      </w:r>
      <w:r w:rsidR="001B18AB">
        <w:rPr>
          <w:rFonts w:ascii="Times New Roman" w:hAnsi="Times New Roman" w:cs="Times New Roman"/>
          <w:sz w:val="28"/>
          <w:szCs w:val="28"/>
        </w:rPr>
        <w:t xml:space="preserve"> баланса.</w:t>
      </w:r>
    </w:p>
    <w:p w:rsidR="00270C35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Для заполнения строк и граф баланса используется информация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предоставленная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теплоснабжающими организациями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на территории муниципального образования: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270C35">
        <w:rPr>
          <w:rFonts w:ascii="Times New Roman" w:hAnsi="Times New Roman" w:cs="Times New Roman"/>
          <w:sz w:val="28"/>
          <w:szCs w:val="28"/>
        </w:rPr>
        <w:t xml:space="preserve">МУП «УГХ» </w:t>
      </w:r>
      <w:proofErr w:type="spellStart"/>
      <w:r w:rsidR="00270C35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="00270C35">
        <w:rPr>
          <w:rFonts w:ascii="Times New Roman" w:hAnsi="Times New Roman" w:cs="Times New Roman"/>
          <w:sz w:val="28"/>
          <w:szCs w:val="28"/>
        </w:rPr>
        <w:t>. г. Пыть-Ях;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3B24D7" w:rsidRPr="003B24D7">
        <w:rPr>
          <w:rFonts w:ascii="Times New Roman" w:hAnsi="Times New Roman" w:cs="Times New Roman"/>
          <w:sz w:val="28"/>
          <w:szCs w:val="28"/>
        </w:rPr>
        <w:t>«Южно-Балыкск</w:t>
      </w:r>
      <w:r w:rsidR="003B24D7">
        <w:rPr>
          <w:rFonts w:ascii="Times New Roman" w:hAnsi="Times New Roman" w:cs="Times New Roman"/>
          <w:sz w:val="28"/>
          <w:szCs w:val="28"/>
        </w:rPr>
        <w:t>ий</w:t>
      </w:r>
      <w:r w:rsidR="003B24D7" w:rsidRPr="003B24D7">
        <w:rPr>
          <w:rFonts w:ascii="Times New Roman" w:hAnsi="Times New Roman" w:cs="Times New Roman"/>
          <w:sz w:val="28"/>
          <w:szCs w:val="28"/>
        </w:rPr>
        <w:t xml:space="preserve"> ГПЗ» – филиал АО «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>»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1.3. Общие положения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64C">
        <w:rPr>
          <w:sz w:val="28"/>
          <w:szCs w:val="28"/>
        </w:rPr>
        <w:t>Топливно-энергетический баланс содержит взаимосвязанные показатели количественного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соответствия поставок энергетических ресурсов на территорию и их потребления, устанавливает распределение энергетических ресурсов между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потребителями, группами потребителей.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 балансов в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форме таблицы по 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1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 xml:space="preserve">, объединяющей данные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балансов в единый </w:t>
      </w:r>
      <w:r w:rsidRPr="0043564C">
        <w:rPr>
          <w:rFonts w:ascii="Times New Roman" w:hAnsi="Times New Roman" w:cs="Times New Roman"/>
          <w:sz w:val="28"/>
          <w:szCs w:val="28"/>
        </w:rPr>
        <w:lastRenderedPageBreak/>
        <w:t>баланс, отражающий указанные данные в единых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единицах.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Однопродуктовый энергетический баланс составляется в форме таблицы по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>, отражающей в натуральных единицах формирование предложения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отдельных видов энергетических ресурсов или их однородных групп и 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использование в процессах преобразования, передачи и конечного потребления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ресурсов.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 1.4. Этапы формирования баланса</w:t>
      </w:r>
      <w:r w:rsidR="001049E9"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1.4.1. Сбор данных из отчетов теплоснабжающих предприятий, осуществляющих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561B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64C">
        <w:rPr>
          <w:rFonts w:ascii="Times New Roman" w:hAnsi="Times New Roman" w:cs="Times New Roman"/>
          <w:sz w:val="28"/>
          <w:szCs w:val="28"/>
        </w:rPr>
        <w:t>.</w:t>
      </w:r>
      <w:r w:rsidR="00161182">
        <w:rPr>
          <w:rFonts w:ascii="Times New Roman" w:hAnsi="Times New Roman" w:cs="Times New Roman"/>
          <w:sz w:val="28"/>
          <w:szCs w:val="28"/>
        </w:rPr>
        <w:t xml:space="preserve"> Использование отчетных данных </w:t>
      </w:r>
      <w:r w:rsidR="007171A5">
        <w:rPr>
          <w:rFonts w:ascii="Times New Roman" w:hAnsi="Times New Roman" w:cs="Times New Roman"/>
          <w:sz w:val="28"/>
          <w:szCs w:val="28"/>
        </w:rPr>
        <w:t xml:space="preserve">по </w:t>
      </w:r>
      <w:r w:rsidR="007171A5" w:rsidRPr="007171A5">
        <w:rPr>
          <w:rFonts w:ascii="Times New Roman" w:hAnsi="Times New Roman" w:cs="Times New Roman"/>
          <w:sz w:val="28"/>
          <w:szCs w:val="28"/>
        </w:rPr>
        <w:t>форм</w:t>
      </w:r>
      <w:r w:rsidR="007171A5">
        <w:rPr>
          <w:rFonts w:ascii="Times New Roman" w:hAnsi="Times New Roman" w:cs="Times New Roman"/>
          <w:sz w:val="28"/>
          <w:szCs w:val="28"/>
        </w:rPr>
        <w:t>е №</w:t>
      </w:r>
      <w:r w:rsidR="007171A5" w:rsidRPr="007171A5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7171A5">
        <w:rPr>
          <w:rFonts w:ascii="Times New Roman" w:hAnsi="Times New Roman" w:cs="Times New Roman"/>
          <w:sz w:val="28"/>
          <w:szCs w:val="28"/>
        </w:rPr>
        <w:t>.</w:t>
      </w:r>
    </w:p>
    <w:p w:rsidR="00161182" w:rsidRPr="0043564C" w:rsidRDefault="0043564C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1.4.2.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</w:t>
      </w:r>
      <w:r w:rsidR="00161182">
        <w:rPr>
          <w:rFonts w:ascii="Times New Roman" w:hAnsi="Times New Roman" w:cs="Times New Roman"/>
          <w:sz w:val="28"/>
          <w:szCs w:val="28"/>
        </w:rPr>
        <w:t>природного газа</w:t>
      </w:r>
      <w:r w:rsidR="00161182" w:rsidRPr="0043564C">
        <w:rPr>
          <w:rFonts w:ascii="Times New Roman" w:hAnsi="Times New Roman" w:cs="Times New Roman"/>
          <w:sz w:val="28"/>
          <w:szCs w:val="28"/>
        </w:rPr>
        <w:t>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0731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0731">
        <w:rPr>
          <w:rFonts w:ascii="Times New Roman" w:hAnsi="Times New Roman" w:cs="Times New Roman"/>
          <w:sz w:val="28"/>
          <w:szCs w:val="28"/>
        </w:rPr>
        <w:t xml:space="preserve"> баланс природного газа (</w:t>
      </w:r>
      <w:r w:rsidR="00A96819">
        <w:rPr>
          <w:rFonts w:ascii="Times New Roman" w:hAnsi="Times New Roman" w:cs="Times New Roman"/>
          <w:sz w:val="28"/>
          <w:szCs w:val="28"/>
        </w:rPr>
        <w:t>Таблица 1</w:t>
      </w:r>
      <w:r w:rsidRPr="00430731">
        <w:rPr>
          <w:rFonts w:ascii="Times New Roman" w:hAnsi="Times New Roman" w:cs="Times New Roman"/>
          <w:sz w:val="28"/>
          <w:szCs w:val="28"/>
        </w:rPr>
        <w:t>) включаются данные о природном газе, потребленн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котельными и населением и предназначенн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для потребления потребителями тепловой энергии и природного газа.</w:t>
      </w:r>
    </w:p>
    <w:p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CA036E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природного газа </w:t>
      </w:r>
      <w:r w:rsidRPr="00CA036E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CA0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A5" w:rsidRDefault="008E3BA5" w:rsidP="008E3B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8E3BA5" w:rsidRPr="00CA036E" w:rsidTr="00A86975">
        <w:trPr>
          <w:trHeight w:val="289"/>
        </w:trPr>
        <w:tc>
          <w:tcPr>
            <w:tcW w:w="5807" w:type="dxa"/>
            <w:noWrap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Отчетный год 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vMerge w:val="restart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701" w:type="dxa"/>
            <w:vMerge w:val="restart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Номер строк баланса</w:t>
            </w:r>
          </w:p>
        </w:tc>
        <w:tc>
          <w:tcPr>
            <w:tcW w:w="1843" w:type="dxa"/>
            <w:vMerge w:val="restart"/>
            <w:hideMark/>
          </w:tcPr>
          <w:p w:rsidR="008E3BA5" w:rsidRDefault="008E3BA5" w:rsidP="00B743DC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Природный газ за 202</w:t>
            </w:r>
            <w:r w:rsidR="00B743DC">
              <w:rPr>
                <w:color w:val="000000"/>
                <w:sz w:val="24"/>
                <w:szCs w:val="24"/>
              </w:rPr>
              <w:t>1</w:t>
            </w:r>
            <w:r w:rsidRPr="00430731">
              <w:rPr>
                <w:color w:val="000000"/>
                <w:sz w:val="24"/>
                <w:szCs w:val="24"/>
              </w:rPr>
              <w:t xml:space="preserve"> год</w:t>
            </w:r>
            <w:r w:rsidR="001A6F1E">
              <w:rPr>
                <w:color w:val="000000"/>
                <w:sz w:val="24"/>
                <w:szCs w:val="24"/>
              </w:rPr>
              <w:t>,</w:t>
            </w:r>
          </w:p>
          <w:p w:rsidR="001A6F1E" w:rsidRPr="00430731" w:rsidRDefault="001A6F1E" w:rsidP="00B743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тыс.м</w:t>
            </w:r>
            <w:r w:rsidRPr="001A6F1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E3BA5" w:rsidRPr="00CA036E" w:rsidTr="00A86975">
        <w:trPr>
          <w:trHeight w:val="276"/>
        </w:trPr>
        <w:tc>
          <w:tcPr>
            <w:tcW w:w="5807" w:type="dxa"/>
            <w:vMerge/>
            <w:hideMark/>
          </w:tcPr>
          <w:p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8E3BA5" w:rsidRPr="00430731" w:rsidRDefault="00F9597D" w:rsidP="00F95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74 992,48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74 992,48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73 646,75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73 646,75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30731">
              <w:rPr>
                <w:color w:val="000000"/>
                <w:sz w:val="24"/>
                <w:szCs w:val="24"/>
              </w:rPr>
              <w:t>Электрокотельные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теплоутилизационные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установки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1075,541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381,249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Трубопроводный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381,249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"НХТК"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302,266</w:t>
            </w:r>
          </w:p>
        </w:tc>
      </w:tr>
      <w:tr w:rsidR="008E3BA5" w:rsidRPr="00CA036E" w:rsidTr="00A86975">
        <w:trPr>
          <w:trHeight w:val="6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78,983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Прочий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201,421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Экотон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201,421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345,876</w:t>
            </w:r>
          </w:p>
        </w:tc>
      </w:tr>
      <w:tr w:rsidR="008E3BA5" w:rsidRPr="00CA036E" w:rsidTr="00A86975">
        <w:trPr>
          <w:trHeight w:val="945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417,179</w:t>
            </w:r>
          </w:p>
        </w:tc>
      </w:tr>
      <w:tr w:rsidR="008E3BA5" w:rsidRPr="00CA036E" w:rsidTr="00A86975">
        <w:trPr>
          <w:trHeight w:val="330"/>
        </w:trPr>
        <w:tc>
          <w:tcPr>
            <w:tcW w:w="5807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ИП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Хужулов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1701" w:type="dxa"/>
            <w:hideMark/>
          </w:tcPr>
          <w:p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843" w:type="dxa"/>
            <w:hideMark/>
          </w:tcPr>
          <w:p w:rsidR="008E3BA5" w:rsidRPr="00430731" w:rsidRDefault="00F9597D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417,179</w:t>
            </w:r>
          </w:p>
        </w:tc>
      </w:tr>
    </w:tbl>
    <w:p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На территорию города Пыть-Ях природный газ поставляется «Южно-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Балыкским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 xml:space="preserve"> ГПЗ»</w:t>
      </w:r>
      <w:r>
        <w:rPr>
          <w:rFonts w:ascii="Times New Roman" w:hAnsi="Times New Roman" w:cs="Times New Roman"/>
          <w:i/>
          <w:sz w:val="24"/>
          <w:szCs w:val="24"/>
        </w:rPr>
        <w:t xml:space="preserve"> - филиалом</w:t>
      </w:r>
      <w:r w:rsidRPr="002B6130">
        <w:rPr>
          <w:rFonts w:ascii="Times New Roman" w:hAnsi="Times New Roman" w:cs="Times New Roman"/>
          <w:sz w:val="28"/>
          <w:szCs w:val="28"/>
        </w:rPr>
        <w:t xml:space="preserve"> </w:t>
      </w:r>
      <w:r w:rsidRPr="002B6130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2B613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Pr="002B6130">
        <w:rPr>
          <w:rFonts w:ascii="Times New Roman" w:hAnsi="Times New Roman" w:cs="Times New Roman"/>
          <w:i/>
          <w:sz w:val="24"/>
          <w:szCs w:val="24"/>
        </w:rPr>
        <w:t>» и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используется для производства тепловой энергии котельными, отоплени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частных домов, которые не присоединены к системе центрально</w:t>
      </w:r>
      <w:r>
        <w:rPr>
          <w:rFonts w:ascii="Times New Roman" w:hAnsi="Times New Roman" w:cs="Times New Roman"/>
          <w:i/>
          <w:sz w:val="24"/>
          <w:szCs w:val="24"/>
        </w:rPr>
        <w:t>го теплоснабжения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Сведения о потреблении газа для производства тепловой энергии предоставлены МУП «УГХ» 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м.о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>. г. Пыть-Ях</w:t>
      </w:r>
      <w:r w:rsidR="00CE30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>«Южно-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Балыкски</w:t>
      </w:r>
      <w:r w:rsidR="00CE3080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ГПЗ» – филиал</w:t>
      </w:r>
      <w:r w:rsidR="00CE3080">
        <w:rPr>
          <w:rFonts w:ascii="Times New Roman" w:hAnsi="Times New Roman" w:cs="Times New Roman"/>
          <w:i/>
          <w:sz w:val="24"/>
          <w:szCs w:val="24"/>
        </w:rPr>
        <w:t>ом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>»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:rsidR="008E3BA5" w:rsidRPr="00430731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43564C" w:rsidRDefault="009F4503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64C">
        <w:rPr>
          <w:rFonts w:ascii="Times New Roman" w:hAnsi="Times New Roman" w:cs="Times New Roman"/>
          <w:sz w:val="28"/>
          <w:szCs w:val="28"/>
        </w:rPr>
        <w:t xml:space="preserve">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тепловой энергии.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баланс тепловой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2</w:t>
      </w:r>
      <w:r w:rsidRPr="0043564C">
        <w:rPr>
          <w:rFonts w:ascii="Times New Roman" w:hAnsi="Times New Roman" w:cs="Times New Roman"/>
          <w:sz w:val="28"/>
          <w:szCs w:val="28"/>
        </w:rPr>
        <w:t>)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данные о тепловой энергии, произведенной котельными и предназначенной </w:t>
      </w:r>
      <w:r w:rsidRPr="0043564C">
        <w:rPr>
          <w:rFonts w:ascii="Times New Roman" w:hAnsi="Times New Roman" w:cs="Times New Roman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потребления потребителями тепловой энергии.</w:t>
      </w:r>
    </w:p>
    <w:p w:rsidR="008E3BA5" w:rsidRDefault="008E3BA5" w:rsidP="00201EE0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:rsidTr="00A86975">
              <w:tc>
                <w:tcPr>
                  <w:tcW w:w="4832" w:type="dxa"/>
                </w:tcPr>
                <w:p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B743D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Тепловая энергия 202</w:t>
                  </w:r>
                  <w:r w:rsidR="00B743DC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  <w:r w:rsidR="001A6F1E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A6F1E">
                    <w:rPr>
                      <w:color w:val="000000"/>
                      <w:sz w:val="24"/>
                      <w:szCs w:val="24"/>
                    </w:rPr>
                    <w:t>т.у.т</w:t>
                  </w:r>
                  <w:proofErr w:type="spellEnd"/>
                  <w:r w:rsidR="001A6F1E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83 790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83 790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83 790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D40DE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D40DED">
                    <w:rPr>
                      <w:color w:val="000000"/>
                      <w:sz w:val="24"/>
                      <w:szCs w:val="24"/>
                    </w:rPr>
                    <w:t>7 427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D40DE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D40DED">
                    <w:rPr>
                      <w:color w:val="000000"/>
                      <w:sz w:val="24"/>
                      <w:szCs w:val="24"/>
                    </w:rPr>
                    <w:t>22 018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54 345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25 355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D40DED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28 990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9F4503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3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 w:rsidR="00903D71">
        <w:rPr>
          <w:rFonts w:ascii="Times New Roman" w:hAnsi="Times New Roman" w:cs="Times New Roman"/>
          <w:sz w:val="28"/>
          <w:szCs w:val="28"/>
        </w:rPr>
        <w:t>б</w:t>
      </w:r>
      <w:r w:rsidRPr="0016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энергии, потреблен</w:t>
      </w:r>
      <w:r w:rsidR="00903D71">
        <w:rPr>
          <w:rFonts w:ascii="Times New Roman" w:hAnsi="Times New Roman" w:cs="Times New Roman"/>
          <w:sz w:val="28"/>
          <w:szCs w:val="28"/>
        </w:rPr>
        <w:t>ной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потребителями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005500" w:rsidRDefault="008E3BA5" w:rsidP="000055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</w:p>
    <w:p w:rsidR="008E3BA5" w:rsidRDefault="008E3BA5" w:rsidP="0000550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:rsidR="00C77376" w:rsidRPr="00BB5FF9" w:rsidRDefault="00C77376" w:rsidP="00C7737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:rsidTr="00A86975">
              <w:tc>
                <w:tcPr>
                  <w:tcW w:w="4832" w:type="dxa"/>
                </w:tcPr>
                <w:p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:rsidR="008E3BA5" w:rsidRPr="00430731" w:rsidRDefault="008E3BA5" w:rsidP="00B743DC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B743D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Электрическая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энергия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06E72">
                    <w:rPr>
                      <w:color w:val="000000"/>
                      <w:sz w:val="24"/>
                      <w:szCs w:val="24"/>
                    </w:rPr>
                    <w:t xml:space="preserve">тыс. кВт*ч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456796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143 762,00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456796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143 762,00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7B4FE6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74 874,21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27 253, 794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(бюджетные учреждения)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4 948,160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(МКД)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36 685,836</w:t>
                  </w:r>
                </w:p>
              </w:tc>
            </w:tr>
            <w:tr w:rsidR="008E3BA5" w:rsidRPr="00430731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>.</w:t>
      </w:r>
    </w:p>
    <w:p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 xml:space="preserve"> (</w:t>
      </w:r>
      <w:r w:rsidR="00A96819">
        <w:rPr>
          <w:rFonts w:ascii="Times New Roman" w:hAnsi="Times New Roman" w:cs="Times New Roman"/>
          <w:sz w:val="28"/>
          <w:szCs w:val="28"/>
        </w:rPr>
        <w:t>Таблица 4</w:t>
      </w:r>
      <w:r w:rsidRPr="00161182">
        <w:rPr>
          <w:rFonts w:ascii="Times New Roman" w:hAnsi="Times New Roman" w:cs="Times New Roman"/>
          <w:sz w:val="28"/>
          <w:szCs w:val="28"/>
        </w:rPr>
        <w:t xml:space="preserve">) включаются </w:t>
      </w:r>
      <w:r w:rsidRPr="00161182">
        <w:rPr>
          <w:rFonts w:ascii="Times New Roman" w:hAnsi="Times New Roman" w:cs="Times New Roman"/>
          <w:sz w:val="28"/>
          <w:szCs w:val="28"/>
        </w:rPr>
        <w:lastRenderedPageBreak/>
        <w:t>данные о</w:t>
      </w:r>
      <w:r>
        <w:rPr>
          <w:rFonts w:ascii="Times New Roman" w:hAnsi="Times New Roman" w:cs="Times New Roman"/>
          <w:sz w:val="28"/>
          <w:szCs w:val="28"/>
        </w:rPr>
        <w:t xml:space="preserve"> бензине, дизельном топливе</w:t>
      </w:r>
      <w:r w:rsidRPr="00161182">
        <w:rPr>
          <w:rFonts w:ascii="Times New Roman" w:hAnsi="Times New Roman" w:cs="Times New Roman"/>
          <w:sz w:val="28"/>
          <w:szCs w:val="28"/>
        </w:rPr>
        <w:t>, ввезенн</w:t>
      </w:r>
      <w:r w:rsidR="00522A74">
        <w:rPr>
          <w:rFonts w:ascii="Times New Roman" w:hAnsi="Times New Roman" w:cs="Times New Roman"/>
          <w:sz w:val="28"/>
          <w:szCs w:val="28"/>
        </w:rPr>
        <w:t>ых</w:t>
      </w:r>
      <w:r w:rsidRPr="00161182">
        <w:rPr>
          <w:rFonts w:ascii="Times New Roman" w:hAnsi="Times New Roman" w:cs="Times New Roman"/>
          <w:sz w:val="28"/>
          <w:szCs w:val="28"/>
        </w:rPr>
        <w:t xml:space="preserve"> для потребления.</w:t>
      </w:r>
    </w:p>
    <w:p w:rsidR="008E3BA5" w:rsidRDefault="008E3BA5" w:rsidP="00C773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458" w:type="dxa"/>
              <w:tblLook w:val="04A0" w:firstRow="1" w:lastRow="0" w:firstColumn="1" w:lastColumn="0" w:noHBand="0" w:noVBand="1"/>
            </w:tblPr>
            <w:tblGrid>
              <w:gridCol w:w="3680"/>
              <w:gridCol w:w="1417"/>
              <w:gridCol w:w="1018"/>
              <w:gridCol w:w="1831"/>
              <w:gridCol w:w="1512"/>
            </w:tblGrid>
            <w:tr w:rsidR="008E3BA5" w:rsidRPr="00430731" w:rsidTr="00A86975">
              <w:trPr>
                <w:trHeight w:val="330"/>
              </w:trPr>
              <w:tc>
                <w:tcPr>
                  <w:tcW w:w="3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4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</w:tr>
            <w:tr w:rsidR="008E3BA5" w:rsidRPr="00430731" w:rsidTr="00A86975">
              <w:trPr>
                <w:trHeight w:val="495"/>
              </w:trPr>
              <w:tc>
                <w:tcPr>
                  <w:tcW w:w="3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Мазут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Бензин автомобильный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Дизельное топливо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95 912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66 439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теплоутилизационные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95 912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66 439</w:t>
                  </w:r>
                </w:p>
              </w:tc>
            </w:tr>
            <w:tr w:rsidR="008E3BA5" w:rsidRPr="00430731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95 912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EC631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66 439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E3BA5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2A74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 w:rsidR="00522A7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22A74" w:rsidRPr="00522A74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522A74">
        <w:rPr>
          <w:rFonts w:ascii="Times New Roman" w:hAnsi="Times New Roman" w:cs="Times New Roman"/>
          <w:sz w:val="28"/>
          <w:szCs w:val="28"/>
        </w:rPr>
        <w:t>ого</w:t>
      </w:r>
      <w:r w:rsidR="00522A74" w:rsidRPr="00522A74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522A74">
        <w:rPr>
          <w:rFonts w:ascii="Times New Roman" w:hAnsi="Times New Roman" w:cs="Times New Roman"/>
          <w:sz w:val="28"/>
          <w:szCs w:val="28"/>
        </w:rPr>
        <w:t>а города.</w:t>
      </w:r>
    </w:p>
    <w:p w:rsidR="00161182" w:rsidRPr="00430731" w:rsidRDefault="00F852F0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0">
        <w:rPr>
          <w:rFonts w:ascii="Times New Roman" w:hAnsi="Times New Roman" w:cs="Times New Roman"/>
          <w:sz w:val="28"/>
          <w:szCs w:val="28"/>
        </w:rPr>
        <w:t xml:space="preserve">Баланс формируется в единых энергетических единицах - тоннах </w:t>
      </w:r>
      <w:r w:rsidRPr="00F852F0">
        <w:rPr>
          <w:rFonts w:ascii="Times New Roman" w:hAnsi="Times New Roman" w:cs="Times New Roman"/>
          <w:sz w:val="28"/>
          <w:szCs w:val="28"/>
        </w:rPr>
        <w:lastRenderedPageBreak/>
        <w:t xml:space="preserve">условного топлива (далее </w:t>
      </w:r>
      <w:r w:rsidR="00005500">
        <w:rPr>
          <w:rFonts w:ascii="Times New Roman" w:hAnsi="Times New Roman" w:cs="Times New Roman"/>
          <w:sz w:val="28"/>
          <w:szCs w:val="28"/>
        </w:rPr>
        <w:t>–</w:t>
      </w:r>
      <w:r w:rsidRPr="00F8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2F0">
        <w:rPr>
          <w:rFonts w:ascii="Times New Roman" w:hAnsi="Times New Roman" w:cs="Times New Roman"/>
          <w:sz w:val="28"/>
          <w:szCs w:val="28"/>
        </w:rPr>
        <w:t>т</w:t>
      </w:r>
      <w:r w:rsidR="00005500">
        <w:rPr>
          <w:rFonts w:ascii="Times New Roman" w:hAnsi="Times New Roman" w:cs="Times New Roman"/>
          <w:sz w:val="28"/>
          <w:szCs w:val="28"/>
        </w:rPr>
        <w:t>.</w:t>
      </w:r>
      <w:r w:rsidRPr="00F852F0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F852F0">
        <w:rPr>
          <w:rFonts w:ascii="Times New Roman" w:hAnsi="Times New Roman" w:cs="Times New Roman"/>
          <w:sz w:val="28"/>
          <w:szCs w:val="28"/>
        </w:rPr>
        <w:t xml:space="preserve">.), в качестве которого принимается теплотворная способность 1 кг каменного угля, равная 7000 ккал. </w:t>
      </w:r>
      <w:r w:rsidR="00522A74">
        <w:rPr>
          <w:rFonts w:ascii="Times New Roman" w:hAnsi="Times New Roman" w:cs="Times New Roman"/>
          <w:sz w:val="28"/>
          <w:szCs w:val="28"/>
        </w:rPr>
        <w:t>Н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903D71" w:rsidRPr="00903D71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="00903D71" w:rsidRPr="00903D71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</w:t>
      </w:r>
      <w:r w:rsidR="00903D71">
        <w:rPr>
          <w:rFonts w:ascii="Times New Roman" w:hAnsi="Times New Roman" w:cs="Times New Roman"/>
          <w:sz w:val="28"/>
          <w:szCs w:val="28"/>
        </w:rPr>
        <w:t xml:space="preserve"> составляется единый топливно-энергетический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64C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30731">
        <w:rPr>
          <w:rFonts w:ascii="Times New Roman" w:hAnsi="Times New Roman" w:cs="Times New Roman"/>
          <w:sz w:val="28"/>
          <w:szCs w:val="28"/>
        </w:rPr>
        <w:t xml:space="preserve"> Анализ топливно-энергетического баланса</w:t>
      </w:r>
      <w:r w:rsidR="00561B6A" w:rsidRPr="00430731">
        <w:rPr>
          <w:rFonts w:ascii="Times New Roman" w:hAnsi="Times New Roman" w:cs="Times New Roman"/>
          <w:sz w:val="28"/>
          <w:szCs w:val="28"/>
        </w:rPr>
        <w:t>.</w:t>
      </w:r>
    </w:p>
    <w:p w:rsidR="009F4503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 w:rsidR="00F852F0">
        <w:rPr>
          <w:rFonts w:ascii="Times New Roman" w:hAnsi="Times New Roman" w:cs="Times New Roman"/>
          <w:sz w:val="28"/>
          <w:szCs w:val="28"/>
        </w:rPr>
        <w:t>топливно</w:t>
      </w:r>
      <w:r w:rsidR="00CF0523">
        <w:rPr>
          <w:rFonts w:ascii="Times New Roman" w:hAnsi="Times New Roman" w:cs="Times New Roman"/>
          <w:sz w:val="28"/>
          <w:szCs w:val="28"/>
        </w:rPr>
        <w:t xml:space="preserve">-энергетических ресурсов </w:t>
      </w:r>
      <w:r w:rsidRPr="00430731">
        <w:rPr>
          <w:rFonts w:ascii="Times New Roman" w:hAnsi="Times New Roman" w:cs="Times New Roman"/>
          <w:sz w:val="28"/>
          <w:szCs w:val="28"/>
        </w:rPr>
        <w:t>в 202</w:t>
      </w:r>
      <w:r w:rsidR="00B743DC">
        <w:rPr>
          <w:rFonts w:ascii="Times New Roman" w:hAnsi="Times New Roman" w:cs="Times New Roman"/>
          <w:sz w:val="28"/>
          <w:szCs w:val="28"/>
        </w:rPr>
        <w:t>1</w:t>
      </w:r>
      <w:r w:rsidRPr="00430731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420467" w:rsidRPr="00420467">
        <w:rPr>
          <w:rFonts w:ascii="Times New Roman" w:hAnsi="Times New Roman" w:cs="Times New Roman"/>
          <w:sz w:val="28"/>
          <w:szCs w:val="28"/>
        </w:rPr>
        <w:t xml:space="preserve">95 090 </w:t>
      </w:r>
      <w:proofErr w:type="spellStart"/>
      <w:r w:rsidR="001049E9" w:rsidRPr="00420467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="001049E9" w:rsidRPr="00420467">
        <w:rPr>
          <w:rFonts w:ascii="Times New Roman" w:hAnsi="Times New Roman" w:cs="Times New Roman"/>
          <w:sz w:val="28"/>
          <w:szCs w:val="28"/>
        </w:rPr>
        <w:t>.</w:t>
      </w:r>
      <w:r w:rsidR="001049E9" w:rsidRPr="00430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31" w:rsidRPr="00430731" w:rsidRDefault="00430731" w:rsidP="004307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>Для производства энергии, в том числе тепловой энергии, используется природный газ.</w:t>
      </w:r>
    </w:p>
    <w:p w:rsidR="006566DA" w:rsidRDefault="0043564C" w:rsidP="008E3B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При составлении топливно-энергетического баланса </w:t>
      </w:r>
      <w:r w:rsidR="001049E9">
        <w:rPr>
          <w:rFonts w:ascii="Times New Roman" w:hAnsi="Times New Roman" w:cs="Times New Roman"/>
          <w:sz w:val="28"/>
          <w:szCs w:val="28"/>
        </w:rPr>
        <w:t>города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  <w:r w:rsidRPr="0043564C">
        <w:rPr>
          <w:rFonts w:ascii="Times New Roman" w:hAnsi="Times New Roman" w:cs="Times New Roman"/>
          <w:sz w:val="28"/>
          <w:szCs w:val="28"/>
        </w:rPr>
        <w:t xml:space="preserve"> использование информации из форм статистического наблюдения</w:t>
      </w:r>
      <w:r w:rsidR="00561B6A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ограничено.</w:t>
      </w:r>
    </w:p>
    <w:sectPr w:rsidR="006566DA" w:rsidSect="00A968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1E" w:rsidRDefault="00994E1E" w:rsidP="00D62790">
      <w:r>
        <w:separator/>
      </w:r>
    </w:p>
  </w:endnote>
  <w:endnote w:type="continuationSeparator" w:id="0">
    <w:p w:rsidR="00994E1E" w:rsidRDefault="00994E1E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1E" w:rsidRDefault="00994E1E" w:rsidP="00D62790">
      <w:r>
        <w:separator/>
      </w:r>
    </w:p>
  </w:footnote>
  <w:footnote w:type="continuationSeparator" w:id="0">
    <w:p w:rsidR="00994E1E" w:rsidRDefault="00994E1E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54" w:rsidRDefault="00B70254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70254" w:rsidRDefault="00B70254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3946"/>
      <w:docPartObj>
        <w:docPartGallery w:val="Page Numbers (Top of Page)"/>
        <w:docPartUnique/>
      </w:docPartObj>
    </w:sdtPr>
    <w:sdtEndPr/>
    <w:sdtContent>
      <w:p w:rsidR="00B70254" w:rsidRDefault="00B70254" w:rsidP="00F33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98">
          <w:rPr>
            <w:noProof/>
          </w:rPr>
          <w:t>5</w:t>
        </w:r>
        <w:r>
          <w:fldChar w:fldCharType="end"/>
        </w:r>
      </w:p>
    </w:sdtContent>
  </w:sdt>
  <w:p w:rsidR="00B70254" w:rsidRDefault="00B70254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A98"/>
    <w:rsid w:val="00005500"/>
    <w:rsid w:val="000060C5"/>
    <w:rsid w:val="000064A8"/>
    <w:rsid w:val="00012B9A"/>
    <w:rsid w:val="00016F93"/>
    <w:rsid w:val="0002322F"/>
    <w:rsid w:val="00025574"/>
    <w:rsid w:val="00025B72"/>
    <w:rsid w:val="00027B12"/>
    <w:rsid w:val="000302DC"/>
    <w:rsid w:val="00044012"/>
    <w:rsid w:val="00051E11"/>
    <w:rsid w:val="0006750A"/>
    <w:rsid w:val="00070EF1"/>
    <w:rsid w:val="00071DD2"/>
    <w:rsid w:val="00085A3E"/>
    <w:rsid w:val="00092F28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1182"/>
    <w:rsid w:val="001643B6"/>
    <w:rsid w:val="00166DF7"/>
    <w:rsid w:val="00172FCD"/>
    <w:rsid w:val="001768D4"/>
    <w:rsid w:val="0018041F"/>
    <w:rsid w:val="001856B6"/>
    <w:rsid w:val="0019032C"/>
    <w:rsid w:val="0019102A"/>
    <w:rsid w:val="001A6F1E"/>
    <w:rsid w:val="001B18AB"/>
    <w:rsid w:val="001C40B6"/>
    <w:rsid w:val="001D1CEB"/>
    <w:rsid w:val="001D25E4"/>
    <w:rsid w:val="001D4692"/>
    <w:rsid w:val="001D7D01"/>
    <w:rsid w:val="001E04AC"/>
    <w:rsid w:val="001E5380"/>
    <w:rsid w:val="001F2F51"/>
    <w:rsid w:val="001F5957"/>
    <w:rsid w:val="00201EE0"/>
    <w:rsid w:val="002033F5"/>
    <w:rsid w:val="002037A3"/>
    <w:rsid w:val="002178DF"/>
    <w:rsid w:val="00222A24"/>
    <w:rsid w:val="00241E1C"/>
    <w:rsid w:val="00242A81"/>
    <w:rsid w:val="00257872"/>
    <w:rsid w:val="00261FB8"/>
    <w:rsid w:val="00266510"/>
    <w:rsid w:val="00270169"/>
    <w:rsid w:val="00270C35"/>
    <w:rsid w:val="002721F5"/>
    <w:rsid w:val="002874C5"/>
    <w:rsid w:val="00292267"/>
    <w:rsid w:val="002932DD"/>
    <w:rsid w:val="002A00EA"/>
    <w:rsid w:val="002B6130"/>
    <w:rsid w:val="002C2C94"/>
    <w:rsid w:val="002D6914"/>
    <w:rsid w:val="002E1D24"/>
    <w:rsid w:val="002E4E83"/>
    <w:rsid w:val="002E73AC"/>
    <w:rsid w:val="002F5B73"/>
    <w:rsid w:val="0030034C"/>
    <w:rsid w:val="00305B36"/>
    <w:rsid w:val="00307C45"/>
    <w:rsid w:val="0032061D"/>
    <w:rsid w:val="00325517"/>
    <w:rsid w:val="00350CA3"/>
    <w:rsid w:val="0035709C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34EF"/>
    <w:rsid w:val="003F74F0"/>
    <w:rsid w:val="00410A94"/>
    <w:rsid w:val="00420467"/>
    <w:rsid w:val="00420855"/>
    <w:rsid w:val="00430731"/>
    <w:rsid w:val="0043564C"/>
    <w:rsid w:val="00441233"/>
    <w:rsid w:val="00454BC7"/>
    <w:rsid w:val="00455C7C"/>
    <w:rsid w:val="00456796"/>
    <w:rsid w:val="00457176"/>
    <w:rsid w:val="00460A12"/>
    <w:rsid w:val="00461A16"/>
    <w:rsid w:val="004621B5"/>
    <w:rsid w:val="004643DD"/>
    <w:rsid w:val="0046530B"/>
    <w:rsid w:val="00470281"/>
    <w:rsid w:val="00487199"/>
    <w:rsid w:val="004B1DC9"/>
    <w:rsid w:val="004B5898"/>
    <w:rsid w:val="004C0756"/>
    <w:rsid w:val="004D0E80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7354"/>
    <w:rsid w:val="00567D3B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2A43"/>
    <w:rsid w:val="005B4A3B"/>
    <w:rsid w:val="005C051A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D26"/>
    <w:rsid w:val="006213A1"/>
    <w:rsid w:val="006305AB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A3924"/>
    <w:rsid w:val="007A5A20"/>
    <w:rsid w:val="007B1E7D"/>
    <w:rsid w:val="007B34ED"/>
    <w:rsid w:val="007B3D91"/>
    <w:rsid w:val="007B4FE6"/>
    <w:rsid w:val="007C0F57"/>
    <w:rsid w:val="007C3C8D"/>
    <w:rsid w:val="007D6C62"/>
    <w:rsid w:val="007E1251"/>
    <w:rsid w:val="007E2E73"/>
    <w:rsid w:val="007F26E3"/>
    <w:rsid w:val="007F5109"/>
    <w:rsid w:val="007F6396"/>
    <w:rsid w:val="00812871"/>
    <w:rsid w:val="008300BC"/>
    <w:rsid w:val="00831984"/>
    <w:rsid w:val="00836550"/>
    <w:rsid w:val="00850382"/>
    <w:rsid w:val="00850515"/>
    <w:rsid w:val="00853802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4034E"/>
    <w:rsid w:val="00941488"/>
    <w:rsid w:val="00945C94"/>
    <w:rsid w:val="00952AAA"/>
    <w:rsid w:val="00954E36"/>
    <w:rsid w:val="00956E71"/>
    <w:rsid w:val="00972D28"/>
    <w:rsid w:val="00975C0C"/>
    <w:rsid w:val="00987903"/>
    <w:rsid w:val="00994E1E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107E1"/>
    <w:rsid w:val="00A1181C"/>
    <w:rsid w:val="00A13D88"/>
    <w:rsid w:val="00A14E76"/>
    <w:rsid w:val="00A150F7"/>
    <w:rsid w:val="00A17600"/>
    <w:rsid w:val="00A17970"/>
    <w:rsid w:val="00A211D3"/>
    <w:rsid w:val="00A214BA"/>
    <w:rsid w:val="00A224FA"/>
    <w:rsid w:val="00A278DE"/>
    <w:rsid w:val="00A35B8E"/>
    <w:rsid w:val="00A4344B"/>
    <w:rsid w:val="00A4362B"/>
    <w:rsid w:val="00A47824"/>
    <w:rsid w:val="00A5360B"/>
    <w:rsid w:val="00A61525"/>
    <w:rsid w:val="00A61EAC"/>
    <w:rsid w:val="00A7077E"/>
    <w:rsid w:val="00A723D6"/>
    <w:rsid w:val="00A75EF5"/>
    <w:rsid w:val="00A86975"/>
    <w:rsid w:val="00A96819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1BA9"/>
    <w:rsid w:val="00B44006"/>
    <w:rsid w:val="00B46E33"/>
    <w:rsid w:val="00B525C3"/>
    <w:rsid w:val="00B54F00"/>
    <w:rsid w:val="00B61C0F"/>
    <w:rsid w:val="00B64E42"/>
    <w:rsid w:val="00B662AA"/>
    <w:rsid w:val="00B70254"/>
    <w:rsid w:val="00B743DC"/>
    <w:rsid w:val="00B75CB5"/>
    <w:rsid w:val="00B777AA"/>
    <w:rsid w:val="00B80706"/>
    <w:rsid w:val="00B851D9"/>
    <w:rsid w:val="00B9342A"/>
    <w:rsid w:val="00B963E1"/>
    <w:rsid w:val="00BA6993"/>
    <w:rsid w:val="00BB5FF9"/>
    <w:rsid w:val="00BB7A6C"/>
    <w:rsid w:val="00BC497E"/>
    <w:rsid w:val="00BC5C3B"/>
    <w:rsid w:val="00BD36FA"/>
    <w:rsid w:val="00BD7894"/>
    <w:rsid w:val="00BE2A03"/>
    <w:rsid w:val="00BE4635"/>
    <w:rsid w:val="00BE6B68"/>
    <w:rsid w:val="00BF7E45"/>
    <w:rsid w:val="00C02F07"/>
    <w:rsid w:val="00C034AA"/>
    <w:rsid w:val="00C23CDA"/>
    <w:rsid w:val="00C314F8"/>
    <w:rsid w:val="00C32E50"/>
    <w:rsid w:val="00C40C02"/>
    <w:rsid w:val="00C41C6F"/>
    <w:rsid w:val="00C43E57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0DED"/>
    <w:rsid w:val="00D434DC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05856"/>
    <w:rsid w:val="00E158AB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A0779"/>
    <w:rsid w:val="00EA223A"/>
    <w:rsid w:val="00EA6CEE"/>
    <w:rsid w:val="00EC14E2"/>
    <w:rsid w:val="00EC631C"/>
    <w:rsid w:val="00ED48D0"/>
    <w:rsid w:val="00ED6B33"/>
    <w:rsid w:val="00ED7439"/>
    <w:rsid w:val="00EE323D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37B3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9597D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0FAD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3</cp:revision>
  <cp:lastPrinted>2023-04-18T05:12:00Z</cp:lastPrinted>
  <dcterms:created xsi:type="dcterms:W3CDTF">2023-04-18T05:12:00Z</dcterms:created>
  <dcterms:modified xsi:type="dcterms:W3CDTF">2023-04-18T05:12:00Z</dcterms:modified>
</cp:coreProperties>
</file>