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муниципальное образование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городской округ город Пыть-Ях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outlineLvl w:val="0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АДМИНИСТРАЦИЯ ГОРОДА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П О С Т А Н О В Л Е Н И Е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От 28.03.2016 </w:t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  <w:t>№ 60-па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О порядке 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и долгосрочный периоды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color w:val="0000FF"/>
        </w:rPr>
      </w:pPr>
      <w:r w:rsidRPr="009C24A6">
        <w:rPr>
          <w:rFonts w:ascii="Arial CYR" w:hAnsi="Arial CYR" w:cs="Arial CYR"/>
        </w:rPr>
        <w:t xml:space="preserve">(С изменениями, внесенными постановлением Администрации </w:t>
      </w:r>
      <w:r w:rsidRPr="009C24A6">
        <w:rPr>
          <w:rFonts w:ascii="Arial CYR" w:hAnsi="Arial CYR" w:cs="Arial CYR"/>
        </w:rPr>
        <w:fldChar w:fldCharType="begin"/>
      </w:r>
      <w:r w:rsidRPr="009C24A6">
        <w:rPr>
          <w:rFonts w:ascii="Arial CYR" w:hAnsi="Arial CYR" w:cs="Arial CYR"/>
        </w:rPr>
        <w:instrText>HYPERLINK "http://xmkmain2:8080/content/act/5d1710fe-adda-4726-935f-7ee77f812153.doc" \\o "постановление от 16.09.2016 0:00:00 №243-па Администрация г. Пыть-Ях  О внесении изменения впостановление администрации города от 28.03.2016 № 60-па \\«О порядке разработки,корректировки, утверждения(одобрения), осуществлениямониторинга и контроля реализации прогноза социально-экономического развития муниципального образования городскойокруг город Пыть-Ях на среднесрочный и долгосрочный периоды\\»"</w:instrText>
      </w:r>
      <w:r w:rsidRPr="009C24A6">
        <w:rPr>
          <w:rFonts w:ascii="Arial CYR" w:hAnsi="Arial CYR" w:cs="Arial CYR"/>
        </w:rPr>
        <w:fldChar w:fldCharType="separate"/>
      </w:r>
      <w:r w:rsidRPr="009C24A6">
        <w:rPr>
          <w:rFonts w:ascii="Arial CYR" w:hAnsi="Arial CYR" w:cs="Arial CYR"/>
          <w:color w:val="0000FF"/>
        </w:rPr>
        <w:t>от 16.09.2016 №243-па)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fldChar w:fldCharType="end"/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В целях реализации статьи 173 </w:t>
      </w:r>
      <w:hyperlink r:id="rId7" w:history="1">
        <w:r w:rsidRPr="009C24A6">
          <w:rPr>
            <w:rFonts w:ascii="Arial CYR" w:hAnsi="Arial CYR" w:cs="Arial CYR"/>
            <w:color w:val="0000FF"/>
          </w:rPr>
          <w:t>Бюджетного кодекса</w:t>
        </w:r>
      </w:hyperlink>
      <w:r w:rsidRPr="009C24A6">
        <w:rPr>
          <w:rFonts w:ascii="Arial CYR" w:hAnsi="Arial CYR" w:cs="Arial CYR"/>
        </w:rPr>
        <w:t xml:space="preserve"> Российской Федерации, Федерального закона от 28.06.2014 </w:t>
      </w:r>
      <w:hyperlink r:id="rId8" w:history="1">
        <w:r w:rsidRPr="009C24A6">
          <w:rPr>
            <w:rFonts w:ascii="Arial CYR" w:hAnsi="Arial CYR" w:cs="Arial CYR"/>
            <w:color w:val="0000FF"/>
          </w:rPr>
          <w:t>№ 172-ФЗ «О стратегическо</w:t>
        </w:r>
      </w:hyperlink>
      <w:r w:rsidRPr="009C24A6">
        <w:rPr>
          <w:rFonts w:ascii="Arial CYR" w:hAnsi="Arial CYR" w:cs="Arial CYR"/>
        </w:rPr>
        <w:t xml:space="preserve">м планировании в Российской Федерации», в соответствии с решением Думы города Пыть-Яха </w:t>
      </w:r>
      <w:hyperlink r:id="rId9" w:history="1">
        <w:r w:rsidRPr="009C24A6">
          <w:rPr>
            <w:rFonts w:ascii="Arial CYR" w:hAnsi="Arial CYR" w:cs="Arial CYR"/>
            <w:color w:val="0000FF"/>
          </w:rPr>
          <w:t>от 21.03.2014 № 258</w:t>
        </w:r>
      </w:hyperlink>
      <w:r w:rsidRPr="009C24A6">
        <w:rPr>
          <w:rFonts w:ascii="Arial CYR" w:hAnsi="Arial CYR" w:cs="Arial CYR"/>
        </w:rPr>
        <w:t xml:space="preserve"> «Об утверждении Положения о бюджетном процессе в муниципальном образовании городской округ город Пыть-Ях»,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администрация города Пыть-Яха, п о с </w:t>
      </w:r>
      <w:proofErr w:type="gramStart"/>
      <w:r w:rsidRPr="009C24A6">
        <w:rPr>
          <w:rFonts w:ascii="Arial CYR" w:hAnsi="Arial CYR" w:cs="Arial CYR"/>
        </w:rPr>
        <w:t>т</w:t>
      </w:r>
      <w:proofErr w:type="gramEnd"/>
      <w:r w:rsidRPr="009C24A6">
        <w:rPr>
          <w:rFonts w:ascii="Arial CYR" w:hAnsi="Arial CYR" w:cs="Arial CYR"/>
        </w:rPr>
        <w:t xml:space="preserve"> а н о в л я е т: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 Утвердить порядок:</w:t>
      </w:r>
    </w:p>
    <w:p w:rsidR="009C24A6" w:rsidRPr="009C24A6" w:rsidRDefault="009C24A6" w:rsidP="009C24A6">
      <w:pPr>
        <w:tabs>
          <w:tab w:val="left" w:pos="0"/>
          <w:tab w:val="left" w:pos="1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1.1. 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период согласно приложению № 1.</w:t>
      </w:r>
    </w:p>
    <w:p w:rsidR="009C24A6" w:rsidRPr="009C24A6" w:rsidRDefault="009C24A6" w:rsidP="009C24A6">
      <w:pPr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1.2. Разработки, корректировки, утверждения,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долгосрочный период согласно приложению № 2.</w:t>
      </w:r>
    </w:p>
    <w:p w:rsidR="009C24A6" w:rsidRP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2. Определить управление по экономике администрации города (</w:t>
      </w:r>
      <w:proofErr w:type="spellStart"/>
      <w:proofErr w:type="gramStart"/>
      <w:r w:rsidRPr="009C24A6">
        <w:rPr>
          <w:rFonts w:ascii="Arial CYR" w:hAnsi="Arial CYR" w:cs="Arial CYR"/>
        </w:rPr>
        <w:t>Т.К</w:t>
      </w:r>
      <w:proofErr w:type="gramEnd"/>
      <w:r w:rsidRPr="009C24A6">
        <w:rPr>
          <w:rFonts w:ascii="Arial CYR" w:hAnsi="Arial CYR" w:cs="Arial CYR"/>
        </w:rPr>
        <w:t>.Пацей</w:t>
      </w:r>
      <w:proofErr w:type="spellEnd"/>
      <w:r w:rsidRPr="009C24A6">
        <w:rPr>
          <w:rFonts w:ascii="Arial CYR" w:hAnsi="Arial CYR" w:cs="Arial CYR"/>
        </w:rPr>
        <w:t>) уполномоченным органом, осуществляющим функции по разработке, корректировке и осуществлению мониторинга прогноза социально-экономического развития муниципального образования городской округ город Пыть-Ях на среднесрочный и долгосрочный периоды.</w:t>
      </w:r>
    </w:p>
    <w:p w:rsidR="009C24A6" w:rsidRP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3. Структурным подразделениям администрации города обеспечить предоставление в управление по экономике администрации города необходимой информации для разработки, корректировки и осуществления мониторинга прогноза социально-экономического развития муниципального образования городской округ город Пыть-Ях на среднесрочный период и прогноза социально-экономического развития муниципального образования городской округ город Пыть-Ях на долгосрочный период.</w:t>
      </w:r>
    </w:p>
    <w:p w:rsidR="009C24A6" w:rsidRPr="009C24A6" w:rsidRDefault="009C24A6" w:rsidP="009C24A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lastRenderedPageBreak/>
        <w:t>4. Рекомендовать предприятиям, организациям и учреждениям, осуществляющим свою деятельность на территории города, предоставлять необходимую информацию для разработки, корректировки и осуществлению мониторинга прогноза социально-экономического развития муниципального образования городской округ город Пыть-Ях на среднесрочный период и прогноза социально-экономического развития муниципального образования городской округ город Пыть-Ях на долгосрочный период, в администрацию города.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5. 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6.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7. Настоящее постановление вступает в силу после его официального опубликования.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8. Контроль за выполнением постановления возложить на заместителя главы администрации города по финансам и экономике-председателя комитета по финансам Стефогло В.В.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Глава администрации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города Пыть-Яха </w:t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</w:r>
      <w:r w:rsidRPr="009C24A6">
        <w:rPr>
          <w:rFonts w:ascii="Arial CYR" w:hAnsi="Arial CYR" w:cs="Arial CYR"/>
        </w:rPr>
        <w:tab/>
        <w:t>Р.И. Стадлер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br w:type="page"/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Приложение № 1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города Пыть-Яха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от 28.03.2016 № 60-па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 xml:space="preserve">ПОРЯДОК 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период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683C64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trike/>
          <w:sz w:val="30"/>
          <w:szCs w:val="30"/>
        </w:rPr>
      </w:pPr>
      <w:r w:rsidRPr="00683C64">
        <w:rPr>
          <w:rFonts w:ascii="Arial CYR" w:hAnsi="Arial CYR" w:cs="Arial CYR"/>
          <w:b/>
          <w:bCs/>
          <w:strike/>
          <w:sz w:val="30"/>
          <w:szCs w:val="30"/>
        </w:rPr>
        <w:t>I. Основные положения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</w:t>
      </w:r>
      <w:r w:rsidRPr="009C24A6">
        <w:rPr>
          <w:rFonts w:ascii="Arial CYR" w:hAnsi="Arial CYR" w:cs="Arial CYR"/>
        </w:rPr>
        <w:tab/>
        <w:t>Порядок определяет правила разработки, корректировки, утверждения (одобрения),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среднесрочный период (далее-среднесрочный прогноз).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2.</w:t>
      </w:r>
      <w:r w:rsidRPr="009C24A6">
        <w:rPr>
          <w:rFonts w:ascii="Arial CYR" w:hAnsi="Arial CYR" w:cs="Arial CYR"/>
        </w:rPr>
        <w:tab/>
        <w:t xml:space="preserve">Среднесрочный прогноз разрабатывается ежегодно на очередной финансовый год и плановый период, составляющий три года на основе прогноза социально-экономического развития Российской Федерации на среднесрочный период, прогноза социально-экономического развития Ханты-Мансийского автономного округа-Югры на среднесрочный период, Стратегии социально-экономического развития муниципального образования городской округ город Пыть-Ях </w:t>
      </w:r>
      <w:r w:rsidRPr="001C5798">
        <w:rPr>
          <w:rFonts w:ascii="Arial CYR" w:hAnsi="Arial CYR" w:cs="Arial CYR"/>
          <w:strike/>
        </w:rPr>
        <w:t>до 2020 года и на период</w:t>
      </w:r>
      <w:r w:rsidRPr="009C24A6">
        <w:rPr>
          <w:rFonts w:ascii="Arial CYR" w:hAnsi="Arial CYR" w:cs="Arial CYR"/>
        </w:rPr>
        <w:t xml:space="preserve"> до 2030 года, с учетом основных направлений налоговой и бюджетной политики Ханты-Мансийского автономного округа и города Пыть-Яха, а также на основе информации, предоставляемой структурными подразделениями администрации города, предприятиями, организациями и учреждениями, осуществляющими свою деятельность на территории города (далее-другие участники стратегического планирования).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3.</w:t>
      </w:r>
      <w:r w:rsidRPr="009C24A6">
        <w:rPr>
          <w:rFonts w:ascii="Arial CYR" w:hAnsi="Arial CYR" w:cs="Arial CYR"/>
        </w:rPr>
        <w:tab/>
        <w:t>К разработке среднесрочного прогноза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</w:t>
      </w:r>
      <w:r w:rsidRPr="009C24A6">
        <w:rPr>
          <w:rFonts w:ascii="Arial CYR" w:hAnsi="Arial CYR" w:cs="Arial CYR"/>
        </w:rPr>
        <w:tab/>
        <w:t>Среднесрочный прогноз разрабатывается на вариативной основе и формируется в целом по муниципальному образованию и видам экономической деятельности, осуществляемым на территории города: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4.1. Базовый вариант среднесрочного прогноза характеризует основные тенденции и параметры развития экономики муниципального образования в условиях прогнозируемого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4.2. Консервативный вариант среднесрочного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5.</w:t>
      </w:r>
      <w:r w:rsidRPr="009C24A6">
        <w:rPr>
          <w:rFonts w:ascii="Arial CYR" w:hAnsi="Arial CYR" w:cs="Arial CYR"/>
        </w:rPr>
        <w:tab/>
        <w:t>Прогноз разрабатывается в соответствии с формами, установленным Департаментом экономического развития Ханты-Мансийского автономного округа-</w:t>
      </w:r>
      <w:r w:rsidRPr="009C24A6">
        <w:rPr>
          <w:rFonts w:ascii="Arial CYR" w:hAnsi="Arial CYR" w:cs="Arial CYR"/>
        </w:rPr>
        <w:lastRenderedPageBreak/>
        <w:t>Югры и формируется в составе таблиц и пояснительной записки к ним, в соответствии с требованиями и указаниями, а также методическими рекомендациями Департамента экономического развития Ханты-Мансийского автономного округа-Югры.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6.</w:t>
      </w:r>
      <w:r w:rsidRPr="009C24A6">
        <w:rPr>
          <w:rFonts w:ascii="Arial CYR" w:hAnsi="Arial CYR" w:cs="Arial CYR"/>
        </w:rPr>
        <w:tab/>
        <w:t>Среднесрочный прогноз содержит: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оценку достигнутого уровня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направления социально-экономического развития города и целевые показатели одного или нескольких вариантов среднесрочного прогноза, включая количественные показатели и качественные характеристики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параметры муниципальных программ, реализуемых на территории города.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7.</w:t>
      </w:r>
      <w:r w:rsidRPr="009C24A6">
        <w:rPr>
          <w:rFonts w:ascii="Arial CYR" w:hAnsi="Arial CYR" w:cs="Arial CYR"/>
        </w:rPr>
        <w:tab/>
        <w:t>Исходной базой для разработки среднесрочного прогноза являются: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статистические макроэкономические показатели социально-экономического развития муниципального образования за два предыдущих года, предшествующих году разработки среднесрочного прогноза;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материалы для разработки среднесрочного прогноза, представленные структурными подразделениями администрации города, предприятиями, организациями и учреждениями, осуществляющими свою деятельность на территории города;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предварительные итоги социально-экономического развития города за истекший период текущего финансового года и ожидаемые итоги социально-экономического развития города за текущий финансовый год;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сценарные условия социально-экономического развития Российской Федерации на среднесрочный период;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дефляторы по видам экономической деятельности.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8.</w:t>
      </w:r>
      <w:r w:rsidRPr="009C24A6">
        <w:rPr>
          <w:rFonts w:ascii="Arial CYR" w:hAnsi="Arial CYR" w:cs="Arial CYR"/>
        </w:rPr>
        <w:tab/>
        <w:t xml:space="preserve">Структурные подразделения администрации города (по направлениям деятельности), предприятия, организации и учреждения города по запросу управления по экономике предоставляют информацию, необходимую для формирования среднесрочного прогноза, в сроки, установленные в запросе.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9.</w:t>
      </w:r>
      <w:r w:rsidRPr="009C24A6">
        <w:rPr>
          <w:rFonts w:ascii="Arial CYR" w:hAnsi="Arial CYR" w:cs="Arial CYR"/>
        </w:rPr>
        <w:tab/>
        <w:t>Сроки разработки и утверждения (одобрения) среднесрочного прогноза определяются графиком подготовки, рассмотрения документов и материалов, разрабатываемых при составлении проекта решения о бюджете городского округа города Пыть-Яха на очередной финансовый год и плановый период, с учетом требований, установленных Порядком.</w:t>
      </w:r>
    </w:p>
    <w:p w:rsidR="009C24A6" w:rsidRPr="00683C64" w:rsidRDefault="009C24A6" w:rsidP="009C24A6">
      <w:pPr>
        <w:autoSpaceDE w:val="0"/>
        <w:autoSpaceDN w:val="0"/>
        <w:adjustRightInd w:val="0"/>
        <w:rPr>
          <w:rFonts w:ascii="Arial CYR" w:hAnsi="Arial CYR" w:cs="Arial CYR"/>
          <w:highlight w:val="yellow"/>
        </w:rPr>
      </w:pPr>
      <w:r w:rsidRPr="00683C64">
        <w:rPr>
          <w:rFonts w:ascii="Arial CYR" w:hAnsi="Arial CYR" w:cs="Arial CYR"/>
          <w:highlight w:val="yellow"/>
        </w:rPr>
        <w:t>10.</w:t>
      </w:r>
      <w:r w:rsidRPr="00683C64">
        <w:rPr>
          <w:rFonts w:ascii="Arial CYR" w:hAnsi="Arial CYR" w:cs="Arial CYR"/>
          <w:highlight w:val="yellow"/>
        </w:rPr>
        <w:tab/>
        <w:t>В целях своевременной подготовки среднесрочного прогноза управление по экономике:</w:t>
      </w:r>
    </w:p>
    <w:p w:rsidR="009C24A6" w:rsidRPr="00683C64" w:rsidRDefault="009C24A6" w:rsidP="009C24A6">
      <w:pPr>
        <w:autoSpaceDE w:val="0"/>
        <w:autoSpaceDN w:val="0"/>
        <w:adjustRightInd w:val="0"/>
        <w:rPr>
          <w:rFonts w:ascii="Arial CYR" w:hAnsi="Arial CYR" w:cs="Arial CYR"/>
          <w:highlight w:val="yellow"/>
        </w:rPr>
      </w:pPr>
      <w:r w:rsidRPr="00683C64">
        <w:rPr>
          <w:rFonts w:ascii="Wingdings" w:hAnsi="Wingdings" w:cs="Wingdings"/>
          <w:highlight w:val="yellow"/>
        </w:rPr>
        <w:t></w:t>
      </w:r>
      <w:r w:rsidRPr="00683C64">
        <w:rPr>
          <w:rFonts w:ascii="Arial CYR" w:hAnsi="Arial CYR" w:cs="Arial CYR"/>
          <w:highlight w:val="yellow"/>
        </w:rPr>
        <w:tab/>
        <w:t>совместно с отраслевыми структурами администрации города и другими участниками стратегического планирования разрабатывает основные показатели среднесрочного прогноза;</w:t>
      </w:r>
    </w:p>
    <w:p w:rsidR="009C24A6" w:rsidRPr="00683C64" w:rsidRDefault="009C24A6" w:rsidP="009C24A6">
      <w:pPr>
        <w:autoSpaceDE w:val="0"/>
        <w:autoSpaceDN w:val="0"/>
        <w:adjustRightInd w:val="0"/>
        <w:rPr>
          <w:rFonts w:ascii="Arial CYR" w:hAnsi="Arial CYR" w:cs="Arial CYR"/>
          <w:highlight w:val="yellow"/>
        </w:rPr>
      </w:pPr>
      <w:r w:rsidRPr="00683C64">
        <w:rPr>
          <w:rFonts w:ascii="Wingdings" w:hAnsi="Wingdings" w:cs="Wingdings"/>
          <w:highlight w:val="yellow"/>
        </w:rPr>
        <w:t></w:t>
      </w:r>
      <w:r w:rsidRPr="00683C64">
        <w:rPr>
          <w:rFonts w:ascii="Arial CYR" w:hAnsi="Arial CYR" w:cs="Arial CYR"/>
          <w:highlight w:val="yellow"/>
        </w:rPr>
        <w:tab/>
        <w:t xml:space="preserve">направляет в бюджетную комиссию администрации города основные показатели среднесрочного прогноза для рассмотрения и одобрения. </w:t>
      </w:r>
    </w:p>
    <w:p w:rsidR="00683C64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683C64">
        <w:rPr>
          <w:rFonts w:ascii="Arial CYR" w:hAnsi="Arial CYR" w:cs="Arial CYR"/>
          <w:highlight w:val="yellow"/>
        </w:rPr>
        <w:t>11.</w:t>
      </w:r>
      <w:r w:rsidRPr="00683C64">
        <w:rPr>
          <w:rFonts w:ascii="Arial CYR" w:hAnsi="Arial CYR" w:cs="Arial CYR"/>
          <w:highlight w:val="yellow"/>
        </w:rPr>
        <w:tab/>
        <w:t>По результатам рассмотрения и одобрения основных показателей среднесрочного прогноза на заседании бюджетной комиссии администрации города управление по экономике совместно с отраслевыми структурными подразделениями администрации города и другими участниками стратегического планирования на основе вариантов среднесрочного прогноза по видам экономической деятельности, секторам, сферам экономики и направлениям развития, а также иных материалов, необходимых для разработки соответствующих разделов среднесрочного прогноза разрабатывает среднесрочный прогноз.</w:t>
      </w:r>
    </w:p>
    <w:p w:rsidR="00683C64" w:rsidRDefault="00683C64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683C64" w:rsidRPr="00683C64" w:rsidRDefault="009C24A6" w:rsidP="00683C64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 </w:t>
      </w:r>
      <w:r w:rsidR="00683C64" w:rsidRPr="00683C64">
        <w:rPr>
          <w:rFonts w:ascii="Arial CYR" w:hAnsi="Arial CYR" w:cs="Arial CYR"/>
        </w:rPr>
        <w:t>«10. Разработка среднесрочного прогноза осуществляется в 2 этапа.</w:t>
      </w:r>
    </w:p>
    <w:p w:rsidR="00683C64" w:rsidRPr="00683C64" w:rsidRDefault="008A1119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>
        <w:rPr>
          <w:rFonts w:ascii="Arial CYR" w:hAnsi="Arial CYR" w:cs="Arial CYR"/>
          <w:i/>
        </w:rPr>
        <w:lastRenderedPageBreak/>
        <w:tab/>
      </w:r>
      <w:r w:rsidR="00683C64" w:rsidRPr="00683C64">
        <w:rPr>
          <w:rFonts w:ascii="Arial CYR" w:hAnsi="Arial CYR" w:cs="Arial CYR"/>
          <w:i/>
        </w:rPr>
        <w:t xml:space="preserve"> На первом этапе в целях своевременной подготовки среднесрочного прогноза управление по экономике: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ab/>
        <w:t>- совместно с отраслевыми структурами администрации города и другими участниками стратегического планирования разрабатывает основные показатели среднесрочного прогноза;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ab/>
        <w:t>- направляет на рассмотрение и согласование отраслевым структурам администрации города основные показатели среднесрочного прогноза не позднее 5 дней до дня представления их в бюджетную комиссию для рассмотрения и одобрения.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ab/>
        <w:t>- направляет в бюджетную комиссию администрации города основные показатели среднесрочного прогноза для рассмотрения и одобрения не позднее 4 месяцев до установленного Решением Думы города Пыть-Яха от 21.03.2014 №258 «Об утверждении Положения о бюджетном процессе в муниципальном образовании городской округ город Пыть-Ях» дня внесения на рассмотрение и утверждение проекта решения о бюджете муниципального образования в Думу города.».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>11. На втором этапе: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ab/>
        <w:t>По результатам рассмотрения и одобрения основных показателей среднесрочного прогноза на заседании бюджетной комиссии администрации города управление по экономике совместно с отраслевыми структурными подразделениями администрации города и другими участниками стратегического планирования на основе вариантов среднесрочного прогноза по видам экономической деятельности, секторам, сферам экономики и направлениям развития, а также иных материалов, необходимых для разработки соответствующих разделов среднесрочного прогноза разрабатывает среднесрочный прогноз.</w:t>
      </w:r>
    </w:p>
    <w:p w:rsidR="00683C64" w:rsidRPr="00683C64" w:rsidRDefault="00683C64" w:rsidP="00683C64">
      <w:pPr>
        <w:autoSpaceDE w:val="0"/>
        <w:autoSpaceDN w:val="0"/>
        <w:adjustRightInd w:val="0"/>
        <w:rPr>
          <w:rFonts w:ascii="Arial CYR" w:hAnsi="Arial CYR" w:cs="Arial CYR"/>
          <w:i/>
        </w:rPr>
      </w:pPr>
      <w:r w:rsidRPr="00683C64">
        <w:rPr>
          <w:rFonts w:ascii="Arial CYR" w:hAnsi="Arial CYR" w:cs="Arial CYR"/>
          <w:i/>
        </w:rPr>
        <w:tab/>
        <w:t>Управление по экономике вносит проект среднесрочного прогноза на общественное обсуждение.</w:t>
      </w:r>
      <w:r w:rsidR="008A1119" w:rsidRPr="008A1119">
        <w:rPr>
          <w:rFonts w:ascii="Times New Roman" w:hAnsi="Times New Roman"/>
          <w:sz w:val="28"/>
          <w:szCs w:val="28"/>
        </w:rPr>
        <w:t xml:space="preserve"> </w:t>
      </w:r>
      <w:r w:rsidR="008A1119" w:rsidRPr="008A1119">
        <w:rPr>
          <w:rFonts w:ascii="Arial CYR" w:hAnsi="Arial CYR" w:cs="Arial CYR"/>
          <w:i/>
        </w:rPr>
        <w:t>Срок общественного обсуждения составляет 10 календарных дней.</w:t>
      </w:r>
      <w:r w:rsidRPr="00683C64">
        <w:rPr>
          <w:rFonts w:ascii="Arial CYR" w:hAnsi="Arial CYR" w:cs="Arial CYR"/>
          <w:i/>
        </w:rPr>
        <w:t>».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12.</w:t>
      </w:r>
      <w:r w:rsidRPr="009C24A6">
        <w:rPr>
          <w:rFonts w:ascii="Arial CYR" w:hAnsi="Arial CYR" w:cs="Arial CYR"/>
        </w:rPr>
        <w:tab/>
        <w:t>Администрация города одобряет среднесрочный прогноз, и утверждает его распоряжением администрации города. Одобренный среднесрочный прогноз представляется: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в Думу города Пыть-Яха одновременно с проектом бюджета муниципального образования на очередной финансовый год и плановый период, в соответствии с Положением о бюджетном процессе в муниципальном образовании городской округ город Пыть-Ях;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 xml:space="preserve">в Департамент экономического развития Ханты-Мансийского автономного округа - Югры в сроки, установленные действующим законодательством. 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13.</w:t>
      </w:r>
      <w:r w:rsidRPr="009C24A6">
        <w:rPr>
          <w:rFonts w:ascii="Arial CYR" w:hAnsi="Arial CYR" w:cs="Arial CYR"/>
        </w:rPr>
        <w:tab/>
        <w:t>Одобренный среднесрочный прогноз в десятидневный срок размещается на официальном сайте администрации города.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14.</w:t>
      </w:r>
      <w:r w:rsidRPr="009C24A6">
        <w:rPr>
          <w:rFonts w:ascii="Arial CYR" w:hAnsi="Arial CYR" w:cs="Arial CYR"/>
        </w:rPr>
        <w:tab/>
        <w:t>Управление по экономике, в случае существенного отклонения ключевых макроэкономических показателей, полученных по результатам мониторинга среднесрочного прогноза, от принятых за основу при формировании бюджета муниципального образования на очередной финансовый год и плановый период, по решению администрации города корректирует среднесрочный прогноз в целях обеспечения корректировки бюджета муниципального образования на очередной финансовый год и плановый период.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15.</w:t>
      </w:r>
      <w:r w:rsidRPr="009C24A6">
        <w:rPr>
          <w:rFonts w:ascii="Arial CYR" w:hAnsi="Arial CYR" w:cs="Arial CYR"/>
        </w:rPr>
        <w:tab/>
        <w:t xml:space="preserve">Мониторинг среднесрочного прогноза осуществляется в целях выявления отклонений показателей его выполнения, уточненных на основе итогов социально-экономического развития города за 1 полугодие (9 месяцев) текущего </w:t>
      </w:r>
      <w:r w:rsidRPr="009C24A6">
        <w:rPr>
          <w:rFonts w:ascii="Arial CYR" w:hAnsi="Arial CYR" w:cs="Arial CYR"/>
        </w:rPr>
        <w:lastRenderedPageBreak/>
        <w:t>финансового года, от одобренных показателей среднесрочного прогноза в качестве основы формирования бюджета на очередной финансовый год и плановый период.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16.</w:t>
      </w:r>
      <w:r w:rsidRPr="009C24A6">
        <w:rPr>
          <w:rFonts w:ascii="Arial CYR" w:hAnsi="Arial CYR" w:cs="Arial CYR"/>
        </w:rPr>
        <w:tab/>
        <w:t>Контроль реализации среднесрочного прогноза осуществляется на основе данных официального статистического наблюдения, а также иной информации, представляемой структурными подразделениями администрации города в соответствии с их сферой деятельности, путем обобщения информации о социально-экономическом развитии города и оценки достижения показателей социально-экономического развития города в среднесрочном периоде, по итогам которого управление по экономике ежегодно направляет в Департамент экономического развития Ханты-Мансийского автономного округа-Югры и размещает на официальном сайте администрации города итоги социально-экономического развития муниципального образования.</w:t>
      </w:r>
    </w:p>
    <w:p w:rsidR="009C24A6" w:rsidRPr="009C24A6" w:rsidRDefault="009C24A6" w:rsidP="009C24A6">
      <w:pPr>
        <w:autoSpaceDE w:val="0"/>
        <w:autoSpaceDN w:val="0"/>
        <w:adjustRightInd w:val="0"/>
        <w:ind w:left="567" w:firstLine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br w:type="page"/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Приложение № 2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города Пыть-Яха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28"/>
          <w:sz w:val="32"/>
          <w:szCs w:val="32"/>
        </w:rPr>
        <w:t>от 28.03.2016 № 60-па</w:t>
      </w: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Arial CYR" w:hAnsi="Arial CYR" w:cs="Arial CYR"/>
          <w:b/>
          <w:bCs/>
          <w:kern w:val="28"/>
          <w:sz w:val="32"/>
          <w:szCs w:val="32"/>
        </w:rPr>
      </w:pPr>
    </w:p>
    <w:p w:rsidR="009C24A6" w:rsidRPr="009C24A6" w:rsidRDefault="009C24A6" w:rsidP="009C2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 xml:space="preserve">ПОРЯДОК 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  <w:r w:rsidRPr="009C24A6">
        <w:rPr>
          <w:rFonts w:ascii="Arial CYR" w:hAnsi="Arial CYR" w:cs="Arial CYR"/>
          <w:b/>
          <w:bCs/>
          <w:kern w:val="32"/>
          <w:sz w:val="32"/>
          <w:szCs w:val="32"/>
        </w:rPr>
        <w:t>разработки, корректировки, утверждения,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долгосрочный период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kern w:val="32"/>
          <w:sz w:val="32"/>
          <w:szCs w:val="32"/>
        </w:rPr>
      </w:pPr>
    </w:p>
    <w:p w:rsidR="009C24A6" w:rsidRPr="001C5798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trike/>
          <w:sz w:val="30"/>
          <w:szCs w:val="30"/>
        </w:rPr>
      </w:pPr>
      <w:r w:rsidRPr="001C5798">
        <w:rPr>
          <w:rFonts w:ascii="Arial CYR" w:hAnsi="Arial CYR" w:cs="Arial CYR"/>
          <w:b/>
          <w:bCs/>
          <w:strike/>
          <w:sz w:val="30"/>
          <w:szCs w:val="30"/>
        </w:rPr>
        <w:t>I. Основные положения</w:t>
      </w:r>
    </w:p>
    <w:p w:rsidR="009C24A6" w:rsidRPr="009C24A6" w:rsidRDefault="009C24A6" w:rsidP="009C24A6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1.</w:t>
      </w:r>
      <w:r w:rsidRPr="009C24A6">
        <w:rPr>
          <w:rFonts w:ascii="Arial CYR" w:hAnsi="Arial CYR" w:cs="Arial CYR"/>
        </w:rPr>
        <w:tab/>
        <w:t>Порядок определяет правила разработки, корректировки, утверждения, осуществления мониторинга и контроля реализации прогноза социально-экономического развития муниципального образования городской округ город Пыть-Ях на долгосрочный период (далее-долгосрочный прогноз).</w:t>
      </w:r>
    </w:p>
    <w:p w:rsidR="009C24A6" w:rsidRPr="009C24A6" w:rsidRDefault="009C24A6" w:rsidP="009C24A6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2.</w:t>
      </w:r>
      <w:r w:rsidRPr="009C24A6">
        <w:rPr>
          <w:rFonts w:ascii="Arial CYR" w:hAnsi="Arial CYR" w:cs="Arial CYR"/>
        </w:rPr>
        <w:tab/>
        <w:t xml:space="preserve">  Долгосрочный прогноз разрабатывается каждые три года на шесть и более лет, с учетом прогноза социально-экономического развития Ханты-Мансийского автономного округа – Югры на долгосрочный период, Стратегии социально-экономического развития муниципального образования городской округ город Пыть-Ях </w:t>
      </w:r>
      <w:r w:rsidRPr="001C5798">
        <w:rPr>
          <w:rFonts w:ascii="Arial CYR" w:hAnsi="Arial CYR" w:cs="Arial CYR"/>
          <w:strike/>
        </w:rPr>
        <w:t>до 2020 года и на период</w:t>
      </w:r>
      <w:r w:rsidRPr="009C24A6">
        <w:rPr>
          <w:rFonts w:ascii="Arial CYR" w:hAnsi="Arial CYR" w:cs="Arial CYR"/>
        </w:rPr>
        <w:t xml:space="preserve"> до 2030 года, а также на основе информации, предоставляемой структурными подразделениями администрации города, предприятиям, организациям и учреждениям, осуществляющих свою деятельность на территории города (далее – другие участники стратегического планирования).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 xml:space="preserve">(Пункт 2 раздела 1 приложения 2 изложен в редакции постановлением Администрации </w:t>
      </w:r>
      <w:hyperlink r:id="rId10" w:history="1">
        <w:r w:rsidRPr="009C24A6">
          <w:rPr>
            <w:rFonts w:ascii="Arial CYR" w:hAnsi="Arial CYR" w:cs="Arial CYR"/>
            <w:color w:val="0000FF"/>
          </w:rPr>
          <w:t>от 16.09.2016 № 243-па</w:t>
        </w:r>
      </w:hyperlink>
      <w:r w:rsidRPr="009C24A6">
        <w:rPr>
          <w:rFonts w:ascii="Arial CYR" w:hAnsi="Arial CYR" w:cs="Arial CYR"/>
        </w:rPr>
        <w:t>)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3.</w:t>
      </w:r>
      <w:r w:rsidRPr="009C24A6">
        <w:rPr>
          <w:rFonts w:ascii="Arial CYR" w:hAnsi="Arial CYR" w:cs="Arial CYR"/>
        </w:rPr>
        <w:tab/>
        <w:t>К разработке долгосрочного прогноза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</w:t>
      </w:r>
      <w:r w:rsidRPr="009C24A6">
        <w:rPr>
          <w:rFonts w:ascii="Arial CYR" w:hAnsi="Arial CYR" w:cs="Arial CYR"/>
        </w:rPr>
        <w:tab/>
        <w:t>Долгосрочный прогноз разрабатывается на вариативной основе и формируется в целом по муниципальному образованию и видам экономической деятельности, осуществляемым на территории города: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4.1. Базовый вариант долгосрочного прогноза характеризует основные тенденции и параметры развития экономики муниципального образования в условиях прогнозируемого изменения внешних и внутренних факторов при сохранении основных тенденций изменения эффективности использования ресурсов.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4.2. Консервативный вариант долгосрочного прогноза разрабатывается на основе консервативных оценок темпов экономического роста с учетом существенного ухудшения внешнеэкономических и иных условий.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5.</w:t>
      </w:r>
      <w:r w:rsidRPr="009C24A6">
        <w:rPr>
          <w:rFonts w:ascii="Arial CYR" w:hAnsi="Arial CYR" w:cs="Arial CYR"/>
        </w:rPr>
        <w:tab/>
        <w:t xml:space="preserve">Прогноз разрабатывается в соответствии с формами, установленным Департаментом экономического развития Ханты-Мансийского автономного округа-Югры и формируется в составе таблиц и пояснительной записки к ним, в </w:t>
      </w:r>
      <w:r w:rsidRPr="009C24A6">
        <w:rPr>
          <w:rFonts w:ascii="Arial CYR" w:hAnsi="Arial CYR" w:cs="Arial CYR"/>
        </w:rPr>
        <w:lastRenderedPageBreak/>
        <w:t>соответствии с требованиями и указаниями, а также методическими рекомендациями Департамента экономического развития Ханты-Мансийского автономного округа-Югры, Министерства экономического развития Российской Федерации.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6.</w:t>
      </w:r>
      <w:r w:rsidRPr="009C24A6">
        <w:rPr>
          <w:rFonts w:ascii="Arial CYR" w:hAnsi="Arial CYR" w:cs="Arial CYR"/>
        </w:rPr>
        <w:tab/>
        <w:t>Долгосрочный прогноз содержит: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оценку достигнутого уровня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направления социально-экономического развития города и целевые показатели одного или нескольких вариантов долгосрочного прогноза, включая количественные показатели и качественные характеристики социально-экономического развития города;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параметры муниципальных программ, реализуемых на территории города.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7.</w:t>
      </w:r>
      <w:r w:rsidRPr="009C24A6">
        <w:rPr>
          <w:rFonts w:ascii="Arial CYR" w:hAnsi="Arial CYR" w:cs="Arial CYR"/>
        </w:rPr>
        <w:tab/>
        <w:t>Исходной базой для разработки долгосрочного прогноза являются: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основные статистические макроэкономические показатели социально-экономического развития муниципального образования за 3 предыдущих года, предшествующих году разработки долгосрочного прогноза;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материалы для разработки долгосрочного прогноза, представленные структурными подразделениями администрации города, предприятиями, организациями и учреждениями, осуществляющими свою деятельность на территории города;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предварительные итоги социально-экономического развития города за истекший период текущего финансового года и ожидаемые итоги социально-экономического развития города за текущий финансовый год;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сценарные условия социально-экономического развития Российской Федерации на долгосрочный период и другие целеполагающие документы долгосрочного характера;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дефляторы по видам экономической деятельности.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8.</w:t>
      </w:r>
      <w:r w:rsidRPr="009C24A6">
        <w:rPr>
          <w:rFonts w:ascii="Arial CYR" w:hAnsi="Arial CYR" w:cs="Arial CYR"/>
        </w:rPr>
        <w:tab/>
        <w:t xml:space="preserve">Структурные подразделения администрации города (по направлениям деятельности), предприятия, организации и учреждения города по запросу управления по экономике предоставляют информацию, необходимую для формирования долгосрочного прогноза, в сроки, установленные в запросе. </w:t>
      </w:r>
    </w:p>
    <w:p w:rsidR="009C24A6" w:rsidRDefault="009C24A6" w:rsidP="008A1119">
      <w:pPr>
        <w:autoSpaceDE w:val="0"/>
        <w:autoSpaceDN w:val="0"/>
        <w:adjustRightInd w:val="0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9.</w:t>
      </w:r>
      <w:r w:rsidRPr="009C24A6">
        <w:rPr>
          <w:rFonts w:ascii="Arial CYR" w:hAnsi="Arial CYR" w:cs="Arial CYR"/>
        </w:rPr>
        <w:tab/>
        <w:t xml:space="preserve">Управление по экономике совместно с отраслевыми структурами администрации города и другими участниками стратегического планирования на основе вариантов долгосрочного прогноза по видам экономической деятельности, секторам, сферам экономики и направлениям развития, а также иных материалов, необходимых для разработки соответствующих разделов долгосрочного прогноза разрабатывает долгосрочный прогноз. </w:t>
      </w:r>
    </w:p>
    <w:p w:rsidR="008A1119" w:rsidRPr="009C24A6" w:rsidRDefault="008A1119" w:rsidP="008A1119">
      <w:pPr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  <w:highlight w:val="yellow"/>
        </w:rPr>
        <w:t>«</w:t>
      </w:r>
      <w:bookmarkStart w:id="0" w:name="_GoBack"/>
      <w:bookmarkEnd w:id="0"/>
      <w:r w:rsidRPr="008A1119">
        <w:rPr>
          <w:rFonts w:ascii="Arial CYR" w:hAnsi="Arial CYR" w:cs="Arial CYR"/>
          <w:highlight w:val="yellow"/>
        </w:rPr>
        <w:t>9.1. Управление по экономике вносит проект долгосрочного прогноза на общественное обсуждение. Срок общественного обсуждения составляет 10 календарных дней.».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10.</w:t>
      </w:r>
      <w:r w:rsidRPr="009C24A6">
        <w:rPr>
          <w:rFonts w:ascii="Arial CYR" w:hAnsi="Arial CYR" w:cs="Arial CYR"/>
        </w:rPr>
        <w:tab/>
        <w:t>Долгосрочный прогноз утверждается распоряжением администрации города в срок до 10 октября текущего финансового года и представляется: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>в комитет по финансам для разработки проекта бюджетного прогноза города;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Wingdings" w:hAnsi="Wingdings" w:cs="Wingdings"/>
        </w:rPr>
        <w:t></w:t>
      </w:r>
      <w:r w:rsidRPr="009C24A6">
        <w:rPr>
          <w:rFonts w:ascii="Arial CYR" w:hAnsi="Arial CYR" w:cs="Arial CYR"/>
        </w:rPr>
        <w:tab/>
        <w:t xml:space="preserve">в Департамент экономического развития Ханты-Мансийского автономного округа - Югры в сроки, установленные действующим законодательством. 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11.</w:t>
      </w:r>
      <w:r w:rsidRPr="009C24A6">
        <w:rPr>
          <w:rFonts w:ascii="Arial CYR" w:hAnsi="Arial CYR" w:cs="Arial CYR"/>
        </w:rPr>
        <w:tab/>
        <w:t>Долгосрочный прогноз в десятидневный срок размещает на официальном сайте администрации города.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12.</w:t>
      </w:r>
      <w:r w:rsidRPr="009C24A6">
        <w:rPr>
          <w:rFonts w:ascii="Arial CYR" w:hAnsi="Arial CYR" w:cs="Arial CYR"/>
        </w:rPr>
        <w:tab/>
        <w:t>При необходимости, долгосрочный прогноз корректируется управлением по экономике с учетом прогноза на среднесрочный период.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lastRenderedPageBreak/>
        <w:t>13.</w:t>
      </w:r>
      <w:r w:rsidRPr="009C24A6">
        <w:rPr>
          <w:rFonts w:ascii="Arial CYR" w:hAnsi="Arial CYR" w:cs="Arial CYR"/>
        </w:rPr>
        <w:tab/>
        <w:t>Мониторинг и контроль долгосрочного прогноза осуществляется в целях выявления отклонений фактических знач</w:t>
      </w:r>
      <w:r w:rsidR="008A1119">
        <w:rPr>
          <w:rFonts w:ascii="Arial CYR" w:hAnsi="Arial CYR" w:cs="Arial CYR"/>
        </w:rPr>
        <w:t xml:space="preserve">ений показателей от показателей, </w:t>
      </w:r>
      <w:r w:rsidRPr="009C24A6">
        <w:rPr>
          <w:rFonts w:ascii="Arial CYR" w:hAnsi="Arial CYR" w:cs="Arial CYR"/>
        </w:rPr>
        <w:t xml:space="preserve">утвержденных в долгосрочном прогнозе. 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  <w:r w:rsidRPr="009C24A6">
        <w:rPr>
          <w:rFonts w:ascii="Arial CYR" w:hAnsi="Arial CYR" w:cs="Arial CYR"/>
        </w:rPr>
        <w:t>Мониторинг и контроль реализации долгосрочного прогноза осуществляется на основе данных официального статистического наблюдения, а также иной информации, представляемой структурными подразделениями администрации города в соответствии с их сферой деятельности, путем обобщения информации о социально-экономическом развитии города и оценки достижения показателей социально-экономического развития города в долгосрочном периоде, по итогам которого управление по экономике ежегодно направляет в Департамент экономического развития Ханты-Мансийского автономного округа-Югры и размещает на официальном сайте администрации города итоги социально-экономического развития муниципального образования.</w:t>
      </w: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jc w:val="left"/>
        <w:rPr>
          <w:rFonts w:ascii="Arial CYR" w:hAnsi="Arial CYR" w:cs="Arial CYR"/>
        </w:rPr>
      </w:pPr>
    </w:p>
    <w:p w:rsidR="009C24A6" w:rsidRPr="009C24A6" w:rsidRDefault="009C24A6" w:rsidP="009C24A6">
      <w:pPr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:rsidR="0033722A" w:rsidRPr="008F038A" w:rsidRDefault="0033722A" w:rsidP="008F038A">
      <w:pPr>
        <w:tabs>
          <w:tab w:val="left" w:pos="720"/>
        </w:tabs>
        <w:rPr>
          <w:rFonts w:cs="Arial"/>
          <w:szCs w:val="28"/>
        </w:rPr>
      </w:pPr>
    </w:p>
    <w:sectPr w:rsidR="0033722A" w:rsidRPr="008F038A" w:rsidSect="00993A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5D" w:rsidRDefault="0027315D">
      <w:r>
        <w:separator/>
      </w:r>
    </w:p>
  </w:endnote>
  <w:endnote w:type="continuationSeparator" w:id="0">
    <w:p w:rsidR="0027315D" w:rsidRDefault="0027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53" w:rsidRDefault="00C81A53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A53" w:rsidRDefault="00C81A53" w:rsidP="00036E82">
    <w:pPr>
      <w:pStyle w:val="a5"/>
      <w:ind w:right="360"/>
    </w:pPr>
  </w:p>
  <w:p w:rsidR="00C81A53" w:rsidRDefault="00C81A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5D" w:rsidRDefault="0027315D">
      <w:r>
        <w:separator/>
      </w:r>
    </w:p>
  </w:footnote>
  <w:footnote w:type="continuationSeparator" w:id="0">
    <w:p w:rsidR="0027315D" w:rsidRDefault="00273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53" w:rsidRDefault="00C81A53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1A53" w:rsidRDefault="00C81A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A0" w:rsidRDefault="008C27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3DE"/>
    <w:multiLevelType w:val="multilevel"/>
    <w:tmpl w:val="B374FF30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52828"/>
    <w:multiLevelType w:val="multilevel"/>
    <w:tmpl w:val="F9969534"/>
    <w:lvl w:ilvl="0">
      <w:start w:val="1"/>
      <w:numFmt w:val="decimal"/>
      <w:lvlText w:val="%1."/>
      <w:lvlJc w:val="left"/>
      <w:pPr>
        <w:tabs>
          <w:tab w:val="num" w:pos="1981"/>
        </w:tabs>
        <w:ind w:left="1981" w:hanging="9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C69569D"/>
    <w:multiLevelType w:val="hybridMultilevel"/>
    <w:tmpl w:val="213C53CA"/>
    <w:lvl w:ilvl="0" w:tplc="BBB0EC76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74F11"/>
    <w:multiLevelType w:val="hybridMultilevel"/>
    <w:tmpl w:val="0BEA9552"/>
    <w:lvl w:ilvl="0" w:tplc="BBB0EC76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05E3"/>
    <w:multiLevelType w:val="multilevel"/>
    <w:tmpl w:val="1E18D6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990"/>
        </w:tabs>
        <w:ind w:left="6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210"/>
        </w:tabs>
        <w:ind w:left="9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500"/>
        </w:tabs>
        <w:ind w:left="10500" w:hanging="2160"/>
      </w:pPr>
      <w:rPr>
        <w:rFonts w:hint="default"/>
      </w:rPr>
    </w:lvl>
  </w:abstractNum>
  <w:abstractNum w:abstractNumId="5" w15:restartNumberingAfterBreak="0">
    <w:nsid w:val="12086D16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 w15:restartNumberingAfterBreak="0">
    <w:nsid w:val="18B50E10"/>
    <w:multiLevelType w:val="hybridMultilevel"/>
    <w:tmpl w:val="4BD23F22"/>
    <w:lvl w:ilvl="0" w:tplc="7048F544">
      <w:start w:val="1"/>
      <w:numFmt w:val="decimal"/>
      <w:lvlText w:val="%1."/>
      <w:lvlJc w:val="left"/>
      <w:pPr>
        <w:tabs>
          <w:tab w:val="num" w:pos="2172"/>
        </w:tabs>
        <w:ind w:left="21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AE33FA7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9" w15:restartNumberingAfterBreak="0">
    <w:nsid w:val="24F627F3"/>
    <w:multiLevelType w:val="multilevel"/>
    <w:tmpl w:val="60AC3FEA"/>
    <w:lvl w:ilvl="0">
      <w:start w:val="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56"/>
        </w:tabs>
        <w:ind w:left="1956" w:hanging="141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2534026B"/>
    <w:multiLevelType w:val="hybridMultilevel"/>
    <w:tmpl w:val="F4F60DC8"/>
    <w:lvl w:ilvl="0" w:tplc="38FEC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EC7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33A2F"/>
    <w:multiLevelType w:val="hybridMultilevel"/>
    <w:tmpl w:val="C6149100"/>
    <w:lvl w:ilvl="0" w:tplc="38FEC70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42488C"/>
    <w:multiLevelType w:val="hybridMultilevel"/>
    <w:tmpl w:val="DE90E070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06C86"/>
    <w:multiLevelType w:val="multilevel"/>
    <w:tmpl w:val="F2CC2B60"/>
    <w:lvl w:ilvl="0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32"/>
        </w:tabs>
        <w:ind w:left="2532" w:hanging="91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30A11E8"/>
    <w:multiLevelType w:val="multilevel"/>
    <w:tmpl w:val="A0E4EE26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415F5"/>
    <w:multiLevelType w:val="hybridMultilevel"/>
    <w:tmpl w:val="056A1EBE"/>
    <w:lvl w:ilvl="0" w:tplc="9F5649BA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 w:tplc="BBB0EC76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 w:tplc="D44856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F336B"/>
    <w:multiLevelType w:val="hybridMultilevel"/>
    <w:tmpl w:val="9C8ACE46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7E2A43"/>
    <w:multiLevelType w:val="hybridMultilevel"/>
    <w:tmpl w:val="EB8E6006"/>
    <w:lvl w:ilvl="0" w:tplc="68C261FC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101C7"/>
    <w:multiLevelType w:val="multilevel"/>
    <w:tmpl w:val="056A1E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56D08"/>
    <w:multiLevelType w:val="hybridMultilevel"/>
    <w:tmpl w:val="36A0EC22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3DC1"/>
    <w:multiLevelType w:val="hybridMultilevel"/>
    <w:tmpl w:val="CDB42494"/>
    <w:lvl w:ilvl="0" w:tplc="BBB0EC76">
      <w:start w:val="1"/>
      <w:numFmt w:val="bullet"/>
      <w:lvlText w:val=""/>
      <w:lvlJc w:val="left"/>
      <w:pPr>
        <w:tabs>
          <w:tab w:val="num" w:pos="927"/>
        </w:tabs>
        <w:ind w:left="360" w:firstLine="0"/>
      </w:pPr>
      <w:rPr>
        <w:rFonts w:ascii="Symbol" w:hAnsi="Symbol" w:hint="default"/>
      </w:rPr>
    </w:lvl>
    <w:lvl w:ilvl="1" w:tplc="BBB0EC76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 w:tplc="D44856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C25D5"/>
    <w:multiLevelType w:val="multilevel"/>
    <w:tmpl w:val="219CA9C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50B21351"/>
    <w:multiLevelType w:val="hybridMultilevel"/>
    <w:tmpl w:val="6CA0D7CE"/>
    <w:lvl w:ilvl="0" w:tplc="68C261FC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7268E2"/>
    <w:multiLevelType w:val="hybridMultilevel"/>
    <w:tmpl w:val="B1F6E1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CD7E0C"/>
    <w:multiLevelType w:val="hybridMultilevel"/>
    <w:tmpl w:val="B82AC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4F12DE"/>
    <w:multiLevelType w:val="hybridMultilevel"/>
    <w:tmpl w:val="F9969534"/>
    <w:lvl w:ilvl="0" w:tplc="7048F544">
      <w:start w:val="1"/>
      <w:numFmt w:val="decimal"/>
      <w:lvlText w:val="%1."/>
      <w:lvlJc w:val="left"/>
      <w:pPr>
        <w:tabs>
          <w:tab w:val="num" w:pos="1981"/>
        </w:tabs>
        <w:ind w:left="198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FC37B35"/>
    <w:multiLevelType w:val="multilevel"/>
    <w:tmpl w:val="056A1EB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C1581"/>
    <w:multiLevelType w:val="hybridMultilevel"/>
    <w:tmpl w:val="328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B5414"/>
    <w:multiLevelType w:val="multilevel"/>
    <w:tmpl w:val="77C89370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684F58"/>
    <w:multiLevelType w:val="multilevel"/>
    <w:tmpl w:val="B91CE58C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35D35"/>
    <w:multiLevelType w:val="hybridMultilevel"/>
    <w:tmpl w:val="1B3C2B0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478E8"/>
    <w:multiLevelType w:val="hybridMultilevel"/>
    <w:tmpl w:val="F2CC2B60"/>
    <w:lvl w:ilvl="0" w:tplc="BBB0EC76">
      <w:start w:val="1"/>
      <w:numFmt w:val="bullet"/>
      <w:lvlText w:val="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 w:tplc="7048F544">
      <w:start w:val="1"/>
      <w:numFmt w:val="decimal"/>
      <w:lvlText w:val="%2."/>
      <w:lvlJc w:val="left"/>
      <w:pPr>
        <w:tabs>
          <w:tab w:val="num" w:pos="2532"/>
        </w:tabs>
        <w:ind w:left="2532" w:hanging="912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0A110BF"/>
    <w:multiLevelType w:val="hybridMultilevel"/>
    <w:tmpl w:val="406CC95C"/>
    <w:lvl w:ilvl="0" w:tplc="9F5649BA">
      <w:start w:val="3"/>
      <w:numFmt w:val="decimal"/>
      <w:lvlText w:val="%1."/>
      <w:lvlJc w:val="left"/>
      <w:pPr>
        <w:tabs>
          <w:tab w:val="num" w:pos="1070"/>
        </w:tabs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A2961"/>
    <w:multiLevelType w:val="hybridMultilevel"/>
    <w:tmpl w:val="77C89370"/>
    <w:lvl w:ilvl="0" w:tplc="7048F544">
      <w:start w:val="1"/>
      <w:numFmt w:val="decimal"/>
      <w:lvlText w:val="%1."/>
      <w:lvlJc w:val="left"/>
      <w:pPr>
        <w:tabs>
          <w:tab w:val="num" w:pos="1272"/>
        </w:tabs>
        <w:ind w:left="1272" w:hanging="912"/>
      </w:pPr>
      <w:rPr>
        <w:rFonts w:hint="default"/>
      </w:rPr>
    </w:lvl>
    <w:lvl w:ilvl="1" w:tplc="38FEC7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F2642"/>
    <w:multiLevelType w:val="multilevel"/>
    <w:tmpl w:val="C614910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E04FF6"/>
    <w:multiLevelType w:val="hybridMultilevel"/>
    <w:tmpl w:val="29F06204"/>
    <w:lvl w:ilvl="0" w:tplc="63CCDEE2">
      <w:start w:val="2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30"/>
  </w:num>
  <w:num w:numId="5">
    <w:abstractNumId w:val="32"/>
  </w:num>
  <w:num w:numId="6">
    <w:abstractNumId w:val="15"/>
  </w:num>
  <w:num w:numId="7">
    <w:abstractNumId w:val="26"/>
  </w:num>
  <w:num w:numId="8">
    <w:abstractNumId w:val="21"/>
  </w:num>
  <w:num w:numId="9">
    <w:abstractNumId w:val="3"/>
  </w:num>
  <w:num w:numId="10">
    <w:abstractNumId w:val="2"/>
  </w:num>
  <w:num w:numId="11">
    <w:abstractNumId w:val="31"/>
  </w:num>
  <w:num w:numId="12">
    <w:abstractNumId w:val="18"/>
  </w:num>
  <w:num w:numId="13">
    <w:abstractNumId w:val="20"/>
  </w:num>
  <w:num w:numId="14">
    <w:abstractNumId w:val="24"/>
  </w:num>
  <w:num w:numId="15">
    <w:abstractNumId w:val="33"/>
  </w:num>
  <w:num w:numId="16">
    <w:abstractNumId w:val="29"/>
  </w:num>
  <w:num w:numId="17">
    <w:abstractNumId w:val="25"/>
  </w:num>
  <w:num w:numId="18">
    <w:abstractNumId w:val="1"/>
  </w:num>
  <w:num w:numId="19">
    <w:abstractNumId w:val="11"/>
  </w:num>
  <w:num w:numId="20">
    <w:abstractNumId w:val="34"/>
  </w:num>
  <w:num w:numId="21">
    <w:abstractNumId w:val="0"/>
  </w:num>
  <w:num w:numId="22">
    <w:abstractNumId w:val="22"/>
  </w:num>
  <w:num w:numId="23">
    <w:abstractNumId w:val="17"/>
  </w:num>
  <w:num w:numId="24">
    <w:abstractNumId w:val="6"/>
  </w:num>
  <w:num w:numId="25">
    <w:abstractNumId w:val="14"/>
  </w:num>
  <w:num w:numId="26">
    <w:abstractNumId w:val="10"/>
  </w:num>
  <w:num w:numId="27">
    <w:abstractNumId w:val="12"/>
  </w:num>
  <w:num w:numId="28">
    <w:abstractNumId w:val="7"/>
  </w:num>
  <w:num w:numId="29">
    <w:abstractNumId w:val="9"/>
  </w:num>
  <w:num w:numId="30">
    <w:abstractNumId w:val="5"/>
  </w:num>
  <w:num w:numId="31">
    <w:abstractNumId w:val="13"/>
  </w:num>
  <w:num w:numId="32">
    <w:abstractNumId w:val="27"/>
  </w:num>
  <w:num w:numId="33">
    <w:abstractNumId w:val="19"/>
  </w:num>
  <w:num w:numId="34">
    <w:abstractNumId w:val="28"/>
  </w:num>
  <w:num w:numId="35">
    <w:abstractNumId w:val="16"/>
  </w:num>
  <w:num w:numId="36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6C5"/>
    <w:rsid w:val="000028FF"/>
    <w:rsid w:val="00004466"/>
    <w:rsid w:val="00004976"/>
    <w:rsid w:val="0000733C"/>
    <w:rsid w:val="00014930"/>
    <w:rsid w:val="00015868"/>
    <w:rsid w:val="00015A7B"/>
    <w:rsid w:val="00020366"/>
    <w:rsid w:val="0003017E"/>
    <w:rsid w:val="00034F2C"/>
    <w:rsid w:val="00036D88"/>
    <w:rsid w:val="00036E82"/>
    <w:rsid w:val="00037A3C"/>
    <w:rsid w:val="00045D72"/>
    <w:rsid w:val="000532CF"/>
    <w:rsid w:val="000606B7"/>
    <w:rsid w:val="000654C8"/>
    <w:rsid w:val="00065ACC"/>
    <w:rsid w:val="000736C5"/>
    <w:rsid w:val="0007750C"/>
    <w:rsid w:val="00077963"/>
    <w:rsid w:val="000819DD"/>
    <w:rsid w:val="0008285B"/>
    <w:rsid w:val="000831C4"/>
    <w:rsid w:val="000856B5"/>
    <w:rsid w:val="00087FDF"/>
    <w:rsid w:val="000907B1"/>
    <w:rsid w:val="00090BDF"/>
    <w:rsid w:val="000921D5"/>
    <w:rsid w:val="00092626"/>
    <w:rsid w:val="00093BED"/>
    <w:rsid w:val="00094DC8"/>
    <w:rsid w:val="00096F51"/>
    <w:rsid w:val="000A2408"/>
    <w:rsid w:val="000B09DC"/>
    <w:rsid w:val="000B7C44"/>
    <w:rsid w:val="000C048F"/>
    <w:rsid w:val="000C149F"/>
    <w:rsid w:val="000C17FC"/>
    <w:rsid w:val="000C2E0F"/>
    <w:rsid w:val="000C7687"/>
    <w:rsid w:val="000D0A50"/>
    <w:rsid w:val="000D522B"/>
    <w:rsid w:val="000E0C22"/>
    <w:rsid w:val="000E3C15"/>
    <w:rsid w:val="000E48EC"/>
    <w:rsid w:val="000F2F05"/>
    <w:rsid w:val="000F7B3B"/>
    <w:rsid w:val="00112599"/>
    <w:rsid w:val="001127FD"/>
    <w:rsid w:val="00113482"/>
    <w:rsid w:val="00120349"/>
    <w:rsid w:val="00130024"/>
    <w:rsid w:val="00136AB0"/>
    <w:rsid w:val="001464CD"/>
    <w:rsid w:val="00146A29"/>
    <w:rsid w:val="0014754B"/>
    <w:rsid w:val="001504C7"/>
    <w:rsid w:val="00153BD6"/>
    <w:rsid w:val="00164EE2"/>
    <w:rsid w:val="00165BD8"/>
    <w:rsid w:val="00175C75"/>
    <w:rsid w:val="0018691F"/>
    <w:rsid w:val="00192AB9"/>
    <w:rsid w:val="001A3444"/>
    <w:rsid w:val="001A542C"/>
    <w:rsid w:val="001A6D34"/>
    <w:rsid w:val="001A7B33"/>
    <w:rsid w:val="001A7E50"/>
    <w:rsid w:val="001B20E0"/>
    <w:rsid w:val="001B64F9"/>
    <w:rsid w:val="001C05C2"/>
    <w:rsid w:val="001C20D7"/>
    <w:rsid w:val="001C5798"/>
    <w:rsid w:val="001C6EDF"/>
    <w:rsid w:val="001C7BBF"/>
    <w:rsid w:val="001D0E83"/>
    <w:rsid w:val="001D1B5B"/>
    <w:rsid w:val="001D602D"/>
    <w:rsid w:val="001D7D2A"/>
    <w:rsid w:val="001E472E"/>
    <w:rsid w:val="001F6177"/>
    <w:rsid w:val="002071DA"/>
    <w:rsid w:val="002105D7"/>
    <w:rsid w:val="00212793"/>
    <w:rsid w:val="0021342C"/>
    <w:rsid w:val="00216736"/>
    <w:rsid w:val="00216986"/>
    <w:rsid w:val="00224D55"/>
    <w:rsid w:val="00224EA6"/>
    <w:rsid w:val="00224F89"/>
    <w:rsid w:val="002403B2"/>
    <w:rsid w:val="002405B6"/>
    <w:rsid w:val="00244283"/>
    <w:rsid w:val="002455A1"/>
    <w:rsid w:val="00250208"/>
    <w:rsid w:val="00251569"/>
    <w:rsid w:val="00252AB1"/>
    <w:rsid w:val="0025628D"/>
    <w:rsid w:val="0025790B"/>
    <w:rsid w:val="00257F4F"/>
    <w:rsid w:val="00266917"/>
    <w:rsid w:val="002719B3"/>
    <w:rsid w:val="0027315D"/>
    <w:rsid w:val="00273890"/>
    <w:rsid w:val="00275519"/>
    <w:rsid w:val="002763E9"/>
    <w:rsid w:val="002763EA"/>
    <w:rsid w:val="00277D4E"/>
    <w:rsid w:val="00284102"/>
    <w:rsid w:val="00284F2F"/>
    <w:rsid w:val="00285BA5"/>
    <w:rsid w:val="0028756D"/>
    <w:rsid w:val="002937DA"/>
    <w:rsid w:val="002A1A3D"/>
    <w:rsid w:val="002A273F"/>
    <w:rsid w:val="002A56AF"/>
    <w:rsid w:val="002B6CCE"/>
    <w:rsid w:val="002C09C8"/>
    <w:rsid w:val="002C4CBA"/>
    <w:rsid w:val="002C4E50"/>
    <w:rsid w:val="002C585D"/>
    <w:rsid w:val="002C757A"/>
    <w:rsid w:val="002D34B6"/>
    <w:rsid w:val="002E0E25"/>
    <w:rsid w:val="002E76F5"/>
    <w:rsid w:val="002F5F77"/>
    <w:rsid w:val="0030250D"/>
    <w:rsid w:val="003030E7"/>
    <w:rsid w:val="00305322"/>
    <w:rsid w:val="00307D0A"/>
    <w:rsid w:val="003116CB"/>
    <w:rsid w:val="00312BF5"/>
    <w:rsid w:val="0031487C"/>
    <w:rsid w:val="0031564C"/>
    <w:rsid w:val="00323B9D"/>
    <w:rsid w:val="00334748"/>
    <w:rsid w:val="0033660F"/>
    <w:rsid w:val="0033722A"/>
    <w:rsid w:val="00337C5C"/>
    <w:rsid w:val="00340549"/>
    <w:rsid w:val="003440C7"/>
    <w:rsid w:val="0035221E"/>
    <w:rsid w:val="00365728"/>
    <w:rsid w:val="0036589A"/>
    <w:rsid w:val="00370AB4"/>
    <w:rsid w:val="003834A2"/>
    <w:rsid w:val="003838FA"/>
    <w:rsid w:val="00391FB1"/>
    <w:rsid w:val="003927FA"/>
    <w:rsid w:val="003979AD"/>
    <w:rsid w:val="003979EE"/>
    <w:rsid w:val="003A09E9"/>
    <w:rsid w:val="003A172B"/>
    <w:rsid w:val="003A2085"/>
    <w:rsid w:val="003A34A5"/>
    <w:rsid w:val="003A3775"/>
    <w:rsid w:val="003A39E6"/>
    <w:rsid w:val="003A54BF"/>
    <w:rsid w:val="003B1AA0"/>
    <w:rsid w:val="003B6312"/>
    <w:rsid w:val="003B6D68"/>
    <w:rsid w:val="003B75E5"/>
    <w:rsid w:val="003C20E7"/>
    <w:rsid w:val="003C2879"/>
    <w:rsid w:val="003C53EA"/>
    <w:rsid w:val="003D336A"/>
    <w:rsid w:val="003D39F3"/>
    <w:rsid w:val="003E3C1F"/>
    <w:rsid w:val="003E77C0"/>
    <w:rsid w:val="003F03A0"/>
    <w:rsid w:val="003F1FE7"/>
    <w:rsid w:val="004037AF"/>
    <w:rsid w:val="0041342E"/>
    <w:rsid w:val="00414A3F"/>
    <w:rsid w:val="004205BE"/>
    <w:rsid w:val="0042719E"/>
    <w:rsid w:val="004349F5"/>
    <w:rsid w:val="00435F01"/>
    <w:rsid w:val="00435F3F"/>
    <w:rsid w:val="0043632C"/>
    <w:rsid w:val="004405F2"/>
    <w:rsid w:val="004415AC"/>
    <w:rsid w:val="004557EC"/>
    <w:rsid w:val="0046017C"/>
    <w:rsid w:val="0046187B"/>
    <w:rsid w:val="00461D9D"/>
    <w:rsid w:val="00462485"/>
    <w:rsid w:val="00466F80"/>
    <w:rsid w:val="004703F2"/>
    <w:rsid w:val="0047588C"/>
    <w:rsid w:val="00476D1D"/>
    <w:rsid w:val="0048420F"/>
    <w:rsid w:val="004871D0"/>
    <w:rsid w:val="00487272"/>
    <w:rsid w:val="004916C0"/>
    <w:rsid w:val="00492285"/>
    <w:rsid w:val="00492E15"/>
    <w:rsid w:val="004930CE"/>
    <w:rsid w:val="00493670"/>
    <w:rsid w:val="004A2F2C"/>
    <w:rsid w:val="004A5375"/>
    <w:rsid w:val="004B699E"/>
    <w:rsid w:val="004C31DB"/>
    <w:rsid w:val="004D30D2"/>
    <w:rsid w:val="004D7503"/>
    <w:rsid w:val="004E49C6"/>
    <w:rsid w:val="004F4602"/>
    <w:rsid w:val="0050194E"/>
    <w:rsid w:val="0050201F"/>
    <w:rsid w:val="005028C5"/>
    <w:rsid w:val="005061A1"/>
    <w:rsid w:val="0051198D"/>
    <w:rsid w:val="00514290"/>
    <w:rsid w:val="00521AA1"/>
    <w:rsid w:val="00521B35"/>
    <w:rsid w:val="00524397"/>
    <w:rsid w:val="00526F5F"/>
    <w:rsid w:val="005301D3"/>
    <w:rsid w:val="00533D0A"/>
    <w:rsid w:val="005355CB"/>
    <w:rsid w:val="005359E7"/>
    <w:rsid w:val="005422FF"/>
    <w:rsid w:val="00544E35"/>
    <w:rsid w:val="0054764A"/>
    <w:rsid w:val="00552216"/>
    <w:rsid w:val="00557158"/>
    <w:rsid w:val="00557DB1"/>
    <w:rsid w:val="00560C93"/>
    <w:rsid w:val="00561CFD"/>
    <w:rsid w:val="00562EFC"/>
    <w:rsid w:val="005666D3"/>
    <w:rsid w:val="00576AE5"/>
    <w:rsid w:val="0058143E"/>
    <w:rsid w:val="005876EA"/>
    <w:rsid w:val="005A0898"/>
    <w:rsid w:val="005A0A59"/>
    <w:rsid w:val="005A59F1"/>
    <w:rsid w:val="005B5B95"/>
    <w:rsid w:val="005C04C7"/>
    <w:rsid w:val="005C5537"/>
    <w:rsid w:val="005D077B"/>
    <w:rsid w:val="005D10A5"/>
    <w:rsid w:val="005D1650"/>
    <w:rsid w:val="005E0B74"/>
    <w:rsid w:val="005E1738"/>
    <w:rsid w:val="005E260B"/>
    <w:rsid w:val="005E5742"/>
    <w:rsid w:val="005E68E1"/>
    <w:rsid w:val="005F0866"/>
    <w:rsid w:val="0060749A"/>
    <w:rsid w:val="00610772"/>
    <w:rsid w:val="0061311A"/>
    <w:rsid w:val="00613149"/>
    <w:rsid w:val="00620246"/>
    <w:rsid w:val="0062590B"/>
    <w:rsid w:val="00626B45"/>
    <w:rsid w:val="00640275"/>
    <w:rsid w:val="00640D0A"/>
    <w:rsid w:val="0064552C"/>
    <w:rsid w:val="00650F14"/>
    <w:rsid w:val="00651E42"/>
    <w:rsid w:val="006532FC"/>
    <w:rsid w:val="00662E1C"/>
    <w:rsid w:val="00663F62"/>
    <w:rsid w:val="00665289"/>
    <w:rsid w:val="00666007"/>
    <w:rsid w:val="00677529"/>
    <w:rsid w:val="0067798D"/>
    <w:rsid w:val="0068397E"/>
    <w:rsid w:val="00683C64"/>
    <w:rsid w:val="00692039"/>
    <w:rsid w:val="00693FE7"/>
    <w:rsid w:val="006A4B64"/>
    <w:rsid w:val="006A550A"/>
    <w:rsid w:val="006B1597"/>
    <w:rsid w:val="006B4074"/>
    <w:rsid w:val="006B7D0C"/>
    <w:rsid w:val="006C5370"/>
    <w:rsid w:val="006C6978"/>
    <w:rsid w:val="006C7E75"/>
    <w:rsid w:val="006D20E8"/>
    <w:rsid w:val="006E170D"/>
    <w:rsid w:val="006E27AF"/>
    <w:rsid w:val="006F43C8"/>
    <w:rsid w:val="006F6648"/>
    <w:rsid w:val="007036F2"/>
    <w:rsid w:val="0071231D"/>
    <w:rsid w:val="0071613B"/>
    <w:rsid w:val="00716C52"/>
    <w:rsid w:val="00720608"/>
    <w:rsid w:val="007232E8"/>
    <w:rsid w:val="00730A60"/>
    <w:rsid w:val="007428EB"/>
    <w:rsid w:val="00743E16"/>
    <w:rsid w:val="007459CA"/>
    <w:rsid w:val="00745C6B"/>
    <w:rsid w:val="00750430"/>
    <w:rsid w:val="00765ECC"/>
    <w:rsid w:val="00770AD3"/>
    <w:rsid w:val="007719EB"/>
    <w:rsid w:val="00772A74"/>
    <w:rsid w:val="0077592A"/>
    <w:rsid w:val="00775EA8"/>
    <w:rsid w:val="007763D3"/>
    <w:rsid w:val="00777AC7"/>
    <w:rsid w:val="00780072"/>
    <w:rsid w:val="0078319D"/>
    <w:rsid w:val="00785E04"/>
    <w:rsid w:val="00793397"/>
    <w:rsid w:val="007945C7"/>
    <w:rsid w:val="007A2B23"/>
    <w:rsid w:val="007A6946"/>
    <w:rsid w:val="007B2374"/>
    <w:rsid w:val="007B2F0B"/>
    <w:rsid w:val="007C10AF"/>
    <w:rsid w:val="007C1781"/>
    <w:rsid w:val="007D15EC"/>
    <w:rsid w:val="007D26D5"/>
    <w:rsid w:val="007E117B"/>
    <w:rsid w:val="007E4A32"/>
    <w:rsid w:val="007F3F54"/>
    <w:rsid w:val="00804D14"/>
    <w:rsid w:val="008053A8"/>
    <w:rsid w:val="008073C2"/>
    <w:rsid w:val="008107C4"/>
    <w:rsid w:val="008109C8"/>
    <w:rsid w:val="00813C78"/>
    <w:rsid w:val="00814A17"/>
    <w:rsid w:val="0083215F"/>
    <w:rsid w:val="00841D0F"/>
    <w:rsid w:val="0084556E"/>
    <w:rsid w:val="008542DF"/>
    <w:rsid w:val="00854945"/>
    <w:rsid w:val="00860B92"/>
    <w:rsid w:val="00862B81"/>
    <w:rsid w:val="008716E8"/>
    <w:rsid w:val="00875AC7"/>
    <w:rsid w:val="00880125"/>
    <w:rsid w:val="00884066"/>
    <w:rsid w:val="00884473"/>
    <w:rsid w:val="008904F5"/>
    <w:rsid w:val="00892B21"/>
    <w:rsid w:val="00893664"/>
    <w:rsid w:val="00897C0D"/>
    <w:rsid w:val="008A0F09"/>
    <w:rsid w:val="008A1067"/>
    <w:rsid w:val="008A1119"/>
    <w:rsid w:val="008C0373"/>
    <w:rsid w:val="008C08F2"/>
    <w:rsid w:val="008C27A0"/>
    <w:rsid w:val="008C6688"/>
    <w:rsid w:val="008C7273"/>
    <w:rsid w:val="008D1CF3"/>
    <w:rsid w:val="008D2287"/>
    <w:rsid w:val="008E02FB"/>
    <w:rsid w:val="008E1E78"/>
    <w:rsid w:val="008E23A1"/>
    <w:rsid w:val="008F038A"/>
    <w:rsid w:val="008F1AAB"/>
    <w:rsid w:val="008F20C9"/>
    <w:rsid w:val="00900942"/>
    <w:rsid w:val="00900E98"/>
    <w:rsid w:val="0090234A"/>
    <w:rsid w:val="00905D68"/>
    <w:rsid w:val="00912427"/>
    <w:rsid w:val="009128E0"/>
    <w:rsid w:val="00924338"/>
    <w:rsid w:val="00925606"/>
    <w:rsid w:val="009268EC"/>
    <w:rsid w:val="00937ECF"/>
    <w:rsid w:val="009402EA"/>
    <w:rsid w:val="00965BF1"/>
    <w:rsid w:val="00965CDA"/>
    <w:rsid w:val="009672E2"/>
    <w:rsid w:val="009848F7"/>
    <w:rsid w:val="009871AA"/>
    <w:rsid w:val="00992A80"/>
    <w:rsid w:val="009930A8"/>
    <w:rsid w:val="00993AC9"/>
    <w:rsid w:val="00993F52"/>
    <w:rsid w:val="0099408E"/>
    <w:rsid w:val="009A1716"/>
    <w:rsid w:val="009B741B"/>
    <w:rsid w:val="009C1B41"/>
    <w:rsid w:val="009C1DA2"/>
    <w:rsid w:val="009C24A6"/>
    <w:rsid w:val="009C3F6C"/>
    <w:rsid w:val="009D10A3"/>
    <w:rsid w:val="009D344F"/>
    <w:rsid w:val="009E30A0"/>
    <w:rsid w:val="009F0ACA"/>
    <w:rsid w:val="009F1503"/>
    <w:rsid w:val="009F2355"/>
    <w:rsid w:val="00A01564"/>
    <w:rsid w:val="00A0196D"/>
    <w:rsid w:val="00A030EB"/>
    <w:rsid w:val="00A13FC4"/>
    <w:rsid w:val="00A14F4E"/>
    <w:rsid w:val="00A20E33"/>
    <w:rsid w:val="00A21B56"/>
    <w:rsid w:val="00A2420F"/>
    <w:rsid w:val="00A24DE1"/>
    <w:rsid w:val="00A26F80"/>
    <w:rsid w:val="00A30D3F"/>
    <w:rsid w:val="00A33FF4"/>
    <w:rsid w:val="00A35846"/>
    <w:rsid w:val="00A42971"/>
    <w:rsid w:val="00A44ADE"/>
    <w:rsid w:val="00A44E88"/>
    <w:rsid w:val="00A53822"/>
    <w:rsid w:val="00A5488A"/>
    <w:rsid w:val="00A56453"/>
    <w:rsid w:val="00A56B7B"/>
    <w:rsid w:val="00A57D53"/>
    <w:rsid w:val="00A57E12"/>
    <w:rsid w:val="00A61CA0"/>
    <w:rsid w:val="00A61D32"/>
    <w:rsid w:val="00A74A13"/>
    <w:rsid w:val="00A7572E"/>
    <w:rsid w:val="00A77259"/>
    <w:rsid w:val="00A84C3A"/>
    <w:rsid w:val="00A862F0"/>
    <w:rsid w:val="00A879BD"/>
    <w:rsid w:val="00A87D01"/>
    <w:rsid w:val="00A90B25"/>
    <w:rsid w:val="00A92602"/>
    <w:rsid w:val="00A937D4"/>
    <w:rsid w:val="00A93C65"/>
    <w:rsid w:val="00AA413B"/>
    <w:rsid w:val="00AB01C3"/>
    <w:rsid w:val="00AC237D"/>
    <w:rsid w:val="00AC37FC"/>
    <w:rsid w:val="00AD4334"/>
    <w:rsid w:val="00AD43C3"/>
    <w:rsid w:val="00AD47EC"/>
    <w:rsid w:val="00AE4DE6"/>
    <w:rsid w:val="00AE677B"/>
    <w:rsid w:val="00AE7955"/>
    <w:rsid w:val="00AF28F5"/>
    <w:rsid w:val="00AF7330"/>
    <w:rsid w:val="00B04019"/>
    <w:rsid w:val="00B05931"/>
    <w:rsid w:val="00B13CCD"/>
    <w:rsid w:val="00B13E65"/>
    <w:rsid w:val="00B15150"/>
    <w:rsid w:val="00B17A4D"/>
    <w:rsid w:val="00B216E7"/>
    <w:rsid w:val="00B2728E"/>
    <w:rsid w:val="00B32633"/>
    <w:rsid w:val="00B33E0E"/>
    <w:rsid w:val="00B342C3"/>
    <w:rsid w:val="00B3469E"/>
    <w:rsid w:val="00B40535"/>
    <w:rsid w:val="00B40CB1"/>
    <w:rsid w:val="00B525EB"/>
    <w:rsid w:val="00B52678"/>
    <w:rsid w:val="00B54BE9"/>
    <w:rsid w:val="00B563F7"/>
    <w:rsid w:val="00B64244"/>
    <w:rsid w:val="00B65100"/>
    <w:rsid w:val="00B7623A"/>
    <w:rsid w:val="00B8301B"/>
    <w:rsid w:val="00B84BA2"/>
    <w:rsid w:val="00B851AA"/>
    <w:rsid w:val="00B90BAC"/>
    <w:rsid w:val="00B91F2F"/>
    <w:rsid w:val="00BA307A"/>
    <w:rsid w:val="00BA4CC9"/>
    <w:rsid w:val="00BB112A"/>
    <w:rsid w:val="00BB4E2B"/>
    <w:rsid w:val="00BB51A1"/>
    <w:rsid w:val="00BB64DC"/>
    <w:rsid w:val="00BE516C"/>
    <w:rsid w:val="00BE6E95"/>
    <w:rsid w:val="00BF46FB"/>
    <w:rsid w:val="00BF74D1"/>
    <w:rsid w:val="00C0067C"/>
    <w:rsid w:val="00C043AF"/>
    <w:rsid w:val="00C04671"/>
    <w:rsid w:val="00C05B50"/>
    <w:rsid w:val="00C07371"/>
    <w:rsid w:val="00C07A14"/>
    <w:rsid w:val="00C07F53"/>
    <w:rsid w:val="00C1791E"/>
    <w:rsid w:val="00C200AA"/>
    <w:rsid w:val="00C2216D"/>
    <w:rsid w:val="00C24F1C"/>
    <w:rsid w:val="00C31626"/>
    <w:rsid w:val="00C3267E"/>
    <w:rsid w:val="00C35790"/>
    <w:rsid w:val="00C37481"/>
    <w:rsid w:val="00C41292"/>
    <w:rsid w:val="00C47C69"/>
    <w:rsid w:val="00C564BF"/>
    <w:rsid w:val="00C66F7E"/>
    <w:rsid w:val="00C7055C"/>
    <w:rsid w:val="00C70B77"/>
    <w:rsid w:val="00C81A53"/>
    <w:rsid w:val="00C86251"/>
    <w:rsid w:val="00C91678"/>
    <w:rsid w:val="00C95889"/>
    <w:rsid w:val="00CA4165"/>
    <w:rsid w:val="00CA6822"/>
    <w:rsid w:val="00CB6813"/>
    <w:rsid w:val="00CC1E0B"/>
    <w:rsid w:val="00CC50DD"/>
    <w:rsid w:val="00CD537D"/>
    <w:rsid w:val="00CE057F"/>
    <w:rsid w:val="00CE4628"/>
    <w:rsid w:val="00CE4D8E"/>
    <w:rsid w:val="00CF084F"/>
    <w:rsid w:val="00CF5141"/>
    <w:rsid w:val="00CF6960"/>
    <w:rsid w:val="00CF70DE"/>
    <w:rsid w:val="00D015D0"/>
    <w:rsid w:val="00D0415A"/>
    <w:rsid w:val="00D15A83"/>
    <w:rsid w:val="00D334DF"/>
    <w:rsid w:val="00D342B7"/>
    <w:rsid w:val="00D346BE"/>
    <w:rsid w:val="00D34D72"/>
    <w:rsid w:val="00D3660F"/>
    <w:rsid w:val="00D41673"/>
    <w:rsid w:val="00D45003"/>
    <w:rsid w:val="00D541B0"/>
    <w:rsid w:val="00D57D54"/>
    <w:rsid w:val="00D817DC"/>
    <w:rsid w:val="00D93485"/>
    <w:rsid w:val="00D9358F"/>
    <w:rsid w:val="00D97470"/>
    <w:rsid w:val="00DA1E10"/>
    <w:rsid w:val="00DA7835"/>
    <w:rsid w:val="00DB52DA"/>
    <w:rsid w:val="00DB7DB1"/>
    <w:rsid w:val="00DC2368"/>
    <w:rsid w:val="00DC4912"/>
    <w:rsid w:val="00DD0DF1"/>
    <w:rsid w:val="00DD7626"/>
    <w:rsid w:val="00DE74F3"/>
    <w:rsid w:val="00DF019D"/>
    <w:rsid w:val="00E0109F"/>
    <w:rsid w:val="00E07F25"/>
    <w:rsid w:val="00E22477"/>
    <w:rsid w:val="00E35316"/>
    <w:rsid w:val="00E37412"/>
    <w:rsid w:val="00E401E0"/>
    <w:rsid w:val="00E53250"/>
    <w:rsid w:val="00E54E9A"/>
    <w:rsid w:val="00E55F5A"/>
    <w:rsid w:val="00E56B15"/>
    <w:rsid w:val="00E579B7"/>
    <w:rsid w:val="00E64A68"/>
    <w:rsid w:val="00E65AED"/>
    <w:rsid w:val="00E672FC"/>
    <w:rsid w:val="00E70755"/>
    <w:rsid w:val="00E80BC3"/>
    <w:rsid w:val="00E837C8"/>
    <w:rsid w:val="00E8687F"/>
    <w:rsid w:val="00E90F4C"/>
    <w:rsid w:val="00E92375"/>
    <w:rsid w:val="00E93D05"/>
    <w:rsid w:val="00E93D06"/>
    <w:rsid w:val="00E961F9"/>
    <w:rsid w:val="00EA0BD0"/>
    <w:rsid w:val="00EA3F1D"/>
    <w:rsid w:val="00EC0655"/>
    <w:rsid w:val="00EC291C"/>
    <w:rsid w:val="00EC7FF6"/>
    <w:rsid w:val="00ED2C7F"/>
    <w:rsid w:val="00ED4094"/>
    <w:rsid w:val="00EE1E50"/>
    <w:rsid w:val="00EE2431"/>
    <w:rsid w:val="00EE7513"/>
    <w:rsid w:val="00EF2A60"/>
    <w:rsid w:val="00EF3B8B"/>
    <w:rsid w:val="00EF507E"/>
    <w:rsid w:val="00EF616C"/>
    <w:rsid w:val="00EF6C3C"/>
    <w:rsid w:val="00F01DA7"/>
    <w:rsid w:val="00F02345"/>
    <w:rsid w:val="00F072E8"/>
    <w:rsid w:val="00F0733F"/>
    <w:rsid w:val="00F10718"/>
    <w:rsid w:val="00F115B1"/>
    <w:rsid w:val="00F12D0B"/>
    <w:rsid w:val="00F17C36"/>
    <w:rsid w:val="00F22B3B"/>
    <w:rsid w:val="00F32220"/>
    <w:rsid w:val="00F359B4"/>
    <w:rsid w:val="00F5587B"/>
    <w:rsid w:val="00F57B04"/>
    <w:rsid w:val="00F653F9"/>
    <w:rsid w:val="00F65C4B"/>
    <w:rsid w:val="00F71413"/>
    <w:rsid w:val="00F74A7C"/>
    <w:rsid w:val="00F76756"/>
    <w:rsid w:val="00F877FD"/>
    <w:rsid w:val="00F9384A"/>
    <w:rsid w:val="00F94022"/>
    <w:rsid w:val="00FA2295"/>
    <w:rsid w:val="00FB7D9E"/>
    <w:rsid w:val="00FC788B"/>
    <w:rsid w:val="00FE0FC5"/>
    <w:rsid w:val="00FE3FAE"/>
    <w:rsid w:val="00FE41D8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9883E5-814A-4724-B0F0-7410B23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3722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372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3372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372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3722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semiHidden/>
    <w:unhideWhenUsed/>
    <w:rsid w:val="00F072E8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rsid w:val="00DB52DA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4871D0"/>
    <w:rPr>
      <w:rFonts w:ascii="Tahoma" w:hAnsi="Tahoma" w:cs="Tahoma"/>
      <w:sz w:val="16"/>
      <w:szCs w:val="16"/>
    </w:rPr>
  </w:style>
  <w:style w:type="paragraph" w:styleId="ac">
    <w:name w:val="No Spacing"/>
    <w:link w:val="ad"/>
    <w:qFormat/>
    <w:rsid w:val="00912427"/>
    <w:rPr>
      <w:rFonts w:ascii="Calibri" w:hAnsi="Calibri" w:cs="Calibri"/>
      <w:sz w:val="22"/>
      <w:szCs w:val="22"/>
    </w:rPr>
  </w:style>
  <w:style w:type="character" w:customStyle="1" w:styleId="ad">
    <w:name w:val="Без интервала Знак"/>
    <w:link w:val="ac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paragraph" w:styleId="HTML">
    <w:name w:val="HTML Preformatted"/>
    <w:basedOn w:val="a"/>
    <w:rsid w:val="00CF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e">
    <w:name w:val="Hyperlink"/>
    <w:rsid w:val="0033722A"/>
    <w:rPr>
      <w:color w:val="0000FF"/>
      <w:u w:val="none"/>
    </w:rPr>
  </w:style>
  <w:style w:type="character" w:styleId="HTML0">
    <w:name w:val="HTML Variable"/>
    <w:aliases w:val="!Ссылки в документе"/>
    <w:rsid w:val="003372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33722A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33722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372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3722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3722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3722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3722A"/>
    <w:pPr>
      <w:jc w:val="center"/>
    </w:pPr>
    <w:rPr>
      <w:rFonts w:ascii="Arial" w:hAnsi="Arial" w:cs="Arial"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111863d6-b7f1-481b-9bdf-5a9eff92f0aa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stup.scli.ru:8111/content/act/8f21b21c-a408-42c4-b9fe-a939b863c84a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xmkmain2:8080/content/act/5d1710fe-adda-4726-935f-7ee77f81215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5db2eadf-a134-437b-9903-fbdf32b5f5c6.doc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6</TotalTime>
  <Pages>9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cp:lastModifiedBy>Ольга Медведева</cp:lastModifiedBy>
  <cp:revision>3</cp:revision>
  <cp:lastPrinted>2016-03-28T05:36:00Z</cp:lastPrinted>
  <dcterms:created xsi:type="dcterms:W3CDTF">2019-03-01T12:02:00Z</dcterms:created>
  <dcterms:modified xsi:type="dcterms:W3CDTF">2019-03-06T06:30:00Z</dcterms:modified>
</cp:coreProperties>
</file>