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350" cy="742950"/>
                <wp:effectExtent l="0" t="0" r="0" b="0"/>
                <wp:docPr id="1" name="Рисунок 1" descr="Описание: Герб города для бла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Герб города для бланка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143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.50pt;height:58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МУНИЦИПАЛЬНОЕ ОБРАЗОВАНИЕ</w:t>
      </w:r>
      <w:r>
        <w:rPr>
          <w:b/>
          <w:sz w:val="36"/>
          <w:szCs w:val="36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Пыть-Ях</w:t>
      </w:r>
      <w:r>
        <w:rPr>
          <w:b/>
          <w:sz w:val="36"/>
          <w:szCs w:val="36"/>
        </w:rPr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Ханты-Мансийского автономного округа-Югры</w:t>
      </w:r>
      <w:r>
        <w:rPr>
          <w:b/>
          <w:sz w:val="36"/>
          <w:szCs w:val="36"/>
        </w:rPr>
      </w:r>
    </w:p>
    <w:p>
      <w:pPr>
        <w:pStyle w:val="753"/>
        <w:numPr>
          <w:ilvl w:val="0"/>
          <w:numId w:val="0"/>
        </w:numPr>
        <w:jc w:val="center"/>
        <w:spacing w:before="0"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АДМИНИСТРАЦИЯ ГОРОДА</w:t>
      </w:r>
      <w:r>
        <w:rPr>
          <w:rFonts w:ascii="Times New Roman" w:hAnsi="Times New Roman"/>
          <w:sz w:val="36"/>
          <w:szCs w:val="36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П О С Т А Н О В Л Е Н И Е</w:t>
      </w:r>
      <w:r>
        <w:rPr>
          <w:b/>
          <w:spacing w:val="20"/>
          <w:sz w:val="36"/>
          <w:szCs w:val="36"/>
        </w:rPr>
      </w:r>
    </w:p>
    <w:p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</w:r>
      <w:r>
        <w:rPr>
          <w:spacing w:val="2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</w:t>
      </w:r>
      <w:r>
        <w:rPr>
          <w:sz w:val="28"/>
          <w:szCs w:val="28"/>
        </w:rPr>
        <w:t xml:space="preserve"> 10.10.2022 № 446-па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перечня управляющих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организаций для управления многоквартирными,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которых собственниками помещений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многоквартирных домах не выбран способ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</w:t>
      </w:r>
      <w:r>
        <w:rPr>
          <w:sz w:val="28"/>
          <w:szCs w:val="28"/>
        </w:rPr>
        <w:t xml:space="preserve"> такими домами или выбранный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управления не реализован, не определена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управляющая компания</w:t>
      </w:r>
      <w:r>
        <w:rPr>
          <w:sz w:val="28"/>
          <w:szCs w:val="28"/>
        </w:rPr>
        <w:t xml:space="preserve">» (в ред. от 29.06.2023 № 193-па)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</w:t>
      </w:r>
      <w:r>
        <w:rPr>
          <w:sz w:val="28"/>
          <w:szCs w:val="28"/>
        </w:rPr>
        <w:t xml:space="preserve">о статьей 161</w:t>
      </w:r>
      <w:r>
        <w:rPr>
          <w:sz w:val="28"/>
          <w:szCs w:val="28"/>
        </w:rPr>
        <w:t xml:space="preserve"> Жилищного кодекса Российской Федерации, Федеральным законом от 06.10.2003 № 131-ФЗ «Об общ</w:t>
      </w:r>
      <w:r>
        <w:rPr>
          <w:sz w:val="28"/>
          <w:szCs w:val="28"/>
        </w:rPr>
        <w:t xml:space="preserve">их принципах организации местного самоуправления в Российской Федерации»,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</w:t>
      </w:r>
      <w:r>
        <w:rPr>
          <w:sz w:val="28"/>
          <w:szCs w:val="28"/>
        </w:rPr>
        <w:t xml:space="preserve">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ООО «</w:t>
      </w:r>
      <w:r>
        <w:rPr>
          <w:sz w:val="28"/>
          <w:szCs w:val="28"/>
        </w:rPr>
        <w:t xml:space="preserve">Управляющая компания «Виктория</w:t>
      </w:r>
      <w:r>
        <w:rPr>
          <w:sz w:val="28"/>
          <w:szCs w:val="28"/>
        </w:rPr>
        <w:t xml:space="preserve">» от </w:t>
      </w:r>
      <w:r>
        <w:rPr>
          <w:sz w:val="28"/>
          <w:szCs w:val="28"/>
        </w:rPr>
        <w:t xml:space="preserve">17.</w:t>
      </w:r>
      <w:r>
        <w:rPr>
          <w:sz w:val="28"/>
          <w:szCs w:val="28"/>
        </w:rPr>
        <w:t xml:space="preserve">06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 об исключении управляющей организации из перечня </w:t>
      </w:r>
      <w:r>
        <w:rPr>
          <w:sz w:val="28"/>
          <w:szCs w:val="28"/>
        </w:rPr>
        <w:t xml:space="preserve">организаций для управления многоквартирным домом, находящ</w:t>
      </w:r>
      <w:r>
        <w:rPr>
          <w:sz w:val="28"/>
          <w:szCs w:val="28"/>
        </w:rPr>
        <w:t xml:space="preserve">имся на территории города Пыть-Я</w:t>
      </w:r>
      <w:r>
        <w:rPr>
          <w:sz w:val="28"/>
          <w:szCs w:val="28"/>
        </w:rPr>
        <w:t xml:space="preserve">ха, в отношении,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</w:t>
      </w:r>
      <w:r>
        <w:rPr>
          <w:sz w:val="28"/>
          <w:szCs w:val="28"/>
        </w:rPr>
        <w:t xml:space="preserve">еделена управляющая организация, </w:t>
      </w:r>
      <w:r>
        <w:rPr>
          <w:sz w:val="28"/>
          <w:szCs w:val="28"/>
        </w:rPr>
        <w:t xml:space="preserve">внести в постановление администрации города от 10.10.2022 № 446-па «Об утверждении перечня управляющих организа</w:t>
      </w:r>
      <w:r>
        <w:rPr>
          <w:sz w:val="28"/>
          <w:szCs w:val="28"/>
        </w:rPr>
        <w:t xml:space="preserve">ций для управления многоквартирными,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компания»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следующее изменение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</w:r>
      <w:r>
        <w:rPr>
          <w:rFonts w:eastAsia="Batang"/>
          <w:sz w:val="28"/>
          <w:szCs w:val="28"/>
          <w:lang w:eastAsia="ko-KR"/>
        </w:rPr>
      </w:r>
    </w:p>
    <w:p>
      <w:pPr>
        <w:ind w:firstLine="709"/>
        <w:jc w:val="both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Приложение к постановлению изложить в новой редакции согласно приложению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</w:p>
    <w:p>
      <w:pPr>
        <w:ind w:firstLine="705"/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       Признать утратившим силу постановление администрации города</w:t>
      </w:r>
      <w:r>
        <w:rPr>
          <w:sz w:val="28"/>
          <w:szCs w:val="28"/>
        </w:rPr>
        <w:t xml:space="preserve"> от 29.06.2023 № 193-па «О внесении изменения в постановление администрации города от 10.10.2022 № 446-па «</w:t>
      </w:r>
      <w:r>
        <w:rPr>
          <w:sz w:val="28"/>
          <w:szCs w:val="28"/>
        </w:rPr>
        <w:t xml:space="preserve">Об утверждении перечня управляющих организа</w:t>
      </w:r>
      <w:r>
        <w:rPr>
          <w:sz w:val="28"/>
          <w:szCs w:val="28"/>
        </w:rPr>
        <w:t xml:space="preserve">ций для управления многоквартирными, в отношении которых собственниками помещений не выбран способ управления таким домом или выбранный способ управления не реализован, не определена управляющая компания»</w:t>
      </w:r>
      <w:r/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  <w:t xml:space="preserve">Управлению по внутренней политике (Н.О. Вандышева) опубликовать постановление в сетевом издании «Официальный сайт «Телерадиокомпания Пыть-Яхинформ»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Управлению по информационным технологиям (А.А. Мерзляков) разместить постановление на официальном сайте администрации города в сети Интернет.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постановление вступает в силу после его официального опубликования.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 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6"/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Пыть-Яха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Т.В. Староста</w:t>
      </w:r>
      <w:r>
        <w:rPr>
          <w:sz w:val="28"/>
          <w:szCs w:val="28"/>
        </w:rPr>
      </w:r>
    </w:p>
    <w:p>
      <w:pPr>
        <w:pStyle w:val="77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806"/>
        <w:ind w:left="5670"/>
        <w:jc w:val="both"/>
        <w:rPr>
          <w:sz w:val="24"/>
          <w:szCs w:val="28"/>
          <w:lang w:val="ru-RU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4"/>
          <w:szCs w:val="28"/>
          <w:lang w:val="ru-RU"/>
        </w:rPr>
      </w:r>
      <w:r>
        <w:rPr>
          <w:sz w:val="24"/>
          <w:szCs w:val="28"/>
          <w:lang w:val="ru-RU"/>
        </w:rPr>
      </w:r>
    </w:p>
    <w:p>
      <w:pPr>
        <w:ind w:left="3969"/>
        <w:jc w:val="right"/>
        <w:widowControl w:val="off"/>
        <w:rPr>
          <w:rFonts w:eastAsiaTheme="minorEastAsia"/>
          <w:bCs/>
          <w:sz w:val="28"/>
          <w:szCs w:val="28"/>
        </w:rPr>
      </w:pPr>
      <w:r/>
      <w:bookmarkStart w:id="0" w:name="sub_100"/>
      <w:r>
        <w:rPr>
          <w:rFonts w:eastAsiaTheme="minorEastAsia"/>
          <w:bCs/>
          <w:sz w:val="28"/>
          <w:szCs w:val="28"/>
        </w:rPr>
        <w:t xml:space="preserve">Приложение </w:t>
      </w:r>
      <w:r>
        <w:rPr>
          <w:rFonts w:eastAsiaTheme="minorEastAsia"/>
          <w:bCs/>
          <w:sz w:val="28"/>
          <w:szCs w:val="28"/>
        </w:rPr>
      </w:r>
    </w:p>
    <w:p>
      <w:pPr>
        <w:ind w:left="3969"/>
        <w:jc w:val="right"/>
        <w:widowControl w:val="off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к постановлению администрации</w:t>
      </w:r>
      <w:r>
        <w:rPr>
          <w:rFonts w:eastAsiaTheme="minorEastAsia"/>
          <w:bCs/>
          <w:sz w:val="28"/>
          <w:szCs w:val="28"/>
        </w:rPr>
      </w:r>
    </w:p>
    <w:p>
      <w:pPr>
        <w:ind w:left="3969"/>
        <w:jc w:val="right"/>
        <w:widowControl w:val="off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города Пыть-Яха</w:t>
      </w:r>
      <w:bookmarkEnd w:id="0"/>
      <w:r>
        <w:rPr>
          <w:rFonts w:eastAsiaTheme="minorEastAsia"/>
          <w:bCs/>
          <w:sz w:val="28"/>
          <w:szCs w:val="28"/>
        </w:rPr>
      </w:r>
    </w:p>
    <w:p>
      <w:pPr>
        <w:ind w:firstLine="720"/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от                          №       -па</w:t>
      </w:r>
      <w:bookmarkStart w:id="1" w:name="_GoBack"/>
      <w:r/>
      <w:bookmarkEnd w:id="1"/>
      <w:r/>
      <w:r>
        <w:rPr>
          <w:rFonts w:eastAsiaTheme="minorEastAsia"/>
          <w:sz w:val="28"/>
          <w:szCs w:val="28"/>
        </w:rPr>
      </w:r>
    </w:p>
    <w:p>
      <w:pPr>
        <w:ind w:left="-142"/>
        <w:jc w:val="center"/>
        <w:widowControl w:val="off"/>
        <w:rPr>
          <w:rFonts w:eastAsiaTheme="minorEastAsia"/>
          <w:bCs/>
          <w:sz w:val="28"/>
          <w:szCs w:val="28"/>
        </w:rPr>
        <w:outlineLvl w:val="0"/>
      </w:pPr>
      <w:r>
        <w:rPr>
          <w:rFonts w:eastAsiaTheme="minorEastAsia"/>
          <w:bCs/>
          <w:sz w:val="28"/>
          <w:szCs w:val="28"/>
        </w:rPr>
        <w:t xml:space="preserve">Перечень</w:t>
      </w:r>
      <w:r>
        <w:rPr>
          <w:rFonts w:eastAsiaTheme="minorEastAsia"/>
          <w:bCs/>
          <w:sz w:val="28"/>
          <w:szCs w:val="28"/>
        </w:rPr>
        <w:br/>
        <w:t xml:space="preserve">управляющих организаций для управления многоквартирным домом</w:t>
      </w:r>
      <w:r>
        <w:rPr>
          <w:rFonts w:eastAsiaTheme="minorEastAsia"/>
          <w:bCs/>
          <w:sz w:val="28"/>
          <w:szCs w:val="28"/>
        </w:rPr>
        <w:t xml:space="preserve">, находящимся на территории города Пыть-Яха</w:t>
      </w:r>
      <w:r>
        <w:rPr>
          <w:rFonts w:eastAsiaTheme="minorEastAsia"/>
          <w:bCs/>
          <w:sz w:val="28"/>
          <w:szCs w:val="28"/>
        </w:rPr>
        <w:t xml:space="preserve">, в отношении которого собственниками помещений</w:t>
      </w:r>
      <w:r>
        <w:rPr>
          <w:rFonts w:eastAsiaTheme="minorEastAsia"/>
          <w:bCs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rFonts w:eastAsiaTheme="minorEastAsia"/>
          <w:bCs/>
          <w:sz w:val="28"/>
          <w:szCs w:val="28"/>
        </w:rPr>
      </w:r>
    </w:p>
    <w:p>
      <w:pPr>
        <w:ind w:firstLine="720"/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tbl>
      <w:tblPr>
        <w:tblW w:w="1465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100"/>
        <w:gridCol w:w="3294"/>
        <w:gridCol w:w="2043"/>
        <w:gridCol w:w="1982"/>
        <w:gridCol w:w="1982"/>
        <w:gridCol w:w="2690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 п/п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Полное наименование управляющей организации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4" w:type="dxa"/>
            <w:textDirection w:val="lrTb"/>
            <w:noWrap w:val="false"/>
          </w:tcPr>
          <w:p>
            <w:pPr>
              <w:ind w:left="-65"/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Количество </w:t>
            </w:r>
            <w:r>
              <w:rPr>
                <w:rFonts w:eastAsiaTheme="minorEastAsia"/>
                <w:sz w:val="28"/>
                <w:szCs w:val="28"/>
              </w:rPr>
              <w:t xml:space="preserve">многоквартирных жилых домов,</w:t>
            </w:r>
            <w:r>
              <w:rPr>
                <w:rFonts w:eastAsiaTheme="minorEastAsia"/>
                <w:sz w:val="28"/>
                <w:szCs w:val="28"/>
              </w:rPr>
              <w:t xml:space="preserve"> согласно данных государственной информационной системы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3" w:type="dxa"/>
            <w:textDirection w:val="lrTb"/>
            <w:noWrap w:val="false"/>
          </w:tcPr>
          <w:p>
            <w:pPr>
              <w:ind w:left="-46" w:right="-104"/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Основание для включения </w:t>
            </w:r>
            <w:r>
              <w:rPr>
                <w:rFonts w:eastAsiaTheme="minorEastAsia"/>
                <w:sz w:val="28"/>
                <w:szCs w:val="28"/>
              </w:rPr>
              <w:t xml:space="preserve">в перечень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2" w:type="dxa"/>
            <w:textDirection w:val="lrTb"/>
            <w:noWrap w:val="false"/>
          </w:tcPr>
          <w:p>
            <w:pPr>
              <w:ind w:left="-105" w:right="-66"/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ИНН управляющей организации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2" w:type="dxa"/>
            <w:textDirection w:val="lrTb"/>
            <w:noWrap w:val="false"/>
          </w:tcPr>
          <w:p>
            <w:pPr>
              <w:ind w:left="-158" w:right="-82"/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Реквизиты лицензии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Дата включения в перечень</w:t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1.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ООО «Бизнес-Центр»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61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Заявление </w:t>
            </w:r>
            <w:r>
              <w:rPr>
                <w:rFonts w:eastAsiaTheme="minorEastAsia"/>
                <w:sz w:val="28"/>
                <w:szCs w:val="28"/>
              </w:rPr>
              <w:t xml:space="preserve">№ 14-вх-135 от 05</w:t>
            </w:r>
            <w:r>
              <w:rPr>
                <w:rFonts w:eastAsiaTheme="minorEastAsia"/>
                <w:sz w:val="28"/>
                <w:szCs w:val="28"/>
              </w:rPr>
              <w:t xml:space="preserve">.10.2022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8612014653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 086000144 от 30.04.2015</w:t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9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06.10.2022</w:t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</w:tbl>
    <w:p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418" w:right="680" w:bottom="567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10600030101010101"/>
  </w:font>
  <w:font w:name="Symbol">
    <w:panose1 w:val="05050102010706020507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rPr>
        <w:rStyle w:val="791"/>
      </w:rPr>
      <w:framePr w:wrap="around" w:vAnchor="text" w:hAnchor="margin" w:xAlign="right" w:y="1"/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end"/>
    </w:r>
    <w:r>
      <w:rPr>
        <w:rStyle w:val="791"/>
      </w:rPr>
    </w:r>
  </w:p>
  <w:p>
    <w:pPr>
      <w:pStyle w:val="774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pStyle w:val="753"/>
      <w:isLgl w:val="false"/>
      <w:suff w:val="space"/>
      <w:lvlText w:val="Глава %1"/>
      <w:lvlJc w:val="left"/>
      <w:pPr/>
      <w:rPr>
        <w:rFonts w:cs="Times New Roman"/>
      </w:rPr>
    </w:lvl>
    <w:lvl w:ilvl="1">
      <w:start w:val="1"/>
      <w:numFmt w:val="none"/>
      <w:pStyle w:val="754"/>
      <w:isLgl w:val="false"/>
      <w:suff w:val="nothing"/>
      <w:lvlText w:val=""/>
      <w:lvlJc w:val="left"/>
      <w:pPr/>
      <w:rPr>
        <w:rFonts w:cs="Times New Roman"/>
      </w:rPr>
    </w:lvl>
    <w:lvl w:ilvl="2">
      <w:start w:val="1"/>
      <w:numFmt w:val="none"/>
      <w:pStyle w:val="755"/>
      <w:isLgl w:val="false"/>
      <w:suff w:val="nothing"/>
      <w:lvlText w:val=""/>
      <w:lvlJc w:val="left"/>
      <w:pPr/>
      <w:rPr>
        <w:rFonts w:cs="Times New Roman"/>
      </w:rPr>
    </w:lvl>
    <w:lvl w:ilvl="3">
      <w:start w:val="1"/>
      <w:numFmt w:val="none"/>
      <w:pStyle w:val="756"/>
      <w:isLgl w:val="false"/>
      <w:suff w:val="nothing"/>
      <w:lvlText w:val=""/>
      <w:lvlJc w:val="left"/>
      <w:pPr/>
      <w:rPr>
        <w:rFonts w:cs="Times New Roman"/>
      </w:rPr>
    </w:lvl>
    <w:lvl w:ilvl="4">
      <w:start w:val="1"/>
      <w:numFmt w:val="none"/>
      <w:pStyle w:val="757"/>
      <w:isLgl w:val="false"/>
      <w:suff w:val="nothing"/>
      <w:lvlText w:val=""/>
      <w:lvlJc w:val="left"/>
      <w:pPr/>
      <w:rPr>
        <w:rFonts w:cs="Times New Roman"/>
      </w:rPr>
    </w:lvl>
    <w:lvl w:ilvl="5">
      <w:start w:val="1"/>
      <w:numFmt w:val="none"/>
      <w:pStyle w:val="758"/>
      <w:isLgl w:val="false"/>
      <w:suff w:val="nothing"/>
      <w:lvlText w:val=""/>
      <w:lvlJc w:val="left"/>
      <w:pPr/>
      <w:rPr>
        <w:rFonts w:cs="Times New Roman"/>
      </w:rPr>
    </w:lvl>
    <w:lvl w:ilvl="6">
      <w:start w:val="1"/>
      <w:numFmt w:val="none"/>
      <w:pStyle w:val="759"/>
      <w:isLgl w:val="false"/>
      <w:suff w:val="nothing"/>
      <w:lvlText w:val=""/>
      <w:lvlJc w:val="left"/>
      <w:pPr/>
      <w:rPr>
        <w:rFonts w:cs="Times New Roman"/>
      </w:rPr>
    </w:lvl>
    <w:lvl w:ilvl="7">
      <w:start w:val="1"/>
      <w:numFmt w:val="none"/>
      <w:pStyle w:val="760"/>
      <w:isLgl w:val="false"/>
      <w:suff w:val="nothing"/>
      <w:lvlText w:val=""/>
      <w:lvlJc w:val="left"/>
      <w:pPr/>
      <w:rPr>
        <w:rFonts w:cs="Times New Roman"/>
      </w:rPr>
    </w:lvl>
    <w:lvl w:ilvl="8">
      <w:start w:val="1"/>
      <w:numFmt w:val="none"/>
      <w:pStyle w:val="761"/>
      <w:isLgl w:val="false"/>
      <w:suff w:val="nothing"/>
      <w:lvlText w:val=""/>
      <w:lvlJc w:val="left"/>
      <w:pPr/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1">
      <w:start w:val="9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  <w:tabs>
          <w:tab w:val="num" w:pos="525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 "/>
      <w:legacy w:legacy="1" w:legacyIndent="283" w:legacySpace="0"/>
      <w:lvlJc w:val="left"/>
      <w:pPr>
        <w:ind w:left="283" w:hanging="283"/>
      </w:pPr>
      <w:rPr>
        <w:rFonts w:hint="default" w:ascii="Times New Roman" w:hAnsi="Times New Roman" w:cs="Times New Roman"/>
        <w:b w:val="0"/>
        <w:i w:val="0"/>
        <w:sz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1065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cs="Times New Roman"/>
      </w:r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1">
      <w:start w:val="33"/>
      <w:numFmt w:val="decimal"/>
      <w:isLgl w:val="false"/>
      <w:suff w:val="tab"/>
      <w:lvlText w:val="%1.%2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3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17"/>
  </w:num>
  <w:num w:numId="5">
    <w:abstractNumId w:val="19"/>
  </w:num>
  <w:num w:numId="6">
    <w:abstractNumId w:val="4"/>
  </w:num>
  <w:num w:numId="7">
    <w:abstractNumId w:val="16"/>
  </w:num>
  <w:num w:numId="8">
    <w:abstractNumId w:val="34"/>
  </w:num>
  <w:num w:numId="9">
    <w:abstractNumId w:val="27"/>
  </w:num>
  <w:num w:numId="10">
    <w:abstractNumId w:val="21"/>
  </w:num>
  <w:num w:numId="11">
    <w:abstractNumId w:val="25"/>
  </w:num>
  <w:num w:numId="12">
    <w:abstractNumId w:val="15"/>
  </w:num>
  <w:num w:numId="1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9"/>
  </w:num>
  <w:num w:numId="16">
    <w:abstractNumId w:val="12"/>
  </w:num>
  <w:num w:numId="17">
    <w:abstractNumId w:val="28"/>
  </w:num>
  <w:num w:numId="18">
    <w:abstractNumId w:val="0"/>
  </w:num>
  <w:num w:numId="19">
    <w:abstractNumId w:val="26"/>
  </w:num>
  <w:num w:numId="20">
    <w:abstractNumId w:val="3"/>
  </w:num>
  <w:num w:numId="21">
    <w:abstractNumId w:val="35"/>
  </w:num>
  <w:num w:numId="22">
    <w:abstractNumId w:val="1"/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2"/>
  </w:num>
  <w:num w:numId="27">
    <w:abstractNumId w:val="18"/>
  </w:num>
  <w:num w:numId="28">
    <w:abstractNumId w:val="20"/>
  </w:num>
  <w:num w:numId="29">
    <w:abstractNumId w:val="30"/>
  </w:num>
  <w:num w:numId="30">
    <w:abstractNumId w:val="10"/>
  </w:num>
  <w:num w:numId="31">
    <w:abstractNumId w:val="32"/>
  </w:num>
  <w:num w:numId="32">
    <w:abstractNumId w:val="7"/>
  </w:num>
  <w:num w:numId="33">
    <w:abstractNumId w:val="23"/>
  </w:num>
  <w:num w:numId="34">
    <w:abstractNumId w:val="11"/>
  </w:num>
  <w:num w:numId="35">
    <w:abstractNumId w:val="24"/>
  </w:num>
  <w:num w:numId="36">
    <w:abstractNumId w:val="14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2"/>
    <w:link w:val="75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2"/>
    <w:link w:val="75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2"/>
    <w:link w:val="75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2"/>
    <w:link w:val="7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2"/>
    <w:link w:val="757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2"/>
    <w:link w:val="758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2"/>
    <w:link w:val="7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2"/>
    <w:link w:val="760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2"/>
    <w:link w:val="761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52"/>
    <w:uiPriority w:val="34"/>
    <w:qFormat/>
    <w:pPr>
      <w:contextualSpacing/>
      <w:ind w:left="720"/>
    </w:pPr>
  </w:style>
  <w:style w:type="paragraph" w:styleId="34">
    <w:name w:val="Title"/>
    <w:basedOn w:val="752"/>
    <w:next w:val="75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2"/>
    <w:link w:val="34"/>
    <w:uiPriority w:val="10"/>
    <w:rPr>
      <w:sz w:val="48"/>
      <w:szCs w:val="48"/>
    </w:rPr>
  </w:style>
  <w:style w:type="paragraph" w:styleId="36">
    <w:name w:val="Subtitle"/>
    <w:basedOn w:val="752"/>
    <w:next w:val="75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2"/>
    <w:link w:val="36"/>
    <w:uiPriority w:val="11"/>
    <w:rPr>
      <w:sz w:val="24"/>
      <w:szCs w:val="24"/>
    </w:rPr>
  </w:style>
  <w:style w:type="paragraph" w:styleId="38">
    <w:name w:val="Quote"/>
    <w:basedOn w:val="752"/>
    <w:next w:val="7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2"/>
    <w:next w:val="7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2"/>
    <w:link w:val="774"/>
    <w:uiPriority w:val="99"/>
  </w:style>
  <w:style w:type="character" w:styleId="45">
    <w:name w:val="Footer Char"/>
    <w:basedOn w:val="762"/>
    <w:link w:val="776"/>
    <w:uiPriority w:val="99"/>
  </w:style>
  <w:style w:type="paragraph" w:styleId="46">
    <w:name w:val="Caption"/>
    <w:basedOn w:val="752"/>
    <w:next w:val="75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6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62"/>
    <w:uiPriority w:val="99"/>
    <w:unhideWhenUsed/>
    <w:rPr>
      <w:vertAlign w:val="superscript"/>
    </w:rPr>
  </w:style>
  <w:style w:type="character" w:styleId="179">
    <w:name w:val="Endnote Text Char"/>
    <w:link w:val="803"/>
    <w:uiPriority w:val="99"/>
    <w:rPr>
      <w:sz w:val="20"/>
    </w:rPr>
  </w:style>
  <w:style w:type="character" w:styleId="180">
    <w:name w:val="endnote reference"/>
    <w:basedOn w:val="762"/>
    <w:uiPriority w:val="99"/>
    <w:semiHidden/>
    <w:unhideWhenUsed/>
    <w:rPr>
      <w:vertAlign w:val="superscript"/>
    </w:rPr>
  </w:style>
  <w:style w:type="paragraph" w:styleId="181">
    <w:name w:val="toc 1"/>
    <w:basedOn w:val="752"/>
    <w:next w:val="7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2"/>
    <w:next w:val="7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2"/>
    <w:next w:val="7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2"/>
    <w:next w:val="7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2"/>
    <w:next w:val="7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2"/>
    <w:next w:val="7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2"/>
    <w:next w:val="7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2"/>
    <w:next w:val="7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2"/>
    <w:next w:val="7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2"/>
    <w:next w:val="752"/>
    <w:uiPriority w:val="99"/>
    <w:unhideWhenUsed/>
    <w:pPr>
      <w:spacing w:after="0" w:afterAutospacing="0"/>
    </w:pPr>
  </w:style>
  <w:style w:type="paragraph" w:styleId="752" w:default="1">
    <w:name w:val="Normal"/>
    <w:qFormat/>
    <w:rPr>
      <w:sz w:val="20"/>
      <w:szCs w:val="20"/>
    </w:rPr>
  </w:style>
  <w:style w:type="paragraph" w:styleId="753">
    <w:name w:val="Heading 1"/>
    <w:basedOn w:val="752"/>
    <w:next w:val="752"/>
    <w:link w:val="765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754">
    <w:name w:val="Heading 2"/>
    <w:basedOn w:val="752"/>
    <w:next w:val="752"/>
    <w:link w:val="766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755">
    <w:name w:val="Heading 3"/>
    <w:basedOn w:val="752"/>
    <w:next w:val="752"/>
    <w:link w:val="767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/>
      <w:sz w:val="24"/>
    </w:rPr>
  </w:style>
  <w:style w:type="paragraph" w:styleId="756">
    <w:name w:val="Heading 4"/>
    <w:basedOn w:val="752"/>
    <w:next w:val="752"/>
    <w:link w:val="768"/>
    <w:qFormat/>
    <w:pPr>
      <w:numPr>
        <w:ilvl w:val="3"/>
        <w:numId w:val="1"/>
      </w:num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757">
    <w:name w:val="Heading 5"/>
    <w:basedOn w:val="752"/>
    <w:next w:val="752"/>
    <w:link w:val="76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758">
    <w:name w:val="Heading 6"/>
    <w:basedOn w:val="752"/>
    <w:next w:val="752"/>
    <w:link w:val="770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59">
    <w:name w:val="Heading 7"/>
    <w:basedOn w:val="752"/>
    <w:next w:val="752"/>
    <w:link w:val="771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760">
    <w:name w:val="Heading 8"/>
    <w:basedOn w:val="752"/>
    <w:next w:val="752"/>
    <w:link w:val="772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761">
    <w:name w:val="Heading 9"/>
    <w:basedOn w:val="752"/>
    <w:next w:val="752"/>
    <w:link w:val="773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762" w:default="1">
    <w:name w:val="Default Paragraph Font"/>
    <w:uiPriority w:val="1"/>
    <w:semiHidden/>
    <w:unhideWhenUsed/>
  </w:style>
  <w:style w:type="table" w:styleId="7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4" w:default="1">
    <w:name w:val="No List"/>
    <w:uiPriority w:val="99"/>
    <w:semiHidden/>
    <w:unhideWhenUsed/>
  </w:style>
  <w:style w:type="character" w:styleId="765" w:customStyle="1">
    <w:name w:val="Заголовок 1 Знак"/>
    <w:basedOn w:val="762"/>
    <w:link w:val="753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66" w:customStyle="1">
    <w:name w:val="Заголовок 2 Знак"/>
    <w:basedOn w:val="762"/>
    <w:link w:val="754"/>
    <w:uiPriority w:val="9"/>
    <w:semiHidden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767" w:customStyle="1">
    <w:name w:val="Заголовок 3 Знак"/>
    <w:basedOn w:val="762"/>
    <w:link w:val="755"/>
    <w:uiPriority w:val="9"/>
    <w:semiHidden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768" w:customStyle="1">
    <w:name w:val="Заголовок 4 Знак"/>
    <w:basedOn w:val="762"/>
    <w:link w:val="756"/>
    <w:uiPriority w:val="9"/>
    <w:semiHidden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769" w:customStyle="1">
    <w:name w:val="Заголовок 5 Знак"/>
    <w:basedOn w:val="762"/>
    <w:link w:val="757"/>
    <w:uiPriority w:val="9"/>
    <w:semiHidden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770" w:customStyle="1">
    <w:name w:val="Заголовок 6 Знак"/>
    <w:basedOn w:val="762"/>
    <w:link w:val="758"/>
    <w:uiPriority w:val="9"/>
    <w:semiHidden/>
    <w:rPr>
      <w:rFonts w:asciiTheme="minorHAnsi" w:hAnsiTheme="minorHAnsi" w:eastAsiaTheme="minorEastAsia" w:cstheme="minorBidi"/>
      <w:b/>
      <w:bCs/>
    </w:rPr>
  </w:style>
  <w:style w:type="character" w:styleId="771" w:customStyle="1">
    <w:name w:val="Заголовок 7 Знак"/>
    <w:basedOn w:val="762"/>
    <w:link w:val="759"/>
    <w:uiPriority w:val="9"/>
    <w:semiHidden/>
    <w:rPr>
      <w:rFonts w:asciiTheme="minorHAnsi" w:hAnsiTheme="minorHAnsi" w:eastAsiaTheme="minorEastAsia" w:cstheme="minorBidi"/>
      <w:sz w:val="24"/>
      <w:szCs w:val="24"/>
    </w:rPr>
  </w:style>
  <w:style w:type="character" w:styleId="772" w:customStyle="1">
    <w:name w:val="Заголовок 8 Знак"/>
    <w:basedOn w:val="762"/>
    <w:link w:val="760"/>
    <w:uiPriority w:val="9"/>
    <w:semiHidden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773" w:customStyle="1">
    <w:name w:val="Заголовок 9 Знак"/>
    <w:basedOn w:val="762"/>
    <w:link w:val="761"/>
    <w:uiPriority w:val="9"/>
    <w:semiHidden/>
    <w:rPr>
      <w:rFonts w:asciiTheme="majorHAnsi" w:hAnsiTheme="majorHAnsi" w:eastAsiaTheme="majorEastAsia" w:cstheme="majorBidi"/>
    </w:rPr>
  </w:style>
  <w:style w:type="paragraph" w:styleId="774">
    <w:name w:val="Header"/>
    <w:basedOn w:val="752"/>
    <w:link w:val="775"/>
    <w:uiPriority w:val="99"/>
    <w:pPr>
      <w:tabs>
        <w:tab w:val="center" w:pos="4153" w:leader="none"/>
        <w:tab w:val="right" w:pos="8306" w:leader="none"/>
      </w:tabs>
    </w:pPr>
  </w:style>
  <w:style w:type="character" w:styleId="775" w:customStyle="1">
    <w:name w:val="Верхний колонтитул Знак"/>
    <w:basedOn w:val="762"/>
    <w:link w:val="774"/>
    <w:uiPriority w:val="99"/>
    <w:semiHidden/>
    <w:rPr>
      <w:sz w:val="20"/>
      <w:szCs w:val="20"/>
    </w:rPr>
  </w:style>
  <w:style w:type="paragraph" w:styleId="776">
    <w:name w:val="Footer"/>
    <w:basedOn w:val="752"/>
    <w:link w:val="777"/>
    <w:uiPriority w:val="99"/>
    <w:pPr>
      <w:tabs>
        <w:tab w:val="center" w:pos="4153" w:leader="none"/>
        <w:tab w:val="right" w:pos="8306" w:leader="none"/>
      </w:tabs>
    </w:pPr>
  </w:style>
  <w:style w:type="character" w:styleId="777" w:customStyle="1">
    <w:name w:val="Нижний колонтитул Знак"/>
    <w:basedOn w:val="762"/>
    <w:link w:val="776"/>
    <w:uiPriority w:val="99"/>
  </w:style>
  <w:style w:type="paragraph" w:styleId="778" w:customStyle="1">
    <w:name w:val="Готовый"/>
    <w:basedOn w:val="752"/>
    <w:uiPriority w:val="99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character" w:styleId="779">
    <w:name w:val="Hyperlink"/>
    <w:basedOn w:val="762"/>
    <w:uiPriority w:val="99"/>
    <w:rPr>
      <w:rFonts w:cs="Times New Roman"/>
      <w:color w:val="0000ff"/>
      <w:u w:val="single"/>
    </w:rPr>
  </w:style>
  <w:style w:type="character" w:styleId="780">
    <w:name w:val="FollowedHyperlink"/>
    <w:basedOn w:val="762"/>
    <w:uiPriority w:val="99"/>
    <w:rPr>
      <w:rFonts w:cs="Times New Roman"/>
      <w:color w:val="800080"/>
      <w:u w:val="single"/>
    </w:rPr>
  </w:style>
  <w:style w:type="paragraph" w:styleId="781">
    <w:name w:val="Body Text Indent"/>
    <w:basedOn w:val="752"/>
    <w:link w:val="782"/>
    <w:uiPriority w:val="99"/>
    <w:pPr>
      <w:ind w:left="5760"/>
    </w:pPr>
    <w:rPr>
      <w:b/>
      <w:sz w:val="24"/>
    </w:rPr>
  </w:style>
  <w:style w:type="character" w:styleId="782" w:customStyle="1">
    <w:name w:val="Основной текст с отступом Знак"/>
    <w:basedOn w:val="762"/>
    <w:link w:val="781"/>
    <w:uiPriority w:val="99"/>
    <w:semiHidden/>
    <w:rPr>
      <w:sz w:val="20"/>
      <w:szCs w:val="20"/>
    </w:rPr>
  </w:style>
  <w:style w:type="paragraph" w:styleId="783">
    <w:name w:val="Body Text"/>
    <w:basedOn w:val="752"/>
    <w:link w:val="784"/>
    <w:uiPriority w:val="99"/>
    <w:rPr>
      <w:sz w:val="24"/>
    </w:rPr>
  </w:style>
  <w:style w:type="character" w:styleId="784" w:customStyle="1">
    <w:name w:val="Основной текст Знак"/>
    <w:basedOn w:val="762"/>
    <w:link w:val="783"/>
    <w:uiPriority w:val="99"/>
    <w:semiHidden/>
    <w:rPr>
      <w:sz w:val="20"/>
      <w:szCs w:val="20"/>
    </w:rPr>
  </w:style>
  <w:style w:type="paragraph" w:styleId="785">
    <w:name w:val="Body Text Indent 2"/>
    <w:basedOn w:val="752"/>
    <w:link w:val="786"/>
    <w:uiPriority w:val="99"/>
    <w:pPr>
      <w:ind w:firstLine="720"/>
    </w:pPr>
    <w:rPr>
      <w:sz w:val="24"/>
    </w:rPr>
  </w:style>
  <w:style w:type="character" w:styleId="786" w:customStyle="1">
    <w:name w:val="Основной текст с отступом 2 Знак"/>
    <w:basedOn w:val="762"/>
    <w:link w:val="785"/>
    <w:uiPriority w:val="99"/>
    <w:semiHidden/>
    <w:rPr>
      <w:sz w:val="20"/>
      <w:szCs w:val="20"/>
    </w:rPr>
  </w:style>
  <w:style w:type="paragraph" w:styleId="787">
    <w:name w:val="Body Text 2"/>
    <w:basedOn w:val="752"/>
    <w:link w:val="788"/>
    <w:uiPriority w:val="99"/>
    <w:pPr>
      <w:jc w:val="both"/>
    </w:pPr>
    <w:rPr>
      <w:sz w:val="24"/>
    </w:rPr>
  </w:style>
  <w:style w:type="character" w:styleId="788" w:customStyle="1">
    <w:name w:val="Основной текст 2 Знак"/>
    <w:basedOn w:val="762"/>
    <w:link w:val="787"/>
    <w:uiPriority w:val="99"/>
    <w:semiHidden/>
    <w:rPr>
      <w:sz w:val="20"/>
      <w:szCs w:val="20"/>
    </w:rPr>
  </w:style>
  <w:style w:type="paragraph" w:styleId="789">
    <w:name w:val="Body Text Indent 3"/>
    <w:basedOn w:val="752"/>
    <w:link w:val="790"/>
    <w:uiPriority w:val="99"/>
    <w:pPr>
      <w:ind w:firstLine="360"/>
      <w:jc w:val="both"/>
    </w:pPr>
    <w:rPr>
      <w:sz w:val="24"/>
    </w:rPr>
  </w:style>
  <w:style w:type="character" w:styleId="790" w:customStyle="1">
    <w:name w:val="Основной текст с отступом 3 Знак"/>
    <w:basedOn w:val="762"/>
    <w:link w:val="789"/>
    <w:uiPriority w:val="99"/>
    <w:semiHidden/>
    <w:rPr>
      <w:sz w:val="16"/>
      <w:szCs w:val="16"/>
    </w:rPr>
  </w:style>
  <w:style w:type="character" w:styleId="791">
    <w:name w:val="page number"/>
    <w:basedOn w:val="762"/>
    <w:uiPriority w:val="99"/>
    <w:rPr>
      <w:rFonts w:cs="Times New Roman"/>
    </w:rPr>
  </w:style>
  <w:style w:type="paragraph" w:styleId="792" w:customStyle="1">
    <w:name w:val="ConsPlusNormal"/>
    <w:link w:val="805"/>
    <w:pPr>
      <w:ind w:firstLine="720"/>
      <w:widowControl w:val="off"/>
    </w:pPr>
    <w:rPr>
      <w:rFonts w:ascii="Arial" w:hAnsi="Arial" w:cs="Arial"/>
      <w:sz w:val="20"/>
      <w:szCs w:val="20"/>
    </w:rPr>
  </w:style>
  <w:style w:type="paragraph" w:styleId="793" w:customStyle="1">
    <w:name w:val="ConsPlusTitle"/>
    <w:uiPriority w:val="99"/>
    <w:pPr>
      <w:widowControl w:val="off"/>
    </w:pPr>
    <w:rPr>
      <w:rFonts w:ascii="Arial" w:hAnsi="Arial" w:cs="Arial"/>
      <w:b/>
      <w:bCs/>
      <w:sz w:val="20"/>
      <w:szCs w:val="20"/>
    </w:rPr>
  </w:style>
  <w:style w:type="paragraph" w:styleId="794">
    <w:name w:val="Balloon Text"/>
    <w:basedOn w:val="752"/>
    <w:link w:val="795"/>
    <w:uiPriority w:val="99"/>
    <w:semiHidden/>
    <w:rPr>
      <w:rFonts w:ascii="Tahoma" w:hAnsi="Tahoma" w:cs="Tahoma"/>
      <w:sz w:val="16"/>
      <w:szCs w:val="16"/>
    </w:rPr>
  </w:style>
  <w:style w:type="character" w:styleId="795" w:customStyle="1">
    <w:name w:val="Текст выноски Знак"/>
    <w:basedOn w:val="762"/>
    <w:link w:val="794"/>
    <w:uiPriority w:val="99"/>
    <w:semiHidden/>
    <w:rPr>
      <w:sz w:val="0"/>
      <w:szCs w:val="0"/>
    </w:rPr>
  </w:style>
  <w:style w:type="paragraph" w:styleId="796" w:customStyle="1">
    <w:name w:val="ConsPlusNonformat"/>
    <w:uiPriority w:val="99"/>
    <w:pPr>
      <w:widowControl w:val="off"/>
    </w:pPr>
    <w:rPr>
      <w:rFonts w:ascii="Courier New" w:hAnsi="Courier New" w:cs="Courier New"/>
      <w:sz w:val="20"/>
      <w:szCs w:val="20"/>
    </w:rPr>
  </w:style>
  <w:style w:type="paragraph" w:styleId="797" w:customStyle="1">
    <w:name w:val="ConsPlusCell"/>
    <w:uiPriority w:val="99"/>
    <w:pPr>
      <w:widowControl w:val="off"/>
    </w:pPr>
    <w:rPr>
      <w:sz w:val="24"/>
      <w:szCs w:val="24"/>
    </w:rPr>
  </w:style>
  <w:style w:type="paragraph" w:styleId="798" w:customStyle="1">
    <w:name w:val="ConsNormal"/>
    <w:uiPriority w:val="99"/>
    <w:pPr>
      <w:ind w:right="19772" w:firstLine="720"/>
      <w:widowControl w:val="off"/>
    </w:pPr>
    <w:rPr>
      <w:rFonts w:ascii="Arial" w:hAnsi="Arial" w:cs="Arial"/>
      <w:sz w:val="20"/>
      <w:szCs w:val="20"/>
    </w:rPr>
  </w:style>
  <w:style w:type="paragraph" w:styleId="799" w:customStyle="1">
    <w:name w:val="ConsTitle"/>
    <w:uiPriority w:val="99"/>
    <w:pPr>
      <w:ind w:right="19772"/>
      <w:widowControl w:val="off"/>
    </w:pPr>
    <w:rPr>
      <w:rFonts w:ascii="Arial" w:hAnsi="Arial" w:cs="Arial"/>
      <w:b/>
      <w:bCs/>
      <w:sz w:val="20"/>
      <w:szCs w:val="20"/>
    </w:rPr>
  </w:style>
  <w:style w:type="paragraph" w:styleId="800">
    <w:name w:val="Normal (Web)"/>
    <w:basedOn w:val="752"/>
    <w:uiPriority w:val="99"/>
    <w:pPr>
      <w:spacing w:before="45"/>
    </w:pPr>
    <w:rPr>
      <w:sz w:val="24"/>
      <w:szCs w:val="24"/>
    </w:rPr>
  </w:style>
  <w:style w:type="paragraph" w:styleId="801" w:customStyle="1">
    <w:name w:val="s_1"/>
    <w:basedOn w:val="752"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802">
    <w:name w:val="Table Grid"/>
    <w:basedOn w:val="76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03">
    <w:name w:val="endnote text"/>
    <w:basedOn w:val="752"/>
    <w:link w:val="804"/>
    <w:uiPriority w:val="99"/>
    <w:semiHidden/>
    <w:unhideWhenUsed/>
    <w:rPr>
      <w:lang w:val="en-US"/>
    </w:rPr>
  </w:style>
  <w:style w:type="character" w:styleId="804" w:customStyle="1">
    <w:name w:val="Текст концевой сноски Знак"/>
    <w:basedOn w:val="762"/>
    <w:link w:val="803"/>
    <w:uiPriority w:val="99"/>
    <w:semiHidden/>
    <w:rPr>
      <w:sz w:val="20"/>
      <w:szCs w:val="20"/>
      <w:lang w:val="en-US"/>
    </w:rPr>
  </w:style>
  <w:style w:type="character" w:styleId="805" w:customStyle="1">
    <w:name w:val="ConsPlusNormal Знак"/>
    <w:link w:val="792"/>
    <w:rPr>
      <w:rFonts w:ascii="Arial" w:hAnsi="Arial" w:cs="Arial"/>
      <w:sz w:val="20"/>
      <w:szCs w:val="20"/>
    </w:rPr>
  </w:style>
  <w:style w:type="paragraph" w:styleId="806">
    <w:name w:val="No Spacing"/>
    <w:uiPriority w:val="1"/>
    <w:qFormat/>
    <w:rPr>
      <w:sz w:val="20"/>
      <w:szCs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FC72-0DD5-4D0A-9CE6-D8743EE8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Городская Администрация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заместителю главы Администрации округа</dc:title>
  <dc:creator>Zinenco</dc:creator>
  <cp:lastModifiedBy>ParfenovaTM</cp:lastModifiedBy>
  <cp:revision>5</cp:revision>
  <dcterms:created xsi:type="dcterms:W3CDTF">2023-06-29T07:41:00Z</dcterms:created>
  <dcterms:modified xsi:type="dcterms:W3CDTF">2026-06-17T11:32:07Z</dcterms:modified>
</cp:coreProperties>
</file>