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509" w:rsidRDefault="000C7B3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Аналитическая записка </w:t>
      </w:r>
    </w:p>
    <w:p w:rsidR="00793509" w:rsidRDefault="000C7B3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отчету о ходе реализации муниципальной программы</w:t>
      </w:r>
    </w:p>
    <w:p w:rsidR="00793509" w:rsidRDefault="000C7B3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 в городе Пыть-Яхе»</w:t>
      </w:r>
    </w:p>
    <w:p w:rsidR="00793509" w:rsidRDefault="000C7B3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январь-декабрь 2025 года</w:t>
      </w:r>
    </w:p>
    <w:p w:rsidR="00793509" w:rsidRDefault="0079350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93509" w:rsidRDefault="00793509">
      <w:pPr>
        <w:jc w:val="both"/>
        <w:rPr>
          <w:b/>
          <w:sz w:val="24"/>
          <w:szCs w:val="24"/>
        </w:rPr>
      </w:pPr>
    </w:p>
    <w:p w:rsidR="00793509" w:rsidRDefault="000C7B3B">
      <w:pPr>
        <w:numPr>
          <w:ilvl w:val="0"/>
          <w:numId w:val="9"/>
        </w:numPr>
        <w:ind w:left="0" w:firstLine="709"/>
        <w:jc w:val="both"/>
        <w:rPr>
          <w:szCs w:val="28"/>
        </w:rPr>
      </w:pPr>
      <w:r>
        <w:rPr>
          <w:szCs w:val="28"/>
        </w:rPr>
        <w:t>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 информация предоставляется к годовому отчету.</w:t>
      </w:r>
    </w:p>
    <w:p w:rsidR="00793509" w:rsidRDefault="000C7B3B">
      <w:pPr>
        <w:ind w:firstLine="851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Информация о достижении конкретных целевых показателей муниципальной программы приведена в таблице (п. 4). </w:t>
      </w:r>
      <w:r>
        <w:rPr>
          <w:rFonts w:eastAsia="Calibri"/>
          <w:sz w:val="26"/>
          <w:szCs w:val="26"/>
        </w:rPr>
        <w:t>В 2025 году показатели в рамках муниципальной программы достигнуты на 100 %.</w:t>
      </w:r>
    </w:p>
    <w:p w:rsidR="00793509" w:rsidRDefault="00793509">
      <w:pPr>
        <w:jc w:val="both"/>
        <w:rPr>
          <w:color w:val="FF0000"/>
          <w:szCs w:val="28"/>
        </w:rPr>
      </w:pPr>
    </w:p>
    <w:p w:rsidR="00793509" w:rsidRDefault="000C7B3B">
      <w:pPr>
        <w:numPr>
          <w:ilvl w:val="0"/>
          <w:numId w:val="9"/>
        </w:numPr>
        <w:ind w:left="0" w:firstLine="709"/>
        <w:jc w:val="both"/>
        <w:rPr>
          <w:b/>
          <w:sz w:val="24"/>
          <w:szCs w:val="24"/>
        </w:rPr>
      </w:pPr>
      <w:r>
        <w:rPr>
          <w:szCs w:val="28"/>
        </w:rPr>
        <w:t>Информация о структурных элементах, реализация которых осуществляется с нарушением установленных параметров и сроков: нарушения отсутствуют.</w:t>
      </w:r>
    </w:p>
    <w:p w:rsidR="00793509" w:rsidRDefault="000C7B3B">
      <w:pPr>
        <w:widowControl w:val="0"/>
        <w:ind w:left="1065" w:hanging="214"/>
        <w:jc w:val="both"/>
        <w:rPr>
          <w:sz w:val="26"/>
          <w:szCs w:val="26"/>
        </w:rPr>
      </w:pPr>
      <w:r>
        <w:rPr>
          <w:sz w:val="26"/>
          <w:szCs w:val="26"/>
        </w:rPr>
        <w:t>Структурные элементы, реализация которых осуществляется с нарушением отсутствуют.</w:t>
      </w:r>
    </w:p>
    <w:p w:rsidR="00793509" w:rsidRDefault="00793509">
      <w:pPr>
        <w:ind w:left="709"/>
        <w:jc w:val="both"/>
        <w:rPr>
          <w:b/>
          <w:color w:val="FF0000"/>
          <w:sz w:val="24"/>
          <w:szCs w:val="24"/>
        </w:rPr>
      </w:pPr>
    </w:p>
    <w:p w:rsidR="00793509" w:rsidRDefault="000C7B3B">
      <w:pPr>
        <w:widowControl w:val="0"/>
        <w:numPr>
          <w:ilvl w:val="0"/>
          <w:numId w:val="9"/>
        </w:numPr>
        <w:ind w:left="0" w:firstLine="709"/>
        <w:rPr>
          <w:szCs w:val="28"/>
        </w:rPr>
      </w:pPr>
      <w:r>
        <w:rPr>
          <w:szCs w:val="28"/>
        </w:rPr>
        <w:t>Анализ факторов (рисков), повлиявших на реализацию муниципальной программы, и мер, направленных на их устранение.</w:t>
      </w:r>
    </w:p>
    <w:p w:rsidR="00793509" w:rsidRDefault="00793509">
      <w:pPr>
        <w:widowControl w:val="0"/>
        <w:ind w:left="1065" w:hanging="214"/>
        <w:jc w:val="both"/>
        <w:rPr>
          <w:color w:val="FF0000"/>
          <w:sz w:val="26"/>
          <w:szCs w:val="26"/>
        </w:rPr>
      </w:pPr>
    </w:p>
    <w:tbl>
      <w:tblPr>
        <w:tblW w:w="143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654"/>
        <w:gridCol w:w="6237"/>
      </w:tblGrid>
      <w:tr w:rsidR="00793509">
        <w:tc>
          <w:tcPr>
            <w:tcW w:w="426" w:type="dxa"/>
          </w:tcPr>
          <w:p w:rsidR="00793509" w:rsidRDefault="000C7B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7654" w:type="dxa"/>
          </w:tcPr>
          <w:p w:rsidR="00793509" w:rsidRDefault="000C7B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риск – ориентированной темы (обстоятельство, ситуация, событие, происшествие и т.д.)</w:t>
            </w:r>
          </w:p>
        </w:tc>
        <w:tc>
          <w:tcPr>
            <w:tcW w:w="6237" w:type="dxa"/>
          </w:tcPr>
          <w:p w:rsidR="00793509" w:rsidRDefault="000C7B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Предпринятые и/или предпринимаемые меры для ее исправления</w:t>
            </w:r>
          </w:p>
        </w:tc>
      </w:tr>
      <w:tr w:rsidR="00793509">
        <w:tc>
          <w:tcPr>
            <w:tcW w:w="426" w:type="dxa"/>
          </w:tcPr>
          <w:p w:rsidR="00793509" w:rsidRDefault="000C7B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654" w:type="dxa"/>
          </w:tcPr>
          <w:p w:rsidR="00793509" w:rsidRDefault="000C7B3B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Устройство каркасно-тентового сооружения на хоккейном корте</w:t>
            </w:r>
            <w:r>
              <w:rPr>
                <w:sz w:val="22"/>
                <w:szCs w:val="22"/>
              </w:rPr>
              <w:t xml:space="preserve"> «Авангард», в связи с увеличением срока выполнения работ до 31.01.2026 (срок исполнения, по муниципальному контракту № 0187300019425000107 от 02.09.2025 составляет 90 календарных дней с момента заключения (срок истек 01.12.2025):</w:t>
            </w:r>
          </w:p>
          <w:p w:rsidR="00793509" w:rsidRDefault="000C7B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риски:</w:t>
            </w:r>
          </w:p>
          <w:p w:rsidR="00793509" w:rsidRDefault="000C7B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увеличение сроков выполнения работ (не все виды работ возможно осуществлять при температуре наружнего воздуха менее -20), соответственно увеличение сроков приемки работ и обустройства катка;</w:t>
            </w:r>
          </w:p>
          <w:p w:rsidR="00793509" w:rsidRDefault="000C7B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жалобы населения в связи с отсутствием работы пункта проката спортивного инвентаря;</w:t>
            </w:r>
          </w:p>
          <w:p w:rsidR="00793509" w:rsidRDefault="000C7B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обращения занимающихся хоккеем об отстутствии возможности занятий на корте. </w:t>
            </w:r>
          </w:p>
        </w:tc>
        <w:tc>
          <w:tcPr>
            <w:tcW w:w="6237" w:type="dxa"/>
          </w:tcPr>
          <w:p w:rsidR="00793509" w:rsidRDefault="000C7B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ведение МКУ УКС протоколов выездных совещаний на объекте хоккейный корт  «Авангард»;</w:t>
            </w:r>
          </w:p>
          <w:p w:rsidR="00793509" w:rsidRDefault="000C7B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вынесение вопроса на комиссию по рассмотрению и оценке поступивших от заказчика МКУ УКС документов  в целях принятия решения о согласовании изменений существенных условий контракта (информация о принятом решение в управлении по культуре и спорту отсутсвует).</w:t>
            </w:r>
          </w:p>
        </w:tc>
      </w:tr>
    </w:tbl>
    <w:p w:rsidR="00793509" w:rsidRDefault="00793509">
      <w:pPr>
        <w:widowControl w:val="0"/>
        <w:ind w:left="709"/>
        <w:rPr>
          <w:szCs w:val="28"/>
        </w:rPr>
      </w:pPr>
    </w:p>
    <w:p w:rsidR="00793509" w:rsidRDefault="000C7B3B">
      <w:pPr>
        <w:widowControl w:val="0"/>
        <w:numPr>
          <w:ilvl w:val="0"/>
          <w:numId w:val="9"/>
        </w:numPr>
        <w:ind w:left="0" w:firstLine="709"/>
        <w:rPr>
          <w:szCs w:val="28"/>
        </w:rPr>
      </w:pPr>
      <w:r>
        <w:rPr>
          <w:szCs w:val="28"/>
        </w:rPr>
        <w:t>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793509" w:rsidRDefault="00793509">
      <w:pPr>
        <w:rPr>
          <w:b/>
          <w:color w:val="FF0000"/>
          <w:sz w:val="24"/>
          <w:szCs w:val="24"/>
        </w:rPr>
      </w:pPr>
    </w:p>
    <w:p w:rsidR="00793509" w:rsidRDefault="000C7B3B">
      <w:pPr>
        <w:spacing w:line="360" w:lineRule="auto"/>
        <w:ind w:left="360"/>
        <w:jc w:val="center"/>
        <w:rPr>
          <w:szCs w:val="28"/>
        </w:rPr>
      </w:pPr>
      <w:r>
        <w:rPr>
          <w:szCs w:val="28"/>
        </w:rPr>
        <w:t>Целевые показатели муниципальной программы</w:t>
      </w:r>
    </w:p>
    <w:tbl>
      <w:tblPr>
        <w:tblW w:w="143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3162"/>
        <w:gridCol w:w="993"/>
        <w:gridCol w:w="860"/>
        <w:gridCol w:w="1059"/>
        <w:gridCol w:w="850"/>
        <w:gridCol w:w="3184"/>
        <w:gridCol w:w="3686"/>
      </w:tblGrid>
      <w:tr w:rsidR="00793509">
        <w:tc>
          <w:tcPr>
            <w:tcW w:w="524" w:type="dxa"/>
          </w:tcPr>
          <w:p w:rsidR="00793509" w:rsidRDefault="000C7B3B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sz w:val="20"/>
              </w:rPr>
              <w:br w:type="textWrapping" w:clear="all"/>
              <w:t>п/п</w:t>
            </w:r>
          </w:p>
        </w:tc>
        <w:tc>
          <w:tcPr>
            <w:tcW w:w="3162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показателя  </w:t>
            </w:r>
          </w:p>
        </w:tc>
        <w:tc>
          <w:tcPr>
            <w:tcW w:w="993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Уровень показателя</w:t>
            </w:r>
          </w:p>
        </w:tc>
        <w:tc>
          <w:tcPr>
            <w:tcW w:w="86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План на 2025</w:t>
            </w:r>
            <w:r>
              <w:rPr>
                <w:sz w:val="20"/>
              </w:rPr>
              <w:br w:type="textWrapping" w:clear="all"/>
              <w:t xml:space="preserve"> год</w:t>
            </w:r>
          </w:p>
        </w:tc>
        <w:tc>
          <w:tcPr>
            <w:tcW w:w="1059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Факт за отчетный период</w:t>
            </w:r>
          </w:p>
        </w:tc>
        <w:tc>
          <w:tcPr>
            <w:tcW w:w="85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84" w:type="dxa"/>
          </w:tcPr>
          <w:p w:rsidR="00793509" w:rsidRDefault="000C7B3B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Расчет показателя с указанием источника информации</w:t>
            </w:r>
          </w:p>
        </w:tc>
        <w:tc>
          <w:tcPr>
            <w:tcW w:w="3686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Причины не достижения показателя</w:t>
            </w:r>
          </w:p>
        </w:tc>
      </w:tr>
      <w:tr w:rsidR="00793509">
        <w:tc>
          <w:tcPr>
            <w:tcW w:w="524" w:type="dxa"/>
          </w:tcPr>
          <w:p w:rsidR="00793509" w:rsidRDefault="000C7B3B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62" w:type="dxa"/>
          </w:tcPr>
          <w:p w:rsidR="00793509" w:rsidRDefault="000C7B3B">
            <w:pPr>
              <w:rPr>
                <w:sz w:val="20"/>
              </w:rPr>
            </w:pPr>
            <w:r>
              <w:rPr>
                <w:sz w:val="20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993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«ГП»</w:t>
            </w:r>
          </w:p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«МП»</w:t>
            </w:r>
          </w:p>
        </w:tc>
        <w:tc>
          <w:tcPr>
            <w:tcW w:w="86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71,0</w:t>
            </w:r>
          </w:p>
        </w:tc>
        <w:tc>
          <w:tcPr>
            <w:tcW w:w="1059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71,0</w:t>
            </w:r>
          </w:p>
        </w:tc>
        <w:tc>
          <w:tcPr>
            <w:tcW w:w="85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184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31.12.2025 год показатель</w:t>
            </w:r>
          </w:p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систематически занимающихся ФКиС – 27 504 чел.</w:t>
            </w:r>
          </w:p>
          <w:p w:rsidR="00793509" w:rsidRDefault="000C7B3B">
            <w:pPr>
              <w:spacing w:after="120"/>
              <w:jc w:val="center"/>
              <w:rPr>
                <w:sz w:val="20"/>
              </w:rPr>
            </w:pPr>
            <w:r>
              <w:rPr>
                <w:sz w:val="20"/>
              </w:rPr>
              <w:t>Численность населения от 3 до 79 лет – 38 763 человек.</w:t>
            </w:r>
          </w:p>
          <w:p w:rsidR="00793509" w:rsidRDefault="000C7B3B">
            <w:pPr>
              <w:spacing w:after="120"/>
              <w:jc w:val="center"/>
              <w:rPr>
                <w:color w:val="FF0000"/>
                <w:sz w:val="20"/>
              </w:rPr>
            </w:pPr>
            <w:r>
              <w:rPr>
                <w:sz w:val="20"/>
              </w:rPr>
              <w:t>27 504 / 38 763 * 100</w:t>
            </w:r>
          </w:p>
        </w:tc>
        <w:tc>
          <w:tcPr>
            <w:tcW w:w="3686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показателя по итогам 12 месяцев 2025 составляет 100% от утвержденного плана достижения показателей муниципальной программы «Развитие физической культуры и спорта в городе Пыть-Яхе» в 2025 году (71,0%) (постановление администрации города от 29.12.2023 № 395-па).</w:t>
            </w:r>
          </w:p>
        </w:tc>
      </w:tr>
      <w:tr w:rsidR="00793509">
        <w:trPr>
          <w:trHeight w:val="1549"/>
        </w:trPr>
        <w:tc>
          <w:tcPr>
            <w:tcW w:w="524" w:type="dxa"/>
          </w:tcPr>
          <w:p w:rsidR="00793509" w:rsidRDefault="000C7B3B">
            <w:pPr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62" w:type="dxa"/>
          </w:tcPr>
          <w:p w:rsidR="00793509" w:rsidRDefault="000C7B3B">
            <w:pPr>
              <w:rPr>
                <w:sz w:val="20"/>
              </w:rPr>
            </w:pPr>
            <w:r>
              <w:rPr>
                <w:sz w:val="20"/>
              </w:rPr>
              <w:t>Уровень обеспеченности граждан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993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«ГП» «МП»</w:t>
            </w:r>
          </w:p>
        </w:tc>
        <w:tc>
          <w:tcPr>
            <w:tcW w:w="86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59,5</w:t>
            </w:r>
          </w:p>
        </w:tc>
        <w:tc>
          <w:tcPr>
            <w:tcW w:w="1059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61,4</w:t>
            </w:r>
          </w:p>
        </w:tc>
        <w:tc>
          <w:tcPr>
            <w:tcW w:w="85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184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31.12.2025 год</w:t>
            </w:r>
          </w:p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показатель единовременной пропускной способности</w:t>
            </w:r>
          </w:p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– 2 906 чел.</w:t>
            </w:r>
          </w:p>
          <w:p w:rsidR="00793509" w:rsidRDefault="00793509">
            <w:pPr>
              <w:jc w:val="center"/>
              <w:rPr>
                <w:sz w:val="20"/>
              </w:rPr>
            </w:pPr>
          </w:p>
          <w:p w:rsidR="00793509" w:rsidRDefault="000C7B3B">
            <w:pPr>
              <w:jc w:val="center"/>
              <w:rPr>
                <w:color w:val="FF0000"/>
                <w:sz w:val="20"/>
              </w:rPr>
            </w:pPr>
            <w:r>
              <w:rPr>
                <w:sz w:val="20"/>
              </w:rPr>
              <w:t>2 906 / 38 763*1000/122*100</w:t>
            </w:r>
          </w:p>
        </w:tc>
        <w:tc>
          <w:tcPr>
            <w:tcW w:w="3686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показателя по итогам 12 месяцев 2025 составляет 100% от утвержденного плана достижения показате</w:t>
            </w:r>
            <w:bookmarkStart w:id="0" w:name="_GoBack"/>
            <w:bookmarkEnd w:id="0"/>
            <w:r>
              <w:rPr>
                <w:sz w:val="20"/>
              </w:rPr>
              <w:t>лей муниципальной программы «Развитие физической культуры и спорта в городе Пыть-Яхе» в 2025 году (59,5%) (постановление администрации города от 29.12.2023 № 395-па).</w:t>
            </w:r>
          </w:p>
        </w:tc>
      </w:tr>
      <w:tr w:rsidR="00793509">
        <w:trPr>
          <w:trHeight w:val="840"/>
        </w:trPr>
        <w:tc>
          <w:tcPr>
            <w:tcW w:w="524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62" w:type="dxa"/>
          </w:tcPr>
          <w:p w:rsidR="00793509" w:rsidRDefault="000C7B3B">
            <w:pPr>
              <w:rPr>
                <w:sz w:val="20"/>
              </w:rPr>
            </w:pPr>
            <w:r>
              <w:rPr>
                <w:sz w:val="20"/>
              </w:rPr>
              <w:t>Доля граждан, систематически занимающихся физической культурой и спортом в негосударственных (немуниципальных) организациях (от общей численности граждан, систематически занимающихся спортом в организациях всех форм собственности в муниципальном образовании автономного округа)</w:t>
            </w:r>
          </w:p>
        </w:tc>
        <w:tc>
          <w:tcPr>
            <w:tcW w:w="993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«МП»</w:t>
            </w:r>
          </w:p>
        </w:tc>
        <w:tc>
          <w:tcPr>
            <w:tcW w:w="860" w:type="dxa"/>
          </w:tcPr>
          <w:p w:rsidR="00793509" w:rsidRDefault="00F249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61,0</w:t>
            </w:r>
          </w:p>
        </w:tc>
        <w:tc>
          <w:tcPr>
            <w:tcW w:w="1059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68,1</w:t>
            </w:r>
          </w:p>
        </w:tc>
        <w:tc>
          <w:tcPr>
            <w:tcW w:w="85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184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31.12.2025 год показатель</w:t>
            </w:r>
          </w:p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систематически занимающихся ФКиС – 27 504 чел.</w:t>
            </w:r>
          </w:p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Показатель систематически занимающихся ФКиС в негосударственных (немуниципальных) организациях и у индивидуальных предпринимателей – 18 745 чел.</w:t>
            </w:r>
          </w:p>
          <w:p w:rsidR="00793509" w:rsidRDefault="00793509">
            <w:pPr>
              <w:jc w:val="center"/>
              <w:rPr>
                <w:sz w:val="20"/>
              </w:rPr>
            </w:pPr>
          </w:p>
          <w:p w:rsidR="00793509" w:rsidRDefault="000C7B3B">
            <w:pPr>
              <w:jc w:val="center"/>
              <w:rPr>
                <w:b/>
                <w:color w:val="FF0000"/>
                <w:sz w:val="20"/>
              </w:rPr>
            </w:pPr>
            <w:r>
              <w:rPr>
                <w:sz w:val="20"/>
              </w:rPr>
              <w:t>18 745 / 27 504 *100</w:t>
            </w:r>
          </w:p>
        </w:tc>
        <w:tc>
          <w:tcPr>
            <w:tcW w:w="3686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показателя по итогам 12 месяцев 2025 составляет 100 % от утвержденного плана достижения показателей муниципальной программы «Развитие физической культуры и спорта в городе Пыть-Яхе» в 2025 году (61,4) (постановление администрации города от 29.12.2023 № 395-па</w:t>
            </w:r>
          </w:p>
        </w:tc>
      </w:tr>
      <w:tr w:rsidR="00793509">
        <w:trPr>
          <w:trHeight w:val="840"/>
        </w:trPr>
        <w:tc>
          <w:tcPr>
            <w:tcW w:w="524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3162" w:type="dxa"/>
          </w:tcPr>
          <w:p w:rsidR="00793509" w:rsidRDefault="000C7B3B">
            <w:pPr>
              <w:rPr>
                <w:sz w:val="20"/>
              </w:rPr>
            </w:pPr>
            <w:r>
              <w:rPr>
                <w:sz w:val="20"/>
              </w:rPr>
              <w:t>Количество проведенных мероприятий по обеспечению условий для подготовки спортивного резерва</w:t>
            </w:r>
          </w:p>
        </w:tc>
        <w:tc>
          <w:tcPr>
            <w:tcW w:w="993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«МП»</w:t>
            </w:r>
          </w:p>
        </w:tc>
        <w:tc>
          <w:tcPr>
            <w:tcW w:w="86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59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184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состоянию на 31.12.2025 приобретены акриловые зеркала для зала бокса Муниципального бюджетного учреждения дополнительного образования Спортивная школа олимпийского резерва. </w:t>
            </w:r>
          </w:p>
          <w:p w:rsidR="00793509" w:rsidRDefault="00793509">
            <w:pPr>
              <w:jc w:val="center"/>
              <w:rPr>
                <w:sz w:val="20"/>
              </w:rPr>
            </w:pPr>
          </w:p>
        </w:tc>
        <w:tc>
          <w:tcPr>
            <w:tcW w:w="3686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показателя по итогам 12 месяцев 2025 составляет 100 % от утвержденного плана достижения показателей муниципальной программы «Развитие физической культуры и спорта в городе Пыть-Яхе» в 2025 году (1) (постановление администрации города от 29.12.2023 № 395-па).</w:t>
            </w:r>
          </w:p>
        </w:tc>
      </w:tr>
      <w:tr w:rsidR="00793509">
        <w:trPr>
          <w:trHeight w:val="70"/>
        </w:trPr>
        <w:tc>
          <w:tcPr>
            <w:tcW w:w="3686" w:type="dxa"/>
            <w:gridSpan w:val="2"/>
          </w:tcPr>
          <w:p w:rsidR="00793509" w:rsidRDefault="000C7B3B">
            <w:pPr>
              <w:rPr>
                <w:sz w:val="20"/>
              </w:rPr>
            </w:pPr>
            <w:r>
              <w:rPr>
                <w:sz w:val="20"/>
              </w:rPr>
              <w:t xml:space="preserve">Средний процент достижения </w:t>
            </w:r>
          </w:p>
        </w:tc>
        <w:tc>
          <w:tcPr>
            <w:tcW w:w="993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86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059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850" w:type="dxa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3184" w:type="dxa"/>
            <w:vAlign w:val="center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3686" w:type="dxa"/>
            <w:vAlign w:val="center"/>
          </w:tcPr>
          <w:p w:rsidR="00793509" w:rsidRDefault="000C7B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793509" w:rsidRDefault="00793509">
      <w:pPr>
        <w:jc w:val="both"/>
        <w:rPr>
          <w:color w:val="FF0000"/>
          <w:sz w:val="24"/>
          <w:szCs w:val="24"/>
        </w:rPr>
      </w:pPr>
    </w:p>
    <w:p w:rsidR="00793509" w:rsidRDefault="000C7B3B">
      <w:pPr>
        <w:widowControl w:val="0"/>
        <w:numPr>
          <w:ilvl w:val="0"/>
          <w:numId w:val="9"/>
        </w:numPr>
        <w:ind w:left="0" w:firstLine="709"/>
        <w:jc w:val="both"/>
        <w:rPr>
          <w:szCs w:val="28"/>
        </w:rPr>
      </w:pPr>
      <w:r>
        <w:rPr>
          <w:szCs w:val="28"/>
        </w:rPr>
        <w:t>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793509" w:rsidRDefault="000C7B3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793509" w:rsidRDefault="000C7B3B">
      <w:pPr>
        <w:ind w:firstLine="709"/>
        <w:jc w:val="both"/>
        <w:outlineLvl w:val="1"/>
        <w:rPr>
          <w:b/>
          <w:szCs w:val="28"/>
        </w:rPr>
      </w:pPr>
      <w:r>
        <w:rPr>
          <w:b/>
          <w:szCs w:val="28"/>
        </w:rPr>
        <w:t>ИТОГИ реализации муниципальной программы «Развитие физической культуры и спорта в городе Пыть-Яхе».</w:t>
      </w:r>
    </w:p>
    <w:p w:rsidR="00793509" w:rsidRDefault="000C7B3B">
      <w:pPr>
        <w:ind w:firstLine="709"/>
        <w:jc w:val="both"/>
        <w:rPr>
          <w:szCs w:val="28"/>
        </w:rPr>
      </w:pPr>
      <w:r>
        <w:rPr>
          <w:szCs w:val="28"/>
        </w:rPr>
        <w:t>На 31.12.2025 года исполнение составляет –</w:t>
      </w:r>
      <w:r>
        <w:rPr>
          <w:color w:val="FF0000"/>
          <w:szCs w:val="28"/>
        </w:rPr>
        <w:t xml:space="preserve"> </w:t>
      </w:r>
      <w:r>
        <w:rPr>
          <w:szCs w:val="28"/>
        </w:rPr>
        <w:t xml:space="preserve">88,0 % (480 274,7 тыс. руб.) при уточненном плане – 492 512,0 тыс. руб. </w:t>
      </w:r>
    </w:p>
    <w:p w:rsidR="00793509" w:rsidRDefault="000C7B3B">
      <w:pPr>
        <w:ind w:firstLine="709"/>
        <w:jc w:val="both"/>
        <w:rPr>
          <w:i/>
          <w:szCs w:val="28"/>
        </w:rPr>
      </w:pPr>
      <w:r>
        <w:rPr>
          <w:i/>
          <w:szCs w:val="28"/>
        </w:rPr>
        <w:t xml:space="preserve">Справочно: </w:t>
      </w:r>
    </w:p>
    <w:p w:rsidR="00793509" w:rsidRDefault="000C7B3B">
      <w:pPr>
        <w:ind w:firstLine="709"/>
        <w:jc w:val="both"/>
        <w:rPr>
          <w:i/>
          <w:szCs w:val="28"/>
        </w:rPr>
      </w:pPr>
      <w:r>
        <w:rPr>
          <w:i/>
          <w:szCs w:val="28"/>
        </w:rPr>
        <w:t xml:space="preserve">- без учета средств соисполнителя программы (МКУ «УКС г. Пыть-Яха») исполнение составило 337 754,6 тыс.руб. (99,0%) от утвержденного плана 341 286,6 тыс. руб. (с учетом приносящей доход деятельности). </w:t>
      </w:r>
    </w:p>
    <w:p w:rsidR="00793509" w:rsidRDefault="00793509">
      <w:pPr>
        <w:ind w:firstLine="709"/>
        <w:jc w:val="both"/>
      </w:pPr>
    </w:p>
    <w:p w:rsidR="00793509" w:rsidRDefault="000C7B3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На базе МАУ ДО СШ «Олимп», согласно утвержденного плана мероприятий на 2025 год в рамках Всероссийского физкультурно-спортивного комплекса «Готов к труду и обороне» запланированы к проведению 8 городских и 5 выездных мероприятия физкультурно-оздоровительной направленности.  </w:t>
      </w:r>
    </w:p>
    <w:p w:rsidR="000C7B3B" w:rsidRPr="000C7B3B" w:rsidRDefault="000C7B3B" w:rsidP="000C7B3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0C7B3B">
        <w:rPr>
          <w:szCs w:val="28"/>
        </w:rPr>
        <w:t>В 2025 году на территории города проведено 8 фестивалей, 2 мероприятия по приему нормативов (тестов) Всероссийского физкультурно-спортивного комплекса «Готов к труду и обороне» среди различных возрастных групп населения (включены в план спортивно-массовых мероприятий), в которых приняли участие 1112 человек, из них в фестивалях 182 человек, протестировано 811 человек.</w:t>
      </w:r>
    </w:p>
    <w:p w:rsidR="00793509" w:rsidRDefault="000C7B3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По итогам 2025 года состоялось 6 выездных мероприятий в г. Ханты-Мансийск, г. Нефтеюганск: </w:t>
      </w:r>
    </w:p>
    <w:p w:rsidR="00793509" w:rsidRDefault="000C7B3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- 13-16.02.2025 - Фестиваль Всероссийского физкультурно-спортивного комплекса «Готов к труду и обороне» (ГТО) среди семейных команд Ханты-Мансийского автономного округа – Югры.</w:t>
      </w:r>
      <w:r>
        <w:rPr>
          <w:color w:val="FF0000"/>
          <w:szCs w:val="28"/>
        </w:rPr>
        <w:t xml:space="preserve"> </w:t>
      </w:r>
      <w:r>
        <w:rPr>
          <w:szCs w:val="28"/>
        </w:rPr>
        <w:t xml:space="preserve">МО г. Пыть-Ях представляла команда семьи Шаталовых (3 чел.) 10 общекомандное место, в личном первенстве среди мальчиков 3-е место </w:t>
      </w:r>
      <w:r>
        <w:rPr>
          <w:szCs w:val="28"/>
        </w:rPr>
        <w:lastRenderedPageBreak/>
        <w:t>Александр Шаталов;</w:t>
      </w:r>
    </w:p>
    <w:p w:rsidR="00793509" w:rsidRDefault="000C7B3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- 27-30.03.2025 - Фестиваль Всероссийского физкультурно-спортивного комплекса «Готов к труду и обороне» (ГТО) среди обучающихся общеобразовательных организаций Ханты-Мансийского автономного округа – Югры. МО г. Пыть-Ях представляла сборная команда по ГТО, состоящая из учащихся школ города (всего 8 человек) 11 общекомандное место, 1-е место в программе «Эстафета ГТО»;</w:t>
      </w:r>
    </w:p>
    <w:p w:rsidR="00793509" w:rsidRDefault="000C7B3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- 17-20.04.2025 - Фестиваль Всероссийского физкультурно-спортивного комплекса «Готов к труду и обороне» (ГТО) среди обучающихся образовательных организаций профессионального и высшего образования Ханты-Мансийского автономного округа - Югры. МО г.Пыть-Ях представляла сборная команда по ГТО, состоящая из студентов Пыть-Яхского межотраслевого колледжа (всего 8 человек) 12 общекомандное место; </w:t>
      </w:r>
    </w:p>
    <w:p w:rsidR="00793509" w:rsidRDefault="000C7B3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- 30.05. -01.06.2025 - Фестиваль Всероссийского физкультурно-спортивного комплекса «Готов к труду и обороне» (ГТО) среди школьников 8 - 11 лет Ханты-Мансийского автономного округа – Югры. МО г. Пыть-Ях представляла сборная команда по ГТО, состоящая из учащихся школ города (всего 8 человек) 10 общекомандное место;</w:t>
      </w:r>
    </w:p>
    <w:p w:rsidR="00793509" w:rsidRDefault="000C7B3B">
      <w:pPr>
        <w:widowControl w:val="0"/>
        <w:ind w:firstLine="709"/>
        <w:jc w:val="both"/>
      </w:pPr>
      <w:r>
        <w:rPr>
          <w:szCs w:val="28"/>
        </w:rPr>
        <w:t>- 25-28.09.2025 - II (региональный) этап Фестиваля Всероссийского физкультурно-спортивного комплекса «Готов к труду и обороне» (ГТО) среди лиц, занятых трудовой деятельностью, неработающего населения и трудовых коллективов Ханты-Мансийского автономного округа – «Игры ГТО», приняли участие от МО г. Пыть-Ях 12 спортсменов. В командном первенстве группы «города»: 6-е место – город Пыть-Ях. В личном первенстве Фестиваля ВФСК ГТО</w:t>
      </w:r>
      <w:r>
        <w:rPr>
          <w:color w:val="FF0000"/>
          <w:szCs w:val="28"/>
        </w:rPr>
        <w:t xml:space="preserve"> </w:t>
      </w:r>
      <w:r>
        <w:rPr>
          <w:szCs w:val="28"/>
        </w:rPr>
        <w:t>среди женщин возрастной категории 25 – 34 лет:</w:t>
      </w:r>
      <w:r>
        <w:rPr>
          <w:rFonts w:eastAsia="Calibri"/>
          <w:szCs w:val="22"/>
          <w:lang w:eastAsia="en-US"/>
        </w:rPr>
        <w:t xml:space="preserve"> </w:t>
      </w:r>
      <w:r>
        <w:rPr>
          <w:szCs w:val="28"/>
        </w:rPr>
        <w:t xml:space="preserve">3-е место Александра Пуздерь; среди мужчин возрастной категории 35 – 44 лет: </w:t>
      </w:r>
      <w:r>
        <w:t>3-е место Джабраил Магомедов; среди мужчин возрастной категории 55 – 64 лет: 3-е место Равис Афлятунов. В программе «Гонка ГТО» среди индивидуальных участников: - 1-е место Диана Карпачева среди женщин возрастной категории 20 - 29 лет; 2-е место Александра Пуздерь среди женщин возрастной категории 20 - 29 лет; 3-е место Владислав Гаврилюк среди мужчин возрастной категории 20 - 29 лет.</w:t>
      </w:r>
    </w:p>
    <w:p w:rsidR="00793509" w:rsidRDefault="000C7B3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На 31.12.2025:</w:t>
      </w:r>
    </w:p>
    <w:p w:rsidR="00793509" w:rsidRDefault="000C7B3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МБУ ДО СШОР проведено 14 городских спортивных мероприятия: по боксу - 5 мероприятий, по вольной борьбе – 4 мероприятия, по тхэквондо - 5 мероприятие, обеспечено участие спортсменов в 61 выездном спортивном мероприятии, из них: по боксу - 26 мероприятий, по вольной борьбе - 24 мероприятия, по тхэквондо - 11 мероприятия. </w:t>
      </w:r>
    </w:p>
    <w:p w:rsidR="00793509" w:rsidRDefault="000C7B3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МБУ ДО СШ проведено 37 городских спортивных мероприятия: по баскетболу 3 мероприятие, по лыжным гонкам 5 мероприятий, по волейболу 8 мероприятий, по мини-футболу 11 мероприятий, по айкидо 4 мероприятия, пауэрлифтинг – 3 мероприятия, аэробика – 2 мероприятия, рукопашный бой - 1 мероприятие, обеспечено участие спортсменов в 72 выездных спортивных мероприятиях: по лыжным гонкам 7 мероприятия, по волейболу 18 мероприятий, по рукопашному бою 7 мероприятий, по пауэрлифтингу 12 мероприятия, по мини-футболу 22 мероприятий, по айкидо 4 мероприятия, аэробика – 2 мероприятия.</w:t>
      </w:r>
    </w:p>
    <w:p w:rsidR="00793509" w:rsidRDefault="000C7B3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МАУ ДО СШ «Олимп» проведено 46 городских спортивных мероприятий: по баскетболу – 2 мероприятия, по АФК -  6 мероприятий, по волейболу – 4 мероприятия, по греко-римской борьбе- 3 мероприятия, по дартсу – 1 турнир среди ветеранов боевых действий участников специальной военной операции и членов их семей, по дзюдо – 3 мероприятия, по  хоккею – 2 мероприятия, по шахматам – 8 мероприятий, по шашкам – 1 мероприятие, спартакиады среди трудовых коллективов предприятий, организаций и учреждений города Пыть-Яха – 10 мероприятий, 6- иных массовых спортивных мероприятий; 44 выездных спортивных мероприятиях, из них: по АФК – 7 мероприятий, по волейболу – 1 мероприятие, по греко-римской борьбе – 11 мероприятий, по дзюдо – 12 мероприятий, по самбо – 6 мероприятий, по шахматам – 6 мероприятий, 1 – спартакиада ветеранов спорта ХМАО.</w:t>
      </w:r>
    </w:p>
    <w:p w:rsidR="00793509" w:rsidRDefault="000C7B3B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МАУ «Аквацентр «Дельфин» -  жители и гости города Пыть-Яха посетили МАУ «Аквацентр «Дельфин» 33 287 раз, из них: бассейн – 29 127 раз (в том числе 9 227 детских посещений); тренажерный зал – 4 160 раз.</w:t>
      </w:r>
    </w:p>
    <w:p w:rsidR="00793509" w:rsidRDefault="00793509">
      <w:pPr>
        <w:ind w:firstLine="709"/>
        <w:jc w:val="both"/>
        <w:rPr>
          <w:color w:val="000000"/>
          <w:szCs w:val="28"/>
        </w:rPr>
      </w:pPr>
    </w:p>
    <w:p w:rsidR="00793509" w:rsidRDefault="000C7B3B">
      <w:pPr>
        <w:widowControl w:val="0"/>
        <w:numPr>
          <w:ilvl w:val="0"/>
          <w:numId w:val="9"/>
        </w:numPr>
        <w:ind w:left="0" w:firstLine="709"/>
        <w:jc w:val="both"/>
        <w:rPr>
          <w:szCs w:val="28"/>
        </w:rPr>
      </w:pPr>
      <w:r>
        <w:rPr>
          <w:szCs w:val="28"/>
        </w:rPr>
        <w:t>Предложения о корректировке, досрочном прекращении реализации структурных элементов или муниципальной программы в целом отсутствуют.</w:t>
      </w:r>
    </w:p>
    <w:p w:rsidR="00793509" w:rsidRDefault="00793509">
      <w:pPr>
        <w:widowControl w:val="0"/>
        <w:ind w:firstLine="709"/>
        <w:jc w:val="both"/>
        <w:rPr>
          <w:szCs w:val="28"/>
        </w:rPr>
      </w:pPr>
    </w:p>
    <w:p w:rsidR="00793509" w:rsidRDefault="000C7B3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7. Сведения об изменениях, внесенных в отчетном периоде в муниципальную программу:</w:t>
      </w:r>
    </w:p>
    <w:p w:rsidR="00793509" w:rsidRDefault="000C7B3B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 xml:space="preserve">постановление администрации города от 28.01.2025 № 18-па, </w:t>
      </w:r>
    </w:p>
    <w:p w:rsidR="00793509" w:rsidRDefault="000C7B3B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постановление администрации города от 30.05.2025 № 147-па,</w:t>
      </w:r>
    </w:p>
    <w:p w:rsidR="00793509" w:rsidRDefault="000C7B3B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постановление администрации города от 13.08.2025 № 257-па</w:t>
      </w:r>
    </w:p>
    <w:p w:rsidR="00793509" w:rsidRDefault="00793509">
      <w:pPr>
        <w:ind w:firstLine="708"/>
        <w:jc w:val="both"/>
        <w:rPr>
          <w:szCs w:val="28"/>
        </w:rPr>
      </w:pPr>
    </w:p>
    <w:p w:rsidR="00793509" w:rsidRDefault="00793509">
      <w:pPr>
        <w:ind w:firstLine="708"/>
        <w:jc w:val="both"/>
        <w:rPr>
          <w:szCs w:val="28"/>
        </w:rPr>
      </w:pPr>
    </w:p>
    <w:p w:rsidR="00793509" w:rsidRDefault="00793509">
      <w:pPr>
        <w:ind w:firstLine="708"/>
        <w:jc w:val="both"/>
        <w:rPr>
          <w:szCs w:val="28"/>
        </w:rPr>
      </w:pPr>
    </w:p>
    <w:p w:rsidR="00793509" w:rsidRDefault="000C7B3B">
      <w:pPr>
        <w:jc w:val="both"/>
        <w:rPr>
          <w:sz w:val="20"/>
          <w:szCs w:val="28"/>
        </w:rPr>
      </w:pPr>
      <w:r>
        <w:rPr>
          <w:sz w:val="20"/>
          <w:szCs w:val="28"/>
        </w:rPr>
        <w:t xml:space="preserve">Исполнитель: </w:t>
      </w:r>
    </w:p>
    <w:p w:rsidR="00793509" w:rsidRDefault="000C7B3B">
      <w:pPr>
        <w:jc w:val="both"/>
        <w:rPr>
          <w:sz w:val="20"/>
          <w:szCs w:val="28"/>
        </w:rPr>
      </w:pPr>
      <w:r>
        <w:rPr>
          <w:sz w:val="20"/>
          <w:szCs w:val="28"/>
        </w:rPr>
        <w:t xml:space="preserve">Главный специалист отдела </w:t>
      </w:r>
    </w:p>
    <w:p w:rsidR="00793509" w:rsidRDefault="000C7B3B">
      <w:pPr>
        <w:jc w:val="both"/>
        <w:rPr>
          <w:sz w:val="20"/>
          <w:szCs w:val="28"/>
        </w:rPr>
      </w:pPr>
      <w:r>
        <w:rPr>
          <w:sz w:val="20"/>
          <w:szCs w:val="28"/>
        </w:rPr>
        <w:t xml:space="preserve">по физической культуре </w:t>
      </w:r>
    </w:p>
    <w:p w:rsidR="00793509" w:rsidRDefault="000C7B3B">
      <w:pPr>
        <w:jc w:val="both"/>
        <w:rPr>
          <w:sz w:val="20"/>
          <w:szCs w:val="28"/>
        </w:rPr>
      </w:pPr>
      <w:r>
        <w:rPr>
          <w:sz w:val="20"/>
          <w:szCs w:val="28"/>
        </w:rPr>
        <w:t xml:space="preserve">и спорту управления по </w:t>
      </w:r>
    </w:p>
    <w:p w:rsidR="00793509" w:rsidRDefault="000C7B3B">
      <w:pPr>
        <w:jc w:val="both"/>
        <w:rPr>
          <w:sz w:val="20"/>
          <w:szCs w:val="28"/>
        </w:rPr>
      </w:pPr>
      <w:r>
        <w:rPr>
          <w:sz w:val="20"/>
          <w:szCs w:val="28"/>
        </w:rPr>
        <w:t xml:space="preserve">культуре и спорту </w:t>
      </w:r>
    </w:p>
    <w:p w:rsidR="00793509" w:rsidRDefault="000C7B3B">
      <w:pPr>
        <w:jc w:val="both"/>
        <w:rPr>
          <w:sz w:val="20"/>
          <w:szCs w:val="28"/>
        </w:rPr>
      </w:pPr>
      <w:r>
        <w:rPr>
          <w:sz w:val="20"/>
          <w:szCs w:val="28"/>
        </w:rPr>
        <w:t xml:space="preserve">Заровнятных Ольга Сергеевна </w:t>
      </w:r>
    </w:p>
    <w:p w:rsidR="00793509" w:rsidRDefault="000C7B3B">
      <w:pPr>
        <w:jc w:val="both"/>
        <w:rPr>
          <w:sz w:val="20"/>
          <w:szCs w:val="28"/>
        </w:rPr>
      </w:pPr>
      <w:r>
        <w:rPr>
          <w:sz w:val="20"/>
          <w:szCs w:val="28"/>
        </w:rPr>
        <w:t>тел.: 8 (3463) 42-23-09</w:t>
      </w:r>
    </w:p>
    <w:sectPr w:rsidR="00793509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509" w:rsidRDefault="000C7B3B">
      <w:r>
        <w:separator/>
      </w:r>
    </w:p>
  </w:endnote>
  <w:endnote w:type="continuationSeparator" w:id="0">
    <w:p w:rsidR="00793509" w:rsidRDefault="000C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509" w:rsidRDefault="000C7B3B">
      <w:r>
        <w:separator/>
      </w:r>
    </w:p>
  </w:footnote>
  <w:footnote w:type="continuationSeparator" w:id="0">
    <w:p w:rsidR="00793509" w:rsidRDefault="000C7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62BFC"/>
    <w:multiLevelType w:val="hybridMultilevel"/>
    <w:tmpl w:val="26808320"/>
    <w:lvl w:ilvl="0" w:tplc="D10EC35A">
      <w:start w:val="4"/>
      <w:numFmt w:val="decimal"/>
      <w:lvlText w:val="%1."/>
      <w:lvlJc w:val="left"/>
      <w:pPr>
        <w:ind w:left="1064" w:hanging="360"/>
      </w:pPr>
      <w:rPr>
        <w:b/>
      </w:rPr>
    </w:lvl>
    <w:lvl w:ilvl="1" w:tplc="D81E98DC">
      <w:start w:val="1"/>
      <w:numFmt w:val="lowerLetter"/>
      <w:lvlText w:val="%2."/>
      <w:lvlJc w:val="left"/>
      <w:pPr>
        <w:ind w:left="1784" w:hanging="360"/>
      </w:pPr>
    </w:lvl>
    <w:lvl w:ilvl="2" w:tplc="9C5E48BE">
      <w:start w:val="1"/>
      <w:numFmt w:val="lowerRoman"/>
      <w:lvlText w:val="%3."/>
      <w:lvlJc w:val="right"/>
      <w:pPr>
        <w:ind w:left="2504" w:hanging="180"/>
      </w:pPr>
    </w:lvl>
    <w:lvl w:ilvl="3" w:tplc="260ABFCA">
      <w:start w:val="1"/>
      <w:numFmt w:val="decimal"/>
      <w:lvlText w:val="%4."/>
      <w:lvlJc w:val="left"/>
      <w:pPr>
        <w:ind w:left="3224" w:hanging="360"/>
      </w:pPr>
    </w:lvl>
    <w:lvl w:ilvl="4" w:tplc="29E81DEC">
      <w:start w:val="1"/>
      <w:numFmt w:val="lowerLetter"/>
      <w:lvlText w:val="%5."/>
      <w:lvlJc w:val="left"/>
      <w:pPr>
        <w:ind w:left="3944" w:hanging="360"/>
      </w:pPr>
    </w:lvl>
    <w:lvl w:ilvl="5" w:tplc="2BF60368">
      <w:start w:val="1"/>
      <w:numFmt w:val="lowerRoman"/>
      <w:lvlText w:val="%6."/>
      <w:lvlJc w:val="right"/>
      <w:pPr>
        <w:ind w:left="4664" w:hanging="180"/>
      </w:pPr>
    </w:lvl>
    <w:lvl w:ilvl="6" w:tplc="1D9441B6">
      <w:start w:val="1"/>
      <w:numFmt w:val="decimal"/>
      <w:lvlText w:val="%7."/>
      <w:lvlJc w:val="left"/>
      <w:pPr>
        <w:ind w:left="5384" w:hanging="360"/>
      </w:pPr>
    </w:lvl>
    <w:lvl w:ilvl="7" w:tplc="4386BA16">
      <w:start w:val="1"/>
      <w:numFmt w:val="lowerLetter"/>
      <w:lvlText w:val="%8."/>
      <w:lvlJc w:val="left"/>
      <w:pPr>
        <w:ind w:left="6104" w:hanging="360"/>
      </w:pPr>
    </w:lvl>
    <w:lvl w:ilvl="8" w:tplc="81844114">
      <w:start w:val="1"/>
      <w:numFmt w:val="lowerRoman"/>
      <w:lvlText w:val="%9."/>
      <w:lvlJc w:val="right"/>
      <w:pPr>
        <w:ind w:left="6824" w:hanging="180"/>
      </w:pPr>
    </w:lvl>
  </w:abstractNum>
  <w:abstractNum w:abstractNumId="1">
    <w:nsid w:val="18D00DA0"/>
    <w:multiLevelType w:val="hybridMultilevel"/>
    <w:tmpl w:val="ECF8AFD0"/>
    <w:lvl w:ilvl="0" w:tplc="411A0BEC">
      <w:start w:val="1"/>
      <w:numFmt w:val="decimal"/>
      <w:lvlText w:val="%1."/>
      <w:lvlJc w:val="left"/>
      <w:pPr>
        <w:ind w:left="720" w:hanging="360"/>
      </w:pPr>
    </w:lvl>
    <w:lvl w:ilvl="1" w:tplc="C0CAA582">
      <w:start w:val="1"/>
      <w:numFmt w:val="lowerLetter"/>
      <w:lvlText w:val="%2."/>
      <w:lvlJc w:val="left"/>
      <w:pPr>
        <w:ind w:left="1440" w:hanging="360"/>
      </w:pPr>
    </w:lvl>
    <w:lvl w:ilvl="2" w:tplc="D5FA74FC">
      <w:start w:val="1"/>
      <w:numFmt w:val="lowerRoman"/>
      <w:lvlText w:val="%3."/>
      <w:lvlJc w:val="right"/>
      <w:pPr>
        <w:ind w:left="2160" w:hanging="180"/>
      </w:pPr>
    </w:lvl>
    <w:lvl w:ilvl="3" w:tplc="7CB83656">
      <w:start w:val="1"/>
      <w:numFmt w:val="decimal"/>
      <w:lvlText w:val="%4."/>
      <w:lvlJc w:val="left"/>
      <w:pPr>
        <w:ind w:left="2880" w:hanging="360"/>
      </w:pPr>
    </w:lvl>
    <w:lvl w:ilvl="4" w:tplc="F38E4168">
      <w:start w:val="1"/>
      <w:numFmt w:val="lowerLetter"/>
      <w:lvlText w:val="%5."/>
      <w:lvlJc w:val="left"/>
      <w:pPr>
        <w:ind w:left="3600" w:hanging="360"/>
      </w:pPr>
    </w:lvl>
    <w:lvl w:ilvl="5" w:tplc="80C4480A">
      <w:start w:val="1"/>
      <w:numFmt w:val="lowerRoman"/>
      <w:lvlText w:val="%6."/>
      <w:lvlJc w:val="right"/>
      <w:pPr>
        <w:ind w:left="4320" w:hanging="180"/>
      </w:pPr>
    </w:lvl>
    <w:lvl w:ilvl="6" w:tplc="0C10FE34">
      <w:start w:val="1"/>
      <w:numFmt w:val="decimal"/>
      <w:lvlText w:val="%7."/>
      <w:lvlJc w:val="left"/>
      <w:pPr>
        <w:ind w:left="5040" w:hanging="360"/>
      </w:pPr>
    </w:lvl>
    <w:lvl w:ilvl="7" w:tplc="BF5CCA62">
      <w:start w:val="1"/>
      <w:numFmt w:val="lowerLetter"/>
      <w:lvlText w:val="%8."/>
      <w:lvlJc w:val="left"/>
      <w:pPr>
        <w:ind w:left="5760" w:hanging="360"/>
      </w:pPr>
    </w:lvl>
    <w:lvl w:ilvl="8" w:tplc="8A3481B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568BF"/>
    <w:multiLevelType w:val="hybridMultilevel"/>
    <w:tmpl w:val="4FFAB6EC"/>
    <w:lvl w:ilvl="0" w:tplc="14A09742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b/>
      </w:rPr>
    </w:lvl>
    <w:lvl w:ilvl="1" w:tplc="40F20A0A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94E22DEA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AF04CCA2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17B86C92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BB04056A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166065C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713CA8AC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5928AB10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abstractNum w:abstractNumId="3">
    <w:nsid w:val="2B6D22C8"/>
    <w:multiLevelType w:val="multilevel"/>
    <w:tmpl w:val="9D68080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b w:val="0"/>
        <w:color w:val="000000"/>
      </w:rPr>
    </w:lvl>
  </w:abstractNum>
  <w:abstractNum w:abstractNumId="4">
    <w:nsid w:val="65065DFC"/>
    <w:multiLevelType w:val="hybridMultilevel"/>
    <w:tmpl w:val="A202D996"/>
    <w:lvl w:ilvl="0" w:tplc="02B679A6">
      <w:start w:val="1"/>
      <w:numFmt w:val="decimal"/>
      <w:lvlText w:val="%1)"/>
      <w:lvlJc w:val="left"/>
      <w:pPr>
        <w:ind w:left="1069" w:hanging="360"/>
      </w:pPr>
    </w:lvl>
    <w:lvl w:ilvl="1" w:tplc="774E775C">
      <w:start w:val="1"/>
      <w:numFmt w:val="lowerLetter"/>
      <w:lvlText w:val="%2."/>
      <w:lvlJc w:val="left"/>
      <w:pPr>
        <w:ind w:left="1789" w:hanging="360"/>
      </w:pPr>
    </w:lvl>
    <w:lvl w:ilvl="2" w:tplc="6ABC16CA">
      <w:start w:val="1"/>
      <w:numFmt w:val="lowerRoman"/>
      <w:lvlText w:val="%3."/>
      <w:lvlJc w:val="right"/>
      <w:pPr>
        <w:ind w:left="2509" w:hanging="180"/>
      </w:pPr>
    </w:lvl>
    <w:lvl w:ilvl="3" w:tplc="8216125C">
      <w:start w:val="1"/>
      <w:numFmt w:val="decimal"/>
      <w:lvlText w:val="%4."/>
      <w:lvlJc w:val="left"/>
      <w:pPr>
        <w:ind w:left="3229" w:hanging="360"/>
      </w:pPr>
    </w:lvl>
    <w:lvl w:ilvl="4" w:tplc="CAD6E962">
      <w:start w:val="1"/>
      <w:numFmt w:val="lowerLetter"/>
      <w:lvlText w:val="%5."/>
      <w:lvlJc w:val="left"/>
      <w:pPr>
        <w:ind w:left="3949" w:hanging="360"/>
      </w:pPr>
    </w:lvl>
    <w:lvl w:ilvl="5" w:tplc="E00EFF92">
      <w:start w:val="1"/>
      <w:numFmt w:val="lowerRoman"/>
      <w:lvlText w:val="%6."/>
      <w:lvlJc w:val="right"/>
      <w:pPr>
        <w:ind w:left="4669" w:hanging="180"/>
      </w:pPr>
    </w:lvl>
    <w:lvl w:ilvl="6" w:tplc="1E540682">
      <w:start w:val="1"/>
      <w:numFmt w:val="decimal"/>
      <w:lvlText w:val="%7."/>
      <w:lvlJc w:val="left"/>
      <w:pPr>
        <w:ind w:left="5389" w:hanging="360"/>
      </w:pPr>
    </w:lvl>
    <w:lvl w:ilvl="7" w:tplc="0A720C9A">
      <w:start w:val="1"/>
      <w:numFmt w:val="lowerLetter"/>
      <w:lvlText w:val="%8."/>
      <w:lvlJc w:val="left"/>
      <w:pPr>
        <w:ind w:left="6109" w:hanging="360"/>
      </w:pPr>
    </w:lvl>
    <w:lvl w:ilvl="8" w:tplc="BACA4712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E54628"/>
    <w:multiLevelType w:val="hybridMultilevel"/>
    <w:tmpl w:val="398618E6"/>
    <w:lvl w:ilvl="0" w:tplc="7EAE4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A1B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3A29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180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B276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5AA4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6A8DF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4432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825A5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9D7936"/>
    <w:multiLevelType w:val="hybridMultilevel"/>
    <w:tmpl w:val="ACA479D6"/>
    <w:lvl w:ilvl="0" w:tplc="6D001E7C">
      <w:start w:val="28"/>
      <w:numFmt w:val="decimal"/>
      <w:lvlText w:val="%1"/>
      <w:lvlJc w:val="left"/>
      <w:pPr>
        <w:tabs>
          <w:tab w:val="num" w:pos="750"/>
        </w:tabs>
        <w:ind w:left="750" w:hanging="390"/>
      </w:pPr>
    </w:lvl>
    <w:lvl w:ilvl="1" w:tplc="E44E36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D41B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CADC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C043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FC26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88FC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2E1F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46D54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8A70E9"/>
    <w:multiLevelType w:val="hybridMultilevel"/>
    <w:tmpl w:val="F6B635FC"/>
    <w:lvl w:ilvl="0" w:tplc="90E64150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/>
        <w:b w:val="0"/>
        <w:sz w:val="28"/>
        <w:szCs w:val="24"/>
      </w:rPr>
    </w:lvl>
    <w:lvl w:ilvl="1" w:tplc="EB34E704">
      <w:start w:val="1"/>
      <w:numFmt w:val="lowerLetter"/>
      <w:lvlText w:val="%2."/>
      <w:lvlJc w:val="left"/>
      <w:pPr>
        <w:ind w:left="1440" w:hanging="360"/>
      </w:pPr>
    </w:lvl>
    <w:lvl w:ilvl="2" w:tplc="00087FE6">
      <w:start w:val="1"/>
      <w:numFmt w:val="lowerRoman"/>
      <w:lvlText w:val="%3."/>
      <w:lvlJc w:val="right"/>
      <w:pPr>
        <w:ind w:left="2160" w:hanging="180"/>
      </w:pPr>
    </w:lvl>
    <w:lvl w:ilvl="3" w:tplc="360E469A">
      <w:start w:val="1"/>
      <w:numFmt w:val="decimal"/>
      <w:lvlText w:val="%4."/>
      <w:lvlJc w:val="left"/>
      <w:pPr>
        <w:ind w:left="2880" w:hanging="360"/>
      </w:pPr>
    </w:lvl>
    <w:lvl w:ilvl="4" w:tplc="E51AA934">
      <w:start w:val="1"/>
      <w:numFmt w:val="lowerLetter"/>
      <w:lvlText w:val="%5."/>
      <w:lvlJc w:val="left"/>
      <w:pPr>
        <w:ind w:left="3600" w:hanging="360"/>
      </w:pPr>
    </w:lvl>
    <w:lvl w:ilvl="5" w:tplc="D64230E8">
      <w:start w:val="1"/>
      <w:numFmt w:val="lowerRoman"/>
      <w:lvlText w:val="%6."/>
      <w:lvlJc w:val="right"/>
      <w:pPr>
        <w:ind w:left="4320" w:hanging="180"/>
      </w:pPr>
    </w:lvl>
    <w:lvl w:ilvl="6" w:tplc="957C485C">
      <w:start w:val="1"/>
      <w:numFmt w:val="decimal"/>
      <w:lvlText w:val="%7."/>
      <w:lvlJc w:val="left"/>
      <w:pPr>
        <w:ind w:left="5040" w:hanging="360"/>
      </w:pPr>
    </w:lvl>
    <w:lvl w:ilvl="7" w:tplc="854AFA7A">
      <w:start w:val="1"/>
      <w:numFmt w:val="lowerLetter"/>
      <w:lvlText w:val="%8."/>
      <w:lvlJc w:val="left"/>
      <w:pPr>
        <w:ind w:left="5760" w:hanging="360"/>
      </w:pPr>
    </w:lvl>
    <w:lvl w:ilvl="8" w:tplc="E1203F2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E463DF"/>
    <w:multiLevelType w:val="hybridMultilevel"/>
    <w:tmpl w:val="815C3A00"/>
    <w:lvl w:ilvl="0" w:tplc="70D88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3271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E649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6EBC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92AB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6C424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18F8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02AE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AE54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09"/>
    <w:rsid w:val="000C7B3B"/>
    <w:rsid w:val="00793509"/>
    <w:rsid w:val="00F2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CFA576-4C08-4DB7-A170-78FCB737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563C1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styleId="33">
    <w:name w:val="Body Text 3"/>
    <w:basedOn w:val="a"/>
    <w:link w:val="34"/>
    <w:rPr>
      <w:sz w:val="22"/>
    </w:rPr>
  </w:style>
  <w:style w:type="character" w:customStyle="1" w:styleId="afa">
    <w:name w:val="Таблица: текст Знак"/>
    <w:link w:val="afb"/>
    <w:rPr>
      <w:sz w:val="22"/>
      <w:lang w:val="ru-RU" w:eastAsia="ru-RU" w:bidi="ar-SA"/>
    </w:rPr>
  </w:style>
  <w:style w:type="paragraph" w:customStyle="1" w:styleId="afb">
    <w:name w:val="Таблица: текст"/>
    <w:basedOn w:val="a"/>
    <w:link w:val="afa"/>
    <w:pPr>
      <w:jc w:val="both"/>
    </w:pPr>
    <w:rPr>
      <w:sz w:val="22"/>
    </w:rPr>
  </w:style>
  <w:style w:type="character" w:customStyle="1" w:styleId="34">
    <w:name w:val="Основной текст 3 Знак"/>
    <w:link w:val="33"/>
    <w:rPr>
      <w:sz w:val="22"/>
      <w:lang w:val="ru-RU" w:eastAsia="ru-RU" w:bidi="ar-SA"/>
    </w:rPr>
  </w:style>
  <w:style w:type="character" w:customStyle="1" w:styleId="HTML">
    <w:name w:val="Стандартный HTML Знак"/>
    <w:link w:val="HTML0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  <w:rPr>
      <w:rFonts w:ascii="Courier New" w:hAnsi="Courier New" w:cs="Courier New"/>
      <w:sz w:val="20"/>
    </w:rPr>
  </w:style>
  <w:style w:type="paragraph" w:styleId="afc">
    <w:name w:val="Body Text Indent"/>
    <w:basedOn w:val="a"/>
    <w:link w:val="afd"/>
    <w:pPr>
      <w:spacing w:after="120"/>
      <w:ind w:left="283"/>
    </w:pPr>
  </w:style>
  <w:style w:type="character" w:customStyle="1" w:styleId="afe">
    <w:name w:val="Знак Знак"/>
    <w:rPr>
      <w:sz w:val="22"/>
      <w:lang w:val="ru-RU" w:eastAsia="ru-RU" w:bidi="ar-SA"/>
    </w:rPr>
  </w:style>
  <w:style w:type="character" w:customStyle="1" w:styleId="afd">
    <w:name w:val="Основной текст с отступом Знак"/>
    <w:link w:val="afc"/>
    <w:semiHidden/>
    <w:rPr>
      <w:sz w:val="28"/>
      <w:lang w:val="ru-RU" w:eastAsia="ru-RU" w:bidi="ar-SA"/>
    </w:rPr>
  </w:style>
  <w:style w:type="paragraph" w:customStyle="1" w:styleId="ConsPlusTitle">
    <w:name w:val="ConsPlusTitle"/>
    <w:rPr>
      <w:rFonts w:ascii="Arial" w:hAnsi="Arial" w:cs="Arial"/>
      <w:b/>
      <w:bCs/>
      <w:lang w:eastAsia="ru-RU"/>
    </w:r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f">
    <w:name w:val="Таблица: шапка"/>
    <w:basedOn w:val="a"/>
    <w:next w:val="afb"/>
    <w:pPr>
      <w:jc w:val="both"/>
    </w:pPr>
    <w:rPr>
      <w:b/>
      <w:sz w:val="24"/>
    </w:rPr>
  </w:style>
  <w:style w:type="paragraph" w:styleId="aff0">
    <w:name w:val="Balloon Text"/>
    <w:basedOn w:val="a"/>
    <w:link w:val="aff1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link w:val="aff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3TableFootnotelastSchriftart9ptSchriftart10ptSchriftart8pt1FootnoteTextCharFootnoteTextCharsinglespaceftfn">
    <w:name w:val="Текст сноски;Знак3;Знак Знак Знак Знак;Знак Знак Знак;Table_Footnote_last;Schriftart: 9 pt;Schriftart: 10 pt;Schriftart: 8 pt;Текст сноски Знак1 Знак;Текст сноски Знак Знак Знак;Footnote Text Char Знак Знак;Footnote Text Char Знак;single space;ft;fn"/>
    <w:basedOn w:val="a"/>
    <w:link w:val="31TableFootnotelastSchriftart9ptSchriftart10ptSchriftart8pt1singlespace"/>
    <w:uiPriority w:val="99"/>
    <w:unhideWhenUsed/>
    <w:qFormat/>
    <w:rPr>
      <w:rFonts w:ascii="Calibri" w:hAnsi="Calibri"/>
      <w:sz w:val="20"/>
      <w:lang w:eastAsia="en-US"/>
    </w:rPr>
  </w:style>
  <w:style w:type="character" w:customStyle="1" w:styleId="31TableFootnotelastSchriftart9ptSchriftart10ptSchriftart8pt1singlespace">
    <w:name w:val="Текст сноски Знак;Знак3 Знак;Знак Знак Знак Знак Знак;Знак Знак Знак Знак1;Table_Footnote_last Знак;Schriftart: 9 pt Знак;Schriftart: 10 pt Знак;Schriftart: 8 pt Знак;Текст сноски Знак1 Знак Знак;Текст сноски Знак Знак Знак Знак;single space Знак"/>
    <w:link w:val="3TableFootnotelastSchriftart9ptSchriftart10ptSchriftart8pt1FootnoteTextCharFootnoteTextCharsinglespaceftfn"/>
    <w:uiPriority w:val="99"/>
    <w:rPr>
      <w:rFonts w:ascii="Calibri" w:hAnsi="Calibri"/>
      <w:lang w:eastAsia="en-US"/>
    </w:rPr>
  </w:style>
  <w:style w:type="character" w:customStyle="1" w:styleId="1-FNReferencianotaalpieCiaeniinee-FNfrUsedbyWordforHelpfootnotesymbols45FootnoteReferenceNumberAppelnotedebasdepageSUPERS">
    <w:name w:val="Знак сноски;Знак сноски 1;Знак сноски-FN;Referencia nota al pie;Ciae niinee-FN;fr;Used by Word for Help footnote symbols;Ссылка на сноску 45;Footnote Reference Number;Appel note de bas de page;SUPERS"/>
    <w:uiPriority w:val="99"/>
    <w:unhideWhenUsed/>
    <w:rPr>
      <w:rFonts w:cs="Times New Roman"/>
      <w:vertAlign w:val="superscript"/>
    </w:rPr>
  </w:style>
  <w:style w:type="character" w:customStyle="1" w:styleId="ac">
    <w:name w:val="Верхний колонтитул Знак"/>
    <w:link w:val="ab"/>
    <w:rPr>
      <w:sz w:val="28"/>
    </w:rPr>
  </w:style>
  <w:style w:type="character" w:customStyle="1" w:styleId="ae">
    <w:name w:val="Нижний колонтитул Знак"/>
    <w:link w:val="a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1669</Words>
  <Characters>9519</Characters>
  <Application>Microsoft Office Word</Application>
  <DocSecurity>0</DocSecurity>
  <Lines>79</Lines>
  <Paragraphs>22</Paragraphs>
  <ScaleCrop>false</ScaleCrop>
  <Company>Microsoft</Company>
  <LinksUpToDate>false</LinksUpToDate>
  <CharactersWithSpaces>11166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Заровнятных</cp:lastModifiedBy>
  <cp:revision>107</cp:revision>
  <dcterms:created xsi:type="dcterms:W3CDTF">2022-04-15T11:49:00Z</dcterms:created>
  <dcterms:modified xsi:type="dcterms:W3CDTF">2026-01-21T10:42:00Z</dcterms:modified>
  <cp:version>983040</cp:version>
</cp:coreProperties>
</file>