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6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footer5.xml" ContentType="application/vnd.openxmlformats-officedocument.wordprocessingml.footer+xml"/>
  <Override PartName="/word/theme/theme1.xml" ContentType="application/vnd.openxmlformats-officedocument.theme+xml"/>
  <Override PartName="/word/header5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232"/>
        <w:outlineLvl w:val="0"/>
      </w:pPr>
      <w:r>
        <w:rPr>
          <w:sz w:val="20"/>
        </w:rPr>
      </w:r>
      <w:r/>
    </w:p>
    <w:p>
      <w:pPr>
        <w:pStyle w:val="1234"/>
        <w:jc w:val="center"/>
        <w:outlineLvl w:val="0"/>
      </w:pPr>
      <w:r>
        <w:rPr>
          <w:sz w:val="20"/>
        </w:rPr>
        <w:t xml:space="preserve">АДМИНИСТРАЦИЯ ГОРОДА ПЫТЬ-ЯХА</w:t>
      </w:r>
      <w:r/>
    </w:p>
    <w:p>
      <w:pPr>
        <w:pStyle w:val="1234"/>
        <w:jc w:val="center"/>
      </w:pPr>
      <w:r>
        <w:rPr>
          <w:sz w:val="20"/>
        </w:rPr>
      </w:r>
      <w:r/>
    </w:p>
    <w:p>
      <w:pPr>
        <w:pStyle w:val="1234"/>
        <w:jc w:val="center"/>
      </w:pPr>
      <w:r>
        <w:rPr>
          <w:sz w:val="20"/>
        </w:rPr>
        <w:t xml:space="preserve">ПОСТАНОВЛЕНИЕ</w:t>
      </w:r>
      <w:r/>
    </w:p>
    <w:p>
      <w:pPr>
        <w:pStyle w:val="1234"/>
        <w:jc w:val="center"/>
      </w:pPr>
      <w:r>
        <w:rPr>
          <w:sz w:val="20"/>
        </w:rPr>
        <w:t xml:space="preserve">от 13 июля 2026 г. N 194-па</w:t>
      </w:r>
      <w:r/>
    </w:p>
    <w:p>
      <w:pPr>
        <w:pStyle w:val="1234"/>
        <w:jc w:val="center"/>
      </w:pPr>
      <w:r>
        <w:rPr>
          <w:sz w:val="20"/>
        </w:rPr>
      </w:r>
      <w:r/>
    </w:p>
    <w:p>
      <w:pPr>
        <w:pStyle w:val="1234"/>
        <w:jc w:val="center"/>
      </w:pPr>
      <w:r>
        <w:rPr>
          <w:sz w:val="20"/>
        </w:rPr>
        <w:t xml:space="preserve">О ВНЕСЕНИИ ИЗМЕНЕНИЙ В ПОСТАНОВЛЕНИЕ АДМИНИСТРАЦИИ</w:t>
      </w:r>
      <w:r/>
    </w:p>
    <w:p>
      <w:pPr>
        <w:pStyle w:val="1234"/>
        <w:jc w:val="center"/>
      </w:pPr>
      <w:r>
        <w:rPr>
          <w:sz w:val="20"/>
        </w:rPr>
        <w:t xml:space="preserve">ОТ 29.12.2023 N 390-ПА "ОБ УТВЕРЖДЕНИИ МУНИЦИПАЛЬНОЙ</w:t>
      </w:r>
      <w:r/>
    </w:p>
    <w:p>
      <w:pPr>
        <w:pStyle w:val="1234"/>
        <w:jc w:val="center"/>
      </w:pPr>
      <w:r>
        <w:rPr>
          <w:sz w:val="20"/>
        </w:rPr>
        <w:t xml:space="preserve">ПРОГРАММЫ "ЖИЛИЩНО-КОММУНАЛЬНЫЙ КОМПЛЕКС И ГОРОДСКАЯ СРЕДА</w:t>
      </w:r>
      <w:r/>
    </w:p>
    <w:p>
      <w:pPr>
        <w:pStyle w:val="1234"/>
        <w:jc w:val="center"/>
      </w:pPr>
      <w:r>
        <w:rPr>
          <w:sz w:val="20"/>
        </w:rPr>
        <w:t xml:space="preserve">ГОРОДА ПЫТЬ-ЯХА" (В РЕД. ОТ 28.12.2024 N 318-ПА,</w:t>
      </w:r>
      <w:r/>
    </w:p>
    <w:p>
      <w:pPr>
        <w:pStyle w:val="1234"/>
        <w:jc w:val="center"/>
      </w:pPr>
      <w:r>
        <w:rPr>
          <w:sz w:val="20"/>
        </w:rPr>
        <w:t xml:space="preserve">ОТ 21.04.2025 N 103-ПА, ОТ 04.02.2026 N 30-ПА, ОТ 26.05.2026</w:t>
      </w:r>
      <w:r/>
    </w:p>
    <w:p>
      <w:pPr>
        <w:pStyle w:val="1234"/>
        <w:jc w:val="center"/>
      </w:pPr>
      <w:r>
        <w:rPr>
          <w:sz w:val="20"/>
        </w:rPr>
        <w:t xml:space="preserve">N 153-ПА)</w:t>
      </w:r>
      <w:r/>
    </w:p>
    <w:p>
      <w:pPr>
        <w:pStyle w:val="1232"/>
        <w:ind w:firstLine="540"/>
        <w:jc w:val="both"/>
      </w:pPr>
      <w:r>
        <w:rPr>
          <w:sz w:val="20"/>
        </w:rPr>
      </w:r>
      <w:r/>
    </w:p>
    <w:p>
      <w:pPr>
        <w:pStyle w:val="1232"/>
        <w:ind w:firstLine="540"/>
        <w:jc w:val="both"/>
      </w:pPr>
      <w:r>
        <w:rPr>
          <w:sz w:val="20"/>
        </w:rPr>
        <w:t xml:space="preserve">В связи с изменением предельных объемов финансирования программных мероприятий на 2026 - 2030 годы, в целях повышения эффективности реализации муниципальной программы, в соответствии с </w:t>
      </w:r>
      <w:hyperlink r:id="rId20" w:tooltip="Указ Президента РФ от 07.05.2024 N 309 &quot;О национальных целях развития Российской Федерации на период до 2030 года и на перспективу до 2036 года&quot; {КонсультантПлюс}" w:history="1">
        <w:r>
          <w:rPr>
            <w:color w:val="0000ff"/>
            <w:sz w:val="20"/>
          </w:rPr>
          <w:t xml:space="preserve">Указом</w:t>
        </w:r>
      </w:hyperlink>
      <w:r>
        <w:rPr>
          <w:sz w:val="20"/>
        </w:rPr>
        <w:t xml:space="preserve"> Президента Российской Федерации от 07.05.2024 N 309 "О национальных целях развития Российской Федерации на период до 2030 года и на перспективу до 2036 года", </w:t>
      </w:r>
      <w:hyperlink r:id="rId21" w:tooltip="Постановление Правительства ХМАО - Югры от 29.12.2025 N 548-п (ред. от 22.04.2026) &quot;О государственной программе Ханты-Мансийского автономного округа - Югры &quot;Развитие жилищно-коммунального комплекса и энергетики&quot; {КонсультантПлюс}" w:history="1">
        <w:r>
          <w:rPr>
            <w:color w:val="0000ff"/>
            <w:sz w:val="20"/>
          </w:rPr>
          <w:t xml:space="preserve">постановлением</w:t>
        </w:r>
      </w:hyperlink>
      <w:r>
        <w:rPr>
          <w:sz w:val="20"/>
        </w:rPr>
        <w:t xml:space="preserve"> Правительства Ханты-Мансийского автономного округа - Югры от 29.12.2025 N 548-п "О государственной программе Ханты-Мансийского автономного округа - Югры "Развитие жилищно-коммунального комплекса и энергетики", </w:t>
      </w:r>
      <w:hyperlink r:id="rId22" w:tooltip="Постановление Правительства ХМАО - Югры от 10.11.2023 N 553-п (ред. от 29.12.2025) &quot;О государственной программе Ханты-Мансийского автономного округа - Югры &quot;Пространственное развитие и формирование комфортной городской среды&quot; (с изм. и доп., вступающими в силу с 01.01.2026) {КонсультантПлюс}" w:history="1">
        <w:r>
          <w:rPr>
            <w:color w:val="0000ff"/>
            <w:sz w:val="20"/>
          </w:rPr>
          <w:t xml:space="preserve">постановлением</w:t>
        </w:r>
      </w:hyperlink>
      <w:r>
        <w:rPr>
          <w:sz w:val="20"/>
        </w:rPr>
        <w:t xml:space="preserve"> Правительства Ханты-Мансийского автономного округа - Югры от 10.11.2023 N 553-п "О государственной программе Ханты-Мансийского автономного округа - Югры "Пространственное развитие и формирование комфортной городской среды", </w:t>
      </w:r>
      <w:hyperlink r:id="rId23" w:tooltip="Решение Думы города Пыть-Яха от 13.04.2026 N 435 &quot;О внесении изменений в решение Думы города Пыть-Яха от 22.12.2025 N 393 &quot;О бюджете города Пыть-Яха на 2026 год и на плановый период 2027 и 2028 годов&quot; (вместе с &quot;Программой муниципальных внутренних заимствований города Пыть-Яха на 2026 год и на плановый период 2027 и 2028 годов&quot;) {КонсультантПлюс}" w:history="1">
        <w:r>
          <w:rPr>
            <w:color w:val="0000ff"/>
            <w:sz w:val="20"/>
          </w:rPr>
          <w:t xml:space="preserve">решением</w:t>
        </w:r>
      </w:hyperlink>
      <w:r>
        <w:rPr>
          <w:sz w:val="20"/>
        </w:rPr>
        <w:t xml:space="preserve"> Думы города Пыть-Яха от 13.04.2026 N 435 "О внесении изменений в решение Думы города Пыть-Яха от 22.12.2025 N 393 "О бюджете города Пыть-Яха на 2026 год и на плановый период 2027 и 2028 годов", </w:t>
      </w:r>
      <w:hyperlink r:id="rId24" w:tooltip="Постановление Администрации города Пыть-Яха от 29.11.2023 N 326-па (ред. от 03.09.2025) &quot;О порядке разработки и реализации муниципальных программ города Пыть-Яха&quot; (вместе с &quot;Порядком принятия решения о разработке муниципальных программ города Пыть-Яха, их формирования, утверждения и реализации&quot;, &quot;Модельной муниципальной программой города Пыть-Яха&quot;) (с изм. и доп., вступающими в силу с 01.01.2026) {КонсультантПлюс}" w:history="1">
        <w:r>
          <w:rPr>
            <w:color w:val="0000ff"/>
            <w:sz w:val="20"/>
          </w:rPr>
          <w:t xml:space="preserve">постановлением</w:t>
        </w:r>
      </w:hyperlink>
      <w:r>
        <w:rPr>
          <w:sz w:val="20"/>
        </w:rPr>
        <w:t xml:space="preserve"> администрации города от 29.11.2023 N 326-па "О порядке разработки и реализации муниципальных программ города Пыть-Яха", внести в </w:t>
      </w:r>
      <w:hyperlink r:id="rId25" w:tooltip="Постановление Администрации города Пыть-Яха от 29.12.2023 N 390-па (ред. от 26.05.2026) &quot;Об утверждении муниципальной программы &quot;Жилищно-коммунальный комплекс и городская среда города Пыть-Яха&quot; {КонсультантПлюс}" w:history="1">
        <w:r>
          <w:rPr>
            <w:color w:val="0000ff"/>
            <w:sz w:val="20"/>
          </w:rPr>
          <w:t xml:space="preserve">постановление</w:t>
        </w:r>
      </w:hyperlink>
      <w:r>
        <w:rPr>
          <w:sz w:val="20"/>
        </w:rPr>
        <w:t xml:space="preserve"> администрации города от 29.12.2023 N 390-па "Жилищно-коммунальный комплекс и городская среда города Пыть-Яха" следующие изменения:</w:t>
      </w:r>
      <w:r/>
    </w:p>
    <w:p>
      <w:pPr>
        <w:pStyle w:val="1232"/>
        <w:ind w:firstLine="540"/>
        <w:jc w:val="both"/>
        <w:spacing w:before="200"/>
      </w:pPr>
      <w:r>
        <w:rPr>
          <w:sz w:val="20"/>
        </w:rPr>
        <w:t xml:space="preserve">1. В приложении к постановлению </w:t>
      </w:r>
      <w:hyperlink r:id="rId26" w:tooltip="Постановление Администрации города Пыть-Яха от 29.12.2023 N 390-па (ред. от 26.05.2026) &quot;Об утверждении муниципальной программы &quot;Жилищно-коммунальный комплекс и городская среда города Пыть-Яха&quot; {КонсультантПлюс}" w:history="1">
        <w:r>
          <w:rPr>
            <w:color w:val="0000ff"/>
            <w:sz w:val="20"/>
          </w:rPr>
          <w:t xml:space="preserve">строку</w:t>
        </w:r>
      </w:hyperlink>
      <w:r>
        <w:rPr>
          <w:sz w:val="20"/>
        </w:rPr>
        <w:t xml:space="preserve"> "Объемы финансового обеспечения за весь период реализации" раздела 1 "Основные положения", </w:t>
      </w:r>
      <w:hyperlink r:id="rId27" w:tooltip="Постановление Администрации города Пыть-Яха от 29.12.2023 N 390-па (ред. от 26.05.2026) &quot;Об утверждении муниципальной программы &quot;Жилищно-коммунальный комплекс и городская среда города Пыть-Яха&quot; {КонсультантПлюс}" w:history="1">
        <w:r>
          <w:rPr>
            <w:color w:val="0000ff"/>
            <w:sz w:val="20"/>
          </w:rPr>
          <w:t xml:space="preserve">строку 3.1.1 раздела 4</w:t>
        </w:r>
      </w:hyperlink>
      <w:r>
        <w:rPr>
          <w:sz w:val="20"/>
        </w:rPr>
        <w:t xml:space="preserve"> "Структура муниципальной программы", </w:t>
      </w:r>
      <w:hyperlink r:id="rId28" w:tooltip="Постановление Администрации города Пыть-Яха от 29.12.2023 N 390-па (ред. от 26.05.2026) &quot;Об утверждении муниципальной программы &quot;Жилищно-коммунальный комплекс и городская среда города Пыть-Яха&quot; {КонсультантПлюс}" w:history="1">
        <w:r>
          <w:rPr>
            <w:color w:val="0000ff"/>
            <w:sz w:val="20"/>
          </w:rPr>
          <w:t xml:space="preserve">раздел 5</w:t>
        </w:r>
      </w:hyperlink>
      <w:r>
        <w:rPr>
          <w:sz w:val="20"/>
        </w:rPr>
        <w:t xml:space="preserve"> "Финансовое обеспечение программы", </w:t>
      </w:r>
      <w:hyperlink r:id="rId29" w:tooltip="Постановление Администрации города Пыть-Яха от 29.12.2023 N 390-па (ред. от 26.05.2026) &quot;Об утверждении муниципальной программы &quot;Жилищно-коммунальный комплекс и городская среда города Пыть-Яха&quot; {КонсультантПлюс}" w:history="1">
        <w:r>
          <w:rPr>
            <w:color w:val="0000ff"/>
            <w:sz w:val="20"/>
          </w:rPr>
          <w:t xml:space="preserve">раздел</w:t>
        </w:r>
      </w:hyperlink>
      <w:r>
        <w:rPr>
          <w:sz w:val="20"/>
        </w:rPr>
        <w:t xml:space="preserve"> "Перечень создаваемых объектов на 2</w:t>
      </w:r>
      <w:r>
        <w:rPr>
          <w:sz w:val="20"/>
        </w:rPr>
        <w:t xml:space="preserve">026 год и на плановый период 2027 - 2030 годов, включая приобретение объектов недвижимого имущества, объектов, создаваемых в соответствии с соглашениями о государственно-частном партнёрстве, муниципально-частном партнёрстве и концессионными соглашениями", </w:t>
      </w:r>
      <w:hyperlink r:id="rId30" w:tooltip="Постановление Администрации города Пыть-Яха от 29.12.2023 N 390-па (ред. от 26.05.2026) &quot;Об утверждении муниципальной программы &quot;Жилищно-коммунальный комплекс и городская среда города Пыть-Яха&quot; {КонсультантПлюс}" w:history="1">
        <w:r>
          <w:rPr>
            <w:color w:val="0000ff"/>
            <w:sz w:val="20"/>
          </w:rPr>
          <w:t xml:space="preserve">раздел</w:t>
        </w:r>
      </w:hyperlink>
      <w:r>
        <w:rPr>
          <w:sz w:val="20"/>
        </w:rPr>
        <w:t xml:space="preserve"> Адресный перечень общественных территорий, нуждающихся в благоустройстве на 2025 - 2026 годы Паспорта муниципальной программы изложить в следующей редакции согласно </w:t>
      </w:r>
      <w:hyperlink w:tooltip="МУНИЦИПАЛЬНАЯ ПРОГРАММА" w:anchor="P32" w:history="1">
        <w:r>
          <w:rPr>
            <w:color w:val="0000ff"/>
            <w:sz w:val="20"/>
          </w:rPr>
          <w:t xml:space="preserve">приложению</w:t>
        </w:r>
      </w:hyperlink>
      <w:r>
        <w:rPr>
          <w:sz w:val="20"/>
        </w:rPr>
        <w:t xml:space="preserve">.</w:t>
      </w:r>
      <w:r/>
    </w:p>
    <w:p>
      <w:pPr>
        <w:pStyle w:val="1232"/>
        <w:ind w:firstLine="540"/>
        <w:jc w:val="both"/>
        <w:spacing w:before="200"/>
      </w:pPr>
      <w:r>
        <w:rPr>
          <w:sz w:val="20"/>
        </w:rPr>
        <w:t xml:space="preserve">2. Управлению по внутренней политике (Н.О. Вандышева) опубликовать постановление в сетевом издании "Официальный сайт "Телерадиокомпания Пыть-Яхинформ".</w:t>
      </w:r>
      <w:r/>
    </w:p>
    <w:p>
      <w:pPr>
        <w:pStyle w:val="1232"/>
        <w:ind w:firstLine="540"/>
        <w:jc w:val="both"/>
        <w:spacing w:before="200"/>
      </w:pPr>
      <w:r>
        <w:rPr>
          <w:sz w:val="20"/>
        </w:rPr>
        <w:t xml:space="preserve">3. Управлению по информационным технологиям (А.А. Мерзляков) разместить постановление на официальном сайте администрации города в сети Интернет.</w:t>
      </w:r>
      <w:r/>
    </w:p>
    <w:p>
      <w:pPr>
        <w:pStyle w:val="1232"/>
        <w:ind w:firstLine="540"/>
        <w:jc w:val="both"/>
        <w:spacing w:before="200"/>
      </w:pPr>
      <w:r>
        <w:rPr>
          <w:sz w:val="20"/>
        </w:rPr>
        <w:t xml:space="preserve">4. Настоящее постановление вступает в силу после его официального опубликования.</w:t>
      </w:r>
      <w:r/>
    </w:p>
    <w:p>
      <w:pPr>
        <w:pStyle w:val="1232"/>
        <w:ind w:firstLine="540"/>
        <w:jc w:val="both"/>
        <w:spacing w:before="200"/>
      </w:pPr>
      <w:r>
        <w:rPr>
          <w:sz w:val="20"/>
        </w:rPr>
        <w:t xml:space="preserve">5. Контроль за выполнением постановления возложить на заместителя главы города (направление деятельности - по вопросам жилищно-коммунального хозяйства, строительства и благоустройства).</w:t>
      </w:r>
      <w:r/>
    </w:p>
    <w:p>
      <w:pPr>
        <w:pStyle w:val="1232"/>
        <w:ind w:firstLine="540"/>
        <w:jc w:val="both"/>
      </w:pPr>
      <w:r>
        <w:rPr>
          <w:sz w:val="20"/>
        </w:rPr>
      </w:r>
      <w:r/>
    </w:p>
    <w:p>
      <w:pPr>
        <w:pStyle w:val="1232"/>
        <w:jc w:val="right"/>
      </w:pPr>
      <w:r>
        <w:rPr>
          <w:sz w:val="20"/>
        </w:rPr>
        <w:t xml:space="preserve">Глава города Пыть-Яха</w:t>
      </w:r>
      <w:r/>
    </w:p>
    <w:p>
      <w:pPr>
        <w:pStyle w:val="1232"/>
        <w:jc w:val="right"/>
      </w:pPr>
      <w:r>
        <w:rPr>
          <w:sz w:val="20"/>
        </w:rPr>
        <w:t xml:space="preserve">С.Е.ЕЛИШЕВ</w:t>
      </w:r>
      <w:r/>
    </w:p>
    <w:p>
      <w:pPr>
        <w:pStyle w:val="1232"/>
      </w:pPr>
      <w:r>
        <w:rPr>
          <w:sz w:val="20"/>
        </w:rPr>
      </w:r>
      <w:r/>
    </w:p>
    <w:p>
      <w:pPr>
        <w:pStyle w:val="1232"/>
      </w:pPr>
      <w:r>
        <w:rPr>
          <w:sz w:val="20"/>
        </w:rPr>
      </w:r>
      <w:r/>
    </w:p>
    <w:p>
      <w:pPr>
        <w:pStyle w:val="1232"/>
      </w:pPr>
      <w:r>
        <w:rPr>
          <w:sz w:val="20"/>
        </w:rPr>
      </w:r>
      <w:r/>
    </w:p>
    <w:p>
      <w:pPr>
        <w:pStyle w:val="1232"/>
      </w:pPr>
      <w:r>
        <w:rPr>
          <w:sz w:val="20"/>
        </w:rPr>
      </w:r>
      <w:r/>
    </w:p>
    <w:p>
      <w:pPr>
        <w:pStyle w:val="1232"/>
      </w:pPr>
      <w:r>
        <w:rPr>
          <w:sz w:val="20"/>
        </w:rPr>
      </w:r>
      <w:r/>
    </w:p>
    <w:p>
      <w:pPr>
        <w:pStyle w:val="1232"/>
        <w:jc w:val="right"/>
        <w:outlineLvl w:val="0"/>
      </w:pPr>
      <w:r>
        <w:rPr>
          <w:sz w:val="20"/>
        </w:rPr>
        <w:t xml:space="preserve">Приложение</w:t>
      </w:r>
      <w:r/>
    </w:p>
    <w:p>
      <w:pPr>
        <w:pStyle w:val="1232"/>
        <w:jc w:val="right"/>
      </w:pPr>
      <w:r>
        <w:rPr>
          <w:sz w:val="20"/>
        </w:rPr>
        <w:t xml:space="preserve">к постановлению</w:t>
      </w:r>
      <w:r/>
    </w:p>
    <w:p>
      <w:pPr>
        <w:pStyle w:val="1232"/>
        <w:jc w:val="right"/>
      </w:pPr>
      <w:r>
        <w:rPr>
          <w:sz w:val="20"/>
        </w:rPr>
        <w:t xml:space="preserve">администрации города Пыть-Яха</w:t>
      </w:r>
      <w:r/>
    </w:p>
    <w:p>
      <w:pPr>
        <w:pStyle w:val="1232"/>
        <w:jc w:val="right"/>
      </w:pPr>
      <w:r>
        <w:rPr>
          <w:sz w:val="20"/>
        </w:rPr>
        <w:t xml:space="preserve">от 13.07.2026 N 194-па</w:t>
      </w:r>
      <w:r/>
    </w:p>
    <w:p>
      <w:pPr>
        <w:pStyle w:val="1232"/>
      </w:pPr>
      <w:r>
        <w:rPr>
          <w:sz w:val="20"/>
        </w:rPr>
      </w:r>
      <w:r/>
    </w:p>
    <w:p>
      <w:pPr>
        <w:pStyle w:val="1234"/>
        <w:jc w:val="center"/>
      </w:pPr>
      <w:r/>
      <w:bookmarkStart w:id="32" w:name="P32"/>
      <w:r/>
      <w:bookmarkEnd w:id="32"/>
      <w:r>
        <w:rPr>
          <w:sz w:val="20"/>
        </w:rPr>
        <w:t xml:space="preserve">МУНИЦИПАЛЬНАЯ ПРОГРАММА</w:t>
      </w:r>
      <w:r/>
    </w:p>
    <w:p>
      <w:pPr>
        <w:pStyle w:val="1234"/>
        <w:jc w:val="center"/>
      </w:pPr>
      <w:r>
        <w:rPr>
          <w:sz w:val="20"/>
        </w:rPr>
        <w:t xml:space="preserve">"ЖИЛИЩНО-КОММУНАЛЬНЫЙ КОМПЛЕКС И ГОРОДСКАЯ СРЕДА ГОРОДА</w:t>
      </w:r>
      <w:r/>
    </w:p>
    <w:p>
      <w:pPr>
        <w:pStyle w:val="1234"/>
        <w:jc w:val="center"/>
      </w:pPr>
      <w:r>
        <w:rPr>
          <w:sz w:val="20"/>
        </w:rPr>
        <w:t xml:space="preserve">ПЫТЬ-ЯХА"</w:t>
      </w:r>
      <w:r/>
    </w:p>
    <w:p>
      <w:pPr>
        <w:pStyle w:val="1232"/>
      </w:pPr>
      <w:r>
        <w:rPr>
          <w:sz w:val="20"/>
        </w:rPr>
      </w:r>
      <w:r/>
    </w:p>
    <w:p>
      <w:pPr>
        <w:pStyle w:val="1234"/>
        <w:jc w:val="center"/>
        <w:outlineLvl w:val="1"/>
      </w:pPr>
      <w:r>
        <w:rPr>
          <w:sz w:val="20"/>
        </w:rPr>
        <w:t xml:space="preserve">Паспорт муниципальной программы</w:t>
      </w:r>
      <w:r/>
    </w:p>
    <w:p>
      <w:pPr>
        <w:pStyle w:val="1232"/>
        <w:ind w:firstLine="540"/>
        <w:jc w:val="both"/>
      </w:pPr>
      <w:r>
        <w:rPr>
          <w:sz w:val="20"/>
        </w:rPr>
      </w:r>
      <w:r/>
    </w:p>
    <w:p>
      <w:pPr>
        <w:pStyle w:val="1234"/>
        <w:jc w:val="center"/>
        <w:outlineLvl w:val="2"/>
      </w:pPr>
      <w:r>
        <w:rPr>
          <w:sz w:val="20"/>
        </w:rPr>
        <w:t xml:space="preserve">1. Основные положения</w:t>
      </w:r>
      <w:r/>
    </w:p>
    <w:p>
      <w:pPr>
        <w:pStyle w:val="1232"/>
        <w:jc w:val="center"/>
      </w:pPr>
      <w:r>
        <w:rPr>
          <w:sz w:val="20"/>
        </w:rPr>
      </w:r>
      <w:r/>
    </w:p>
    <w:tbl>
      <w:tblPr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V w:val="single" w:color="000000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4252"/>
        <w:gridCol w:w="4819"/>
      </w:tblGrid>
      <w:tr>
        <w:tblPrEx/>
        <w:trPr/>
        <w:tc>
          <w:tcPr>
            <w:tcBorders>
              <w:top w:val="single" w:color="000000" w:sz="4" w:space="0"/>
              <w:bottom w:val="single" w:color="000000" w:sz="4" w:space="0"/>
            </w:tcBorders>
            <w:tcW w:w="4252" w:type="dxa"/>
            <w:textDirection w:val="lrTb"/>
            <w:noWrap w:val="false"/>
          </w:tcPr>
          <w:p>
            <w:pPr>
              <w:pStyle w:val="1232"/>
            </w:pPr>
            <w:r/>
            <w:hyperlink r:id="rId31" w:tooltip="Постановление Администрации города Пыть-Яха от 29.12.2023 N 390-па (ред. от 26.05.2026) &quot;Об утверждении муниципальной программы &quot;Жилищно-коммунальный комплекс и городская среда города Пыть-Яха&quot; {КонсультантПлюс}" w:history="1">
              <w:r>
                <w:rPr>
                  <w:color w:val="0000ff"/>
                  <w:sz w:val="20"/>
                </w:rPr>
                <w:t xml:space="preserve">Объемы</w:t>
              </w:r>
            </w:hyperlink>
            <w:r>
              <w:rPr>
                <w:sz w:val="20"/>
              </w:rPr>
              <w:t xml:space="preserve"> финансового обеспечения за весь период реализации</w:t>
            </w:r>
            <w:r/>
          </w:p>
        </w:tc>
        <w:tc>
          <w:tcPr>
            <w:tcBorders>
              <w:top w:val="single" w:color="000000" w:sz="4" w:space="0"/>
              <w:bottom w:val="single" w:color="000000" w:sz="4" w:space="0"/>
            </w:tcBorders>
            <w:tcW w:w="4819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2 143 850,3 тысяч рублей</w:t>
            </w:r>
            <w:r/>
          </w:p>
        </w:tc>
      </w:tr>
    </w:tbl>
    <w:p>
      <w:pPr>
        <w:pStyle w:val="1232"/>
        <w:ind w:firstLine="540"/>
        <w:jc w:val="both"/>
      </w:pPr>
      <w:r>
        <w:rPr>
          <w:sz w:val="20"/>
        </w:rPr>
      </w:r>
      <w:r/>
    </w:p>
    <w:p>
      <w:pPr>
        <w:pStyle w:val="1234"/>
        <w:jc w:val="center"/>
        <w:outlineLvl w:val="2"/>
      </w:pPr>
      <w:r>
        <w:rPr>
          <w:sz w:val="20"/>
        </w:rPr>
        <w:t xml:space="preserve">4. Структура муниципальной программы</w:t>
      </w:r>
      <w:r/>
    </w:p>
    <w:p>
      <w:pPr>
        <w:pStyle w:val="1232"/>
        <w:jc w:val="right"/>
      </w:pPr>
      <w:r>
        <w:rPr>
          <w:sz w:val="20"/>
        </w:rPr>
      </w:r>
      <w:r/>
    </w:p>
    <w:tbl>
      <w:tblPr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737"/>
        <w:gridCol w:w="2891"/>
        <w:gridCol w:w="3912"/>
        <w:gridCol w:w="1504"/>
      </w:tblGrid>
      <w:tr>
        <w:tblPrEx/>
        <w:trPr/>
        <w:tc>
          <w:tcPr>
            <w:tcW w:w="737" w:type="dxa"/>
            <w:textDirection w:val="lrTb"/>
            <w:noWrap w:val="false"/>
          </w:tcPr>
          <w:p>
            <w:pPr>
              <w:pStyle w:val="1232"/>
              <w:jc w:val="center"/>
            </w:pPr>
            <w:r>
              <w:rPr>
                <w:sz w:val="20"/>
              </w:rPr>
              <w:t xml:space="preserve">N п/п</w:t>
            </w:r>
            <w:r/>
          </w:p>
        </w:tc>
        <w:tc>
          <w:tcPr>
            <w:tcW w:w="2891" w:type="dxa"/>
            <w:textDirection w:val="lrTb"/>
            <w:noWrap w:val="false"/>
          </w:tcPr>
          <w:p>
            <w:pPr>
              <w:pStyle w:val="1232"/>
              <w:jc w:val="center"/>
            </w:pPr>
            <w:r>
              <w:rPr>
                <w:sz w:val="20"/>
              </w:rPr>
              <w:t xml:space="preserve">Задачи структурного элемента</w:t>
            </w:r>
            <w:r/>
          </w:p>
        </w:tc>
        <w:tc>
          <w:tcPr>
            <w:tcW w:w="3912" w:type="dxa"/>
            <w:textDirection w:val="lrTb"/>
            <w:noWrap w:val="false"/>
          </w:tcPr>
          <w:p>
            <w:pPr>
              <w:pStyle w:val="1232"/>
              <w:jc w:val="center"/>
            </w:pPr>
            <w:r>
              <w:rPr>
                <w:sz w:val="20"/>
              </w:rPr>
              <w:t xml:space="preserve">Краткое описание ожидаемых эффектов от реализации задачи структурного элемента</w:t>
            </w:r>
            <w:r/>
          </w:p>
        </w:tc>
        <w:tc>
          <w:tcPr>
            <w:tcW w:w="1504" w:type="dxa"/>
            <w:textDirection w:val="lrTb"/>
            <w:noWrap w:val="false"/>
          </w:tcPr>
          <w:p>
            <w:pPr>
              <w:pStyle w:val="1232"/>
              <w:jc w:val="center"/>
            </w:pPr>
            <w:r>
              <w:rPr>
                <w:sz w:val="20"/>
              </w:rPr>
              <w:t xml:space="preserve">Связь с показателями</w:t>
            </w:r>
            <w:r/>
          </w:p>
        </w:tc>
      </w:tr>
      <w:tr>
        <w:tblPrEx/>
        <w:trPr/>
        <w:tc>
          <w:tcPr>
            <w:tcW w:w="737" w:type="dxa"/>
            <w:textDirection w:val="lrTb"/>
            <w:noWrap w:val="false"/>
          </w:tcPr>
          <w:p>
            <w:pPr>
              <w:pStyle w:val="1232"/>
            </w:pPr>
            <w:r/>
            <w:hyperlink r:id="rId32" w:tooltip="Постановление Администрации города Пыть-Яха от 29.12.2023 N 390-па (ред. от 26.05.2026) &quot;Об утверждении муниципальной программы &quot;Жилищно-коммунальный комплекс и городская среда города Пыть-Яха&quot; {КонсультантПлюс}" w:history="1">
              <w:r>
                <w:rPr>
                  <w:color w:val="0000ff"/>
                  <w:sz w:val="20"/>
                </w:rPr>
                <w:t xml:space="preserve">3.1.1</w:t>
              </w:r>
            </w:hyperlink>
            <w:r/>
            <w:r/>
          </w:p>
        </w:tc>
        <w:tc>
          <w:tcPr>
            <w:tcW w:w="2891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Оснащение коммерческими узлами учета ресурсов объектов жилищно-коммунального комплекса</w:t>
            </w:r>
            <w:r/>
          </w:p>
        </w:tc>
        <w:tc>
          <w:tcPr>
            <w:tcW w:w="3912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Приобретение, монтаж, поверка коммерческих узлов учета энергетических ресурсов на объектах жилищно-коммунального комплекса</w:t>
            </w:r>
            <w:r/>
          </w:p>
        </w:tc>
        <w:tc>
          <w:tcPr>
            <w:tcW w:w="1504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-</w:t>
            </w:r>
            <w:r/>
          </w:p>
        </w:tc>
      </w:tr>
    </w:tbl>
    <w:p>
      <w:pPr>
        <w:pStyle w:val="1232"/>
        <w:jc w:val="right"/>
      </w:pPr>
      <w:r>
        <w:rPr>
          <w:sz w:val="20"/>
        </w:rPr>
      </w:r>
      <w:r/>
    </w:p>
    <w:p>
      <w:pPr>
        <w:pStyle w:val="1234"/>
        <w:jc w:val="center"/>
        <w:outlineLvl w:val="2"/>
      </w:pPr>
      <w:r>
        <w:rPr>
          <w:sz w:val="20"/>
        </w:rPr>
        <w:t xml:space="preserve">5. Финансовое обеспечение муниципальной программы</w:t>
      </w:r>
      <w:r/>
    </w:p>
    <w:p>
      <w:pPr>
        <w:pStyle w:val="1232"/>
        <w:jc w:val="center"/>
      </w:pPr>
      <w:r>
        <w:rPr>
          <w:sz w:val="20"/>
        </w:rPr>
      </w:r>
      <w:r/>
    </w:p>
    <w:p>
      <w:pPr>
        <w:sectPr>
          <w:headerReference w:type="default" r:id="rId8"/>
          <w:headerReference w:type="first" r:id="rId9"/>
          <w:footerReference w:type="default" r:id="rId14"/>
          <w:footerReference w:type="first" r:id="rId15"/>
          <w:footnotePr/>
          <w:endnotePr/>
          <w:type w:val="nextPage"/>
          <w:pgSz w:w="11906" w:h="16838" w:orient="portrait"/>
          <w:pgMar w:top="1440" w:right="566" w:bottom="1440" w:left="1133" w:header="0" w:footer="0" w:gutter="0"/>
          <w:cols w:num="1" w:sep="0" w:space="1701" w:equalWidth="1"/>
          <w:docGrid w:linePitch="360"/>
          <w:titlePg/>
        </w:sectPr>
      </w:pPr>
      <w:r/>
      <w:r/>
    </w:p>
    <w:tbl>
      <w:tblPr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2764"/>
        <w:gridCol w:w="1247"/>
        <w:gridCol w:w="1247"/>
        <w:gridCol w:w="1304"/>
        <w:gridCol w:w="1247"/>
        <w:gridCol w:w="1247"/>
        <w:gridCol w:w="1247"/>
        <w:gridCol w:w="1448"/>
      </w:tblGrid>
      <w:tr>
        <w:tblPrEx/>
        <w:trPr/>
        <w:tc>
          <w:tcPr>
            <w:tcW w:w="2764" w:type="dxa"/>
            <w:vMerge w:val="restart"/>
            <w:textDirection w:val="lrTb"/>
            <w:noWrap w:val="false"/>
          </w:tcPr>
          <w:p>
            <w:pPr>
              <w:pStyle w:val="1232"/>
              <w:jc w:val="center"/>
            </w:pPr>
            <w:r>
              <w:rPr>
                <w:sz w:val="20"/>
              </w:rPr>
              <w:t xml:space="preserve">Наименование муниципальной программы, структурного элемента / источник финансового обеспечения</w:t>
            </w:r>
            <w:r/>
          </w:p>
        </w:tc>
        <w:tc>
          <w:tcPr>
            <w:gridSpan w:val="7"/>
            <w:tcW w:w="8987" w:type="dxa"/>
            <w:textDirection w:val="lrTb"/>
            <w:noWrap w:val="false"/>
          </w:tcPr>
          <w:p>
            <w:pPr>
              <w:pStyle w:val="1232"/>
              <w:jc w:val="center"/>
            </w:pPr>
            <w:r>
              <w:rPr>
                <w:sz w:val="20"/>
              </w:rPr>
              <w:t xml:space="preserve">Объемы финансового обеспечения по годам</w:t>
            </w:r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  <w:jc w:val="center"/>
            </w:pPr>
            <w:r>
              <w:rPr>
                <w:sz w:val="20"/>
              </w:rPr>
              <w:t xml:space="preserve">2025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  <w:jc w:val="center"/>
            </w:pPr>
            <w:r>
              <w:rPr>
                <w:sz w:val="20"/>
              </w:rPr>
              <w:t xml:space="preserve">2026</w:t>
            </w:r>
            <w:r/>
          </w:p>
        </w:tc>
        <w:tc>
          <w:tcPr>
            <w:tcW w:w="1304" w:type="dxa"/>
            <w:textDirection w:val="lrTb"/>
            <w:noWrap w:val="false"/>
          </w:tcPr>
          <w:p>
            <w:pPr>
              <w:pStyle w:val="1232"/>
              <w:jc w:val="center"/>
            </w:pPr>
            <w:r>
              <w:rPr>
                <w:sz w:val="20"/>
              </w:rPr>
              <w:t xml:space="preserve">2027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  <w:jc w:val="center"/>
            </w:pPr>
            <w:r>
              <w:rPr>
                <w:sz w:val="20"/>
              </w:rPr>
              <w:t xml:space="preserve">2028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  <w:jc w:val="center"/>
            </w:pPr>
            <w:r>
              <w:rPr>
                <w:sz w:val="20"/>
              </w:rPr>
              <w:t xml:space="preserve">2029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  <w:jc w:val="center"/>
            </w:pPr>
            <w:r>
              <w:rPr>
                <w:sz w:val="20"/>
              </w:rPr>
              <w:t xml:space="preserve">2030</w:t>
            </w:r>
            <w:r/>
          </w:p>
        </w:tc>
        <w:tc>
          <w:tcPr>
            <w:tcW w:w="1448" w:type="dxa"/>
            <w:textDirection w:val="lrTb"/>
            <w:noWrap w:val="false"/>
          </w:tcPr>
          <w:p>
            <w:pPr>
              <w:pStyle w:val="1232"/>
              <w:jc w:val="center"/>
            </w:pPr>
            <w:r>
              <w:rPr>
                <w:sz w:val="20"/>
              </w:rPr>
              <w:t xml:space="preserve">всего</w:t>
            </w:r>
            <w:r/>
          </w:p>
        </w:tc>
      </w:tr>
      <w:tr>
        <w:tblPrEx/>
        <w:trPr/>
        <w:tc>
          <w:tcPr>
            <w:tcW w:w="2764" w:type="dxa"/>
            <w:textDirection w:val="lrTb"/>
            <w:noWrap w:val="false"/>
          </w:tcPr>
          <w:p>
            <w:pPr>
              <w:pStyle w:val="1232"/>
              <w:jc w:val="center"/>
            </w:pPr>
            <w:r>
              <w:rPr>
                <w:sz w:val="20"/>
              </w:rPr>
              <w:t xml:space="preserve">1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  <w:jc w:val="center"/>
            </w:pPr>
            <w:r>
              <w:rPr>
                <w:sz w:val="20"/>
              </w:rPr>
              <w:t xml:space="preserve">2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  <w:jc w:val="center"/>
            </w:pPr>
            <w:r>
              <w:rPr>
                <w:sz w:val="20"/>
              </w:rPr>
              <w:t xml:space="preserve">3</w:t>
            </w:r>
            <w:r/>
          </w:p>
        </w:tc>
        <w:tc>
          <w:tcPr>
            <w:tcW w:w="1304" w:type="dxa"/>
            <w:textDirection w:val="lrTb"/>
            <w:noWrap w:val="false"/>
          </w:tcPr>
          <w:p>
            <w:pPr>
              <w:pStyle w:val="1232"/>
              <w:jc w:val="center"/>
            </w:pPr>
            <w:r>
              <w:rPr>
                <w:sz w:val="20"/>
              </w:rPr>
              <w:t xml:space="preserve">4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  <w:jc w:val="center"/>
            </w:pPr>
            <w:r>
              <w:rPr>
                <w:sz w:val="20"/>
              </w:rPr>
              <w:t xml:space="preserve">5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  <w:jc w:val="center"/>
            </w:pPr>
            <w:r>
              <w:rPr>
                <w:sz w:val="20"/>
              </w:rPr>
              <w:t xml:space="preserve">6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  <w:jc w:val="center"/>
            </w:pPr>
            <w:r>
              <w:rPr>
                <w:sz w:val="20"/>
              </w:rPr>
              <w:t xml:space="preserve">7</w:t>
            </w:r>
            <w:r/>
          </w:p>
        </w:tc>
        <w:tc>
          <w:tcPr>
            <w:tcW w:w="1448" w:type="dxa"/>
            <w:textDirection w:val="lrTb"/>
            <w:noWrap w:val="false"/>
          </w:tcPr>
          <w:p>
            <w:pPr>
              <w:pStyle w:val="1232"/>
              <w:jc w:val="center"/>
            </w:pPr>
            <w:r>
              <w:rPr>
                <w:sz w:val="20"/>
              </w:rPr>
              <w:t xml:space="preserve">8</w:t>
            </w:r>
            <w:r/>
          </w:p>
        </w:tc>
      </w:tr>
      <w:tr>
        <w:tblPrEx/>
        <w:trPr/>
        <w:tc>
          <w:tcPr>
            <w:tcW w:w="2764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Жилищно-коммунальный комплекс и городская среда города Пыть-Яха (всего), в том числе: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759 492,0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331 173,1</w:t>
            </w:r>
            <w:r/>
          </w:p>
        </w:tc>
        <w:tc>
          <w:tcPr>
            <w:tcW w:w="1304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345 436,9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235 916,1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235 916,1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235 916,1</w:t>
            </w:r>
            <w:r/>
          </w:p>
        </w:tc>
        <w:tc>
          <w:tcPr>
            <w:tcW w:w="1448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2 143 850,3</w:t>
            </w:r>
            <w:r/>
          </w:p>
        </w:tc>
      </w:tr>
      <w:tr>
        <w:tblPrEx/>
        <w:trPr/>
        <w:tc>
          <w:tcPr>
            <w:tcW w:w="2764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Федеральный бюджет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4 459,6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3 751,7</w:t>
            </w:r>
            <w:r/>
          </w:p>
        </w:tc>
        <w:tc>
          <w:tcPr>
            <w:tcW w:w="1304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32 504,7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6 757,1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6 757,1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6 757,1</w:t>
            </w:r>
            <w:r/>
          </w:p>
        </w:tc>
        <w:tc>
          <w:tcPr>
            <w:tcW w:w="1448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60 987,3</w:t>
            </w:r>
            <w:r/>
          </w:p>
        </w:tc>
      </w:tr>
      <w:tr>
        <w:tblPrEx/>
        <w:trPr/>
        <w:tc>
          <w:tcPr>
            <w:tcW w:w="2764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Бюджет автономного округа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553 928,3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162 753,5</w:t>
            </w:r>
            <w:r/>
          </w:p>
        </w:tc>
        <w:tc>
          <w:tcPr>
            <w:tcW w:w="1304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229 015,0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164 580,1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164 580,1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164 580,1</w:t>
            </w:r>
            <w:r/>
          </w:p>
        </w:tc>
        <w:tc>
          <w:tcPr>
            <w:tcW w:w="1448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1 439 437,1</w:t>
            </w:r>
            <w:r/>
          </w:p>
        </w:tc>
      </w:tr>
      <w:tr>
        <w:tblPrEx/>
        <w:trPr/>
        <w:tc>
          <w:tcPr>
            <w:tcW w:w="2764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Местный бюджет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201 104,1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164 667,9</w:t>
            </w:r>
            <w:r/>
          </w:p>
        </w:tc>
        <w:tc>
          <w:tcPr>
            <w:tcW w:w="1304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83 917,2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64 578,9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64 578,9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64 578,9</w:t>
            </w:r>
            <w:r/>
          </w:p>
        </w:tc>
        <w:tc>
          <w:tcPr>
            <w:tcW w:w="1448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643 425,9</w:t>
            </w:r>
            <w:r/>
          </w:p>
        </w:tc>
      </w:tr>
      <w:tr>
        <w:tblPrEx/>
        <w:trPr/>
        <w:tc>
          <w:tcPr>
            <w:tcW w:w="2764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1. Региональный проект "Формирование комфортной городской среды"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16 519,2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12 061,9</w:t>
            </w:r>
            <w:r/>
          </w:p>
        </w:tc>
        <w:tc>
          <w:tcPr>
            <w:tcW w:w="1304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11 584,5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11 715,6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11 715,6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11 715,6</w:t>
            </w:r>
            <w:r/>
          </w:p>
        </w:tc>
        <w:tc>
          <w:tcPr>
            <w:tcW w:w="1448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75 312,4</w:t>
            </w:r>
            <w:r/>
          </w:p>
        </w:tc>
      </w:tr>
      <w:tr>
        <w:tblPrEx/>
        <w:trPr/>
        <w:tc>
          <w:tcPr>
            <w:tcW w:w="2764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Федеральный бюджет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4 459,6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3 751,7</w:t>
            </w:r>
            <w:r/>
          </w:p>
        </w:tc>
        <w:tc>
          <w:tcPr>
            <w:tcW w:w="1304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3 509,9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3 549,3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3 549,3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3 549,3</w:t>
            </w:r>
            <w:r/>
          </w:p>
        </w:tc>
        <w:tc>
          <w:tcPr>
            <w:tcW w:w="1448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22 369,1</w:t>
            </w:r>
            <w:r/>
          </w:p>
        </w:tc>
      </w:tr>
      <w:tr>
        <w:tblPrEx/>
        <w:trPr/>
        <w:tc>
          <w:tcPr>
            <w:tcW w:w="2764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Бюджет автономного округа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6 975,3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5 868,1</w:t>
            </w:r>
            <w:r/>
          </w:p>
        </w:tc>
        <w:tc>
          <w:tcPr>
            <w:tcW w:w="1304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5 726,8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5 791,0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5 791,0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5 791,0</w:t>
            </w:r>
            <w:r/>
          </w:p>
        </w:tc>
        <w:tc>
          <w:tcPr>
            <w:tcW w:w="1448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35 943,2</w:t>
            </w:r>
            <w:r/>
          </w:p>
        </w:tc>
      </w:tr>
      <w:tr>
        <w:tblPrEx/>
        <w:trPr/>
        <w:tc>
          <w:tcPr>
            <w:tcW w:w="2764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Местный бюджет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5 084,3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2 442,1</w:t>
            </w:r>
            <w:r/>
          </w:p>
        </w:tc>
        <w:tc>
          <w:tcPr>
            <w:tcW w:w="1304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2 347,8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2 375,3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2 375,3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2 375,3</w:t>
            </w:r>
            <w:r/>
          </w:p>
        </w:tc>
        <w:tc>
          <w:tcPr>
            <w:tcW w:w="1448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17 000,1</w:t>
            </w:r>
            <w:r/>
          </w:p>
        </w:tc>
      </w:tr>
      <w:tr>
        <w:tblPrEx/>
        <w:trPr/>
        <w:tc>
          <w:tcPr>
            <w:tcW w:w="2764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2. Региональный проект "Модернизации коммунальной инфраструктуры" (всего), в том числе: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1304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121 808,4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16 400,5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16 400,5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16 400,5</w:t>
            </w:r>
            <w:r/>
          </w:p>
        </w:tc>
        <w:tc>
          <w:tcPr>
            <w:tcW w:w="1448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171 009,9</w:t>
            </w:r>
            <w:r/>
          </w:p>
        </w:tc>
      </w:tr>
      <w:tr>
        <w:tblPrEx/>
        <w:trPr/>
        <w:tc>
          <w:tcPr>
            <w:tcW w:w="2764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Федеральный бюджет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1304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28 994,8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3 207,8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3 207,8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3 207,8</w:t>
            </w:r>
            <w:r/>
          </w:p>
        </w:tc>
        <w:tc>
          <w:tcPr>
            <w:tcW w:w="1448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38 618,2</w:t>
            </w:r>
            <w:r/>
          </w:p>
        </w:tc>
      </w:tr>
      <w:tr>
        <w:tblPrEx/>
        <w:trPr/>
        <w:tc>
          <w:tcPr>
            <w:tcW w:w="2764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Бюджет автономного округа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1304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68 451,9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9 912,6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9 912,6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9 912,6</w:t>
            </w:r>
            <w:r/>
          </w:p>
        </w:tc>
        <w:tc>
          <w:tcPr>
            <w:tcW w:w="1448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98 189,7</w:t>
            </w:r>
            <w:r/>
          </w:p>
        </w:tc>
      </w:tr>
      <w:tr>
        <w:tblPrEx/>
        <w:trPr/>
        <w:tc>
          <w:tcPr>
            <w:tcW w:w="2764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Местный бюджет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1304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24 361,7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3 280,1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3 280,1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3 280,1</w:t>
            </w:r>
            <w:r/>
          </w:p>
        </w:tc>
        <w:tc>
          <w:tcPr>
            <w:tcW w:w="1448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34 202,0</w:t>
            </w:r>
            <w:r/>
          </w:p>
        </w:tc>
      </w:tr>
      <w:tr>
        <w:tblPrEx/>
        <w:trPr/>
        <w:tc>
          <w:tcPr>
            <w:tcW w:w="2764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3. Комплекс процессных мероприятий "Обеспечение надежности и качества предоставления коммунальных услуг" (всего), в том числе: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669 476,1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186 687,4</w:t>
            </w:r>
            <w:r/>
          </w:p>
        </w:tc>
        <w:tc>
          <w:tcPr>
            <w:tcW w:w="1304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163 854,2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156 236,5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156 236,5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156 236,5</w:t>
            </w:r>
            <w:r/>
          </w:p>
        </w:tc>
        <w:tc>
          <w:tcPr>
            <w:tcW w:w="1448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1 488 727,2</w:t>
            </w:r>
            <w:r/>
          </w:p>
        </w:tc>
      </w:tr>
      <w:tr>
        <w:tblPrEx/>
        <w:trPr/>
        <w:tc>
          <w:tcPr>
            <w:tcW w:w="2764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Бюджет автономного округа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519 909,8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112 445,1</w:t>
            </w:r>
            <w:r/>
          </w:p>
        </w:tc>
        <w:tc>
          <w:tcPr>
            <w:tcW w:w="1304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106 646,5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97 313,0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97 313,0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97 313,0</w:t>
            </w:r>
            <w:r/>
          </w:p>
        </w:tc>
        <w:tc>
          <w:tcPr>
            <w:tcW w:w="1448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1 030 940,4</w:t>
            </w:r>
            <w:r/>
          </w:p>
        </w:tc>
      </w:tr>
      <w:tr>
        <w:tblPrEx/>
        <w:trPr/>
        <w:tc>
          <w:tcPr>
            <w:tcW w:w="2764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Местный бюджет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149 566,3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74 242,3</w:t>
            </w:r>
            <w:r/>
          </w:p>
        </w:tc>
        <w:tc>
          <w:tcPr>
            <w:tcW w:w="1304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57 207,7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58 923,5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58 923,5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58 923,5</w:t>
            </w:r>
            <w:r/>
          </w:p>
        </w:tc>
        <w:tc>
          <w:tcPr>
            <w:tcW w:w="1448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457 786,8</w:t>
            </w:r>
            <w:r/>
          </w:p>
        </w:tc>
      </w:tr>
      <w:tr>
        <w:tblPrEx/>
        <w:trPr/>
        <w:tc>
          <w:tcPr>
            <w:tcW w:w="2764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4. Комплекс процессных меропр</w:t>
            </w:r>
            <w:r>
              <w:rPr>
                <w:sz w:val="20"/>
              </w:rPr>
              <w:t xml:space="preserve">иятий "Возмещение ресурсоснабжающим организациям, осуществляющим регулируемый вид деятельности в сфере тепло-, водоснабжения и водоотведения, недополученных доходов в связи с применением понижающих коэффициентов к нормативам потребления коммунальных услуг"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33 804,0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34 302,2</w:t>
            </w:r>
            <w:r/>
          </w:p>
        </w:tc>
        <w:tc>
          <w:tcPr>
            <w:tcW w:w="1304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37 271,7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40 023,6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40 023,6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40 023,6</w:t>
            </w:r>
            <w:r/>
          </w:p>
        </w:tc>
        <w:tc>
          <w:tcPr>
            <w:tcW w:w="1448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225 448,7</w:t>
            </w:r>
            <w:r/>
          </w:p>
        </w:tc>
      </w:tr>
      <w:tr>
        <w:tblPrEx/>
        <w:trPr/>
        <w:tc>
          <w:tcPr>
            <w:tcW w:w="2764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Бюджет автономного округа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27 043,2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34 302,2</w:t>
            </w:r>
            <w:r/>
          </w:p>
        </w:tc>
        <w:tc>
          <w:tcPr>
            <w:tcW w:w="1304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37 271,7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40 023,6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40 023,6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40 023,6</w:t>
            </w:r>
            <w:r/>
          </w:p>
        </w:tc>
        <w:tc>
          <w:tcPr>
            <w:tcW w:w="1448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218 687,9</w:t>
            </w:r>
            <w:r/>
          </w:p>
        </w:tc>
      </w:tr>
      <w:tr>
        <w:tblPrEx/>
        <w:trPr/>
        <w:tc>
          <w:tcPr>
            <w:tcW w:w="2764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Местный бюджет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6 760,8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1304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1448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6 760,8</w:t>
            </w:r>
            <w:r/>
          </w:p>
        </w:tc>
      </w:tr>
      <w:tr>
        <w:tblPrEx/>
        <w:trPr/>
        <w:tc>
          <w:tcPr>
            <w:tcW w:w="2764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5. Комплекс процессных мероприятий "Возмещение ресурсоснабжающим организациям, осущес</w:t>
            </w:r>
            <w:r>
              <w:rPr>
                <w:sz w:val="20"/>
              </w:rPr>
              <w:t xml:space="preserve">твляющим регулируемый вид деятельности в сфере тепло-, водоснабжения и водоотведения, экономически обоснованных расходов в целях соблюдения установленных предельных (максимальных) индексов изменения размера вносимой гражданами платы за коммунальные услуги"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10 138,1</w:t>
            </w:r>
            <w:r/>
          </w:p>
        </w:tc>
        <w:tc>
          <w:tcPr>
            <w:tcW w:w="1304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10 918,1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11 539,9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11 539,9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11 539,9</w:t>
            </w:r>
            <w:r/>
          </w:p>
        </w:tc>
        <w:tc>
          <w:tcPr>
            <w:tcW w:w="1448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55 675,9</w:t>
            </w:r>
            <w:r/>
          </w:p>
        </w:tc>
      </w:tr>
      <w:tr>
        <w:tblPrEx/>
        <w:trPr/>
        <w:tc>
          <w:tcPr>
            <w:tcW w:w="2764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Бюджет автономного округа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10 138,1</w:t>
            </w:r>
            <w:r/>
          </w:p>
        </w:tc>
        <w:tc>
          <w:tcPr>
            <w:tcW w:w="1304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10 918,1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11 539,9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11 539,9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11 539,9</w:t>
            </w:r>
            <w:r/>
          </w:p>
        </w:tc>
        <w:tc>
          <w:tcPr>
            <w:tcW w:w="1448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55 675,9</w:t>
            </w:r>
            <w:r/>
          </w:p>
        </w:tc>
      </w:tr>
      <w:tr>
        <w:tblPrEx/>
        <w:trPr/>
        <w:tc>
          <w:tcPr>
            <w:tcW w:w="2764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6. Комплекс процессных мероприятий "Реконструкция, расширение, модернизация, строительство коммунальных объектов"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39 692,7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87 983,5</w:t>
            </w:r>
            <w:r/>
          </w:p>
        </w:tc>
        <w:tc>
          <w:tcPr>
            <w:tcW w:w="1304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1448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127 676,2</w:t>
            </w:r>
            <w:r/>
          </w:p>
        </w:tc>
      </w:tr>
      <w:tr>
        <w:tblPrEx/>
        <w:trPr/>
        <w:tc>
          <w:tcPr>
            <w:tcW w:w="2764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Местный бюджет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39 692,7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87 983,5</w:t>
            </w:r>
            <w:r/>
          </w:p>
        </w:tc>
        <w:tc>
          <w:tcPr>
            <w:tcW w:w="1304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1448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127 676,2</w:t>
            </w:r>
            <w:r/>
          </w:p>
        </w:tc>
      </w:tr>
      <w:tr>
        <w:tblPrEx/>
        <w:trPr/>
        <w:tc>
          <w:tcPr>
            <w:tcW w:w="2764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7. Комплекс процессных мероприятий "Повышение энергоэффективности в отраслях экономики" (всего), в том числе: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1304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1448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</w:tr>
      <w:tr>
        <w:tblPrEx/>
        <w:trPr/>
        <w:tc>
          <w:tcPr>
            <w:tcW w:w="2764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Местный бюджет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1304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124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1448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</w:tr>
    </w:tbl>
    <w:p>
      <w:pPr>
        <w:pStyle w:val="1232"/>
        <w:jc w:val="right"/>
      </w:pPr>
      <w:r>
        <w:rPr>
          <w:sz w:val="20"/>
        </w:rPr>
      </w:r>
      <w:r/>
    </w:p>
    <w:p>
      <w:pPr>
        <w:pStyle w:val="1234"/>
        <w:jc w:val="center"/>
        <w:outlineLvl w:val="1"/>
      </w:pPr>
      <w:r>
        <w:rPr>
          <w:sz w:val="20"/>
        </w:rPr>
        <w:t xml:space="preserve">Перечень создаваемых объектов на 2026 год и на плановый</w:t>
      </w:r>
      <w:r/>
    </w:p>
    <w:p>
      <w:pPr>
        <w:pStyle w:val="1234"/>
        <w:jc w:val="center"/>
      </w:pPr>
      <w:r>
        <w:rPr>
          <w:sz w:val="20"/>
        </w:rPr>
        <w:t xml:space="preserve">период 2027 - 2030 годов, включая приобретение объектов</w:t>
      </w:r>
      <w:r/>
    </w:p>
    <w:p>
      <w:pPr>
        <w:pStyle w:val="1234"/>
        <w:jc w:val="center"/>
      </w:pPr>
      <w:r>
        <w:rPr>
          <w:sz w:val="20"/>
        </w:rPr>
        <w:t xml:space="preserve">недвижимого имущества, объектов, создаваемых в соответствии</w:t>
      </w:r>
      <w:r/>
    </w:p>
    <w:p>
      <w:pPr>
        <w:pStyle w:val="1234"/>
        <w:jc w:val="center"/>
      </w:pPr>
      <w:r>
        <w:rPr>
          <w:sz w:val="20"/>
        </w:rPr>
        <w:t xml:space="preserve">с соглашениями о государственно-частном партнёрстве,</w:t>
      </w:r>
      <w:r/>
    </w:p>
    <w:p>
      <w:pPr>
        <w:pStyle w:val="1234"/>
        <w:jc w:val="center"/>
      </w:pPr>
      <w:r>
        <w:rPr>
          <w:sz w:val="20"/>
        </w:rPr>
        <w:t xml:space="preserve">муниципально-частном партнёрстве и концессионными</w:t>
      </w:r>
      <w:r/>
    </w:p>
    <w:p>
      <w:pPr>
        <w:pStyle w:val="1234"/>
        <w:jc w:val="center"/>
      </w:pPr>
      <w:r>
        <w:rPr>
          <w:sz w:val="20"/>
        </w:rPr>
        <w:t xml:space="preserve">соглашениями</w:t>
      </w:r>
      <w:r/>
    </w:p>
    <w:p>
      <w:pPr>
        <w:pStyle w:val="1232"/>
        <w:jc w:val="right"/>
      </w:pPr>
      <w:r>
        <w:rPr>
          <w:sz w:val="20"/>
        </w:rPr>
      </w:r>
      <w:r/>
    </w:p>
    <w:tbl>
      <w:tblPr>
        <w:tblW w:w="5000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454"/>
        <w:gridCol w:w="2944"/>
        <w:gridCol w:w="1361"/>
        <w:gridCol w:w="2674"/>
        <w:gridCol w:w="2154"/>
        <w:gridCol w:w="1304"/>
        <w:gridCol w:w="1849"/>
        <w:gridCol w:w="1134"/>
        <w:gridCol w:w="737"/>
        <w:gridCol w:w="737"/>
        <w:gridCol w:w="680"/>
        <w:gridCol w:w="680"/>
        <w:gridCol w:w="1417"/>
        <w:gridCol w:w="1369"/>
        <w:gridCol w:w="1871"/>
      </w:tblGrid>
      <w:tr>
        <w:tblPrEx/>
        <w:trPr/>
        <w:tc>
          <w:tcPr>
            <w:tcW w:w="454" w:type="dxa"/>
            <w:vMerge w:val="restart"/>
            <w:textDirection w:val="lrTb"/>
            <w:noWrap w:val="false"/>
          </w:tcPr>
          <w:p>
            <w:pPr>
              <w:pStyle w:val="1232"/>
              <w:jc w:val="center"/>
            </w:pPr>
            <w:r>
              <w:rPr>
                <w:sz w:val="20"/>
              </w:rPr>
              <w:t xml:space="preserve">N п/п</w:t>
            </w:r>
            <w:r/>
          </w:p>
        </w:tc>
        <w:tc>
          <w:tcPr>
            <w:tcW w:w="2944" w:type="dxa"/>
            <w:vMerge w:val="restart"/>
            <w:textDirection w:val="lrTb"/>
            <w:noWrap w:val="false"/>
          </w:tcPr>
          <w:p>
            <w:pPr>
              <w:pStyle w:val="1232"/>
              <w:jc w:val="center"/>
            </w:pPr>
            <w:r>
              <w:rPr>
                <w:sz w:val="20"/>
              </w:rPr>
              <w:t xml:space="preserve">Наименование объекта</w:t>
            </w:r>
            <w:r/>
          </w:p>
        </w:tc>
        <w:tc>
          <w:tcPr>
            <w:tcW w:w="1361" w:type="dxa"/>
            <w:vMerge w:val="restart"/>
            <w:textDirection w:val="lrTb"/>
            <w:noWrap w:val="false"/>
          </w:tcPr>
          <w:p>
            <w:pPr>
              <w:pStyle w:val="1232"/>
              <w:jc w:val="center"/>
            </w:pPr>
            <w:r>
              <w:rPr>
                <w:sz w:val="20"/>
              </w:rPr>
              <w:t xml:space="preserve">Мощность</w:t>
            </w:r>
            <w:r/>
          </w:p>
        </w:tc>
        <w:tc>
          <w:tcPr>
            <w:tcW w:w="2674" w:type="dxa"/>
            <w:vMerge w:val="restart"/>
            <w:textDirection w:val="lrTb"/>
            <w:noWrap w:val="false"/>
          </w:tcPr>
          <w:p>
            <w:pPr>
              <w:pStyle w:val="1232"/>
              <w:jc w:val="center"/>
            </w:pPr>
            <w:r>
              <w:rPr>
                <w:sz w:val="20"/>
              </w:rPr>
              <w:t xml:space="preserve">Срок строительства, проектирования (характер работ)</w:t>
            </w:r>
            <w:r/>
          </w:p>
        </w:tc>
        <w:tc>
          <w:tcPr>
            <w:tcW w:w="2154" w:type="dxa"/>
            <w:vMerge w:val="restart"/>
            <w:textDirection w:val="lrTb"/>
            <w:noWrap w:val="false"/>
          </w:tcPr>
          <w:p>
            <w:pPr>
              <w:pStyle w:val="1232"/>
              <w:jc w:val="center"/>
            </w:pPr>
            <w:r>
              <w:rPr>
                <w:sz w:val="20"/>
              </w:rPr>
              <w:t xml:space="preserve">Стоимость объекта в ценах соответствующих лет с учетом периода реализации проекта (планируемый объект инвестиций)</w:t>
            </w:r>
            <w:r/>
          </w:p>
        </w:tc>
        <w:tc>
          <w:tcPr>
            <w:tcW w:w="1304" w:type="dxa"/>
            <w:vMerge w:val="restart"/>
            <w:textDirection w:val="lrTb"/>
            <w:noWrap w:val="false"/>
          </w:tcPr>
          <w:p>
            <w:pPr>
              <w:pStyle w:val="1232"/>
              <w:jc w:val="center"/>
            </w:pPr>
            <w:r>
              <w:rPr>
                <w:sz w:val="20"/>
              </w:rPr>
              <w:t xml:space="preserve">Остаток стоимости на 01.01.2026</w:t>
            </w:r>
            <w:r/>
          </w:p>
        </w:tc>
        <w:tc>
          <w:tcPr>
            <w:tcW w:w="1849" w:type="dxa"/>
            <w:vMerge w:val="restart"/>
            <w:textDirection w:val="lrTb"/>
            <w:noWrap w:val="false"/>
          </w:tcPr>
          <w:p>
            <w:pPr>
              <w:pStyle w:val="1232"/>
              <w:jc w:val="center"/>
            </w:pPr>
            <w:r>
              <w:rPr>
                <w:sz w:val="20"/>
              </w:rPr>
              <w:t xml:space="preserve">Источники финансирования</w:t>
            </w:r>
            <w:r/>
          </w:p>
        </w:tc>
        <w:tc>
          <w:tcPr>
            <w:gridSpan w:val="6"/>
            <w:tcW w:w="5385" w:type="dxa"/>
            <w:textDirection w:val="lrTb"/>
            <w:noWrap w:val="false"/>
          </w:tcPr>
          <w:p>
            <w:pPr>
              <w:pStyle w:val="1232"/>
              <w:jc w:val="center"/>
            </w:pPr>
            <w:r>
              <w:rPr>
                <w:sz w:val="20"/>
              </w:rPr>
              <w:t xml:space="preserve">Инвестиции, год</w:t>
            </w:r>
            <w:r/>
          </w:p>
        </w:tc>
        <w:tc>
          <w:tcPr>
            <w:tcW w:w="1369" w:type="dxa"/>
            <w:vMerge w:val="restart"/>
            <w:textDirection w:val="lrTb"/>
            <w:noWrap w:val="false"/>
          </w:tcPr>
          <w:p>
            <w:pPr>
              <w:pStyle w:val="1232"/>
              <w:jc w:val="center"/>
            </w:pPr>
            <w:r>
              <w:rPr>
                <w:sz w:val="20"/>
              </w:rPr>
              <w:t xml:space="preserve">Механизм реализации</w:t>
            </w:r>
            <w:r/>
          </w:p>
        </w:tc>
        <w:tc>
          <w:tcPr>
            <w:tcW w:w="1871" w:type="dxa"/>
            <w:vMerge w:val="restart"/>
            <w:textDirection w:val="lrTb"/>
            <w:noWrap w:val="false"/>
          </w:tcPr>
          <w:p>
            <w:pPr>
              <w:pStyle w:val="1232"/>
              <w:jc w:val="center"/>
            </w:pPr>
            <w:r>
              <w:rPr>
                <w:sz w:val="20"/>
              </w:rPr>
              <w:t xml:space="preserve">Заказчик по строительству (приобретению)</w:t>
            </w:r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1232"/>
              <w:jc w:val="center"/>
            </w:pPr>
            <w:r>
              <w:rPr>
                <w:sz w:val="20"/>
              </w:rPr>
              <w:t xml:space="preserve">2026</w:t>
            </w:r>
            <w:r/>
          </w:p>
        </w:tc>
        <w:tc>
          <w:tcPr>
            <w:tcW w:w="737" w:type="dxa"/>
            <w:textDirection w:val="lrTb"/>
            <w:noWrap w:val="false"/>
          </w:tcPr>
          <w:p>
            <w:pPr>
              <w:pStyle w:val="1232"/>
              <w:jc w:val="center"/>
            </w:pPr>
            <w:r>
              <w:rPr>
                <w:sz w:val="20"/>
              </w:rPr>
              <w:t xml:space="preserve">2027</w:t>
            </w:r>
            <w:r/>
          </w:p>
        </w:tc>
        <w:tc>
          <w:tcPr>
            <w:tcW w:w="737" w:type="dxa"/>
            <w:textDirection w:val="lrTb"/>
            <w:noWrap w:val="false"/>
          </w:tcPr>
          <w:p>
            <w:pPr>
              <w:pStyle w:val="1232"/>
              <w:jc w:val="center"/>
            </w:pPr>
            <w:r>
              <w:rPr>
                <w:sz w:val="20"/>
              </w:rPr>
              <w:t xml:space="preserve">2028</w:t>
            </w:r>
            <w:r/>
          </w:p>
        </w:tc>
        <w:tc>
          <w:tcPr>
            <w:tcW w:w="680" w:type="dxa"/>
            <w:textDirection w:val="lrTb"/>
            <w:noWrap w:val="false"/>
          </w:tcPr>
          <w:p>
            <w:pPr>
              <w:pStyle w:val="1232"/>
              <w:jc w:val="center"/>
            </w:pPr>
            <w:r>
              <w:rPr>
                <w:sz w:val="20"/>
              </w:rPr>
              <w:t xml:space="preserve">2029</w:t>
            </w:r>
            <w:r/>
          </w:p>
        </w:tc>
        <w:tc>
          <w:tcPr>
            <w:tcW w:w="680" w:type="dxa"/>
            <w:textDirection w:val="lrTb"/>
            <w:noWrap w:val="false"/>
          </w:tcPr>
          <w:p>
            <w:pPr>
              <w:pStyle w:val="1232"/>
              <w:jc w:val="center"/>
            </w:pPr>
            <w:r>
              <w:rPr>
                <w:sz w:val="20"/>
              </w:rPr>
              <w:t xml:space="preserve">2030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1232"/>
              <w:jc w:val="center"/>
            </w:pPr>
            <w:r>
              <w:rPr>
                <w:sz w:val="20"/>
              </w:rPr>
              <w:t xml:space="preserve">Итого за период реализации программы 2026 - 2030 гг</w:t>
            </w:r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W w:w="454" w:type="dxa"/>
            <w:textDirection w:val="lrTb"/>
            <w:noWrap w:val="false"/>
          </w:tcPr>
          <w:p>
            <w:pPr>
              <w:pStyle w:val="1232"/>
              <w:jc w:val="center"/>
            </w:pPr>
            <w:r>
              <w:rPr>
                <w:sz w:val="20"/>
              </w:rPr>
              <w:t xml:space="preserve">1</w:t>
            </w:r>
            <w:r/>
          </w:p>
        </w:tc>
        <w:tc>
          <w:tcPr>
            <w:tcW w:w="2944" w:type="dxa"/>
            <w:textDirection w:val="lrTb"/>
            <w:noWrap w:val="false"/>
          </w:tcPr>
          <w:p>
            <w:pPr>
              <w:pStyle w:val="1232"/>
              <w:jc w:val="center"/>
            </w:pPr>
            <w:r>
              <w:rPr>
                <w:sz w:val="20"/>
              </w:rPr>
              <w:t xml:space="preserve">2</w:t>
            </w:r>
            <w:r/>
          </w:p>
        </w:tc>
        <w:tc>
          <w:tcPr>
            <w:tcW w:w="1361" w:type="dxa"/>
            <w:textDirection w:val="lrTb"/>
            <w:noWrap w:val="false"/>
          </w:tcPr>
          <w:p>
            <w:pPr>
              <w:pStyle w:val="1232"/>
              <w:jc w:val="center"/>
            </w:pPr>
            <w:r>
              <w:rPr>
                <w:sz w:val="20"/>
              </w:rPr>
              <w:t xml:space="preserve">3</w:t>
            </w:r>
            <w:r/>
          </w:p>
        </w:tc>
        <w:tc>
          <w:tcPr>
            <w:tcW w:w="2674" w:type="dxa"/>
            <w:textDirection w:val="lrTb"/>
            <w:noWrap w:val="false"/>
          </w:tcPr>
          <w:p>
            <w:pPr>
              <w:pStyle w:val="1232"/>
              <w:jc w:val="center"/>
            </w:pPr>
            <w:r>
              <w:rPr>
                <w:sz w:val="20"/>
              </w:rPr>
              <w:t xml:space="preserve">4</w:t>
            </w:r>
            <w:r/>
          </w:p>
        </w:tc>
        <w:tc>
          <w:tcPr>
            <w:tcW w:w="2154" w:type="dxa"/>
            <w:textDirection w:val="lrTb"/>
            <w:noWrap w:val="false"/>
          </w:tcPr>
          <w:p>
            <w:pPr>
              <w:pStyle w:val="1232"/>
              <w:jc w:val="center"/>
            </w:pPr>
            <w:r>
              <w:rPr>
                <w:sz w:val="20"/>
              </w:rPr>
              <w:t xml:space="preserve">5</w:t>
            </w:r>
            <w:r/>
          </w:p>
        </w:tc>
        <w:tc>
          <w:tcPr>
            <w:tcW w:w="1304" w:type="dxa"/>
            <w:textDirection w:val="lrTb"/>
            <w:noWrap w:val="false"/>
          </w:tcPr>
          <w:p>
            <w:pPr>
              <w:pStyle w:val="1232"/>
              <w:jc w:val="center"/>
            </w:pPr>
            <w:r>
              <w:rPr>
                <w:sz w:val="20"/>
              </w:rPr>
              <w:t xml:space="preserve">6</w:t>
            </w:r>
            <w:r/>
          </w:p>
        </w:tc>
        <w:tc>
          <w:tcPr>
            <w:tcW w:w="1849" w:type="dxa"/>
            <w:textDirection w:val="lrTb"/>
            <w:noWrap w:val="false"/>
          </w:tcPr>
          <w:p>
            <w:pPr>
              <w:pStyle w:val="1232"/>
              <w:jc w:val="center"/>
            </w:pPr>
            <w:r>
              <w:rPr>
                <w:sz w:val="20"/>
              </w:rPr>
              <w:t xml:space="preserve">7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1232"/>
              <w:jc w:val="center"/>
            </w:pPr>
            <w:r>
              <w:rPr>
                <w:sz w:val="20"/>
              </w:rPr>
              <w:t xml:space="preserve">8</w:t>
            </w:r>
            <w:r/>
          </w:p>
        </w:tc>
        <w:tc>
          <w:tcPr>
            <w:tcW w:w="737" w:type="dxa"/>
            <w:textDirection w:val="lrTb"/>
            <w:noWrap w:val="false"/>
          </w:tcPr>
          <w:p>
            <w:pPr>
              <w:pStyle w:val="1232"/>
              <w:jc w:val="center"/>
            </w:pPr>
            <w:r>
              <w:rPr>
                <w:sz w:val="20"/>
              </w:rPr>
              <w:t xml:space="preserve">9</w:t>
            </w:r>
            <w:r/>
          </w:p>
        </w:tc>
        <w:tc>
          <w:tcPr>
            <w:tcW w:w="737" w:type="dxa"/>
            <w:textDirection w:val="lrTb"/>
            <w:noWrap w:val="false"/>
          </w:tcPr>
          <w:p>
            <w:pPr>
              <w:pStyle w:val="1232"/>
              <w:jc w:val="center"/>
            </w:pPr>
            <w:r>
              <w:rPr>
                <w:sz w:val="20"/>
              </w:rPr>
              <w:t xml:space="preserve">10</w:t>
            </w:r>
            <w:r/>
          </w:p>
        </w:tc>
        <w:tc>
          <w:tcPr>
            <w:tcW w:w="680" w:type="dxa"/>
            <w:textDirection w:val="lrTb"/>
            <w:noWrap w:val="false"/>
          </w:tcPr>
          <w:p>
            <w:pPr>
              <w:pStyle w:val="1232"/>
              <w:jc w:val="center"/>
            </w:pPr>
            <w:r>
              <w:rPr>
                <w:sz w:val="20"/>
              </w:rPr>
              <w:t xml:space="preserve">11</w:t>
            </w:r>
            <w:r/>
          </w:p>
        </w:tc>
        <w:tc>
          <w:tcPr>
            <w:tcW w:w="680" w:type="dxa"/>
            <w:textDirection w:val="lrTb"/>
            <w:noWrap w:val="false"/>
          </w:tcPr>
          <w:p>
            <w:pPr>
              <w:pStyle w:val="1232"/>
              <w:jc w:val="center"/>
            </w:pPr>
            <w:r>
              <w:rPr>
                <w:sz w:val="20"/>
              </w:rPr>
              <w:t xml:space="preserve">12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1232"/>
              <w:jc w:val="center"/>
            </w:pPr>
            <w:r>
              <w:rPr>
                <w:sz w:val="20"/>
              </w:rPr>
              <w:t xml:space="preserve">13</w:t>
            </w:r>
            <w:r/>
          </w:p>
        </w:tc>
        <w:tc>
          <w:tcPr>
            <w:tcW w:w="1369" w:type="dxa"/>
            <w:textDirection w:val="lrTb"/>
            <w:noWrap w:val="false"/>
          </w:tcPr>
          <w:p>
            <w:pPr>
              <w:pStyle w:val="1232"/>
              <w:jc w:val="center"/>
            </w:pPr>
            <w:r>
              <w:rPr>
                <w:sz w:val="20"/>
              </w:rPr>
              <w:t xml:space="preserve">14</w:t>
            </w:r>
            <w:r/>
          </w:p>
        </w:tc>
        <w:tc>
          <w:tcPr>
            <w:tcW w:w="1871" w:type="dxa"/>
            <w:textDirection w:val="lrTb"/>
            <w:noWrap w:val="false"/>
          </w:tcPr>
          <w:p>
            <w:pPr>
              <w:pStyle w:val="1232"/>
              <w:jc w:val="center"/>
            </w:pPr>
            <w:r>
              <w:rPr>
                <w:sz w:val="20"/>
              </w:rPr>
              <w:t xml:space="preserve">15</w:t>
            </w:r>
            <w:r/>
          </w:p>
        </w:tc>
      </w:tr>
      <w:tr>
        <w:tblPrEx/>
        <w:trPr/>
        <w:tc>
          <w:tcPr>
            <w:tcW w:w="454" w:type="dxa"/>
            <w:vMerge w:val="restart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</w:r>
            <w:r/>
          </w:p>
        </w:tc>
        <w:tc>
          <w:tcPr>
            <w:gridSpan w:val="5"/>
            <w:tcW w:w="10437" w:type="dxa"/>
            <w:vMerge w:val="restart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Всего, в том числе</w:t>
            </w:r>
            <w:r/>
          </w:p>
        </w:tc>
        <w:tc>
          <w:tcPr>
            <w:tcW w:w="1849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Всего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87 983,5</w:t>
            </w:r>
            <w:r/>
          </w:p>
        </w:tc>
        <w:tc>
          <w:tcPr>
            <w:tcW w:w="73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73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680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680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87 983,5</w:t>
            </w:r>
            <w:r/>
          </w:p>
        </w:tc>
        <w:tc>
          <w:tcPr>
            <w:tcW w:w="1369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</w:r>
            <w:r/>
          </w:p>
        </w:tc>
        <w:tc>
          <w:tcPr>
            <w:tcW w:w="1871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</w:r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5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849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Федеральный бюджет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73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73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680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680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1369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</w:r>
            <w:r/>
          </w:p>
        </w:tc>
        <w:tc>
          <w:tcPr>
            <w:tcW w:w="1871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</w:r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5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849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Бюджет автономного округа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73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73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680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680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1369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</w:r>
            <w:r/>
          </w:p>
        </w:tc>
        <w:tc>
          <w:tcPr>
            <w:tcW w:w="1871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</w:r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5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849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Местный бюджет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87 983,5</w:t>
            </w:r>
            <w:r/>
          </w:p>
        </w:tc>
        <w:tc>
          <w:tcPr>
            <w:tcW w:w="73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73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680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680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87 983,5</w:t>
            </w:r>
            <w:r/>
          </w:p>
        </w:tc>
        <w:tc>
          <w:tcPr>
            <w:tcW w:w="1369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</w:r>
            <w:r/>
          </w:p>
        </w:tc>
        <w:tc>
          <w:tcPr>
            <w:tcW w:w="1871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</w:r>
            <w:r/>
          </w:p>
        </w:tc>
      </w:tr>
      <w:tr>
        <w:tblPrEx/>
        <w:trPr/>
        <w:tc>
          <w:tcPr>
            <w:tcW w:w="454" w:type="dxa"/>
            <w:vMerge w:val="restart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</w:r>
            <w:r/>
          </w:p>
        </w:tc>
        <w:tc>
          <w:tcPr>
            <w:gridSpan w:val="5"/>
            <w:tcW w:w="10437" w:type="dxa"/>
            <w:vMerge w:val="restart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Всего по разделу 1</w:t>
            </w:r>
            <w:r/>
          </w:p>
        </w:tc>
        <w:tc>
          <w:tcPr>
            <w:tcW w:w="1849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Всего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73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73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680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680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1369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</w:r>
            <w:r/>
          </w:p>
        </w:tc>
        <w:tc>
          <w:tcPr>
            <w:tcW w:w="1871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</w:r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5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849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Федеральный бюджет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73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73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680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680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1369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</w:r>
            <w:r/>
          </w:p>
        </w:tc>
        <w:tc>
          <w:tcPr>
            <w:tcW w:w="1871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</w:r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5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849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Бюджет автономного округа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73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73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680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680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1369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</w:r>
            <w:r/>
          </w:p>
        </w:tc>
        <w:tc>
          <w:tcPr>
            <w:tcW w:w="1871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</w:r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5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849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Местный бюджет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73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73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680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680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1369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</w:r>
            <w:r/>
          </w:p>
        </w:tc>
        <w:tc>
          <w:tcPr>
            <w:tcW w:w="1871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</w:r>
            <w:r/>
          </w:p>
        </w:tc>
      </w:tr>
      <w:tr>
        <w:tblPrEx/>
        <w:trPr/>
        <w:tc>
          <w:tcPr>
            <w:tcW w:w="454" w:type="dxa"/>
            <w:vMerge w:val="restart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1</w:t>
            </w:r>
            <w:r/>
          </w:p>
        </w:tc>
        <w:tc>
          <w:tcPr>
            <w:tcW w:w="2944" w:type="dxa"/>
            <w:vMerge w:val="restart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Реконструкция инженерно-технических средств охраны объекта:</w:t>
            </w:r>
            <w:r/>
          </w:p>
          <w:p>
            <w:pPr>
              <w:pStyle w:val="1232"/>
            </w:pPr>
            <w:r>
              <w:rPr>
                <w:sz w:val="20"/>
              </w:rPr>
              <w:t xml:space="preserve">Котельная "Таежная"</w:t>
            </w:r>
            <w:r/>
          </w:p>
        </w:tc>
        <w:tc>
          <w:tcPr>
            <w:tcW w:w="1361" w:type="dxa"/>
            <w:vMerge w:val="restart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610 м</w:t>
            </w:r>
            <w:r/>
          </w:p>
        </w:tc>
        <w:tc>
          <w:tcPr>
            <w:tcW w:w="2674" w:type="dxa"/>
            <w:vMerge w:val="restart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2024 - 2026</w:t>
            </w:r>
            <w:r/>
          </w:p>
          <w:p>
            <w:pPr>
              <w:pStyle w:val="1232"/>
            </w:pPr>
            <w:r>
              <w:rPr>
                <w:sz w:val="20"/>
              </w:rPr>
              <w:t xml:space="preserve">реконструкция</w:t>
            </w:r>
            <w:r/>
          </w:p>
        </w:tc>
        <w:tc>
          <w:tcPr>
            <w:tcW w:w="2154" w:type="dxa"/>
            <w:vMerge w:val="restart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53 269,46</w:t>
            </w:r>
            <w:r/>
          </w:p>
        </w:tc>
        <w:tc>
          <w:tcPr>
            <w:tcW w:w="1304" w:type="dxa"/>
            <w:vMerge w:val="restart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15 073,1</w:t>
            </w:r>
            <w:r/>
          </w:p>
        </w:tc>
        <w:tc>
          <w:tcPr>
            <w:tcW w:w="1849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Всего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15 073,1</w:t>
            </w:r>
            <w:r/>
          </w:p>
        </w:tc>
        <w:tc>
          <w:tcPr>
            <w:tcW w:w="73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73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680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680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15 073,1</w:t>
            </w:r>
            <w:r/>
          </w:p>
        </w:tc>
        <w:tc>
          <w:tcPr>
            <w:tcW w:w="1369" w:type="dxa"/>
            <w:vMerge w:val="restart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Прямые инвестиции (местный бюджет)</w:t>
            </w:r>
            <w:r/>
          </w:p>
        </w:tc>
        <w:tc>
          <w:tcPr>
            <w:tcW w:w="1871" w:type="dxa"/>
            <w:vMerge w:val="restart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МКУ УКС г. Пыть-Ях</w:t>
            </w:r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849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Федеральный бюджет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73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73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680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680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849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Бюджет автономного округа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73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73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680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680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849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Местный бюджет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15 073,1</w:t>
            </w:r>
            <w:r/>
          </w:p>
        </w:tc>
        <w:tc>
          <w:tcPr>
            <w:tcW w:w="73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73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680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680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15 073,1</w:t>
            </w:r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W w:w="454" w:type="dxa"/>
            <w:vMerge w:val="restart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2</w:t>
            </w:r>
            <w:r/>
          </w:p>
        </w:tc>
        <w:tc>
          <w:tcPr>
            <w:tcW w:w="2944" w:type="dxa"/>
            <w:vMerge w:val="restart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Реконструкция объекта капитального строительства: "Канализационно-насосная станция КНС-3Г в мкр. N 3 "Кедровый" в г. Пыть-Ях</w:t>
            </w:r>
            <w:r/>
          </w:p>
        </w:tc>
        <w:tc>
          <w:tcPr>
            <w:tcW w:w="1361" w:type="dxa"/>
            <w:vMerge w:val="restart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28800 куб. м/ сутки</w:t>
            </w:r>
            <w:r/>
          </w:p>
        </w:tc>
        <w:tc>
          <w:tcPr>
            <w:tcW w:w="2674" w:type="dxa"/>
            <w:vMerge w:val="restart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2023 - 2026, разработка проектно-сметной документации</w:t>
            </w:r>
            <w:r/>
          </w:p>
        </w:tc>
        <w:tc>
          <w:tcPr>
            <w:tcW w:w="2154" w:type="dxa"/>
            <w:vMerge w:val="restart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7 913,9</w:t>
            </w:r>
            <w:r/>
          </w:p>
        </w:tc>
        <w:tc>
          <w:tcPr>
            <w:tcW w:w="1304" w:type="dxa"/>
            <w:vMerge w:val="restart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7 913,9</w:t>
            </w:r>
            <w:r/>
          </w:p>
        </w:tc>
        <w:tc>
          <w:tcPr>
            <w:tcW w:w="1849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Всего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7 913,9</w:t>
            </w:r>
            <w:r/>
          </w:p>
        </w:tc>
        <w:tc>
          <w:tcPr>
            <w:tcW w:w="73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73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680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680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7 913,9</w:t>
            </w:r>
            <w:r/>
          </w:p>
        </w:tc>
        <w:tc>
          <w:tcPr>
            <w:tcW w:w="1369" w:type="dxa"/>
            <w:vMerge w:val="restart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Прямые инвестиции (местный бюджет)</w:t>
            </w:r>
            <w:r/>
          </w:p>
        </w:tc>
        <w:tc>
          <w:tcPr>
            <w:tcW w:w="1871" w:type="dxa"/>
            <w:vMerge w:val="restart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МКУ УКС г. Пыть-Ях</w:t>
            </w:r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849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Федеральный бюджет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73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73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680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680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849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Бюджет автономного округа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73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73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680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680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849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Местный бюджет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7 913,9</w:t>
            </w:r>
            <w:r/>
          </w:p>
        </w:tc>
        <w:tc>
          <w:tcPr>
            <w:tcW w:w="73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73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680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680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7 913,9</w:t>
            </w:r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W w:w="454" w:type="dxa"/>
            <w:vMerge w:val="restart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3</w:t>
            </w:r>
            <w:r/>
          </w:p>
        </w:tc>
        <w:tc>
          <w:tcPr>
            <w:tcW w:w="2944" w:type="dxa"/>
            <w:vMerge w:val="restart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Строительство газопровода от пункта редуцирования газа блочного типа (ГРПБ Пыть-Ях) до точки врезки в газопровод диаметром 720 мм высокого давления II категории</w:t>
            </w:r>
            <w:r/>
          </w:p>
        </w:tc>
        <w:tc>
          <w:tcPr>
            <w:tcW w:w="1361" w:type="dxa"/>
            <w:vMerge w:val="restart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42000 м3/час</w:t>
            </w:r>
            <w:r/>
          </w:p>
        </w:tc>
        <w:tc>
          <w:tcPr>
            <w:tcW w:w="2674" w:type="dxa"/>
            <w:vMerge w:val="restart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2024 - 2026, разработка проектной, рабочей, сметной документации и строительно-монтажные работы</w:t>
            </w:r>
            <w:r/>
          </w:p>
        </w:tc>
        <w:tc>
          <w:tcPr>
            <w:tcW w:w="2154" w:type="dxa"/>
            <w:vMerge w:val="restart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19 100,00</w:t>
            </w:r>
            <w:r/>
          </w:p>
        </w:tc>
        <w:tc>
          <w:tcPr>
            <w:tcW w:w="1304" w:type="dxa"/>
            <w:vMerge w:val="restart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19 100,00</w:t>
            </w:r>
            <w:r/>
          </w:p>
        </w:tc>
        <w:tc>
          <w:tcPr>
            <w:tcW w:w="1849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Всего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15 200,0</w:t>
            </w:r>
            <w:r/>
          </w:p>
        </w:tc>
        <w:tc>
          <w:tcPr>
            <w:tcW w:w="73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73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680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680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15 200,0</w:t>
            </w:r>
            <w:r/>
          </w:p>
        </w:tc>
        <w:tc>
          <w:tcPr>
            <w:tcW w:w="1369" w:type="dxa"/>
            <w:vMerge w:val="restart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Прямые инвестиции (местный бюджет)</w:t>
            </w:r>
            <w:r/>
          </w:p>
        </w:tc>
        <w:tc>
          <w:tcPr>
            <w:tcW w:w="1871" w:type="dxa"/>
            <w:vMerge w:val="restart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МКУ УКС г. Пыть-Ях</w:t>
            </w:r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849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Федеральный бюджет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73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73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680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680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849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Бюджет автономного округа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73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73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680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680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849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Местный бюджет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15 200,0</w:t>
            </w:r>
            <w:r/>
          </w:p>
        </w:tc>
        <w:tc>
          <w:tcPr>
            <w:tcW w:w="73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73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680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680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15 200,0</w:t>
            </w:r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W w:w="454" w:type="dxa"/>
            <w:vMerge w:val="restart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4</w:t>
            </w:r>
            <w:r/>
          </w:p>
        </w:tc>
        <w:tc>
          <w:tcPr>
            <w:tcW w:w="2944" w:type="dxa"/>
            <w:vMerge w:val="restart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Ликвидация скважин N 5, N 6, N 7 на ВОС-1, зона (массив) Северо-Восточная промышленная, улица Первопроходцев г. Пыть-Ях"; "Ликвидация скважин N 8, N 9, N 16, N 19, N 20 на ВОС-3, микрорайон 10 Мамонтово г. Пыть-Ях";</w:t>
            </w:r>
            <w:r/>
          </w:p>
          <w:p>
            <w:pPr>
              <w:pStyle w:val="1232"/>
            </w:pPr>
            <w:r>
              <w:rPr>
                <w:sz w:val="20"/>
              </w:rPr>
              <w:t xml:space="preserve">"Строительство артезианских скважин N 5, N 6, N 7 на ВОС-1, зона (массив) Северо-Восточная промышленная, улица Первопроходцев г. Пыть-Ях"; "Строительство скважин N 8, N 9, N 16, N 19, N 20 на ВОС-3, микрорайон 10 Мамонтово г. Пыть-Ях</w:t>
            </w:r>
            <w:r/>
          </w:p>
        </w:tc>
        <w:tc>
          <w:tcPr>
            <w:tcW w:w="1361" w:type="dxa"/>
            <w:vMerge w:val="restart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Х</w:t>
            </w:r>
            <w:r/>
          </w:p>
        </w:tc>
        <w:tc>
          <w:tcPr>
            <w:tcW w:w="2674" w:type="dxa"/>
            <w:vMerge w:val="restart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2024 - 2026, разработка проектной, рабочей, сметной документации</w:t>
            </w:r>
            <w:r/>
          </w:p>
        </w:tc>
        <w:tc>
          <w:tcPr>
            <w:tcW w:w="2154" w:type="dxa"/>
            <w:vMerge w:val="restart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250 496,5</w:t>
            </w:r>
            <w:r/>
          </w:p>
        </w:tc>
        <w:tc>
          <w:tcPr>
            <w:tcW w:w="1304" w:type="dxa"/>
            <w:vMerge w:val="restart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250 496,5</w:t>
            </w:r>
            <w:r/>
          </w:p>
        </w:tc>
        <w:tc>
          <w:tcPr>
            <w:tcW w:w="1849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Всего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9 609,0</w:t>
            </w:r>
            <w:r/>
          </w:p>
        </w:tc>
        <w:tc>
          <w:tcPr>
            <w:tcW w:w="73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73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680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680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9 609,0</w:t>
            </w:r>
            <w:r/>
          </w:p>
        </w:tc>
        <w:tc>
          <w:tcPr>
            <w:tcW w:w="1369" w:type="dxa"/>
            <w:vMerge w:val="restart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Прямые инвестиции (местный бюджет)</w:t>
            </w:r>
            <w:r/>
          </w:p>
        </w:tc>
        <w:tc>
          <w:tcPr>
            <w:tcW w:w="1871" w:type="dxa"/>
            <w:vMerge w:val="restart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МКУ УКС г. Пыть-Ях</w:t>
            </w:r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849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Федеральный бюджет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73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73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680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680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849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Бюджет автономного округа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73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73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680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680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849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Местный бюджет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9 609,0</w:t>
            </w:r>
            <w:r/>
          </w:p>
        </w:tc>
        <w:tc>
          <w:tcPr>
            <w:tcW w:w="73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73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680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680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9 609,0</w:t>
            </w:r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W w:w="454" w:type="dxa"/>
            <w:vMerge w:val="restart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5</w:t>
            </w:r>
            <w:r/>
          </w:p>
        </w:tc>
        <w:tc>
          <w:tcPr>
            <w:tcW w:w="2944" w:type="dxa"/>
            <w:vMerge w:val="restart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Реконструкция инженерно-технических средств охраны объекта:</w:t>
            </w:r>
            <w:r/>
          </w:p>
          <w:p>
            <w:pPr>
              <w:pStyle w:val="1232"/>
            </w:pPr>
            <w:r>
              <w:rPr>
                <w:sz w:val="20"/>
              </w:rPr>
              <w:t xml:space="preserve">Котельная "Мамонтовская"</w:t>
            </w:r>
            <w:r/>
          </w:p>
        </w:tc>
        <w:tc>
          <w:tcPr>
            <w:tcW w:w="1361" w:type="dxa"/>
            <w:vMerge w:val="restart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Х</w:t>
            </w:r>
            <w:r/>
          </w:p>
        </w:tc>
        <w:tc>
          <w:tcPr>
            <w:tcW w:w="2674" w:type="dxa"/>
            <w:vMerge w:val="restart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2024 - 2026 реконструкция</w:t>
            </w:r>
            <w:r/>
          </w:p>
        </w:tc>
        <w:tc>
          <w:tcPr>
            <w:tcW w:w="2154" w:type="dxa"/>
            <w:vMerge w:val="restart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25 107,5</w:t>
            </w:r>
            <w:r/>
          </w:p>
        </w:tc>
        <w:tc>
          <w:tcPr>
            <w:tcW w:w="1304" w:type="dxa"/>
            <w:vMerge w:val="restart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25 107,5</w:t>
            </w:r>
            <w:r/>
          </w:p>
        </w:tc>
        <w:tc>
          <w:tcPr>
            <w:tcW w:w="1849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Всего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25 107,5</w:t>
            </w:r>
            <w:r/>
          </w:p>
        </w:tc>
        <w:tc>
          <w:tcPr>
            <w:tcW w:w="73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73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680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680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25 107,5</w:t>
            </w:r>
            <w:r/>
          </w:p>
        </w:tc>
        <w:tc>
          <w:tcPr>
            <w:tcW w:w="1369" w:type="dxa"/>
            <w:vMerge w:val="restart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Прямые инвестиции (местный бюджет)</w:t>
            </w:r>
            <w:r/>
          </w:p>
        </w:tc>
        <w:tc>
          <w:tcPr>
            <w:tcW w:w="1871" w:type="dxa"/>
            <w:vMerge w:val="restart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МКУ УКС г. Пыть-Ях</w:t>
            </w:r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849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Федеральный бюджет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73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73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680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680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849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Бюджет автономного округа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73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73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680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680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849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Местный бюджет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25 107,5</w:t>
            </w:r>
            <w:r/>
          </w:p>
        </w:tc>
        <w:tc>
          <w:tcPr>
            <w:tcW w:w="73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73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680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680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25 107,5</w:t>
            </w:r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W w:w="454" w:type="dxa"/>
            <w:vMerge w:val="restart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6</w:t>
            </w:r>
            <w:r/>
          </w:p>
        </w:tc>
        <w:tc>
          <w:tcPr>
            <w:tcW w:w="2944" w:type="dxa"/>
            <w:vMerge w:val="restart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Реконструкция ВОС-1 (2 очередь) в г. Пыть-Яхе</w:t>
            </w:r>
            <w:r/>
          </w:p>
        </w:tc>
        <w:tc>
          <w:tcPr>
            <w:tcW w:w="1361" w:type="dxa"/>
            <w:vMerge w:val="restart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</w:r>
            <w:r/>
          </w:p>
        </w:tc>
        <w:tc>
          <w:tcPr>
            <w:tcW w:w="2674" w:type="dxa"/>
            <w:vMerge w:val="restart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2024 - 2026</w:t>
            </w:r>
            <w:r/>
          </w:p>
          <w:p>
            <w:pPr>
              <w:pStyle w:val="1232"/>
            </w:pPr>
            <w:r>
              <w:rPr>
                <w:sz w:val="20"/>
              </w:rPr>
              <w:t xml:space="preserve">Разработка проектной документации</w:t>
            </w:r>
            <w:r/>
          </w:p>
        </w:tc>
        <w:tc>
          <w:tcPr>
            <w:tcW w:w="2154" w:type="dxa"/>
            <w:vMerge w:val="restart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14 580,0</w:t>
            </w:r>
            <w:r/>
          </w:p>
        </w:tc>
        <w:tc>
          <w:tcPr>
            <w:tcW w:w="1304" w:type="dxa"/>
            <w:vMerge w:val="restart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14 580,0</w:t>
            </w:r>
            <w:r/>
          </w:p>
        </w:tc>
        <w:tc>
          <w:tcPr>
            <w:tcW w:w="1849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Всего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14 580,0</w:t>
            </w:r>
            <w:r/>
          </w:p>
        </w:tc>
        <w:tc>
          <w:tcPr>
            <w:tcW w:w="73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73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680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680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14 580,0</w:t>
            </w:r>
            <w:r/>
          </w:p>
        </w:tc>
        <w:tc>
          <w:tcPr>
            <w:tcW w:w="1369" w:type="dxa"/>
            <w:vMerge w:val="restart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Прямые инвестиции (местный бюджет)</w:t>
            </w:r>
            <w:r/>
          </w:p>
        </w:tc>
        <w:tc>
          <w:tcPr>
            <w:tcW w:w="1871" w:type="dxa"/>
            <w:vMerge w:val="restart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МКУ УКС г. Пыть-Ях</w:t>
            </w:r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849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Федеральный бюджет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73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73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680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680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849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Бюджет автономного округа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73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73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680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680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849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Местный бюджет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14 580,0</w:t>
            </w:r>
            <w:r/>
          </w:p>
        </w:tc>
        <w:tc>
          <w:tcPr>
            <w:tcW w:w="73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73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680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680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14 580,0</w:t>
            </w:r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W w:w="454" w:type="dxa"/>
            <w:vMerge w:val="restart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7.</w:t>
            </w:r>
            <w:r/>
          </w:p>
        </w:tc>
        <w:tc>
          <w:tcPr>
            <w:tcW w:w="2944" w:type="dxa"/>
            <w:vMerge w:val="restart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Корректировка проектной документации в рамках экспертного сопровождения по объекту: "Реконструкция ВОС-3 в г. Пыть-Ях"</w:t>
            </w:r>
            <w:r/>
          </w:p>
        </w:tc>
        <w:tc>
          <w:tcPr>
            <w:tcW w:w="1361" w:type="dxa"/>
            <w:vMerge w:val="restart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</w:r>
            <w:r/>
          </w:p>
        </w:tc>
        <w:tc>
          <w:tcPr>
            <w:tcW w:w="2674" w:type="dxa"/>
            <w:vMerge w:val="restart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2025 - 2026</w:t>
            </w:r>
            <w:r/>
          </w:p>
          <w:p>
            <w:pPr>
              <w:pStyle w:val="1232"/>
            </w:pPr>
            <w:r>
              <w:rPr>
                <w:sz w:val="20"/>
              </w:rPr>
              <w:t xml:space="preserve">Разработка проектной документации</w:t>
            </w:r>
            <w:r/>
          </w:p>
        </w:tc>
        <w:tc>
          <w:tcPr>
            <w:tcW w:w="2154" w:type="dxa"/>
            <w:vMerge w:val="restart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500,0</w:t>
            </w:r>
            <w:r/>
          </w:p>
        </w:tc>
        <w:tc>
          <w:tcPr>
            <w:tcW w:w="1304" w:type="dxa"/>
            <w:vMerge w:val="restart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500,0</w:t>
            </w:r>
            <w:r/>
          </w:p>
        </w:tc>
        <w:tc>
          <w:tcPr>
            <w:tcW w:w="1849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Всего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500,0</w:t>
            </w:r>
            <w:r/>
          </w:p>
        </w:tc>
        <w:tc>
          <w:tcPr>
            <w:tcW w:w="73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73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680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680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500,0</w:t>
            </w:r>
            <w:r/>
          </w:p>
        </w:tc>
        <w:tc>
          <w:tcPr>
            <w:tcW w:w="1369" w:type="dxa"/>
            <w:vMerge w:val="restart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</w:r>
            <w:r/>
          </w:p>
        </w:tc>
        <w:tc>
          <w:tcPr>
            <w:tcW w:w="1871" w:type="dxa"/>
            <w:vMerge w:val="restart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</w:r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849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Федеральный бюджет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73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73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680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680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849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Бюджет автономного округа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73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73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680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680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1849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Местный бюджет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500,0</w:t>
            </w:r>
            <w:r/>
          </w:p>
        </w:tc>
        <w:tc>
          <w:tcPr>
            <w:tcW w:w="73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73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680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680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0,0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500,0</w:t>
            </w:r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</w:tr>
    </w:tbl>
    <w:p>
      <w:pPr>
        <w:sectPr>
          <w:headerReference w:type="default" r:id="rId10"/>
          <w:headerReference w:type="first" r:id="rId11"/>
          <w:footerReference w:type="default" r:id="rId16"/>
          <w:footerReference w:type="first" r:id="rId17"/>
          <w:footnotePr/>
          <w:endnotePr/>
          <w:type w:val="nextPage"/>
          <w:pgSz w:w="16838" w:h="11906" w:orient="landscape"/>
          <w:pgMar w:top="1133" w:right="397" w:bottom="566" w:left="397" w:header="0" w:footer="0" w:gutter="0"/>
          <w:cols w:num="1" w:sep="0" w:space="1701" w:equalWidth="1"/>
          <w:docGrid w:linePitch="360"/>
          <w:titlePg/>
        </w:sectPr>
      </w:pPr>
      <w:r/>
      <w:r/>
    </w:p>
    <w:p>
      <w:pPr>
        <w:pStyle w:val="1232"/>
        <w:jc w:val="center"/>
      </w:pPr>
      <w:r>
        <w:rPr>
          <w:sz w:val="20"/>
        </w:rPr>
      </w:r>
      <w:r/>
    </w:p>
    <w:p>
      <w:pPr>
        <w:pStyle w:val="1234"/>
        <w:jc w:val="center"/>
        <w:outlineLvl w:val="1"/>
      </w:pPr>
      <w:r>
        <w:rPr>
          <w:sz w:val="20"/>
        </w:rPr>
        <w:t xml:space="preserve">Адресный перечень общественных территорий, нуждающихся</w:t>
      </w:r>
      <w:r/>
    </w:p>
    <w:p>
      <w:pPr>
        <w:pStyle w:val="1234"/>
        <w:jc w:val="center"/>
      </w:pPr>
      <w:r>
        <w:rPr>
          <w:sz w:val="20"/>
        </w:rPr>
        <w:t xml:space="preserve">в благоустройстве на 2025 - 2026 годы</w:t>
      </w:r>
      <w:r/>
    </w:p>
    <w:p>
      <w:pPr>
        <w:pStyle w:val="1232"/>
        <w:ind w:firstLine="540"/>
        <w:jc w:val="both"/>
      </w:pPr>
      <w:r>
        <w:rPr>
          <w:sz w:val="20"/>
        </w:rPr>
      </w:r>
      <w:r/>
    </w:p>
    <w:tbl>
      <w:tblPr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567"/>
        <w:gridCol w:w="7200"/>
        <w:gridCol w:w="1304"/>
      </w:tblGrid>
      <w:tr>
        <w:tblPrEx/>
        <w:trPr/>
        <w:tc>
          <w:tcPr>
            <w:tcW w:w="567" w:type="dxa"/>
            <w:textDirection w:val="lrTb"/>
            <w:noWrap w:val="false"/>
          </w:tcPr>
          <w:p>
            <w:pPr>
              <w:pStyle w:val="1232"/>
              <w:jc w:val="center"/>
            </w:pPr>
            <w:r>
              <w:rPr>
                <w:sz w:val="20"/>
              </w:rPr>
              <w:t xml:space="preserve">N п/п</w:t>
            </w:r>
            <w:r/>
          </w:p>
        </w:tc>
        <w:tc>
          <w:tcPr>
            <w:tcW w:w="7200" w:type="dxa"/>
            <w:textDirection w:val="lrTb"/>
            <w:noWrap w:val="false"/>
          </w:tcPr>
          <w:p>
            <w:pPr>
              <w:pStyle w:val="1232"/>
              <w:jc w:val="center"/>
            </w:pPr>
            <w:r>
              <w:rPr>
                <w:sz w:val="20"/>
              </w:rPr>
              <w:t xml:space="preserve">Наименование общественных территорий</w:t>
            </w:r>
            <w:r/>
          </w:p>
        </w:tc>
        <w:tc>
          <w:tcPr>
            <w:tcW w:w="1304" w:type="dxa"/>
            <w:textDirection w:val="lrTb"/>
            <w:noWrap w:val="false"/>
          </w:tcPr>
          <w:p>
            <w:pPr>
              <w:pStyle w:val="1232"/>
              <w:jc w:val="center"/>
            </w:pPr>
            <w:r>
              <w:rPr>
                <w:sz w:val="20"/>
              </w:rPr>
              <w:t xml:space="preserve">Срок реализации</w:t>
            </w:r>
            <w:r/>
          </w:p>
        </w:tc>
      </w:tr>
      <w:tr>
        <w:tblPrEx/>
        <w:trPr/>
        <w:tc>
          <w:tcPr>
            <w:tcW w:w="56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1</w:t>
            </w:r>
            <w:r/>
          </w:p>
        </w:tc>
        <w:tc>
          <w:tcPr>
            <w:tcW w:w="7200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Общественная территория в 1 микрорайоне Центральный на ул. Первопроходцев</w:t>
            </w:r>
            <w:r/>
          </w:p>
        </w:tc>
        <w:tc>
          <w:tcPr>
            <w:tcW w:w="1304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2025</w:t>
            </w:r>
            <w:r/>
          </w:p>
        </w:tc>
      </w:tr>
      <w:tr>
        <w:tblPrEx/>
        <w:trPr/>
        <w:tc>
          <w:tcPr>
            <w:tcW w:w="56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2</w:t>
            </w:r>
            <w:r/>
          </w:p>
        </w:tc>
        <w:tc>
          <w:tcPr>
            <w:tcW w:w="7200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Благоустройство ул. Первопроходцев (2 этап)</w:t>
            </w:r>
            <w:r/>
          </w:p>
        </w:tc>
        <w:tc>
          <w:tcPr>
            <w:tcW w:w="1304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2026</w:t>
            </w:r>
            <w:r/>
          </w:p>
        </w:tc>
      </w:tr>
      <w:tr>
        <w:tblPrEx/>
        <w:trPr/>
        <w:tc>
          <w:tcPr>
            <w:tcW w:w="567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3</w:t>
            </w:r>
            <w:r/>
          </w:p>
        </w:tc>
        <w:tc>
          <w:tcPr>
            <w:tcW w:w="7200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Благоустройство общественной территории по адресу: г. Пыть-Ях, мкр. 6 Пионерный, ул. Магистральная</w:t>
            </w:r>
            <w:r/>
          </w:p>
        </w:tc>
        <w:tc>
          <w:tcPr>
            <w:tcW w:w="1304" w:type="dxa"/>
            <w:textDirection w:val="lrTb"/>
            <w:noWrap w:val="false"/>
          </w:tcPr>
          <w:p>
            <w:pPr>
              <w:pStyle w:val="1232"/>
            </w:pPr>
            <w:r>
              <w:rPr>
                <w:sz w:val="20"/>
              </w:rPr>
              <w:t xml:space="preserve">2027</w:t>
            </w:r>
            <w:r/>
          </w:p>
        </w:tc>
      </w:tr>
    </w:tbl>
    <w:p>
      <w:pPr>
        <w:pStyle w:val="1232"/>
        <w:ind w:firstLine="540"/>
        <w:jc w:val="both"/>
      </w:pPr>
      <w:r>
        <w:rPr>
          <w:sz w:val="20"/>
        </w:rPr>
      </w:r>
      <w:r/>
    </w:p>
    <w:p>
      <w:pPr>
        <w:pStyle w:val="1232"/>
        <w:ind w:firstLine="540"/>
        <w:jc w:val="both"/>
      </w:pPr>
      <w:r>
        <w:rPr>
          <w:sz w:val="20"/>
        </w:rPr>
      </w:r>
      <w:r/>
    </w:p>
    <w:p>
      <w:pPr>
        <w:pStyle w:val="1232"/>
        <w:jc w:val="both"/>
        <w:spacing w:before="100" w:after="100"/>
        <w:rPr>
          <w:sz w:val="2"/>
          <w:szCs w:val="2"/>
        </w:rPr>
        <w:pBdr>
          <w:bottom w:val="single" w:color="000000" w:sz="6" w:space="0"/>
        </w:pBdr>
      </w:pPr>
      <w:r>
        <w:rPr>
          <w:sz w:val="2"/>
          <w:szCs w:val="2"/>
        </w:rPr>
      </w:r>
      <w:r>
        <w:rPr>
          <w:sz w:val="2"/>
          <w:szCs w:val="2"/>
        </w:rPr>
      </w:r>
    </w:p>
    <w:sectPr>
      <w:headerReference w:type="default" r:id="rId12"/>
      <w:headerReference w:type="first" r:id="rId13"/>
      <w:footerReference w:type="default" r:id="rId18"/>
      <w:footerReference w:type="first" r:id="rId19"/>
      <w:footnotePr/>
      <w:endnotePr/>
      <w:type w:val="nextPage"/>
      <w:pgSz w:w="11906" w:h="16838" w:orient="portrait"/>
      <w:pgMar w:top="1440" w:right="566" w:bottom="1440" w:left="1133" w:header="0" w:footer="0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ourier New">
    <w:panose1 w:val="020703090202050204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tbl>
    <w:tblPr>
      <w:tblW w:w="5000" w:type="pct"/>
      <w:tblInd w:w="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>
      <w:tblPrEx/>
      <w:trPr>
        <w:trHeight w:val="1663" w:hRule="exact"/>
      </w:trPr>
      <w:tc>
        <w:tcPr>
          <w:tcW w:w="1650" w:type="pct"/>
          <w:vAlign w:val="center"/>
          <w:textDirection w:val="lrTb"/>
          <w:noWrap w:val="false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  <w:r/>
        </w:p>
      </w:tc>
      <w:tc>
        <w:tcPr>
          <w:tcW w:w="1700" w:type="pct"/>
          <w:vAlign w:val="center"/>
          <w:textDirection w:val="lrTb"/>
          <w:noWrap w:val="false"/>
        </w:tcPr>
        <w:p>
          <w:pPr>
            <w:jc w:val="center"/>
          </w:pPr>
          <w:r/>
          <w:hyperlink r:id="rId1" w:tooltip="https://www.consultant.ru" w:history="1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  <w:r/>
          <w:r/>
        </w:p>
      </w:tc>
      <w:tc>
        <w:tcPr>
          <w:tcW w:w="1650" w:type="pct"/>
          <w:vAlign w:val="center"/>
          <w:textDirection w:val="lrTb"/>
          <w:noWrap w:val="false"/>
        </w:tcPr>
        <w:p>
          <w:pPr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/>
        </w:p>
      </w:tc>
    </w:tr>
  </w:tbl>
  <w:p>
    <w:r>
      <w:rPr>
        <w:sz w:val="2"/>
        <w:szCs w:val="2"/>
      </w:rPr>
      <w:t xml:space="preserve">1</w:t>
    </w: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tbl>
    <w:tblPr>
      <w:tblW w:w="5000" w:type="pct"/>
      <w:tblInd w:w="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>
      <w:tblPrEx/>
      <w:trPr>
        <w:trHeight w:val="1663" w:hRule="exact"/>
      </w:trPr>
      <w:tc>
        <w:tcPr>
          <w:tcW w:w="1650" w:type="pct"/>
          <w:vAlign w:val="center"/>
          <w:textDirection w:val="lrTb"/>
          <w:noWrap w:val="false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  <w:r/>
        </w:p>
      </w:tc>
      <w:tc>
        <w:tcPr>
          <w:tcW w:w="1700" w:type="pct"/>
          <w:vAlign w:val="center"/>
          <w:textDirection w:val="lrTb"/>
          <w:noWrap w:val="false"/>
        </w:tcPr>
        <w:p>
          <w:pPr>
            <w:jc w:val="center"/>
          </w:pPr>
          <w:r/>
          <w:hyperlink r:id="rId1" w:tooltip="https://www.consultant.ru" w:history="1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  <w:r/>
          <w:r/>
        </w:p>
      </w:tc>
      <w:tc>
        <w:tcPr>
          <w:tcW w:w="1650" w:type="pct"/>
          <w:vAlign w:val="center"/>
          <w:textDirection w:val="lrTb"/>
          <w:noWrap w:val="false"/>
        </w:tcPr>
        <w:p>
          <w:pPr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/>
        </w:p>
      </w:tc>
    </w:tr>
  </w:tbl>
  <w:p>
    <w:r>
      <w:rPr>
        <w:sz w:val="2"/>
        <w:szCs w:val="2"/>
      </w:rPr>
      <w:t xml:space="preserve">1</w:t>
    </w:r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tbl>
    <w:tblPr>
      <w:tblW w:w="5000" w:type="pct"/>
      <w:tblInd w:w="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>
      <w:tblPrEx/>
      <w:trPr>
        <w:trHeight w:val="1170" w:hRule="exact"/>
      </w:trPr>
      <w:tc>
        <w:tcPr>
          <w:tcW w:w="1650" w:type="pct"/>
          <w:vAlign w:val="center"/>
          <w:textDirection w:val="lrTb"/>
          <w:noWrap w:val="false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  <w:r/>
        </w:p>
      </w:tc>
      <w:tc>
        <w:tcPr>
          <w:tcW w:w="1700" w:type="pct"/>
          <w:vAlign w:val="center"/>
          <w:textDirection w:val="lrTb"/>
          <w:noWrap w:val="false"/>
        </w:tcPr>
        <w:p>
          <w:pPr>
            <w:jc w:val="center"/>
          </w:pPr>
          <w:r/>
          <w:hyperlink r:id="rId1" w:tooltip="https://www.consultant.ru" w:history="1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  <w:r/>
          <w:r/>
        </w:p>
      </w:tc>
      <w:tc>
        <w:tcPr>
          <w:tcW w:w="1650" w:type="pct"/>
          <w:vAlign w:val="center"/>
          <w:textDirection w:val="lrTb"/>
          <w:noWrap w:val="false"/>
        </w:tcPr>
        <w:p>
          <w:pPr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/>
        </w:p>
      </w:tc>
    </w:tr>
  </w:tbl>
  <w:p>
    <w:r>
      <w:rPr>
        <w:sz w:val="2"/>
        <w:szCs w:val="2"/>
      </w:rPr>
      <w:t xml:space="preserve">1</w:t>
    </w:r>
    <w:r/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tbl>
    <w:tblPr>
      <w:tblW w:w="5000" w:type="pct"/>
      <w:tblInd w:w="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>
      <w:tblPrEx/>
      <w:trPr>
        <w:trHeight w:val="1170" w:hRule="exact"/>
      </w:trPr>
      <w:tc>
        <w:tcPr>
          <w:tcW w:w="1650" w:type="pct"/>
          <w:vAlign w:val="center"/>
          <w:textDirection w:val="lrTb"/>
          <w:noWrap w:val="false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  <w:r/>
        </w:p>
      </w:tc>
      <w:tc>
        <w:tcPr>
          <w:tcW w:w="1700" w:type="pct"/>
          <w:vAlign w:val="center"/>
          <w:textDirection w:val="lrTb"/>
          <w:noWrap w:val="false"/>
        </w:tcPr>
        <w:p>
          <w:pPr>
            <w:jc w:val="center"/>
          </w:pPr>
          <w:r/>
          <w:hyperlink r:id="rId1" w:tooltip="https://www.consultant.ru" w:history="1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  <w:r/>
          <w:r/>
        </w:p>
      </w:tc>
      <w:tc>
        <w:tcPr>
          <w:tcW w:w="1650" w:type="pct"/>
          <w:vAlign w:val="center"/>
          <w:textDirection w:val="lrTb"/>
          <w:noWrap w:val="false"/>
        </w:tcPr>
        <w:p>
          <w:pPr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/>
        </w:p>
      </w:tc>
    </w:tr>
  </w:tbl>
  <w:p>
    <w:r>
      <w:rPr>
        <w:sz w:val="2"/>
        <w:szCs w:val="2"/>
      </w:rPr>
      <w:t xml:space="preserve">1</w:t>
    </w:r>
    <w:r/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tbl>
    <w:tblPr>
      <w:tblW w:w="5000" w:type="pct"/>
      <w:tblInd w:w="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>
      <w:tblPrEx/>
      <w:trPr>
        <w:trHeight w:val="1663" w:hRule="exact"/>
      </w:trPr>
      <w:tc>
        <w:tcPr>
          <w:tcW w:w="1650" w:type="pct"/>
          <w:vAlign w:val="center"/>
          <w:textDirection w:val="lrTb"/>
          <w:noWrap w:val="false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  <w:r/>
        </w:p>
      </w:tc>
      <w:tc>
        <w:tcPr>
          <w:tcW w:w="1700" w:type="pct"/>
          <w:vAlign w:val="center"/>
          <w:textDirection w:val="lrTb"/>
          <w:noWrap w:val="false"/>
        </w:tcPr>
        <w:p>
          <w:pPr>
            <w:jc w:val="center"/>
          </w:pPr>
          <w:r/>
          <w:hyperlink r:id="rId1" w:tooltip="https://www.consultant.ru" w:history="1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  <w:r/>
          <w:r/>
        </w:p>
      </w:tc>
      <w:tc>
        <w:tcPr>
          <w:tcW w:w="1650" w:type="pct"/>
          <w:vAlign w:val="center"/>
          <w:textDirection w:val="lrTb"/>
          <w:noWrap w:val="false"/>
        </w:tcPr>
        <w:p>
          <w:pPr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/>
        </w:p>
      </w:tc>
    </w:tr>
  </w:tbl>
  <w:p>
    <w:r>
      <w:rPr>
        <w:sz w:val="2"/>
        <w:szCs w:val="2"/>
      </w:rPr>
      <w:t xml:space="preserve">1</w:t>
    </w:r>
    <w:r/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tbl>
    <w:tblPr>
      <w:tblW w:w="5000" w:type="pct"/>
      <w:tblInd w:w="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>
      <w:tblPrEx/>
      <w:trPr>
        <w:trHeight w:val="1663" w:hRule="exact"/>
      </w:trPr>
      <w:tc>
        <w:tcPr>
          <w:tcW w:w="1650" w:type="pct"/>
          <w:vAlign w:val="center"/>
          <w:textDirection w:val="lrTb"/>
          <w:noWrap w:val="false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</w:rPr>
            <w:t xml:space="preserve">КонсультантПлюс</w:t>
          </w:r>
          <w:r>
            <w:rPr>
              <w:rFonts w:ascii="Tahoma" w:hAnsi="Tahoma" w:cs="Tahoma"/>
              <w:b/>
              <w:sz w:val="16"/>
              <w:szCs w:val="16"/>
            </w:rPr>
            <w:br/>
            <w:t xml:space="preserve">надежная правовая поддержка</w:t>
          </w:r>
          <w:r/>
        </w:p>
      </w:tc>
      <w:tc>
        <w:tcPr>
          <w:tcW w:w="1700" w:type="pct"/>
          <w:vAlign w:val="center"/>
          <w:textDirection w:val="lrTb"/>
          <w:noWrap w:val="false"/>
        </w:tcPr>
        <w:p>
          <w:pPr>
            <w:jc w:val="center"/>
          </w:pPr>
          <w:r/>
          <w:hyperlink r:id="rId1" w:tooltip="https://www.consultant.ru" w:history="1">
            <w:r>
              <w:rPr>
                <w:rFonts w:ascii="Tahoma" w:hAnsi="Tahoma" w:cs="Tahoma"/>
                <w:b/>
                <w:color w:val="0000ff"/>
              </w:rPr>
              <w:t xml:space="preserve">www.consultant.ru</w:t>
            </w:r>
          </w:hyperlink>
          <w:r/>
          <w:r/>
        </w:p>
      </w:tc>
      <w:tc>
        <w:tcPr>
          <w:tcW w:w="1650" w:type="pct"/>
          <w:vAlign w:val="center"/>
          <w:textDirection w:val="lrTb"/>
          <w:noWrap w:val="false"/>
        </w:tcPr>
        <w:p>
          <w:pPr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PAGE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 xml:space="preserve">NUMPAGES</w:instrText>
          </w:r>
          <w:r>
            <w:fldChar w:fldCharType="separate"/>
          </w:r>
          <w:r>
            <w:rPr>
              <w:rFonts w:ascii="Tahoma" w:hAnsi="Tahoma" w:cs="Tahoma"/>
            </w:rPr>
            <w:t xml:space="preserve">5</w:t>
          </w:r>
          <w:r>
            <w:fldChar w:fldCharType="end"/>
          </w:r>
          <w:r/>
        </w:p>
      </w:tc>
    </w:tr>
  </w:tbl>
  <w:p>
    <w:r>
      <w:rPr>
        <w:sz w:val="2"/>
        <w:szCs w:val="2"/>
      </w:rPr>
      <w:t xml:space="preserve">1</w: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Ind w:w="0" w:type="dxa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>
      <w:tblPrEx/>
      <w:trPr>
        <w:trHeight w:val="1683" w:hRule="exact"/>
      </w:trPr>
      <w:tc>
        <w:tcPr>
          <w:tcW w:w="2700" w:type="pct"/>
          <w:vAlign w:val="center"/>
          <w:textDirection w:val="lrTb"/>
          <w:noWrap w:val="false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Администрации города Пыть-Яха от 13.07.2026 N 194-па</w:t>
            <w:br/>
            <w:t xml:space="preserve">"О внесении изменений в постановление администрации о...</w:t>
          </w:r>
          <w:r>
            <w:rPr>
              <w:rFonts w:ascii="Tahoma" w:hAnsi="Tahoma" w:cs="Tahoma"/>
            </w:rPr>
          </w:r>
        </w:p>
      </w:tc>
      <w:tc>
        <w:tcPr>
          <w:tcW w:w="2300" w:type="pct"/>
          <w:vAlign w:val="center"/>
          <w:textDirection w:val="lrTb"/>
          <w:noWrap w:val="false"/>
        </w:tcPr>
        <w:p>
          <w:pPr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16.07.2026</w:t>
          </w:r>
          <w:r>
            <w:rPr>
              <w:rFonts w:ascii="Tahoma" w:hAnsi="Tahoma" w:cs="Tahoma"/>
            </w:rPr>
          </w:r>
        </w:p>
      </w:tc>
    </w:tr>
  </w:tbl>
  <w:p>
    <w:pPr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p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Ind w:w="0" w:type="dxa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>
      <w:tblPrEx/>
      <w:trPr>
        <w:trHeight w:val="1683" w:hRule="exact"/>
      </w:trPr>
      <w:tc>
        <w:tcPr>
          <w:tcW w:w="2700" w:type="pct"/>
          <w:vAlign w:val="center"/>
          <w:textDirection w:val="lrTb"/>
          <w:noWrap w:val="false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Администрации города Пыть-Яха от 13.07.2026 N 194-па</w:t>
            <w:br/>
            <w:t xml:space="preserve">"О внесении изменений в постановление администрации о...</w:t>
          </w:r>
          <w:r>
            <w:rPr>
              <w:rFonts w:ascii="Tahoma" w:hAnsi="Tahoma" w:cs="Tahoma"/>
            </w:rPr>
          </w:r>
        </w:p>
      </w:tc>
      <w:tc>
        <w:tcPr>
          <w:tcW w:w="2300" w:type="pct"/>
          <w:vAlign w:val="center"/>
          <w:textDirection w:val="lrTb"/>
          <w:noWrap w:val="false"/>
        </w:tcPr>
        <w:p>
          <w:pPr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16.07.2026</w:t>
          </w:r>
          <w:r>
            <w:rPr>
              <w:rFonts w:ascii="Tahoma" w:hAnsi="Tahoma" w:cs="Tahoma"/>
            </w:rPr>
          </w:r>
        </w:p>
      </w:tc>
    </w:tr>
  </w:tbl>
  <w:p>
    <w:pPr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p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Ind w:w="0" w:type="dxa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>
      <w:tblPrEx/>
      <w:trPr>
        <w:trHeight w:val="1190" w:hRule="exact"/>
      </w:trPr>
      <w:tc>
        <w:tcPr>
          <w:tcW w:w="2700" w:type="pct"/>
          <w:vAlign w:val="center"/>
          <w:textDirection w:val="lrTb"/>
          <w:noWrap w:val="false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Администрации города Пыть-Яха от 13.07.2026 N 194-па</w:t>
            <w:br/>
            <w:t xml:space="preserve">"О внесении изменений в постановление администрации о...</w:t>
          </w:r>
          <w:r>
            <w:rPr>
              <w:rFonts w:ascii="Tahoma" w:hAnsi="Tahoma" w:cs="Tahoma"/>
            </w:rPr>
          </w:r>
        </w:p>
      </w:tc>
      <w:tc>
        <w:tcPr>
          <w:tcW w:w="2300" w:type="pct"/>
          <w:vAlign w:val="center"/>
          <w:textDirection w:val="lrTb"/>
          <w:noWrap w:val="false"/>
        </w:tcPr>
        <w:p>
          <w:pPr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16.07.2026</w:t>
          </w:r>
          <w:r>
            <w:rPr>
              <w:rFonts w:ascii="Tahoma" w:hAnsi="Tahoma" w:cs="Tahoma"/>
            </w:rPr>
          </w:r>
        </w:p>
      </w:tc>
    </w:tr>
  </w:tbl>
  <w:p>
    <w:pPr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p>
    <w:r/>
    <w:r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Ind w:w="0" w:type="dxa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>
      <w:tblPrEx/>
      <w:trPr>
        <w:trHeight w:val="1190" w:hRule="exact"/>
      </w:trPr>
      <w:tc>
        <w:tcPr>
          <w:tcW w:w="2700" w:type="pct"/>
          <w:vAlign w:val="center"/>
          <w:textDirection w:val="lrTb"/>
          <w:noWrap w:val="false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Администрации города Пыть-Яха от 13.07.2026 N 194-па</w:t>
            <w:br/>
            <w:t xml:space="preserve">"О внесении изменений в постановление администрации о...</w:t>
          </w:r>
          <w:r>
            <w:rPr>
              <w:rFonts w:ascii="Tahoma" w:hAnsi="Tahoma" w:cs="Tahoma"/>
            </w:rPr>
          </w:r>
        </w:p>
      </w:tc>
      <w:tc>
        <w:tcPr>
          <w:tcW w:w="2300" w:type="pct"/>
          <w:vAlign w:val="center"/>
          <w:textDirection w:val="lrTb"/>
          <w:noWrap w:val="false"/>
        </w:tcPr>
        <w:p>
          <w:pPr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16.07.2026</w:t>
          </w:r>
          <w:r>
            <w:rPr>
              <w:rFonts w:ascii="Tahoma" w:hAnsi="Tahoma" w:cs="Tahoma"/>
            </w:rPr>
          </w:r>
        </w:p>
      </w:tc>
    </w:tr>
  </w:tbl>
  <w:p>
    <w:pPr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p>
    <w:r/>
    <w:r/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Ind w:w="0" w:type="dxa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>
      <w:tblPrEx/>
      <w:trPr>
        <w:trHeight w:val="1683" w:hRule="exact"/>
      </w:trPr>
      <w:tc>
        <w:tcPr>
          <w:tcW w:w="2700" w:type="pct"/>
          <w:vAlign w:val="center"/>
          <w:textDirection w:val="lrTb"/>
          <w:noWrap w:val="false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Администрации города Пыть-Яха от 13.07.2026 N 194-па</w:t>
            <w:br/>
            <w:t xml:space="preserve">"О внесении изменений в постановление администрации о...</w:t>
          </w:r>
          <w:r>
            <w:rPr>
              <w:rFonts w:ascii="Tahoma" w:hAnsi="Tahoma" w:cs="Tahoma"/>
            </w:rPr>
          </w:r>
        </w:p>
      </w:tc>
      <w:tc>
        <w:tcPr>
          <w:tcW w:w="2300" w:type="pct"/>
          <w:vAlign w:val="center"/>
          <w:textDirection w:val="lrTb"/>
          <w:noWrap w:val="false"/>
        </w:tcPr>
        <w:p>
          <w:pPr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16.07.2026</w:t>
          </w:r>
          <w:r>
            <w:rPr>
              <w:rFonts w:ascii="Tahoma" w:hAnsi="Tahoma" w:cs="Tahoma"/>
            </w:rPr>
          </w:r>
        </w:p>
      </w:tc>
    </w:tr>
  </w:tbl>
  <w:p>
    <w:pPr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p>
    <w:r/>
    <w:r/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tblInd w:w="0" w:type="dxa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1"/>
      <w:gridCol w:w="1"/>
    </w:tblGrid>
    <w:tr>
      <w:tblPrEx/>
      <w:trPr>
        <w:trHeight w:val="1683" w:hRule="exact"/>
      </w:trPr>
      <w:tc>
        <w:tcPr>
          <w:tcW w:w="2700" w:type="pct"/>
          <w:vAlign w:val="center"/>
          <w:textDirection w:val="lrTb"/>
          <w:noWrap w:val="false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Администрации города Пыть-Яха от 13.07.2026 N 194-па</w:t>
            <w:br/>
            <w:t xml:space="preserve">"О внесении изменений в постановление администрации о...</w:t>
          </w:r>
          <w:r>
            <w:rPr>
              <w:rFonts w:ascii="Tahoma" w:hAnsi="Tahoma" w:cs="Tahoma"/>
            </w:rPr>
          </w:r>
        </w:p>
      </w:tc>
      <w:tc>
        <w:tcPr>
          <w:tcW w:w="2300" w:type="pct"/>
          <w:vAlign w:val="center"/>
          <w:textDirection w:val="lrTb"/>
          <w:noWrap w:val="false"/>
        </w:tcPr>
        <w:p>
          <w:pPr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 xml:space="preserve"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16.07.2026</w:t>
          </w:r>
          <w:r>
            <w:rPr>
              <w:rFonts w:ascii="Tahoma" w:hAnsi="Tahoma" w:cs="Tahoma"/>
            </w:rPr>
          </w:r>
        </w:p>
      </w:tc>
    </w:tr>
  </w:tbl>
  <w:p>
    <w:pPr>
      <w:rPr>
        <w:sz w:val="2"/>
        <w:szCs w:val="2"/>
      </w:rPr>
      <w:pBdr>
        <w:bottom w:val="single" w:color="000000" w:sz="12" w:space="0"/>
      </w:pBdr>
    </w:pPr>
    <w:r>
      <w:rPr>
        <w:sz w:val="2"/>
        <w:szCs w:val="2"/>
      </w:rPr>
    </w:r>
    <w:r>
      <w:rPr>
        <w:sz w:val="2"/>
        <w:szCs w:val="2"/>
      </w:rPr>
    </w:r>
  </w:p>
  <w:p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0">
    <w:name w:val="Normal"/>
    <w:qFormat/>
  </w:style>
  <w:style w:type="paragraph" w:styleId="13">
    <w:name w:val="Heading 1"/>
    <w:basedOn w:val="10"/>
    <w:next w:val="10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10"/>
    <w:next w:val="10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10"/>
    <w:next w:val="10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10"/>
    <w:next w:val="10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10"/>
    <w:next w:val="10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10"/>
    <w:next w:val="10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10"/>
    <w:next w:val="10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10"/>
    <w:next w:val="10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10"/>
    <w:next w:val="10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10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10"/>
    <w:next w:val="10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10"/>
    <w:next w:val="10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10"/>
    <w:next w:val="10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10"/>
    <w:next w:val="10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10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10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10"/>
    <w:next w:val="10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10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10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10"/>
    <w:next w:val="10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10"/>
    <w:next w:val="10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10"/>
    <w:next w:val="10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10"/>
    <w:next w:val="10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10"/>
    <w:next w:val="10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10"/>
    <w:next w:val="10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10"/>
    <w:next w:val="10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10"/>
    <w:next w:val="10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10"/>
    <w:next w:val="10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10"/>
    <w:next w:val="10"/>
    <w:uiPriority w:val="99"/>
    <w:unhideWhenUsed/>
    <w:pPr>
      <w:spacing w:after="0" w:afterAutospacing="0"/>
    </w:pPr>
  </w:style>
  <w:style w:type="paragraph" w:styleId="1232" w:default="1" w:customStyle="1">
    <w:name w:val="ConsPlusNormal"/>
    <w:pPr>
      <w:widowControl w:val="off"/>
    </w:pPr>
    <w:rPr>
      <w:rFonts w:ascii="Arial" w:hAnsi="Arial" w:cs="Arial"/>
      <w:sz w:val="20"/>
      <w:lang w:val="ru-RU" w:eastAsia="ru-RU" w:bidi="ar-SA"/>
    </w:rPr>
  </w:style>
  <w:style w:type="paragraph" w:styleId="1233" w:customStyle="1">
    <w:name w:val="ConsPlusNonformat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1234" w:customStyle="1">
    <w:name w:val="ConsPlusTitle"/>
    <w:pPr>
      <w:widowControl w:val="off"/>
    </w:pPr>
    <w:rPr>
      <w:rFonts w:ascii="Arial" w:hAnsi="Arial" w:cs="Arial"/>
      <w:b/>
      <w:sz w:val="20"/>
      <w:lang w:val="ru-RU" w:eastAsia="ru-RU" w:bidi="ar-SA"/>
    </w:rPr>
  </w:style>
  <w:style w:type="paragraph" w:styleId="1235" w:customStyle="1">
    <w:name w:val="ConsPlusCell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1236" w:customStyle="1">
    <w:name w:val="ConsPlusDocList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1237" w:customStyle="1">
    <w:name w:val="ConsPlusTitlePage"/>
    <w:pPr>
      <w:widowControl w:val="off"/>
    </w:pPr>
    <w:rPr>
      <w:rFonts w:ascii="Tahoma" w:hAnsi="Tahoma" w:cs="Tahoma"/>
      <w:sz w:val="20"/>
      <w:lang w:val="ru-RU" w:eastAsia="ru-RU" w:bidi="ar-SA"/>
    </w:rPr>
  </w:style>
  <w:style w:type="paragraph" w:styleId="1238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1239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1240" w:customStyle="1">
    <w:name w:val="ConsPlusTextList"/>
    <w:pPr>
      <w:widowControl w:val="off"/>
    </w:pPr>
    <w:rPr>
      <w:rFonts w:ascii="Arial" w:hAnsi="Arial" w:cs="Arial"/>
      <w:sz w:val="20"/>
      <w:lang w:val="ru-RU" w:eastAsia="ru-RU" w:bidi="ar-SA"/>
    </w:rPr>
  </w:style>
  <w:style w:type="paragraph" w:styleId="1241" w:customStyle="1">
    <w:name w:val="ConsPlusTextList"/>
    <w:pPr>
      <w:widowControl w:val="off"/>
    </w:pPr>
    <w:rPr>
      <w:rFonts w:ascii="Arial" w:hAnsi="Arial" w:cs="Arial"/>
      <w:sz w:val="20"/>
      <w:lang w:val="ru-RU" w:eastAsia="ru-RU" w:bidi="ar-SA"/>
    </w:rPr>
  </w:style>
  <w:style w:type="character" w:styleId="9501" w:default="1">
    <w:name w:val="Default Paragraph Font"/>
    <w:uiPriority w:val="1"/>
    <w:semiHidden/>
    <w:unhideWhenUsed/>
  </w:style>
  <w:style w:type="numbering" w:styleId="9502" w:default="1">
    <w:name w:val="No List"/>
    <w:uiPriority w:val="99"/>
    <w:semiHidden/>
    <w:unhideWhenUsed/>
  </w:style>
  <w:style w:type="table" w:styleId="9503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header" Target="header6.xml" /><Relationship Id="rId14" Type="http://schemas.openxmlformats.org/officeDocument/2006/relationships/footer" Target="footer1.xml" /><Relationship Id="rId15" Type="http://schemas.openxmlformats.org/officeDocument/2006/relationships/footer" Target="footer2.xml" /><Relationship Id="rId16" Type="http://schemas.openxmlformats.org/officeDocument/2006/relationships/footer" Target="footer3.xml" /><Relationship Id="rId17" Type="http://schemas.openxmlformats.org/officeDocument/2006/relationships/footer" Target="footer4.xml" /><Relationship Id="rId18" Type="http://schemas.openxmlformats.org/officeDocument/2006/relationships/footer" Target="footer5.xml" /><Relationship Id="rId19" Type="http://schemas.openxmlformats.org/officeDocument/2006/relationships/footer" Target="footer6.xml" /><Relationship Id="rId20" Type="http://schemas.openxmlformats.org/officeDocument/2006/relationships/hyperlink" Target="https://login.consultant.ru/link/?req=doc&amp;base=LAW&amp;n=475991" TargetMode="External"/><Relationship Id="rId21" Type="http://schemas.openxmlformats.org/officeDocument/2006/relationships/hyperlink" Target="https://login.consultant.ru/link/?req=doc&amp;base=RLAW926&amp;n=349857" TargetMode="External"/><Relationship Id="rId22" Type="http://schemas.openxmlformats.org/officeDocument/2006/relationships/hyperlink" Target="https://login.consultant.ru/link/?req=doc&amp;base=RLAW926&amp;n=340502" TargetMode="External"/><Relationship Id="rId23" Type="http://schemas.openxmlformats.org/officeDocument/2006/relationships/hyperlink" Target="https://login.consultant.ru/link/?req=doc&amp;base=RLAW926&amp;n=349250" TargetMode="External"/><Relationship Id="rId24" Type="http://schemas.openxmlformats.org/officeDocument/2006/relationships/hyperlink" Target="https://login.consultant.ru/link/?req=doc&amp;base=RLAW926&amp;n=332416" TargetMode="External"/><Relationship Id="rId25" Type="http://schemas.openxmlformats.org/officeDocument/2006/relationships/hyperlink" Target="https://login.consultant.ru/link/?req=doc&amp;base=RLAW926&amp;n=353412" TargetMode="External"/><Relationship Id="rId26" Type="http://schemas.openxmlformats.org/officeDocument/2006/relationships/hyperlink" Target="https://login.consultant.ru/link/?req=doc&amp;base=RLAW926&amp;n=353412&amp;dst=103011" TargetMode="External"/><Relationship Id="rId27" Type="http://schemas.openxmlformats.org/officeDocument/2006/relationships/hyperlink" Target="https://login.consultant.ru/link/?req=doc&amp;base=RLAW926&amp;n=353412&amp;dst=103546" TargetMode="External"/><Relationship Id="rId28" Type="http://schemas.openxmlformats.org/officeDocument/2006/relationships/hyperlink" Target="https://login.consultant.ru/link/?req=doc&amp;base=RLAW926&amp;n=353412&amp;dst=103553" TargetMode="External"/><Relationship Id="rId29" Type="http://schemas.openxmlformats.org/officeDocument/2006/relationships/hyperlink" Target="https://login.consultant.ru/link/?req=doc&amp;base=RLAW926&amp;n=353412&amp;dst=103763" TargetMode="External"/><Relationship Id="rId30" Type="http://schemas.openxmlformats.org/officeDocument/2006/relationships/hyperlink" Target="https://login.consultant.ru/link/?req=doc&amp;base=RLAW926&amp;n=353412&amp;dst=104068" TargetMode="External"/><Relationship Id="rId31" Type="http://schemas.openxmlformats.org/officeDocument/2006/relationships/hyperlink" Target="https://login.consultant.ru/link/?req=doc&amp;base=RLAW926&amp;n=353412&amp;dst=103011" TargetMode="External"/><Relationship Id="rId32" Type="http://schemas.openxmlformats.org/officeDocument/2006/relationships/hyperlink" Target="https://login.consultant.ru/link/?req=doc&amp;base=RLAW926&amp;n=353412&amp;dst=103546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КонсультантПлюс Версия 4026.00.02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города Пыть-Яха от 13.07.2026 N 194-па
"О внесении изменений в постановление администрации от 29.12.2023 N 390-па "Об утверждении муниципальной программы "Жилищно-коммунальный комплекс и городская среда города Пыть-Яха" (в ред. от 28.12.2024 N 318-па, от 21.04.2025 N 103-па, от 04.02.2026 N 30-па, от 26.05.2026 N 153-па)"</dc:title>
  <cp:lastModifiedBy>ParfenovaTM</cp:lastModifiedBy>
  <cp:revision>1</cp:revision>
  <dcterms:created xsi:type="dcterms:W3CDTF">2026-07-16T09:28:55Z</dcterms:created>
  <dcterms:modified xsi:type="dcterms:W3CDTF">2026-07-16T09:44:33Z</dcterms:modified>
</cp:coreProperties>
</file>