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D4" w:rsidRDefault="003D64D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64D4" w:rsidRDefault="003D64D4">
      <w:pPr>
        <w:pStyle w:val="ConsPlusNormal"/>
        <w:outlineLvl w:val="0"/>
      </w:pPr>
    </w:p>
    <w:p w:rsidR="003D64D4" w:rsidRDefault="003D64D4">
      <w:pPr>
        <w:pStyle w:val="ConsPlusTitle"/>
        <w:jc w:val="center"/>
      </w:pPr>
      <w:r>
        <w:t>ДУМА ГОРОДА ПЫТЬ-ЯХА</w:t>
      </w:r>
    </w:p>
    <w:p w:rsidR="003D64D4" w:rsidRDefault="003D64D4">
      <w:pPr>
        <w:pStyle w:val="ConsPlusTitle"/>
        <w:jc w:val="center"/>
      </w:pPr>
      <w:r>
        <w:t>СЕДЬМОГО СОЗЫВА</w:t>
      </w:r>
    </w:p>
    <w:p w:rsidR="003D64D4" w:rsidRDefault="003D64D4">
      <w:pPr>
        <w:pStyle w:val="ConsPlusTitle"/>
        <w:jc w:val="center"/>
      </w:pPr>
    </w:p>
    <w:p w:rsidR="003D64D4" w:rsidRDefault="003D64D4">
      <w:pPr>
        <w:pStyle w:val="ConsPlusTitle"/>
        <w:jc w:val="center"/>
      </w:pPr>
      <w:r>
        <w:t>РЕШЕНИЕ</w:t>
      </w:r>
    </w:p>
    <w:p w:rsidR="003D64D4" w:rsidRDefault="003D64D4">
      <w:pPr>
        <w:pStyle w:val="ConsPlusTitle"/>
        <w:jc w:val="center"/>
      </w:pPr>
      <w:r>
        <w:t>от 5 марта 2024 г. N 239</w:t>
      </w:r>
    </w:p>
    <w:p w:rsidR="003D64D4" w:rsidRDefault="003D64D4">
      <w:pPr>
        <w:pStyle w:val="ConsPlusTitle"/>
        <w:jc w:val="center"/>
      </w:pPr>
    </w:p>
    <w:p w:rsidR="003D64D4" w:rsidRDefault="003D64D4">
      <w:pPr>
        <w:pStyle w:val="ConsPlusTitle"/>
        <w:jc w:val="center"/>
      </w:pPr>
      <w:r>
        <w:t>О ВНЕСЕНИИ ИЗМЕНЕНИЙ В РЕШЕНИЕ ДУМЫ ГОРОДА ПЫТЬ-ЯХА</w:t>
      </w:r>
    </w:p>
    <w:p w:rsidR="003D64D4" w:rsidRDefault="003D64D4">
      <w:pPr>
        <w:pStyle w:val="ConsPlusTitle"/>
        <w:jc w:val="center"/>
      </w:pPr>
      <w:r>
        <w:t>ОТ 12.10.2021 N 8 "ОБ УТВЕРЖДЕНИИ ПОЛОЖЕНИЯ О МУНИЦИПАЛЬНОМ</w:t>
      </w:r>
    </w:p>
    <w:p w:rsidR="003D64D4" w:rsidRDefault="003D64D4">
      <w:pPr>
        <w:pStyle w:val="ConsPlusTitle"/>
        <w:jc w:val="center"/>
      </w:pPr>
      <w:r>
        <w:t>КОНТРОЛЕ НА АВТОМОБИЛЬНОМ ТРАНСПОРТЕ, ГОРОДСКОМ НАЗЕМНОМ</w:t>
      </w:r>
    </w:p>
    <w:p w:rsidR="003D64D4" w:rsidRDefault="003D64D4">
      <w:pPr>
        <w:pStyle w:val="ConsPlusTitle"/>
        <w:jc w:val="center"/>
      </w:pPr>
      <w:r>
        <w:t>ЭЛЕКТРИЧЕСКОМ ТРАНСПОРТЕ И В ДОРОЖНОМ ХОЗЯЙСТВЕ В ГРАНИЦАХ</w:t>
      </w:r>
    </w:p>
    <w:p w:rsidR="003D64D4" w:rsidRDefault="003D64D4">
      <w:pPr>
        <w:pStyle w:val="ConsPlusTitle"/>
        <w:jc w:val="center"/>
      </w:pPr>
      <w:r>
        <w:t>ГОРОДА ПЫТЬ-ЯХА" (В РЕД. ОТ 15.07.2022 N 92)</w:t>
      </w:r>
    </w:p>
    <w:p w:rsidR="003D64D4" w:rsidRDefault="003D64D4">
      <w:pPr>
        <w:pStyle w:val="ConsPlusNormal"/>
        <w:jc w:val="center"/>
      </w:pPr>
    </w:p>
    <w:p w:rsidR="003D64D4" w:rsidRDefault="003D64D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52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пунктами 11.5</w:t>
        </w:r>
      </w:hyperlink>
      <w:r>
        <w:t xml:space="preserve">, </w:t>
      </w:r>
      <w:hyperlink r:id="rId7">
        <w:r>
          <w:rPr>
            <w:color w:val="0000FF"/>
          </w:rPr>
          <w:t>11.6</w:t>
        </w:r>
      </w:hyperlink>
      <w:r>
        <w:t xml:space="preserve"> постановления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города Пыть-Яха, утвержденное решением Думы города Пыть-Яха от 12.10.2021 N 8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Пыть-Яха" (в ред. от 15.07.2022 N 92), следующие изменения: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Абзац третий пункта 23 раздела III</w:t>
        </w:r>
      </w:hyperlink>
      <w:r>
        <w:t xml:space="preserve"> изложить в следующей редакции: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 xml:space="preserve">"При проведении профилактического визита контролируемым лицам не могут выдаваться предписания, за исключением случаев, предусмотренных </w:t>
      </w:r>
      <w:hyperlink r:id="rId11">
        <w:r>
          <w:rPr>
            <w:color w:val="0000FF"/>
          </w:rPr>
          <w:t>пунктами 11.5</w:t>
        </w:r>
      </w:hyperlink>
      <w:r>
        <w:t xml:space="preserve"> и </w:t>
      </w:r>
      <w:hyperlink r:id="rId12">
        <w:r>
          <w:rPr>
            <w:color w:val="0000FF"/>
          </w:rPr>
          <w:t>11.6</w:t>
        </w:r>
      </w:hyperlink>
      <w:r>
        <w:t xml:space="preserve"> постановления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контроля".";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 xml:space="preserve">1.2. </w:t>
      </w:r>
      <w:hyperlink r:id="rId13">
        <w:r>
          <w:rPr>
            <w:color w:val="0000FF"/>
          </w:rPr>
          <w:t>Раздел III</w:t>
        </w:r>
      </w:hyperlink>
      <w:r>
        <w:t xml:space="preserve"> дополнить пунктами 23.1, 23.2, 23.3, 23.4 следующего содержания: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"23.1. Контролируемое лицо вправе обратиться в контрольный орган с заявлением о проведении в отношении его профилактического визита (далее также в настоящем разделе - заявление контролируемого лица).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23.2.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23.3.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1) от контролируемого лица поступило уведомление об отзыве заявления о проведении профилактического визита;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lastRenderedPageBreak/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23.4.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ценностям.".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3D64D4" w:rsidRDefault="003D64D4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3D64D4" w:rsidRDefault="003D64D4">
      <w:pPr>
        <w:pStyle w:val="ConsPlusNormal"/>
        <w:ind w:firstLine="540"/>
        <w:jc w:val="both"/>
      </w:pPr>
    </w:p>
    <w:p w:rsidR="003D64D4" w:rsidRDefault="003D64D4">
      <w:pPr>
        <w:pStyle w:val="ConsPlusNormal"/>
        <w:jc w:val="right"/>
      </w:pPr>
      <w:r>
        <w:t>Председатель Думы</w:t>
      </w:r>
    </w:p>
    <w:p w:rsidR="003D64D4" w:rsidRDefault="003D64D4">
      <w:pPr>
        <w:pStyle w:val="ConsPlusNormal"/>
        <w:jc w:val="right"/>
      </w:pPr>
      <w:r>
        <w:t>города Пыть-Яха</w:t>
      </w:r>
    </w:p>
    <w:p w:rsidR="003D64D4" w:rsidRDefault="003D64D4">
      <w:pPr>
        <w:pStyle w:val="ConsPlusNormal"/>
        <w:jc w:val="right"/>
      </w:pPr>
      <w:r>
        <w:t>Д.П.УРЕКИ</w:t>
      </w:r>
    </w:p>
    <w:p w:rsidR="003D64D4" w:rsidRDefault="003D64D4">
      <w:pPr>
        <w:pStyle w:val="ConsPlusNormal"/>
        <w:jc w:val="right"/>
      </w:pPr>
    </w:p>
    <w:p w:rsidR="003D64D4" w:rsidRDefault="003D64D4">
      <w:pPr>
        <w:pStyle w:val="ConsPlusNormal"/>
        <w:jc w:val="right"/>
      </w:pPr>
      <w:r>
        <w:t>Глава</w:t>
      </w:r>
    </w:p>
    <w:p w:rsidR="003D64D4" w:rsidRDefault="003D64D4">
      <w:pPr>
        <w:pStyle w:val="ConsPlusNormal"/>
        <w:jc w:val="right"/>
      </w:pPr>
      <w:r>
        <w:t>города Пыть-Яха</w:t>
      </w:r>
    </w:p>
    <w:p w:rsidR="003D64D4" w:rsidRDefault="003D64D4">
      <w:pPr>
        <w:pStyle w:val="ConsPlusNormal"/>
        <w:jc w:val="right"/>
      </w:pPr>
      <w:r>
        <w:t>Д.С.ГОРБУНОВ</w:t>
      </w:r>
    </w:p>
    <w:p w:rsidR="003D64D4" w:rsidRDefault="003D64D4">
      <w:pPr>
        <w:pStyle w:val="ConsPlusNormal"/>
        <w:ind w:firstLine="540"/>
        <w:jc w:val="both"/>
      </w:pPr>
    </w:p>
    <w:p w:rsidR="003D64D4" w:rsidRDefault="003D64D4">
      <w:pPr>
        <w:pStyle w:val="ConsPlusNormal"/>
        <w:ind w:firstLine="540"/>
        <w:jc w:val="both"/>
      </w:pPr>
    </w:p>
    <w:p w:rsidR="003D64D4" w:rsidRDefault="003D64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AED" w:rsidRDefault="00582AED"/>
    <w:sectPr w:rsidR="00582AED" w:rsidSect="00EA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D4"/>
    <w:rsid w:val="003D64D4"/>
    <w:rsid w:val="00582AED"/>
    <w:rsid w:val="00E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29EC-F175-497A-9CFB-5B4E142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4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64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64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7498" TargetMode="External"/><Relationship Id="rId13" Type="http://schemas.openxmlformats.org/officeDocument/2006/relationships/hyperlink" Target="https://login.consultant.ru/link/?req=doc&amp;base=RLAW926&amp;n=262021&amp;dst=1000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342&amp;dst=100110" TargetMode="External"/><Relationship Id="rId12" Type="http://schemas.openxmlformats.org/officeDocument/2006/relationships/hyperlink" Target="https://login.consultant.ru/link/?req=doc&amp;base=LAW&amp;n=471342&amp;dst=100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342&amp;dst=100102" TargetMode="External"/><Relationship Id="rId11" Type="http://schemas.openxmlformats.org/officeDocument/2006/relationships/hyperlink" Target="https://login.consultant.ru/link/?req=doc&amp;base=LAW&amp;n=471342&amp;dst=100102" TargetMode="External"/><Relationship Id="rId5" Type="http://schemas.openxmlformats.org/officeDocument/2006/relationships/hyperlink" Target="https://login.consultant.ru/link/?req=doc&amp;base=LAW&amp;n=465728&amp;dst=1005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62021&amp;dst=1000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62021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2024-09-12T12:02:00Z</dcterms:created>
  <dcterms:modified xsi:type="dcterms:W3CDTF">2024-09-12T12:02:00Z</dcterms:modified>
</cp:coreProperties>
</file>