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422" w:rsidRPr="00994683" w:rsidRDefault="004F5422" w:rsidP="00994683">
      <w:pPr>
        <w:pStyle w:val="2"/>
      </w:pPr>
      <w:bookmarkStart w:id="0" w:name="_GoBack"/>
      <w:bookmarkEnd w:id="0"/>
      <w:r w:rsidRPr="00994683">
        <w:t>МУНИЦИПАЛЬНОЕ ОБРАЗОВАНИЕ</w:t>
      </w:r>
    </w:p>
    <w:p w:rsidR="004F5422" w:rsidRPr="00994683" w:rsidRDefault="004F5422" w:rsidP="00994683">
      <w:pPr>
        <w:pStyle w:val="2"/>
      </w:pPr>
      <w:r w:rsidRPr="00994683">
        <w:t xml:space="preserve">городской округ </w:t>
      </w:r>
      <w:proofErr w:type="spellStart"/>
      <w:r w:rsidRPr="00994683">
        <w:t>Пыть-Ях</w:t>
      </w:r>
      <w:proofErr w:type="spellEnd"/>
      <w:r w:rsidRPr="00994683">
        <w:t xml:space="preserve"> </w:t>
      </w:r>
    </w:p>
    <w:p w:rsidR="004F5422" w:rsidRPr="00994683" w:rsidRDefault="00226429" w:rsidP="00994683">
      <w:pPr>
        <w:pStyle w:val="2"/>
      </w:pPr>
      <w:r w:rsidRPr="00994683">
        <w:t>Ханты-Мансийского</w:t>
      </w:r>
      <w:r w:rsidR="004F5422" w:rsidRPr="00994683">
        <w:t xml:space="preserve"> автономного округа-Югры</w:t>
      </w:r>
    </w:p>
    <w:p w:rsidR="00994683" w:rsidRPr="00994683" w:rsidRDefault="004F5422" w:rsidP="00994683">
      <w:pPr>
        <w:pStyle w:val="2"/>
      </w:pPr>
      <w:r w:rsidRPr="00994683">
        <w:t>АДМИНИСТРАЦИЯ ГОРОДА</w:t>
      </w:r>
    </w:p>
    <w:p w:rsidR="00994683" w:rsidRPr="00994683" w:rsidRDefault="00994683" w:rsidP="00994683">
      <w:pPr>
        <w:pStyle w:val="2"/>
      </w:pPr>
    </w:p>
    <w:p w:rsidR="004F5422" w:rsidRPr="00994683" w:rsidRDefault="004F5422" w:rsidP="00994683">
      <w:pPr>
        <w:pStyle w:val="2"/>
      </w:pPr>
      <w:r w:rsidRPr="00994683">
        <w:t>П О С Т А Н О В Л Е Н И Е</w:t>
      </w:r>
    </w:p>
    <w:p w:rsidR="00F7229D" w:rsidRPr="00994683" w:rsidRDefault="00F7229D" w:rsidP="003D00CD">
      <w:pPr>
        <w:pStyle w:val="ConsPlusTitle"/>
        <w:widowControl/>
        <w:autoSpaceDE/>
        <w:autoSpaceDN/>
        <w:adjustRightInd/>
        <w:rPr>
          <w:b w:val="0"/>
          <w:bCs w:val="0"/>
          <w:sz w:val="24"/>
          <w:szCs w:val="28"/>
        </w:rPr>
      </w:pPr>
    </w:p>
    <w:p w:rsidR="00220653" w:rsidRPr="00994683" w:rsidRDefault="00804FA2" w:rsidP="00AC2FDD">
      <w:pPr>
        <w:pStyle w:val="ConsPlusTitle"/>
        <w:widowControl/>
        <w:autoSpaceDE/>
        <w:autoSpaceDN/>
        <w:adjustRightInd/>
        <w:rPr>
          <w:b w:val="0"/>
          <w:bCs w:val="0"/>
          <w:sz w:val="24"/>
          <w:szCs w:val="28"/>
        </w:rPr>
      </w:pPr>
      <w:r w:rsidRPr="00994683">
        <w:rPr>
          <w:b w:val="0"/>
          <w:bCs w:val="0"/>
          <w:sz w:val="24"/>
          <w:szCs w:val="28"/>
        </w:rPr>
        <w:t>От 28.12.2023</w:t>
      </w:r>
      <w:r w:rsidR="00994683" w:rsidRPr="00994683">
        <w:rPr>
          <w:b w:val="0"/>
          <w:bCs w:val="0"/>
          <w:sz w:val="24"/>
          <w:szCs w:val="28"/>
        </w:rPr>
        <w:t xml:space="preserve"> № </w:t>
      </w:r>
      <w:r w:rsidRPr="00994683">
        <w:rPr>
          <w:b w:val="0"/>
          <w:bCs w:val="0"/>
          <w:sz w:val="24"/>
          <w:szCs w:val="28"/>
        </w:rPr>
        <w:t>372-па</w:t>
      </w:r>
    </w:p>
    <w:p w:rsidR="000D31B2" w:rsidRPr="00994683" w:rsidRDefault="000D31B2" w:rsidP="00AC2FDD">
      <w:pPr>
        <w:pStyle w:val="ConsPlusTitle"/>
        <w:widowControl/>
        <w:autoSpaceDE/>
        <w:autoSpaceDN/>
        <w:adjustRightInd/>
        <w:rPr>
          <w:b w:val="0"/>
          <w:bCs w:val="0"/>
          <w:sz w:val="24"/>
          <w:szCs w:val="28"/>
          <w:highlight w:val="yellow"/>
        </w:rPr>
      </w:pPr>
    </w:p>
    <w:p w:rsidR="00994683" w:rsidRDefault="00EA6771" w:rsidP="00994683">
      <w:pPr>
        <w:pStyle w:val="Title"/>
      </w:pPr>
      <w:r w:rsidRPr="00994683">
        <w:t>Об утверждении муниципальной</w:t>
      </w:r>
      <w:r w:rsidR="00994683" w:rsidRPr="00994683">
        <w:t xml:space="preserve"> </w:t>
      </w:r>
      <w:r w:rsidRPr="00994683">
        <w:t xml:space="preserve">программы </w:t>
      </w:r>
      <w:r w:rsidR="00994683" w:rsidRPr="00994683">
        <w:t>«</w:t>
      </w:r>
      <w:r w:rsidRPr="00994683">
        <w:t>Развитие жилищной</w:t>
      </w:r>
      <w:r w:rsidR="00994683" w:rsidRPr="00994683">
        <w:t xml:space="preserve"> </w:t>
      </w:r>
      <w:r w:rsidRPr="00994683">
        <w:t xml:space="preserve">сферы в городе </w:t>
      </w:r>
      <w:proofErr w:type="spellStart"/>
      <w:r w:rsidRPr="00994683">
        <w:t>Пыть-Яхе</w:t>
      </w:r>
      <w:proofErr w:type="spellEnd"/>
      <w:r w:rsidR="00994683" w:rsidRPr="00994683">
        <w:t xml:space="preserve">» </w:t>
      </w:r>
    </w:p>
    <w:p w:rsidR="00413D1F" w:rsidRDefault="00413D1F" w:rsidP="003E0837">
      <w:pPr>
        <w:pStyle w:val="Title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(С изменениями, внесенными постановлением администрации </w:t>
      </w:r>
      <w:hyperlink r:id="rId8" w:tooltip="постановление от 20.03.2024 0:00:00 №55-па Администрация г. Пыть-Ях&#10;&#10;О внесении изменений в постановление администрации города от 28.12.2023 № 372-па " w:history="1">
        <w:r w:rsidRPr="00413D1F">
          <w:rPr>
            <w:rStyle w:val="afd"/>
            <w:b w:val="0"/>
            <w:sz w:val="24"/>
            <w:szCs w:val="24"/>
          </w:rPr>
          <w:t>от 20.03.2024 № 55-па</w:t>
        </w:r>
      </w:hyperlink>
      <w:r>
        <w:rPr>
          <w:b w:val="0"/>
          <w:sz w:val="24"/>
          <w:szCs w:val="24"/>
        </w:rPr>
        <w:t>)</w:t>
      </w:r>
      <w:r w:rsidR="007243E7">
        <w:rPr>
          <w:b w:val="0"/>
          <w:sz w:val="24"/>
          <w:szCs w:val="24"/>
        </w:rPr>
        <w:t xml:space="preserve"> – признано утратившим силу постановлением администрации </w:t>
      </w:r>
      <w:hyperlink r:id="rId9" w:tooltip="постановление от 30.01.2025 0:00:00 №22-па Администрация г. Пыть-Ях&#10;&#10;О внесении изменения в постановление администрации города от 28.12.2023 № 372-па " w:history="1">
        <w:r w:rsidR="007243E7" w:rsidRPr="007243E7">
          <w:rPr>
            <w:rStyle w:val="afd"/>
            <w:b w:val="0"/>
            <w:sz w:val="24"/>
            <w:szCs w:val="24"/>
          </w:rPr>
          <w:t>от 30.01.2025 № 22-па</w:t>
        </w:r>
      </w:hyperlink>
    </w:p>
    <w:p w:rsidR="00D630A4" w:rsidRDefault="00D630A4" w:rsidP="003E0837">
      <w:pPr>
        <w:pStyle w:val="Title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(С изменениями, внесенными постановлением администрации </w:t>
      </w:r>
      <w:hyperlink r:id="rId10" w:tooltip="постановление от 27.05.2024 0:00:00 №106-па  Администрация г. Пыть-Ях&#10;&#10;О внесении изменений в постановление администрации города от 28.12.2023 № 372-па " w:history="1">
        <w:r w:rsidRPr="00D630A4">
          <w:rPr>
            <w:rStyle w:val="afd"/>
            <w:b w:val="0"/>
            <w:sz w:val="24"/>
            <w:szCs w:val="24"/>
          </w:rPr>
          <w:t>от 27.05.2024 № 106-па</w:t>
        </w:r>
      </w:hyperlink>
      <w:r>
        <w:rPr>
          <w:b w:val="0"/>
          <w:sz w:val="24"/>
          <w:szCs w:val="24"/>
        </w:rPr>
        <w:t>)</w:t>
      </w:r>
      <w:r w:rsidR="007243E7">
        <w:rPr>
          <w:b w:val="0"/>
          <w:sz w:val="24"/>
          <w:szCs w:val="24"/>
        </w:rPr>
        <w:t xml:space="preserve"> - признано утратившим силу постановлением администрации </w:t>
      </w:r>
      <w:hyperlink r:id="rId11" w:tooltip="постановление от 30.01.2025 0:00:00 №22-па Администрация г. Пыть-Ях&#10;&#10;О внесении изменения в постановление администрации города от 28.12.2023 № 372-па " w:history="1">
        <w:r w:rsidR="007243E7" w:rsidRPr="007243E7">
          <w:rPr>
            <w:rStyle w:val="afd"/>
            <w:b w:val="0"/>
            <w:sz w:val="24"/>
            <w:szCs w:val="24"/>
          </w:rPr>
          <w:t>от 30.01.2025 № 22-па</w:t>
        </w:r>
      </w:hyperlink>
    </w:p>
    <w:p w:rsidR="003E0837" w:rsidRDefault="003E0837" w:rsidP="003E0837">
      <w:pPr>
        <w:pStyle w:val="Title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(С изменениями, внесенными постановлением администрации </w:t>
      </w:r>
      <w:hyperlink r:id="rId12" w:tooltip="постановление от 26.11.2024 0:00:00 №250-па Администрация г. Пыть-Ях&#10;&#10;О внесении изменений в постановление администрации города от 28.12.2023 № 372-па " w:history="1">
        <w:r w:rsidRPr="003E0837">
          <w:rPr>
            <w:rStyle w:val="afd"/>
            <w:b w:val="0"/>
            <w:sz w:val="24"/>
            <w:szCs w:val="24"/>
          </w:rPr>
          <w:t>от 26.11.2024 № 250-па</w:t>
        </w:r>
      </w:hyperlink>
      <w:r>
        <w:rPr>
          <w:b w:val="0"/>
          <w:sz w:val="24"/>
          <w:szCs w:val="24"/>
        </w:rPr>
        <w:t>)</w:t>
      </w:r>
      <w:r w:rsidR="007243E7">
        <w:rPr>
          <w:b w:val="0"/>
          <w:sz w:val="24"/>
          <w:szCs w:val="24"/>
        </w:rPr>
        <w:t xml:space="preserve"> - признано утратившим силу постановлением администрации </w:t>
      </w:r>
      <w:hyperlink r:id="rId13" w:tooltip="постановление от 30.01.2025 0:00:00 №22-па Администрация г. Пыть-Ях&#10;&#10;О внесении изменения в постановление администрации города от 28.12.2023 № 372-па " w:history="1">
        <w:r w:rsidR="007243E7" w:rsidRPr="007243E7">
          <w:rPr>
            <w:rStyle w:val="afd"/>
            <w:b w:val="0"/>
            <w:sz w:val="24"/>
            <w:szCs w:val="24"/>
          </w:rPr>
          <w:t>от 30.01.2025 № 22-па</w:t>
        </w:r>
      </w:hyperlink>
    </w:p>
    <w:p w:rsidR="000600A7" w:rsidRDefault="000600A7" w:rsidP="003E0837">
      <w:pPr>
        <w:pStyle w:val="Title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(С изменениями, внесенными постановлением администрации </w:t>
      </w:r>
      <w:hyperlink r:id="rId14" w:tooltip="постановление от 28.12.2024 0:00:00 №299-па Администрация г. Пыть-Ях&#10;&#10;О внесении изменений в постановление администрации города от 28.12.2023 № 372-па " w:history="1">
        <w:r w:rsidRPr="000600A7">
          <w:rPr>
            <w:rStyle w:val="afd"/>
            <w:b w:val="0"/>
            <w:sz w:val="24"/>
            <w:szCs w:val="24"/>
          </w:rPr>
          <w:t>от 28.12.2024 № 299-па</w:t>
        </w:r>
      </w:hyperlink>
      <w:r>
        <w:rPr>
          <w:b w:val="0"/>
          <w:sz w:val="24"/>
          <w:szCs w:val="24"/>
        </w:rPr>
        <w:t>)</w:t>
      </w:r>
    </w:p>
    <w:p w:rsidR="007243E7" w:rsidRDefault="007243E7" w:rsidP="003E0837">
      <w:pPr>
        <w:pStyle w:val="Title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(С изменениями, внесенными постановлением администрации </w:t>
      </w:r>
      <w:hyperlink r:id="rId15" w:tooltip="постановление от 30.01.2025 0:00:00 №22-па Администрация г. Пыть-Ях&#10;&#10;О внесении изменения в постановление администрации города от 28.12.2023 № 372-па " w:history="1">
        <w:r w:rsidRPr="007243E7">
          <w:rPr>
            <w:rStyle w:val="afd"/>
            <w:b w:val="0"/>
            <w:sz w:val="24"/>
            <w:szCs w:val="24"/>
          </w:rPr>
          <w:t>от 30.01.2025 № 22-па</w:t>
        </w:r>
      </w:hyperlink>
      <w:r>
        <w:rPr>
          <w:b w:val="0"/>
          <w:sz w:val="24"/>
          <w:szCs w:val="24"/>
        </w:rPr>
        <w:t>)</w:t>
      </w:r>
    </w:p>
    <w:p w:rsidR="001F5327" w:rsidRDefault="001F5327" w:rsidP="003E0837">
      <w:pPr>
        <w:pStyle w:val="Title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(С изменениями, внесенными постановлением администрации </w:t>
      </w:r>
      <w:hyperlink r:id="rId16" w:tooltip="постановление от 18.09.2025 0:00:00 №284-па Администрация г. Пыть-Ях&#10;&#10;О внесении изменений в постановление администрации города от 28.12.2023 № 372-па " w:history="1">
        <w:r w:rsidR="00E37E82" w:rsidRPr="00E37E82">
          <w:rPr>
            <w:rStyle w:val="afd"/>
            <w:b w:val="0"/>
            <w:sz w:val="24"/>
            <w:szCs w:val="24"/>
          </w:rPr>
          <w:t>от 18.09.2025 № 284-па</w:t>
        </w:r>
      </w:hyperlink>
      <w:r w:rsidR="00E37E82">
        <w:rPr>
          <w:b w:val="0"/>
          <w:sz w:val="24"/>
          <w:szCs w:val="24"/>
        </w:rPr>
        <w:t>)</w:t>
      </w:r>
    </w:p>
    <w:p w:rsidR="009850DC" w:rsidRDefault="009850DC" w:rsidP="003E0837">
      <w:pPr>
        <w:pStyle w:val="Title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(С изменениями, внесенными постановлением администрации </w:t>
      </w:r>
      <w:hyperlink r:id="rId17" w:tooltip="постановление от 16.01.2026 0:00:00 №09-па Администрация г. Пыть-Ях&#10;&#10;О внесении изменений в постановление администрации города от 28.12.2023 № 372-па " w:history="1">
        <w:r w:rsidRPr="009850DC">
          <w:rPr>
            <w:rStyle w:val="afd"/>
            <w:b w:val="0"/>
            <w:sz w:val="24"/>
            <w:szCs w:val="24"/>
          </w:rPr>
          <w:t>от 16.01.2026 № 09-па</w:t>
        </w:r>
      </w:hyperlink>
      <w:r>
        <w:rPr>
          <w:b w:val="0"/>
          <w:sz w:val="24"/>
          <w:szCs w:val="24"/>
        </w:rPr>
        <w:t>)</w:t>
      </w:r>
    </w:p>
    <w:p w:rsidR="00594A41" w:rsidRPr="00413D1F" w:rsidRDefault="00594A41" w:rsidP="003E0837">
      <w:pPr>
        <w:pStyle w:val="Title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(С изменениями, внесенными постановлением администрации </w:t>
      </w:r>
      <w:hyperlink r:id="rId18" w:tooltip="постановление от 27.01.2026 0:00:00 №19-па Администрация г. Пыть-Ях&#10;&#10;О внесении изменений в постановление администрации города от 28.12.2023 № 372-па " w:history="1">
        <w:r w:rsidRPr="00594A41">
          <w:rPr>
            <w:rStyle w:val="afd"/>
            <w:b w:val="0"/>
            <w:sz w:val="24"/>
            <w:szCs w:val="24"/>
          </w:rPr>
          <w:t>от 27.01.2026 № 19-па</w:t>
        </w:r>
      </w:hyperlink>
      <w:r>
        <w:rPr>
          <w:b w:val="0"/>
          <w:sz w:val="24"/>
          <w:szCs w:val="24"/>
        </w:rPr>
        <w:t>)</w:t>
      </w:r>
    </w:p>
    <w:p w:rsidR="00994683" w:rsidRPr="00994683" w:rsidRDefault="00994683" w:rsidP="00994683">
      <w:pPr>
        <w:rPr>
          <w:rFonts w:cs="Arial"/>
        </w:rPr>
      </w:pPr>
    </w:p>
    <w:p w:rsidR="00994683" w:rsidRPr="00994683" w:rsidRDefault="00EA6771" w:rsidP="00994683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994683">
        <w:rPr>
          <w:rFonts w:cs="Arial"/>
          <w:szCs w:val="28"/>
        </w:rPr>
        <w:t xml:space="preserve">В соответствии с </w:t>
      </w:r>
      <w:hyperlink r:id="rId19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994683">
          <w:rPr>
            <w:rStyle w:val="afd"/>
            <w:rFonts w:cs="Arial"/>
            <w:szCs w:val="28"/>
          </w:rPr>
          <w:t>Бюджетным кодексом</w:t>
        </w:r>
      </w:hyperlink>
      <w:r w:rsidRPr="00994683">
        <w:rPr>
          <w:rFonts w:cs="Arial"/>
          <w:szCs w:val="28"/>
        </w:rPr>
        <w:t xml:space="preserve"> Российской Федерации, постановлени</w:t>
      </w:r>
      <w:r w:rsidR="00224590" w:rsidRPr="00994683">
        <w:rPr>
          <w:rFonts w:cs="Arial"/>
          <w:szCs w:val="28"/>
        </w:rPr>
        <w:t>е</w:t>
      </w:r>
      <w:r w:rsidR="0074043A" w:rsidRPr="00994683">
        <w:rPr>
          <w:rFonts w:cs="Arial"/>
          <w:szCs w:val="28"/>
        </w:rPr>
        <w:t>м</w:t>
      </w:r>
      <w:r w:rsidRPr="00994683">
        <w:rPr>
          <w:rFonts w:cs="Arial"/>
          <w:szCs w:val="28"/>
        </w:rPr>
        <w:t xml:space="preserve"> Правительства Ханты-Мансийского автономного округа</w:t>
      </w:r>
      <w:r w:rsidR="00994683" w:rsidRPr="00994683">
        <w:rPr>
          <w:rFonts w:cs="Arial"/>
          <w:szCs w:val="28"/>
        </w:rPr>
        <w:t>-</w:t>
      </w:r>
      <w:r w:rsidRPr="00994683">
        <w:rPr>
          <w:rFonts w:cs="Arial"/>
          <w:szCs w:val="28"/>
        </w:rPr>
        <w:t xml:space="preserve">Югры </w:t>
      </w:r>
      <w:hyperlink r:id="rId20" w:tooltip="ПОСТАНОВЛЕНИЕ от 10.11.2023 № 561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994683">
          <w:rPr>
            <w:rStyle w:val="afd"/>
            <w:rFonts w:cs="Arial"/>
            <w:szCs w:val="28"/>
          </w:rPr>
          <w:t xml:space="preserve">от </w:t>
        </w:r>
        <w:r w:rsidR="006A088E" w:rsidRPr="00994683">
          <w:rPr>
            <w:rStyle w:val="afd"/>
            <w:rFonts w:cs="Arial"/>
            <w:szCs w:val="28"/>
          </w:rPr>
          <w:t>10.</w:t>
        </w:r>
        <w:r w:rsidR="00894CC1" w:rsidRPr="00994683">
          <w:rPr>
            <w:rStyle w:val="afd"/>
            <w:rFonts w:cs="Arial"/>
            <w:szCs w:val="28"/>
          </w:rPr>
          <w:t>1</w:t>
        </w:r>
        <w:r w:rsidR="006A088E" w:rsidRPr="00994683">
          <w:rPr>
            <w:rStyle w:val="afd"/>
            <w:rFonts w:cs="Arial"/>
            <w:szCs w:val="28"/>
          </w:rPr>
          <w:t>1</w:t>
        </w:r>
        <w:r w:rsidR="00894CC1" w:rsidRPr="00994683">
          <w:rPr>
            <w:rStyle w:val="afd"/>
            <w:rFonts w:cs="Arial"/>
            <w:szCs w:val="28"/>
          </w:rPr>
          <w:t>.202</w:t>
        </w:r>
        <w:r w:rsidR="006A088E" w:rsidRPr="00994683">
          <w:rPr>
            <w:rStyle w:val="afd"/>
            <w:rFonts w:cs="Arial"/>
            <w:szCs w:val="28"/>
          </w:rPr>
          <w:t>3</w:t>
        </w:r>
        <w:r w:rsidR="00994683" w:rsidRPr="00994683">
          <w:rPr>
            <w:rStyle w:val="afd"/>
            <w:rFonts w:cs="Arial"/>
            <w:szCs w:val="28"/>
          </w:rPr>
          <w:t xml:space="preserve"> № </w:t>
        </w:r>
        <w:r w:rsidR="006A088E" w:rsidRPr="00994683">
          <w:rPr>
            <w:rStyle w:val="afd"/>
            <w:rFonts w:cs="Arial"/>
            <w:szCs w:val="28"/>
          </w:rPr>
          <w:t>561</w:t>
        </w:r>
        <w:r w:rsidRPr="00994683">
          <w:rPr>
            <w:rStyle w:val="afd"/>
            <w:rFonts w:cs="Arial"/>
            <w:szCs w:val="28"/>
          </w:rPr>
          <w:t>-п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>О государственной программе Ханты-Мансийского автономного округа</w:t>
      </w:r>
      <w:r w:rsidR="00994683" w:rsidRPr="00994683">
        <w:rPr>
          <w:rFonts w:cs="Arial"/>
          <w:szCs w:val="28"/>
        </w:rPr>
        <w:t>-</w:t>
      </w:r>
      <w:r w:rsidRPr="00994683">
        <w:rPr>
          <w:rFonts w:cs="Arial"/>
          <w:szCs w:val="28"/>
        </w:rPr>
        <w:t xml:space="preserve">Югры </w:t>
      </w:r>
      <w:r w:rsidR="00994683" w:rsidRPr="00994683">
        <w:rPr>
          <w:rFonts w:cs="Arial"/>
          <w:szCs w:val="28"/>
        </w:rPr>
        <w:t>«</w:t>
      </w:r>
      <w:r w:rsidR="006A088E" w:rsidRPr="00994683">
        <w:rPr>
          <w:rFonts w:cs="Arial"/>
          <w:szCs w:val="28"/>
        </w:rPr>
        <w:t>Строительство</w:t>
      </w:r>
      <w:r w:rsidR="00994683" w:rsidRPr="00994683">
        <w:rPr>
          <w:rFonts w:cs="Arial"/>
          <w:szCs w:val="28"/>
        </w:rPr>
        <w:t>»</w:t>
      </w:r>
      <w:r w:rsidR="0074043A" w:rsidRPr="00994683">
        <w:rPr>
          <w:rFonts w:cs="Arial"/>
          <w:szCs w:val="28"/>
        </w:rPr>
        <w:t xml:space="preserve">, </w:t>
      </w:r>
      <w:r w:rsidR="00A178AA" w:rsidRPr="00994683">
        <w:rPr>
          <w:rFonts w:cs="Arial"/>
          <w:szCs w:val="28"/>
        </w:rPr>
        <w:t>постановлением Правительства Ханты-Мансийского автономного округа</w:t>
      </w:r>
      <w:r w:rsidR="00994683" w:rsidRPr="00994683">
        <w:rPr>
          <w:rFonts w:cs="Arial"/>
          <w:szCs w:val="28"/>
        </w:rPr>
        <w:t>-</w:t>
      </w:r>
      <w:r w:rsidR="00A178AA" w:rsidRPr="00994683">
        <w:rPr>
          <w:rFonts w:cs="Arial"/>
          <w:szCs w:val="28"/>
        </w:rPr>
        <w:t xml:space="preserve">Югры </w:t>
      </w:r>
      <w:hyperlink r:id="rId21" w:tooltip="ПОСТАНОВЛЕНИЕ от 10.11.2023 № 553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="00A178AA" w:rsidRPr="00994683">
          <w:rPr>
            <w:rStyle w:val="afd"/>
            <w:rFonts w:cs="Arial"/>
            <w:szCs w:val="28"/>
          </w:rPr>
          <w:t>от 10.11.2023</w:t>
        </w:r>
        <w:r w:rsidR="00994683" w:rsidRPr="00994683">
          <w:rPr>
            <w:rStyle w:val="afd"/>
            <w:rFonts w:cs="Arial"/>
            <w:szCs w:val="28"/>
          </w:rPr>
          <w:t xml:space="preserve"> № </w:t>
        </w:r>
        <w:r w:rsidR="00A178AA" w:rsidRPr="00994683">
          <w:rPr>
            <w:rStyle w:val="afd"/>
            <w:rFonts w:cs="Arial"/>
            <w:szCs w:val="28"/>
          </w:rPr>
          <w:t>553-п</w:t>
        </w:r>
      </w:hyperlink>
      <w:r w:rsidR="00A178AA"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="00A178AA" w:rsidRPr="00994683">
        <w:rPr>
          <w:rFonts w:cs="Arial"/>
          <w:szCs w:val="28"/>
        </w:rPr>
        <w:t>О государственной программе Ханты-Мансийского автономного округа</w:t>
      </w:r>
      <w:r w:rsidR="00994683" w:rsidRPr="00994683">
        <w:rPr>
          <w:rFonts w:cs="Arial"/>
          <w:szCs w:val="28"/>
        </w:rPr>
        <w:t>-</w:t>
      </w:r>
      <w:r w:rsidR="00A178AA" w:rsidRPr="00994683">
        <w:rPr>
          <w:rFonts w:cs="Arial"/>
          <w:szCs w:val="28"/>
        </w:rPr>
        <w:t xml:space="preserve">Югры </w:t>
      </w:r>
      <w:r w:rsidR="00994683" w:rsidRPr="00994683">
        <w:rPr>
          <w:rFonts w:cs="Arial"/>
          <w:szCs w:val="28"/>
        </w:rPr>
        <w:t>«</w:t>
      </w:r>
      <w:r w:rsidR="00A178AA" w:rsidRPr="00994683">
        <w:rPr>
          <w:rFonts w:cs="Arial"/>
          <w:szCs w:val="28"/>
        </w:rPr>
        <w:t>Пространственное развитие и формирование комфортной городской среды</w:t>
      </w:r>
      <w:r w:rsidR="00994683" w:rsidRPr="00994683">
        <w:rPr>
          <w:rFonts w:cs="Arial"/>
          <w:szCs w:val="28"/>
        </w:rPr>
        <w:t>»</w:t>
      </w:r>
      <w:r w:rsidR="00A178AA" w:rsidRPr="00994683">
        <w:rPr>
          <w:rFonts w:cs="Arial"/>
          <w:szCs w:val="28"/>
        </w:rPr>
        <w:t xml:space="preserve">, </w:t>
      </w:r>
      <w:r w:rsidRPr="00994683">
        <w:rPr>
          <w:rFonts w:cs="Arial"/>
          <w:szCs w:val="28"/>
        </w:rPr>
        <w:t xml:space="preserve">постановлением администрации города </w:t>
      </w:r>
      <w:hyperlink r:id="rId22" w:tooltip="постановление от 29.11.2023 15:14:30 №326-па Администрация г. Пыть-Ях&#10;&#10;О порядке разработки и реализации муниципальных программ города Пыть-Яха" w:history="1">
        <w:r w:rsidRPr="00994683">
          <w:rPr>
            <w:rStyle w:val="afd"/>
            <w:rFonts w:cs="Arial"/>
            <w:szCs w:val="28"/>
          </w:rPr>
          <w:t xml:space="preserve">от </w:t>
        </w:r>
        <w:r w:rsidR="006A090F" w:rsidRPr="00994683">
          <w:rPr>
            <w:rStyle w:val="afd"/>
            <w:rFonts w:cs="Arial"/>
            <w:szCs w:val="28"/>
          </w:rPr>
          <w:t>29</w:t>
        </w:r>
        <w:r w:rsidRPr="00994683">
          <w:rPr>
            <w:rStyle w:val="afd"/>
            <w:rFonts w:cs="Arial"/>
            <w:szCs w:val="28"/>
          </w:rPr>
          <w:t>.</w:t>
        </w:r>
        <w:r w:rsidR="006A090F" w:rsidRPr="00994683">
          <w:rPr>
            <w:rStyle w:val="afd"/>
            <w:rFonts w:cs="Arial"/>
            <w:szCs w:val="28"/>
          </w:rPr>
          <w:t>11</w:t>
        </w:r>
        <w:r w:rsidRPr="00994683">
          <w:rPr>
            <w:rStyle w:val="afd"/>
            <w:rFonts w:cs="Arial"/>
            <w:szCs w:val="28"/>
          </w:rPr>
          <w:t>.20</w:t>
        </w:r>
        <w:r w:rsidR="004F5422" w:rsidRPr="00994683">
          <w:rPr>
            <w:rStyle w:val="afd"/>
            <w:rFonts w:cs="Arial"/>
            <w:szCs w:val="28"/>
          </w:rPr>
          <w:t>2</w:t>
        </w:r>
        <w:r w:rsidR="006A090F" w:rsidRPr="00994683">
          <w:rPr>
            <w:rStyle w:val="afd"/>
            <w:rFonts w:cs="Arial"/>
            <w:szCs w:val="28"/>
          </w:rPr>
          <w:t>3</w:t>
        </w:r>
        <w:r w:rsidR="00994683" w:rsidRPr="00994683">
          <w:rPr>
            <w:rStyle w:val="afd"/>
            <w:rFonts w:cs="Arial"/>
            <w:szCs w:val="28"/>
          </w:rPr>
          <w:t xml:space="preserve"> № </w:t>
        </w:r>
        <w:r w:rsidR="006A090F" w:rsidRPr="00994683">
          <w:rPr>
            <w:rStyle w:val="afd"/>
            <w:rFonts w:cs="Arial"/>
            <w:szCs w:val="28"/>
          </w:rPr>
          <w:t>326</w:t>
        </w:r>
        <w:r w:rsidRPr="00994683">
          <w:rPr>
            <w:rStyle w:val="afd"/>
            <w:rFonts w:cs="Arial"/>
            <w:szCs w:val="28"/>
          </w:rPr>
          <w:t>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>О порядке разработк</w:t>
      </w:r>
      <w:r w:rsidR="004F5422" w:rsidRPr="00994683">
        <w:rPr>
          <w:rFonts w:cs="Arial"/>
          <w:szCs w:val="28"/>
        </w:rPr>
        <w:t>и</w:t>
      </w:r>
      <w:r w:rsidRPr="00994683">
        <w:rPr>
          <w:rFonts w:cs="Arial"/>
          <w:szCs w:val="28"/>
        </w:rPr>
        <w:t xml:space="preserve"> </w:t>
      </w:r>
      <w:r w:rsidR="006A090F" w:rsidRPr="00994683">
        <w:rPr>
          <w:rFonts w:cs="Arial"/>
          <w:szCs w:val="28"/>
        </w:rPr>
        <w:t xml:space="preserve">и реализации </w:t>
      </w:r>
      <w:r w:rsidRPr="00994683">
        <w:rPr>
          <w:rFonts w:cs="Arial"/>
          <w:szCs w:val="28"/>
        </w:rPr>
        <w:t xml:space="preserve">муниципальных программ </w:t>
      </w:r>
      <w:r w:rsidR="004F5422" w:rsidRPr="00994683">
        <w:rPr>
          <w:rFonts w:cs="Arial"/>
          <w:szCs w:val="28"/>
        </w:rPr>
        <w:t xml:space="preserve">города </w:t>
      </w:r>
      <w:proofErr w:type="spellStart"/>
      <w:r w:rsidR="004F5422" w:rsidRPr="00994683">
        <w:rPr>
          <w:rFonts w:cs="Arial"/>
          <w:szCs w:val="28"/>
        </w:rPr>
        <w:t>Пыть-Яха</w:t>
      </w:r>
      <w:proofErr w:type="spellEnd"/>
      <w:r w:rsidR="00994683" w:rsidRPr="00994683">
        <w:rPr>
          <w:rFonts w:cs="Arial"/>
          <w:szCs w:val="28"/>
        </w:rPr>
        <w:t>»</w:t>
      </w:r>
      <w:r w:rsidR="004036E8" w:rsidRPr="00994683">
        <w:rPr>
          <w:rFonts w:cs="Arial"/>
          <w:szCs w:val="28"/>
        </w:rPr>
        <w:t xml:space="preserve">, </w:t>
      </w:r>
      <w:r w:rsidR="004036E8" w:rsidRPr="00994683">
        <w:rPr>
          <w:rFonts w:cs="Arial"/>
          <w:bCs/>
          <w:szCs w:val="28"/>
        </w:rPr>
        <w:t>распоряжением администрации города от 18.07.2013</w:t>
      </w:r>
      <w:r w:rsidR="00994683" w:rsidRPr="00994683">
        <w:rPr>
          <w:rFonts w:cs="Arial"/>
          <w:bCs/>
          <w:szCs w:val="28"/>
        </w:rPr>
        <w:t xml:space="preserve"> № </w:t>
      </w:r>
      <w:r w:rsidR="004036E8" w:rsidRPr="00994683">
        <w:rPr>
          <w:rFonts w:cs="Arial"/>
          <w:bCs/>
          <w:szCs w:val="28"/>
        </w:rPr>
        <w:t xml:space="preserve">1670-ра </w:t>
      </w:r>
      <w:r w:rsidR="00994683" w:rsidRPr="00994683">
        <w:rPr>
          <w:rFonts w:cs="Arial"/>
          <w:bCs/>
          <w:szCs w:val="28"/>
        </w:rPr>
        <w:t>«</w:t>
      </w:r>
      <w:r w:rsidR="004036E8" w:rsidRPr="00994683">
        <w:rPr>
          <w:rFonts w:cs="Arial"/>
          <w:bCs/>
          <w:szCs w:val="28"/>
        </w:rPr>
        <w:t xml:space="preserve">О перечне муниципальных программ города </w:t>
      </w:r>
      <w:proofErr w:type="spellStart"/>
      <w:r w:rsidR="004036E8" w:rsidRPr="00994683">
        <w:rPr>
          <w:rFonts w:cs="Arial"/>
          <w:bCs/>
          <w:szCs w:val="28"/>
        </w:rPr>
        <w:t>Пыть-Яха</w:t>
      </w:r>
      <w:proofErr w:type="spellEnd"/>
      <w:r w:rsidR="00994683" w:rsidRPr="00994683">
        <w:rPr>
          <w:rFonts w:cs="Arial"/>
          <w:bCs/>
          <w:szCs w:val="28"/>
        </w:rPr>
        <w:t>»</w:t>
      </w:r>
      <w:r w:rsidR="004036E8" w:rsidRPr="00994683">
        <w:rPr>
          <w:rFonts w:cs="Arial"/>
          <w:bCs/>
          <w:szCs w:val="28"/>
        </w:rPr>
        <w:t>:</w:t>
      </w:r>
    </w:p>
    <w:p w:rsidR="00994683" w:rsidRPr="00994683" w:rsidRDefault="00994683" w:rsidP="00994683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</w:p>
    <w:p w:rsidR="004036E8" w:rsidRPr="00994683" w:rsidRDefault="0078791A" w:rsidP="00994683">
      <w:pPr>
        <w:autoSpaceDE w:val="0"/>
        <w:autoSpaceDN w:val="0"/>
        <w:adjustRightInd w:val="0"/>
        <w:spacing w:line="360" w:lineRule="auto"/>
        <w:ind w:firstLine="709"/>
        <w:rPr>
          <w:rFonts w:cs="Arial"/>
          <w:spacing w:val="-10"/>
          <w:szCs w:val="28"/>
        </w:rPr>
      </w:pPr>
      <w:r w:rsidRPr="00994683">
        <w:rPr>
          <w:rFonts w:cs="Arial"/>
          <w:spacing w:val="-10"/>
          <w:szCs w:val="28"/>
        </w:rPr>
        <w:lastRenderedPageBreak/>
        <w:t>1.</w:t>
      </w:r>
      <w:r w:rsidR="000D1801" w:rsidRPr="00994683">
        <w:rPr>
          <w:rFonts w:cs="Arial"/>
          <w:szCs w:val="28"/>
        </w:rPr>
        <w:t xml:space="preserve"> </w:t>
      </w:r>
      <w:r w:rsidR="004036E8" w:rsidRPr="00994683">
        <w:rPr>
          <w:rFonts w:cs="Arial"/>
          <w:spacing w:val="-10"/>
          <w:szCs w:val="28"/>
        </w:rPr>
        <w:t xml:space="preserve">Утвердить муниципальную программу </w:t>
      </w:r>
      <w:r w:rsidR="00994683" w:rsidRPr="00994683">
        <w:rPr>
          <w:rFonts w:cs="Arial"/>
          <w:spacing w:val="-10"/>
          <w:szCs w:val="28"/>
        </w:rPr>
        <w:t>«</w:t>
      </w:r>
      <w:r w:rsidR="004036E8" w:rsidRPr="00994683">
        <w:rPr>
          <w:rFonts w:cs="Arial"/>
          <w:spacing w:val="-10"/>
          <w:szCs w:val="28"/>
        </w:rPr>
        <w:t xml:space="preserve">Развитие жилищной сферы в городе </w:t>
      </w:r>
      <w:proofErr w:type="spellStart"/>
      <w:r w:rsidR="004036E8" w:rsidRPr="00994683">
        <w:rPr>
          <w:rFonts w:cs="Arial"/>
          <w:spacing w:val="-10"/>
          <w:szCs w:val="28"/>
        </w:rPr>
        <w:t>Пыть-Яхе</w:t>
      </w:r>
      <w:proofErr w:type="spellEnd"/>
      <w:r w:rsidR="00994683" w:rsidRPr="00994683">
        <w:rPr>
          <w:rFonts w:cs="Arial"/>
          <w:spacing w:val="-10"/>
          <w:szCs w:val="28"/>
        </w:rPr>
        <w:t>»</w:t>
      </w:r>
      <w:r w:rsidR="004036E8" w:rsidRPr="00994683">
        <w:rPr>
          <w:rFonts w:cs="Arial"/>
          <w:spacing w:val="-10"/>
          <w:szCs w:val="28"/>
        </w:rPr>
        <w:t xml:space="preserve"> согласно приложению.</w:t>
      </w:r>
    </w:p>
    <w:p w:rsidR="002B1FC0" w:rsidRPr="00994683" w:rsidRDefault="0074043A" w:rsidP="00994683">
      <w:pPr>
        <w:spacing w:line="360" w:lineRule="auto"/>
        <w:ind w:firstLine="709"/>
        <w:rPr>
          <w:rFonts w:cs="Arial"/>
          <w:szCs w:val="28"/>
        </w:rPr>
      </w:pPr>
      <w:r w:rsidRPr="00994683">
        <w:rPr>
          <w:rFonts w:cs="Arial"/>
          <w:szCs w:val="28"/>
        </w:rPr>
        <w:t xml:space="preserve">2. </w:t>
      </w:r>
      <w:r w:rsidR="002B1FC0" w:rsidRPr="00994683">
        <w:rPr>
          <w:rFonts w:cs="Arial"/>
          <w:szCs w:val="28"/>
        </w:rPr>
        <w:t xml:space="preserve">Управлению по внутренней политике (Т.В. Староста) опубликовать постановление в печатном средстве массовой информации </w:t>
      </w:r>
      <w:r w:rsidR="00994683" w:rsidRPr="00994683">
        <w:rPr>
          <w:rFonts w:cs="Arial"/>
          <w:szCs w:val="28"/>
        </w:rPr>
        <w:t>«</w:t>
      </w:r>
      <w:r w:rsidR="002B1FC0" w:rsidRPr="00994683">
        <w:rPr>
          <w:rFonts w:cs="Arial"/>
          <w:szCs w:val="28"/>
        </w:rPr>
        <w:t>Официальный вестник</w:t>
      </w:r>
      <w:r w:rsidR="00994683" w:rsidRPr="00994683">
        <w:rPr>
          <w:rFonts w:cs="Arial"/>
          <w:szCs w:val="28"/>
        </w:rPr>
        <w:t>»</w:t>
      </w:r>
      <w:r w:rsidR="002B1FC0" w:rsidRPr="00994683">
        <w:rPr>
          <w:rFonts w:cs="Arial"/>
          <w:szCs w:val="28"/>
        </w:rPr>
        <w:t xml:space="preserve"> и дополнительно направить для размещения в сетевом издании в информационно-телекоммуникационной сети </w:t>
      </w:r>
      <w:r w:rsidR="00994683" w:rsidRPr="00994683">
        <w:rPr>
          <w:rFonts w:cs="Arial"/>
          <w:szCs w:val="28"/>
        </w:rPr>
        <w:t>«</w:t>
      </w:r>
      <w:proofErr w:type="gramStart"/>
      <w:r w:rsidR="002B1FC0" w:rsidRPr="00994683">
        <w:rPr>
          <w:rFonts w:cs="Arial"/>
          <w:szCs w:val="28"/>
        </w:rPr>
        <w:t>Интернет</w:t>
      </w:r>
      <w:r w:rsidR="00994683" w:rsidRPr="00994683">
        <w:rPr>
          <w:rFonts w:cs="Arial"/>
          <w:szCs w:val="28"/>
        </w:rPr>
        <w:t>»-</w:t>
      </w:r>
      <w:proofErr w:type="gramEnd"/>
      <w:r w:rsidR="002B1FC0" w:rsidRPr="00994683">
        <w:rPr>
          <w:rFonts w:cs="Arial"/>
          <w:szCs w:val="28"/>
        </w:rPr>
        <w:t>pyt-yahinform.ru.</w:t>
      </w:r>
    </w:p>
    <w:p w:rsidR="002B1FC0" w:rsidRPr="00994683" w:rsidRDefault="002B1FC0" w:rsidP="00994683">
      <w:pPr>
        <w:spacing w:line="360" w:lineRule="auto"/>
        <w:ind w:firstLine="709"/>
        <w:rPr>
          <w:rFonts w:cs="Arial"/>
          <w:szCs w:val="28"/>
        </w:rPr>
      </w:pPr>
      <w:r w:rsidRPr="00994683">
        <w:rPr>
          <w:rFonts w:cs="Arial"/>
          <w:szCs w:val="28"/>
        </w:rPr>
        <w:t>3.</w:t>
      </w:r>
      <w:r w:rsidR="00994683" w:rsidRPr="00994683">
        <w:rPr>
          <w:rFonts w:cs="Arial"/>
          <w:szCs w:val="28"/>
        </w:rPr>
        <w:t xml:space="preserve"> </w:t>
      </w:r>
      <w:r w:rsidRPr="00994683">
        <w:rPr>
          <w:rFonts w:cs="Arial"/>
          <w:szCs w:val="28"/>
        </w:rPr>
        <w:t>Отделу по обеспечению информационной безопасности</w:t>
      </w:r>
      <w:r w:rsidR="00994683" w:rsidRPr="00994683">
        <w:rPr>
          <w:rFonts w:cs="Arial"/>
          <w:szCs w:val="28"/>
        </w:rPr>
        <w:t xml:space="preserve"> </w:t>
      </w:r>
      <w:r w:rsidRPr="00994683">
        <w:rPr>
          <w:rFonts w:cs="Arial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2B1FC0" w:rsidRPr="00994683" w:rsidRDefault="002B1FC0" w:rsidP="00994683">
      <w:pPr>
        <w:spacing w:line="360" w:lineRule="auto"/>
        <w:ind w:firstLine="709"/>
        <w:rPr>
          <w:rFonts w:cs="Arial"/>
          <w:szCs w:val="28"/>
        </w:rPr>
      </w:pPr>
      <w:r w:rsidRPr="00994683">
        <w:rPr>
          <w:rFonts w:cs="Arial"/>
          <w:szCs w:val="28"/>
        </w:rPr>
        <w:t>4.</w:t>
      </w:r>
      <w:r w:rsidR="00994683" w:rsidRPr="00994683">
        <w:rPr>
          <w:rFonts w:cs="Arial"/>
          <w:szCs w:val="28"/>
        </w:rPr>
        <w:t xml:space="preserve"> </w:t>
      </w:r>
      <w:r w:rsidRPr="00994683">
        <w:rPr>
          <w:rFonts w:cs="Arial"/>
          <w:szCs w:val="28"/>
        </w:rPr>
        <w:t>Настоящее постановление вступает в силу c 01.01.2024.</w:t>
      </w:r>
    </w:p>
    <w:p w:rsidR="00E30022" w:rsidRPr="00994683" w:rsidRDefault="002B1FC0" w:rsidP="00994683">
      <w:pPr>
        <w:spacing w:line="360" w:lineRule="auto"/>
        <w:ind w:firstLine="709"/>
        <w:rPr>
          <w:rFonts w:cs="Arial"/>
          <w:szCs w:val="28"/>
        </w:rPr>
      </w:pPr>
      <w:r w:rsidRPr="00994683">
        <w:rPr>
          <w:rFonts w:cs="Arial"/>
          <w:szCs w:val="28"/>
        </w:rPr>
        <w:t>5.</w:t>
      </w:r>
      <w:r w:rsidR="00994683" w:rsidRPr="00994683">
        <w:rPr>
          <w:rFonts w:cs="Arial"/>
          <w:szCs w:val="28"/>
        </w:rPr>
        <w:t xml:space="preserve"> </w:t>
      </w:r>
      <w:r w:rsidR="00E30022" w:rsidRPr="00994683">
        <w:rPr>
          <w:rFonts w:cs="Arial"/>
          <w:szCs w:val="28"/>
        </w:rPr>
        <w:t>П</w:t>
      </w:r>
      <w:r w:rsidR="0092011F" w:rsidRPr="00994683">
        <w:rPr>
          <w:rFonts w:cs="Arial"/>
          <w:szCs w:val="28"/>
        </w:rPr>
        <w:t>ризнать утратившими силу п</w:t>
      </w:r>
      <w:r w:rsidR="00E30022" w:rsidRPr="00994683">
        <w:rPr>
          <w:rFonts w:cs="Arial"/>
          <w:szCs w:val="28"/>
        </w:rPr>
        <w:t>остановления администрации города:</w:t>
      </w:r>
    </w:p>
    <w:p w:rsidR="00F641C0" w:rsidRPr="00994683" w:rsidRDefault="00F641C0" w:rsidP="00994683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94683">
        <w:rPr>
          <w:rFonts w:cs="Arial"/>
          <w:szCs w:val="28"/>
        </w:rPr>
        <w:t xml:space="preserve">- </w:t>
      </w:r>
      <w:hyperlink r:id="rId23" w:tooltip="постановление от 10.12.2021 0:00:00 №560-па Администрация г. Пыть-Ях&#10;&#10;Об утверждении муниципальной программы " w:history="1">
        <w:r w:rsidRPr="00994683">
          <w:rPr>
            <w:rStyle w:val="afd"/>
            <w:rFonts w:cs="Arial"/>
            <w:szCs w:val="28"/>
          </w:rPr>
          <w:t>от 10.12.2021</w:t>
        </w:r>
        <w:r w:rsidR="00994683" w:rsidRPr="00994683">
          <w:rPr>
            <w:rStyle w:val="afd"/>
            <w:rFonts w:cs="Arial"/>
            <w:szCs w:val="28"/>
          </w:rPr>
          <w:t xml:space="preserve"> № </w:t>
        </w:r>
        <w:r w:rsidRPr="00994683">
          <w:rPr>
            <w:rStyle w:val="afd"/>
            <w:rFonts w:cs="Arial"/>
            <w:szCs w:val="28"/>
          </w:rPr>
          <w:t>560-па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Об утверждении муниципальной программы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Развитие жилищной сферы в городе </w:t>
      </w:r>
      <w:proofErr w:type="spellStart"/>
      <w:r w:rsidRPr="00994683">
        <w:rPr>
          <w:rFonts w:cs="Arial"/>
          <w:szCs w:val="28"/>
        </w:rPr>
        <w:t>Пыть-Яхе</w:t>
      </w:r>
      <w:proofErr w:type="spellEnd"/>
      <w:r w:rsidR="00994683" w:rsidRPr="00994683">
        <w:rPr>
          <w:rFonts w:cs="Arial"/>
          <w:szCs w:val="28"/>
        </w:rPr>
        <w:t>»</w:t>
      </w:r>
      <w:r w:rsidRPr="00994683">
        <w:rPr>
          <w:rFonts w:cs="Arial"/>
          <w:szCs w:val="28"/>
        </w:rPr>
        <w:t>;</w:t>
      </w:r>
    </w:p>
    <w:p w:rsidR="00E30022" w:rsidRPr="00994683" w:rsidRDefault="00E30022" w:rsidP="00994683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94683">
        <w:rPr>
          <w:rFonts w:cs="Arial"/>
          <w:szCs w:val="28"/>
        </w:rPr>
        <w:t xml:space="preserve">- </w:t>
      </w:r>
      <w:hyperlink r:id="rId24" w:tooltip="постановление от 31.01.2022 0:00:00 №32-па Администрация г. Пыть-Ях&#10;&#10;О внесении изменений в постановление администрации города от 10.12.2021 № 560-па " w:history="1">
        <w:r w:rsidRPr="00994683">
          <w:rPr>
            <w:rStyle w:val="afd"/>
            <w:rFonts w:cs="Arial"/>
            <w:szCs w:val="28"/>
          </w:rPr>
          <w:t>от 31.01.2022</w:t>
        </w:r>
        <w:r w:rsidR="00994683" w:rsidRPr="00994683">
          <w:rPr>
            <w:rStyle w:val="afd"/>
            <w:rFonts w:cs="Arial"/>
            <w:szCs w:val="28"/>
          </w:rPr>
          <w:t xml:space="preserve"> № </w:t>
        </w:r>
        <w:r w:rsidRPr="00994683">
          <w:rPr>
            <w:rStyle w:val="afd"/>
            <w:rFonts w:cs="Arial"/>
            <w:szCs w:val="28"/>
          </w:rPr>
          <w:t>32-па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5" w:history="1">
        <w:r w:rsidR="00994683">
          <w:rPr>
            <w:rStyle w:val="afd"/>
            <w:rFonts w:cs="Arial"/>
            <w:szCs w:val="28"/>
          </w:rPr>
          <w:t>от 10.12.2021 № 560-па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Об утверждении муниципальной программы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Развитие жилищной сферы в городе </w:t>
      </w:r>
      <w:proofErr w:type="spellStart"/>
      <w:r w:rsidRPr="00994683">
        <w:rPr>
          <w:rFonts w:cs="Arial"/>
          <w:szCs w:val="28"/>
        </w:rPr>
        <w:t>Пыть-Яхе</w:t>
      </w:r>
      <w:proofErr w:type="spellEnd"/>
      <w:r w:rsidR="00994683" w:rsidRPr="00994683">
        <w:rPr>
          <w:rFonts w:cs="Arial"/>
          <w:szCs w:val="28"/>
        </w:rPr>
        <w:t>»</w:t>
      </w:r>
      <w:r w:rsidR="0092011F" w:rsidRPr="00994683">
        <w:rPr>
          <w:rFonts w:cs="Arial"/>
          <w:szCs w:val="28"/>
        </w:rPr>
        <w:t>;</w:t>
      </w:r>
      <w:r w:rsidR="00994683" w:rsidRPr="00994683">
        <w:rPr>
          <w:rFonts w:cs="Arial"/>
          <w:szCs w:val="28"/>
        </w:rPr>
        <w:t xml:space="preserve"> </w:t>
      </w:r>
    </w:p>
    <w:p w:rsidR="00E30022" w:rsidRPr="00994683" w:rsidRDefault="0092011F" w:rsidP="00994683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94683">
        <w:rPr>
          <w:rFonts w:cs="Arial"/>
          <w:szCs w:val="28"/>
        </w:rPr>
        <w:t xml:space="preserve">- </w:t>
      </w:r>
      <w:hyperlink r:id="rId26" w:tooltip="постановление от 06.06.2022 0:00:00 №222-па Администрация г. Пыть-Ях&#10;&#10;О внесении изменений в постановление администрации города от 10.12.2021 № 560-па " w:history="1">
        <w:r w:rsidR="00E30022" w:rsidRPr="00994683">
          <w:rPr>
            <w:rStyle w:val="afd"/>
            <w:rFonts w:cs="Arial"/>
            <w:szCs w:val="28"/>
          </w:rPr>
          <w:t>от 06.06.2022</w:t>
        </w:r>
        <w:r w:rsidR="00994683" w:rsidRPr="00994683">
          <w:rPr>
            <w:rStyle w:val="afd"/>
            <w:rFonts w:cs="Arial"/>
            <w:szCs w:val="28"/>
          </w:rPr>
          <w:t xml:space="preserve"> № </w:t>
        </w:r>
        <w:r w:rsidR="00E30022" w:rsidRPr="00994683">
          <w:rPr>
            <w:rStyle w:val="afd"/>
            <w:rFonts w:cs="Arial"/>
            <w:szCs w:val="28"/>
          </w:rPr>
          <w:t>222-па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7" w:history="1">
        <w:r w:rsidR="00994683">
          <w:rPr>
            <w:rStyle w:val="afd"/>
            <w:rFonts w:cs="Arial"/>
            <w:szCs w:val="28"/>
          </w:rPr>
          <w:t>от 10.12.2021 № 560-па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Об утверждении муниципальной программы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Развитие жилищной сферы в городе </w:t>
      </w:r>
      <w:proofErr w:type="spellStart"/>
      <w:r w:rsidRPr="00994683">
        <w:rPr>
          <w:rFonts w:cs="Arial"/>
          <w:szCs w:val="28"/>
        </w:rPr>
        <w:t>Пыть-Яхе</w:t>
      </w:r>
      <w:proofErr w:type="spellEnd"/>
      <w:r w:rsidR="00994683" w:rsidRPr="00994683">
        <w:rPr>
          <w:rFonts w:cs="Arial"/>
          <w:szCs w:val="28"/>
        </w:rPr>
        <w:t>»</w:t>
      </w:r>
      <w:r w:rsidR="00E70B88" w:rsidRPr="00994683">
        <w:rPr>
          <w:rFonts w:cs="Arial"/>
        </w:rPr>
        <w:t xml:space="preserve"> </w:t>
      </w:r>
      <w:r w:rsidR="00E70B88" w:rsidRPr="00994683">
        <w:rPr>
          <w:rFonts w:cs="Arial"/>
          <w:szCs w:val="28"/>
        </w:rPr>
        <w:t xml:space="preserve">(в ред. </w:t>
      </w:r>
      <w:hyperlink r:id="rId28" w:tooltip="постановление от 31.01.2022 0:00:00 №32-па Администрация г. Пыть-Ях&#10;&#10;О внесении изменений в постановление администрации города от 10.12.2021 № 560-па " w:history="1">
        <w:r w:rsidR="00E70B88" w:rsidRPr="002A769C">
          <w:rPr>
            <w:rStyle w:val="afd"/>
            <w:rFonts w:cs="Arial"/>
            <w:szCs w:val="28"/>
          </w:rPr>
          <w:t>от 31.01.2022 N 32-па</w:t>
        </w:r>
      </w:hyperlink>
      <w:r w:rsidR="00E70B88" w:rsidRPr="00994683">
        <w:rPr>
          <w:rFonts w:cs="Arial"/>
          <w:szCs w:val="28"/>
        </w:rPr>
        <w:t>)</w:t>
      </w:r>
      <w:r w:rsidR="00994683" w:rsidRPr="00994683">
        <w:rPr>
          <w:rFonts w:cs="Arial"/>
          <w:szCs w:val="28"/>
        </w:rPr>
        <w:t>»</w:t>
      </w:r>
      <w:r w:rsidRPr="00994683">
        <w:rPr>
          <w:rFonts w:cs="Arial"/>
          <w:szCs w:val="28"/>
        </w:rPr>
        <w:t>;</w:t>
      </w:r>
    </w:p>
    <w:p w:rsidR="00E30022" w:rsidRPr="00994683" w:rsidRDefault="0092011F" w:rsidP="00994683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94683">
        <w:rPr>
          <w:rFonts w:cs="Arial"/>
          <w:szCs w:val="28"/>
        </w:rPr>
        <w:t xml:space="preserve">- </w:t>
      </w:r>
      <w:hyperlink r:id="rId29" w:tooltip="постановление от 22.06.2022 0:00:00 №258-па Администрация г. Пыть-Ях&#10;&#10;О внесении изменения в постановление администрации города от 10.12.2021 № 560-па " w:history="1">
        <w:r w:rsidR="00E30022" w:rsidRPr="00994683">
          <w:rPr>
            <w:rStyle w:val="afd"/>
            <w:rFonts w:cs="Arial"/>
            <w:szCs w:val="28"/>
          </w:rPr>
          <w:t>от 22.06.2022</w:t>
        </w:r>
        <w:r w:rsidR="00994683" w:rsidRPr="00994683">
          <w:rPr>
            <w:rStyle w:val="afd"/>
            <w:rFonts w:cs="Arial"/>
            <w:szCs w:val="28"/>
          </w:rPr>
          <w:t xml:space="preserve"> № </w:t>
        </w:r>
        <w:r w:rsidR="00E30022" w:rsidRPr="00994683">
          <w:rPr>
            <w:rStyle w:val="afd"/>
            <w:rFonts w:cs="Arial"/>
            <w:szCs w:val="28"/>
          </w:rPr>
          <w:t>258-па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30" w:history="1">
        <w:r w:rsidR="00994683">
          <w:rPr>
            <w:rStyle w:val="afd"/>
            <w:rFonts w:cs="Arial"/>
            <w:szCs w:val="28"/>
          </w:rPr>
          <w:t>от 10.12.2021 № 560-па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Об утверждении муниципальной программы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Развитие жилищной сферы в городе </w:t>
      </w:r>
      <w:proofErr w:type="spellStart"/>
      <w:r w:rsidRPr="00994683">
        <w:rPr>
          <w:rFonts w:cs="Arial"/>
          <w:szCs w:val="28"/>
        </w:rPr>
        <w:t>Пыть-Яхе</w:t>
      </w:r>
      <w:proofErr w:type="spellEnd"/>
      <w:r w:rsidR="00994683" w:rsidRPr="00994683">
        <w:rPr>
          <w:rFonts w:cs="Arial"/>
          <w:szCs w:val="28"/>
        </w:rPr>
        <w:t>»</w:t>
      </w:r>
      <w:r w:rsidR="00E70B88" w:rsidRPr="00994683">
        <w:rPr>
          <w:rFonts w:cs="Arial"/>
        </w:rPr>
        <w:t xml:space="preserve"> </w:t>
      </w:r>
      <w:r w:rsidR="00E70B88" w:rsidRPr="00994683">
        <w:rPr>
          <w:rFonts w:cs="Arial"/>
          <w:szCs w:val="28"/>
        </w:rPr>
        <w:t xml:space="preserve">(в ред. </w:t>
      </w:r>
      <w:hyperlink r:id="rId31" w:history="1">
        <w:r w:rsidR="00994683">
          <w:rPr>
            <w:rStyle w:val="afd"/>
            <w:rFonts w:cs="Arial"/>
            <w:szCs w:val="28"/>
          </w:rPr>
          <w:t>от 31.01.2022 № 32-па</w:t>
        </w:r>
      </w:hyperlink>
      <w:r w:rsidR="00E70B88" w:rsidRPr="00994683">
        <w:rPr>
          <w:rFonts w:cs="Arial"/>
          <w:szCs w:val="28"/>
        </w:rPr>
        <w:t xml:space="preserve">, </w:t>
      </w:r>
      <w:hyperlink r:id="rId32" w:history="1">
        <w:r w:rsidR="00994683">
          <w:rPr>
            <w:rStyle w:val="afd"/>
            <w:rFonts w:cs="Arial"/>
            <w:szCs w:val="28"/>
          </w:rPr>
          <w:t>от 06.06.2022 № 222-па</w:t>
        </w:r>
      </w:hyperlink>
      <w:r w:rsidR="00E70B88" w:rsidRPr="00994683">
        <w:rPr>
          <w:rFonts w:cs="Arial"/>
          <w:szCs w:val="28"/>
        </w:rPr>
        <w:t>)</w:t>
      </w:r>
      <w:r w:rsidR="00994683" w:rsidRPr="00994683">
        <w:rPr>
          <w:rFonts w:cs="Arial"/>
          <w:szCs w:val="28"/>
        </w:rPr>
        <w:t>»</w:t>
      </w:r>
      <w:r w:rsidRPr="00994683">
        <w:rPr>
          <w:rFonts w:cs="Arial"/>
          <w:szCs w:val="28"/>
        </w:rPr>
        <w:t xml:space="preserve">; </w:t>
      </w:r>
    </w:p>
    <w:p w:rsidR="00E30022" w:rsidRPr="00994683" w:rsidRDefault="0092011F" w:rsidP="00994683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94683">
        <w:rPr>
          <w:rFonts w:cs="Arial"/>
          <w:szCs w:val="28"/>
        </w:rPr>
        <w:t xml:space="preserve">- </w:t>
      </w:r>
      <w:hyperlink r:id="rId33" w:tooltip="постановление от 10.11.2022 0:00:00 №499-па Администрация г. Пыть-Ях&#10;&#10;О внесении изменений в постановление администрации города от 10.12.2021 № 560-па " w:history="1">
        <w:r w:rsidR="00E30022" w:rsidRPr="00994683">
          <w:rPr>
            <w:rStyle w:val="afd"/>
            <w:rFonts w:cs="Arial"/>
            <w:szCs w:val="28"/>
          </w:rPr>
          <w:t>от 10.11.2022</w:t>
        </w:r>
        <w:r w:rsidR="00994683" w:rsidRPr="00994683">
          <w:rPr>
            <w:rStyle w:val="afd"/>
            <w:rFonts w:cs="Arial"/>
            <w:szCs w:val="28"/>
          </w:rPr>
          <w:t xml:space="preserve"> № </w:t>
        </w:r>
        <w:r w:rsidR="00E30022" w:rsidRPr="00994683">
          <w:rPr>
            <w:rStyle w:val="afd"/>
            <w:rFonts w:cs="Arial"/>
            <w:szCs w:val="28"/>
          </w:rPr>
          <w:t>499-па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34" w:history="1">
        <w:r w:rsidR="00994683">
          <w:rPr>
            <w:rStyle w:val="afd"/>
            <w:rFonts w:cs="Arial"/>
            <w:szCs w:val="28"/>
          </w:rPr>
          <w:t>от 10.12.2021 № 560-па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Об утверждении муниципальной программы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Развитие жилищной сферы в городе </w:t>
      </w:r>
      <w:proofErr w:type="spellStart"/>
      <w:r w:rsidRPr="00994683">
        <w:rPr>
          <w:rFonts w:cs="Arial"/>
          <w:szCs w:val="28"/>
        </w:rPr>
        <w:t>Пыть-Яхе</w:t>
      </w:r>
      <w:proofErr w:type="spellEnd"/>
      <w:r w:rsidR="00994683" w:rsidRPr="00994683">
        <w:rPr>
          <w:rFonts w:cs="Arial"/>
          <w:szCs w:val="28"/>
        </w:rPr>
        <w:t>»</w:t>
      </w:r>
      <w:r w:rsidR="00E70B88" w:rsidRPr="00994683">
        <w:rPr>
          <w:rFonts w:cs="Arial"/>
        </w:rPr>
        <w:t xml:space="preserve"> </w:t>
      </w:r>
      <w:r w:rsidR="00E70B88" w:rsidRPr="00994683">
        <w:rPr>
          <w:rFonts w:cs="Arial"/>
          <w:szCs w:val="28"/>
        </w:rPr>
        <w:t xml:space="preserve">(в ред. </w:t>
      </w:r>
      <w:hyperlink r:id="rId35" w:history="1">
        <w:r w:rsidR="00994683">
          <w:rPr>
            <w:rStyle w:val="afd"/>
            <w:rFonts w:cs="Arial"/>
            <w:szCs w:val="28"/>
          </w:rPr>
          <w:t>от 31.01.2022 № 32-па</w:t>
        </w:r>
      </w:hyperlink>
      <w:r w:rsidR="00E70B88" w:rsidRPr="00994683">
        <w:rPr>
          <w:rFonts w:cs="Arial"/>
          <w:szCs w:val="28"/>
        </w:rPr>
        <w:t xml:space="preserve">, </w:t>
      </w:r>
      <w:hyperlink r:id="rId36" w:history="1">
        <w:r w:rsidR="00994683">
          <w:rPr>
            <w:rStyle w:val="afd"/>
            <w:rFonts w:cs="Arial"/>
            <w:szCs w:val="28"/>
          </w:rPr>
          <w:t>от 06.06.2022 № 222-па</w:t>
        </w:r>
      </w:hyperlink>
      <w:r w:rsidR="00E70B88" w:rsidRPr="00994683">
        <w:rPr>
          <w:rFonts w:cs="Arial"/>
          <w:szCs w:val="28"/>
        </w:rPr>
        <w:t xml:space="preserve">, </w:t>
      </w:r>
      <w:hyperlink r:id="rId37" w:history="1">
        <w:r w:rsidR="00994683">
          <w:rPr>
            <w:rStyle w:val="afd"/>
            <w:rFonts w:cs="Arial"/>
            <w:szCs w:val="28"/>
          </w:rPr>
          <w:t>от 22.06.2022 № 258-па</w:t>
        </w:r>
      </w:hyperlink>
      <w:r w:rsidR="00E70B88" w:rsidRPr="00994683">
        <w:rPr>
          <w:rFonts w:cs="Arial"/>
          <w:szCs w:val="28"/>
        </w:rPr>
        <w:t xml:space="preserve">, </w:t>
      </w:r>
      <w:hyperlink r:id="rId38" w:history="1">
        <w:r w:rsidR="00994683">
          <w:rPr>
            <w:rStyle w:val="afd"/>
            <w:rFonts w:cs="Arial"/>
            <w:szCs w:val="28"/>
          </w:rPr>
          <w:t>от 10.11.2022 № 499-па</w:t>
        </w:r>
      </w:hyperlink>
      <w:r w:rsidR="00E70B88" w:rsidRPr="00994683">
        <w:rPr>
          <w:rFonts w:cs="Arial"/>
          <w:szCs w:val="28"/>
        </w:rPr>
        <w:t>)</w:t>
      </w:r>
      <w:r w:rsidR="00994683" w:rsidRPr="00994683">
        <w:rPr>
          <w:rFonts w:cs="Arial"/>
          <w:szCs w:val="28"/>
        </w:rPr>
        <w:t>»</w:t>
      </w:r>
      <w:r w:rsidRPr="00994683">
        <w:rPr>
          <w:rFonts w:cs="Arial"/>
          <w:szCs w:val="28"/>
        </w:rPr>
        <w:t xml:space="preserve">; </w:t>
      </w:r>
    </w:p>
    <w:p w:rsidR="00E30022" w:rsidRPr="00994683" w:rsidRDefault="0092011F" w:rsidP="00994683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94683">
        <w:rPr>
          <w:rFonts w:cs="Arial"/>
          <w:szCs w:val="28"/>
        </w:rPr>
        <w:t xml:space="preserve">- </w:t>
      </w:r>
      <w:hyperlink r:id="rId39" w:tooltip="постановление от 26.12.2022 0:00:00 №572-па Администрация г. Пыть-Ях&#10;&#10;О внесении изменений в постановление администрации города от 10.12.2021 № 560-па " w:history="1">
        <w:r w:rsidR="00E30022" w:rsidRPr="00994683">
          <w:rPr>
            <w:rStyle w:val="afd"/>
            <w:rFonts w:cs="Arial"/>
            <w:szCs w:val="28"/>
          </w:rPr>
          <w:t>от 26.12.2022</w:t>
        </w:r>
        <w:r w:rsidR="00994683" w:rsidRPr="00994683">
          <w:rPr>
            <w:rStyle w:val="afd"/>
            <w:rFonts w:cs="Arial"/>
            <w:szCs w:val="28"/>
          </w:rPr>
          <w:t xml:space="preserve"> № </w:t>
        </w:r>
        <w:r w:rsidR="00E30022" w:rsidRPr="00994683">
          <w:rPr>
            <w:rStyle w:val="afd"/>
            <w:rFonts w:cs="Arial"/>
            <w:szCs w:val="28"/>
          </w:rPr>
          <w:t>572-па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40" w:history="1">
        <w:r w:rsidR="00994683">
          <w:rPr>
            <w:rStyle w:val="afd"/>
            <w:rFonts w:cs="Arial"/>
            <w:szCs w:val="28"/>
          </w:rPr>
          <w:t>от 10.12.2021 № 560-па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Об утверждении муниципальной программы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Развитие жилищной сферы в городе </w:t>
      </w:r>
      <w:proofErr w:type="spellStart"/>
      <w:r w:rsidRPr="00994683">
        <w:rPr>
          <w:rFonts w:cs="Arial"/>
          <w:szCs w:val="28"/>
        </w:rPr>
        <w:t>Пыть-Яхе</w:t>
      </w:r>
      <w:proofErr w:type="spellEnd"/>
      <w:r w:rsidR="00994683" w:rsidRPr="00994683">
        <w:rPr>
          <w:rFonts w:cs="Arial"/>
          <w:szCs w:val="28"/>
        </w:rPr>
        <w:t>»</w:t>
      </w:r>
      <w:r w:rsidRPr="00994683">
        <w:rPr>
          <w:rFonts w:cs="Arial"/>
          <w:szCs w:val="28"/>
        </w:rPr>
        <w:t xml:space="preserve">; </w:t>
      </w:r>
    </w:p>
    <w:p w:rsidR="00E30022" w:rsidRPr="00994683" w:rsidRDefault="0092011F" w:rsidP="00994683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94683">
        <w:rPr>
          <w:rFonts w:cs="Arial"/>
          <w:szCs w:val="28"/>
        </w:rPr>
        <w:t xml:space="preserve">- </w:t>
      </w:r>
      <w:hyperlink r:id="rId41" w:tooltip="постановление от 30.12.2022 0:00:00 №595-па Администрация г. Пыть-Ях&#10;&#10;О внесении изменений в постановление администрации города от 10.12.2021 № 560-па " w:history="1">
        <w:r w:rsidR="00E30022" w:rsidRPr="00994683">
          <w:rPr>
            <w:rStyle w:val="afd"/>
            <w:rFonts w:cs="Arial"/>
            <w:szCs w:val="28"/>
          </w:rPr>
          <w:t>от 30.12.2022</w:t>
        </w:r>
        <w:r w:rsidR="00994683" w:rsidRPr="00994683">
          <w:rPr>
            <w:rStyle w:val="afd"/>
            <w:rFonts w:cs="Arial"/>
            <w:szCs w:val="28"/>
          </w:rPr>
          <w:t xml:space="preserve"> № </w:t>
        </w:r>
        <w:r w:rsidR="00E30022" w:rsidRPr="00994683">
          <w:rPr>
            <w:rStyle w:val="afd"/>
            <w:rFonts w:cs="Arial"/>
            <w:szCs w:val="28"/>
          </w:rPr>
          <w:t>595-па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42" w:history="1">
        <w:r w:rsidR="00994683">
          <w:rPr>
            <w:rStyle w:val="afd"/>
            <w:rFonts w:cs="Arial"/>
            <w:szCs w:val="28"/>
          </w:rPr>
          <w:t>от 10.12.2021 № 560-па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Об утверждении муниципальной программы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Развитие жилищной сферы в городе </w:t>
      </w:r>
      <w:proofErr w:type="spellStart"/>
      <w:r w:rsidRPr="00994683">
        <w:rPr>
          <w:rFonts w:cs="Arial"/>
          <w:szCs w:val="28"/>
        </w:rPr>
        <w:t>Пыть-Яхе</w:t>
      </w:r>
      <w:proofErr w:type="spellEnd"/>
      <w:r w:rsidR="00994683" w:rsidRPr="00994683">
        <w:rPr>
          <w:rFonts w:cs="Arial"/>
          <w:szCs w:val="28"/>
        </w:rPr>
        <w:t>»</w:t>
      </w:r>
      <w:r w:rsidR="00E70B88" w:rsidRPr="00994683">
        <w:rPr>
          <w:rFonts w:cs="Arial"/>
        </w:rPr>
        <w:t xml:space="preserve"> </w:t>
      </w:r>
      <w:r w:rsidR="00E70B88" w:rsidRPr="00994683">
        <w:rPr>
          <w:rFonts w:cs="Arial"/>
          <w:szCs w:val="28"/>
        </w:rPr>
        <w:t xml:space="preserve">(в ред. </w:t>
      </w:r>
      <w:hyperlink r:id="rId43" w:history="1">
        <w:r w:rsidR="00994683">
          <w:rPr>
            <w:rStyle w:val="afd"/>
            <w:rFonts w:cs="Arial"/>
            <w:szCs w:val="28"/>
          </w:rPr>
          <w:t>от 31.01.2022 № 32-па</w:t>
        </w:r>
      </w:hyperlink>
      <w:r w:rsidR="00E70B88" w:rsidRPr="00994683">
        <w:rPr>
          <w:rFonts w:cs="Arial"/>
          <w:szCs w:val="28"/>
        </w:rPr>
        <w:t xml:space="preserve">, </w:t>
      </w:r>
      <w:hyperlink r:id="rId44" w:history="1">
        <w:r w:rsidR="00994683">
          <w:rPr>
            <w:rStyle w:val="afd"/>
            <w:rFonts w:cs="Arial"/>
            <w:szCs w:val="28"/>
          </w:rPr>
          <w:t>от 06.06.2022 № 222-па</w:t>
        </w:r>
      </w:hyperlink>
      <w:r w:rsidR="00E70B88" w:rsidRPr="00994683">
        <w:rPr>
          <w:rFonts w:cs="Arial"/>
          <w:szCs w:val="28"/>
        </w:rPr>
        <w:t xml:space="preserve">, </w:t>
      </w:r>
      <w:hyperlink r:id="rId45" w:history="1">
        <w:r w:rsidR="00994683">
          <w:rPr>
            <w:rStyle w:val="afd"/>
            <w:rFonts w:cs="Arial"/>
            <w:szCs w:val="28"/>
          </w:rPr>
          <w:t>от 22.06.2022 № 258-па</w:t>
        </w:r>
      </w:hyperlink>
      <w:r w:rsidR="00E70B88" w:rsidRPr="00994683">
        <w:rPr>
          <w:rFonts w:cs="Arial"/>
          <w:szCs w:val="28"/>
        </w:rPr>
        <w:t xml:space="preserve">, </w:t>
      </w:r>
      <w:hyperlink r:id="rId46" w:history="1">
        <w:r w:rsidR="00994683">
          <w:rPr>
            <w:rStyle w:val="afd"/>
            <w:rFonts w:cs="Arial"/>
            <w:szCs w:val="28"/>
          </w:rPr>
          <w:t>от 10.11.2022 № 499-па</w:t>
        </w:r>
      </w:hyperlink>
      <w:r w:rsidR="00E70B88" w:rsidRPr="00994683">
        <w:rPr>
          <w:rFonts w:cs="Arial"/>
          <w:szCs w:val="28"/>
        </w:rPr>
        <w:t xml:space="preserve">, </w:t>
      </w:r>
      <w:hyperlink r:id="rId47" w:history="1">
        <w:r w:rsidR="00994683">
          <w:rPr>
            <w:rStyle w:val="afd"/>
            <w:rFonts w:cs="Arial"/>
            <w:szCs w:val="28"/>
          </w:rPr>
          <w:t xml:space="preserve">от </w:t>
        </w:r>
        <w:r w:rsidR="00994683">
          <w:rPr>
            <w:rStyle w:val="afd"/>
            <w:rFonts w:cs="Arial"/>
            <w:szCs w:val="28"/>
          </w:rPr>
          <w:lastRenderedPageBreak/>
          <w:t>26.12.2022 № 572-па</w:t>
        </w:r>
      </w:hyperlink>
      <w:r w:rsidR="00E70B88" w:rsidRPr="00994683">
        <w:rPr>
          <w:rFonts w:cs="Arial"/>
          <w:szCs w:val="28"/>
        </w:rPr>
        <w:t>)</w:t>
      </w:r>
      <w:r w:rsidR="00994683" w:rsidRPr="00994683">
        <w:rPr>
          <w:rFonts w:cs="Arial"/>
          <w:szCs w:val="28"/>
        </w:rPr>
        <w:t>»</w:t>
      </w:r>
      <w:r w:rsidRPr="00994683">
        <w:rPr>
          <w:rFonts w:cs="Arial"/>
          <w:szCs w:val="28"/>
        </w:rPr>
        <w:t>;</w:t>
      </w:r>
    </w:p>
    <w:p w:rsidR="00E30022" w:rsidRPr="00994683" w:rsidRDefault="0092011F" w:rsidP="00994683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94683">
        <w:rPr>
          <w:rFonts w:cs="Arial"/>
          <w:szCs w:val="28"/>
        </w:rPr>
        <w:t xml:space="preserve">- </w:t>
      </w:r>
      <w:hyperlink r:id="rId48" w:tooltip="постановление от 21.03.2023 0:00:00 №80-па Администрация г. Пыть-Ях&#10;&#10;О внесении изменений в постановление администрации города от 10.12.2021 № 560-па " w:history="1">
        <w:r w:rsidR="00E30022" w:rsidRPr="00994683">
          <w:rPr>
            <w:rStyle w:val="afd"/>
            <w:rFonts w:cs="Arial"/>
            <w:szCs w:val="28"/>
          </w:rPr>
          <w:t>от 21.03.2023</w:t>
        </w:r>
        <w:r w:rsidR="00994683" w:rsidRPr="00994683">
          <w:rPr>
            <w:rStyle w:val="afd"/>
            <w:rFonts w:cs="Arial"/>
            <w:szCs w:val="28"/>
          </w:rPr>
          <w:t xml:space="preserve"> № </w:t>
        </w:r>
        <w:r w:rsidR="00E30022" w:rsidRPr="00994683">
          <w:rPr>
            <w:rStyle w:val="afd"/>
            <w:rFonts w:cs="Arial"/>
            <w:szCs w:val="28"/>
          </w:rPr>
          <w:t>80-па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49" w:history="1">
        <w:r w:rsidR="00994683">
          <w:rPr>
            <w:rStyle w:val="afd"/>
            <w:rFonts w:cs="Arial"/>
            <w:szCs w:val="28"/>
          </w:rPr>
          <w:t>от 10.12.2021 № 560-па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Об утверждении муниципальной программы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Развитие жилищной сферы в городе </w:t>
      </w:r>
      <w:proofErr w:type="spellStart"/>
      <w:r w:rsidRPr="00994683">
        <w:rPr>
          <w:rFonts w:cs="Arial"/>
          <w:szCs w:val="28"/>
        </w:rPr>
        <w:t>Пыть-Яхе</w:t>
      </w:r>
      <w:proofErr w:type="spellEnd"/>
      <w:r w:rsidR="00994683" w:rsidRPr="00994683">
        <w:rPr>
          <w:rFonts w:cs="Arial"/>
          <w:szCs w:val="28"/>
        </w:rPr>
        <w:t>»</w:t>
      </w:r>
      <w:r w:rsidR="005053ED" w:rsidRPr="00994683">
        <w:rPr>
          <w:rFonts w:cs="Arial"/>
        </w:rPr>
        <w:t xml:space="preserve"> </w:t>
      </w:r>
      <w:r w:rsidR="005053ED" w:rsidRPr="00994683">
        <w:rPr>
          <w:rFonts w:cs="Arial"/>
          <w:szCs w:val="28"/>
        </w:rPr>
        <w:t xml:space="preserve">(в ред. </w:t>
      </w:r>
      <w:hyperlink r:id="rId50" w:history="1">
        <w:r w:rsidR="00994683">
          <w:rPr>
            <w:rStyle w:val="afd"/>
            <w:rFonts w:cs="Arial"/>
            <w:szCs w:val="28"/>
          </w:rPr>
          <w:t>от 31.01.2022 № 32-па</w:t>
        </w:r>
      </w:hyperlink>
      <w:r w:rsidR="005053ED" w:rsidRPr="00994683">
        <w:rPr>
          <w:rFonts w:cs="Arial"/>
          <w:szCs w:val="28"/>
        </w:rPr>
        <w:t xml:space="preserve">, </w:t>
      </w:r>
      <w:hyperlink r:id="rId51" w:history="1">
        <w:r w:rsidR="00994683">
          <w:rPr>
            <w:rStyle w:val="afd"/>
            <w:rFonts w:cs="Arial"/>
            <w:szCs w:val="28"/>
          </w:rPr>
          <w:t>от 06.06.2022 № 222-па</w:t>
        </w:r>
      </w:hyperlink>
      <w:r w:rsidR="005053ED" w:rsidRPr="00994683">
        <w:rPr>
          <w:rFonts w:cs="Arial"/>
          <w:szCs w:val="28"/>
        </w:rPr>
        <w:t xml:space="preserve">, </w:t>
      </w:r>
      <w:hyperlink r:id="rId52" w:history="1">
        <w:r w:rsidR="00994683">
          <w:rPr>
            <w:rStyle w:val="afd"/>
            <w:rFonts w:cs="Arial"/>
            <w:szCs w:val="28"/>
          </w:rPr>
          <w:t>от 22.06.2022 № 258-па</w:t>
        </w:r>
      </w:hyperlink>
      <w:r w:rsidR="005053ED" w:rsidRPr="00994683">
        <w:rPr>
          <w:rFonts w:cs="Arial"/>
          <w:szCs w:val="28"/>
        </w:rPr>
        <w:t xml:space="preserve">, </w:t>
      </w:r>
      <w:hyperlink r:id="rId53" w:history="1">
        <w:r w:rsidR="00994683">
          <w:rPr>
            <w:rStyle w:val="afd"/>
            <w:rFonts w:cs="Arial"/>
            <w:szCs w:val="28"/>
          </w:rPr>
          <w:t>от 10.11.2022 № 499-па</w:t>
        </w:r>
      </w:hyperlink>
      <w:r w:rsidR="005053ED" w:rsidRPr="00994683">
        <w:rPr>
          <w:rFonts w:cs="Arial"/>
          <w:szCs w:val="28"/>
        </w:rPr>
        <w:t xml:space="preserve">, </w:t>
      </w:r>
      <w:hyperlink r:id="rId54" w:history="1">
        <w:r w:rsidR="00994683">
          <w:rPr>
            <w:rStyle w:val="afd"/>
            <w:rFonts w:cs="Arial"/>
            <w:szCs w:val="28"/>
          </w:rPr>
          <w:t>от 26.12.2022 № 572-па</w:t>
        </w:r>
      </w:hyperlink>
      <w:r w:rsidR="005053ED" w:rsidRPr="00994683">
        <w:rPr>
          <w:rFonts w:cs="Arial"/>
          <w:szCs w:val="28"/>
        </w:rPr>
        <w:t xml:space="preserve">, </w:t>
      </w:r>
      <w:hyperlink r:id="rId55" w:history="1">
        <w:r w:rsidR="00994683">
          <w:rPr>
            <w:rStyle w:val="afd"/>
            <w:rFonts w:cs="Arial"/>
            <w:szCs w:val="28"/>
          </w:rPr>
          <w:t>от 30.12.2022 № 595-па</w:t>
        </w:r>
      </w:hyperlink>
      <w:r w:rsidR="005053ED" w:rsidRPr="00994683">
        <w:rPr>
          <w:rFonts w:cs="Arial"/>
          <w:szCs w:val="28"/>
        </w:rPr>
        <w:t>)</w:t>
      </w:r>
      <w:r w:rsidR="00994683" w:rsidRPr="00994683">
        <w:rPr>
          <w:rFonts w:cs="Arial"/>
          <w:szCs w:val="28"/>
        </w:rPr>
        <w:t>»</w:t>
      </w:r>
      <w:r w:rsidRPr="00994683">
        <w:rPr>
          <w:rFonts w:cs="Arial"/>
          <w:szCs w:val="28"/>
        </w:rPr>
        <w:t xml:space="preserve">; </w:t>
      </w:r>
    </w:p>
    <w:p w:rsidR="00E30022" w:rsidRPr="00994683" w:rsidRDefault="0092011F" w:rsidP="00994683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94683">
        <w:rPr>
          <w:rFonts w:cs="Arial"/>
          <w:szCs w:val="28"/>
        </w:rPr>
        <w:t xml:space="preserve">- </w:t>
      </w:r>
      <w:hyperlink r:id="rId56" w:tooltip="постановление от 01.06.2023 0:00:00 №155-па Администрация г. Пыть-Ях&#10;&#10;О внесении изменений в постановление администрации города от 10.12.2021 № 560-па " w:history="1">
        <w:r w:rsidR="00E30022" w:rsidRPr="00994683">
          <w:rPr>
            <w:rStyle w:val="afd"/>
            <w:rFonts w:cs="Arial"/>
            <w:szCs w:val="28"/>
          </w:rPr>
          <w:t>от 01.06.2023</w:t>
        </w:r>
        <w:r w:rsidR="00994683" w:rsidRPr="00994683">
          <w:rPr>
            <w:rStyle w:val="afd"/>
            <w:rFonts w:cs="Arial"/>
            <w:szCs w:val="28"/>
          </w:rPr>
          <w:t xml:space="preserve"> № </w:t>
        </w:r>
        <w:r w:rsidR="00E30022" w:rsidRPr="00994683">
          <w:rPr>
            <w:rStyle w:val="afd"/>
            <w:rFonts w:cs="Arial"/>
            <w:szCs w:val="28"/>
          </w:rPr>
          <w:t>155-па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57" w:history="1">
        <w:r w:rsidR="00994683">
          <w:rPr>
            <w:rStyle w:val="afd"/>
            <w:rFonts w:cs="Arial"/>
            <w:szCs w:val="28"/>
          </w:rPr>
          <w:t>от 10.12.2021 № 560-па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Об утверждении муниципальной программы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Развитие жилищной сферы в городе </w:t>
      </w:r>
      <w:proofErr w:type="spellStart"/>
      <w:r w:rsidRPr="00994683">
        <w:rPr>
          <w:rFonts w:cs="Arial"/>
          <w:szCs w:val="28"/>
        </w:rPr>
        <w:t>Пыть-Яхе</w:t>
      </w:r>
      <w:proofErr w:type="spellEnd"/>
      <w:r w:rsidR="00994683" w:rsidRPr="00994683">
        <w:rPr>
          <w:rFonts w:cs="Arial"/>
          <w:szCs w:val="28"/>
        </w:rPr>
        <w:t>»</w:t>
      </w:r>
      <w:r w:rsidR="00876047" w:rsidRPr="00994683">
        <w:rPr>
          <w:rFonts w:cs="Arial"/>
          <w:szCs w:val="28"/>
        </w:rPr>
        <w:t xml:space="preserve"> (в ред. </w:t>
      </w:r>
      <w:hyperlink r:id="rId58" w:history="1">
        <w:r w:rsidR="00994683">
          <w:rPr>
            <w:rStyle w:val="afd"/>
            <w:rFonts w:cs="Arial"/>
            <w:szCs w:val="28"/>
          </w:rPr>
          <w:t>от 31.01.2022 № 32-па</w:t>
        </w:r>
      </w:hyperlink>
      <w:r w:rsidR="00876047" w:rsidRPr="00994683">
        <w:rPr>
          <w:rFonts w:cs="Arial"/>
          <w:szCs w:val="28"/>
        </w:rPr>
        <w:t xml:space="preserve">, </w:t>
      </w:r>
      <w:hyperlink r:id="rId59" w:history="1">
        <w:r w:rsidR="00994683">
          <w:rPr>
            <w:rStyle w:val="afd"/>
            <w:rFonts w:cs="Arial"/>
            <w:szCs w:val="28"/>
          </w:rPr>
          <w:t>от 06.06.2022 № 222-па</w:t>
        </w:r>
      </w:hyperlink>
      <w:r w:rsidR="00876047" w:rsidRPr="00994683">
        <w:rPr>
          <w:rFonts w:cs="Arial"/>
          <w:szCs w:val="28"/>
        </w:rPr>
        <w:t xml:space="preserve">, </w:t>
      </w:r>
      <w:hyperlink r:id="rId60" w:history="1">
        <w:r w:rsidR="00994683">
          <w:rPr>
            <w:rStyle w:val="afd"/>
            <w:rFonts w:cs="Arial"/>
            <w:szCs w:val="28"/>
          </w:rPr>
          <w:t>от 22.06.2022 № 258-па</w:t>
        </w:r>
      </w:hyperlink>
      <w:r w:rsidR="00876047" w:rsidRPr="00994683">
        <w:rPr>
          <w:rFonts w:cs="Arial"/>
          <w:szCs w:val="28"/>
        </w:rPr>
        <w:t xml:space="preserve">, </w:t>
      </w:r>
      <w:hyperlink r:id="rId61" w:history="1">
        <w:r w:rsidR="00994683">
          <w:rPr>
            <w:rStyle w:val="afd"/>
            <w:rFonts w:cs="Arial"/>
            <w:szCs w:val="28"/>
          </w:rPr>
          <w:t>от 10.11.2022 № 499-па</w:t>
        </w:r>
      </w:hyperlink>
      <w:r w:rsidR="00876047" w:rsidRPr="00994683">
        <w:rPr>
          <w:rFonts w:cs="Arial"/>
          <w:szCs w:val="28"/>
        </w:rPr>
        <w:t xml:space="preserve">, </w:t>
      </w:r>
      <w:hyperlink r:id="rId62" w:history="1">
        <w:r w:rsidR="00994683">
          <w:rPr>
            <w:rStyle w:val="afd"/>
            <w:rFonts w:cs="Arial"/>
            <w:szCs w:val="28"/>
          </w:rPr>
          <w:t>от 26.12.2022 № 572-па</w:t>
        </w:r>
      </w:hyperlink>
      <w:r w:rsidR="00876047" w:rsidRPr="00994683">
        <w:rPr>
          <w:rFonts w:cs="Arial"/>
          <w:szCs w:val="28"/>
        </w:rPr>
        <w:t xml:space="preserve">, </w:t>
      </w:r>
      <w:hyperlink r:id="rId63" w:history="1">
        <w:r w:rsidR="00994683">
          <w:rPr>
            <w:rStyle w:val="afd"/>
            <w:rFonts w:cs="Arial"/>
            <w:szCs w:val="28"/>
          </w:rPr>
          <w:t>от 30.12.2022 № 595-па</w:t>
        </w:r>
      </w:hyperlink>
      <w:r w:rsidR="00876047" w:rsidRPr="00994683">
        <w:rPr>
          <w:rFonts w:cs="Arial"/>
          <w:szCs w:val="28"/>
        </w:rPr>
        <w:t xml:space="preserve">, </w:t>
      </w:r>
      <w:hyperlink r:id="rId64" w:history="1">
        <w:r w:rsidR="00994683">
          <w:rPr>
            <w:rStyle w:val="afd"/>
            <w:rFonts w:cs="Arial"/>
            <w:szCs w:val="28"/>
          </w:rPr>
          <w:t>от 21.03.2023 № 80-па</w:t>
        </w:r>
      </w:hyperlink>
      <w:r w:rsidR="00876047" w:rsidRPr="00994683">
        <w:rPr>
          <w:rFonts w:cs="Arial"/>
          <w:szCs w:val="28"/>
        </w:rPr>
        <w:t>)</w:t>
      </w:r>
      <w:r w:rsidR="00994683" w:rsidRPr="00994683">
        <w:rPr>
          <w:rFonts w:cs="Arial"/>
          <w:szCs w:val="28"/>
        </w:rPr>
        <w:t>»</w:t>
      </w:r>
      <w:r w:rsidRPr="00994683">
        <w:rPr>
          <w:rFonts w:cs="Arial"/>
          <w:szCs w:val="28"/>
        </w:rPr>
        <w:t xml:space="preserve">; </w:t>
      </w:r>
    </w:p>
    <w:p w:rsidR="00E30022" w:rsidRPr="00994683" w:rsidRDefault="0092011F" w:rsidP="00994683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94683">
        <w:rPr>
          <w:rFonts w:cs="Arial"/>
          <w:szCs w:val="28"/>
        </w:rPr>
        <w:t xml:space="preserve">- </w:t>
      </w:r>
      <w:hyperlink r:id="rId65" w:tooltip="постановление от 28.08.2023 0:00:00 №242-па Администрация г. Пыть-Ях&#10;&#10;О внесении изменений в постановление администрации города от 10.12.2021 № 560-па " w:history="1">
        <w:r w:rsidR="00E30022" w:rsidRPr="00994683">
          <w:rPr>
            <w:rStyle w:val="afd"/>
            <w:rFonts w:cs="Arial"/>
            <w:szCs w:val="28"/>
          </w:rPr>
          <w:t>от 28.08.2023</w:t>
        </w:r>
        <w:r w:rsidR="00994683" w:rsidRPr="00994683">
          <w:rPr>
            <w:rStyle w:val="afd"/>
            <w:rFonts w:cs="Arial"/>
            <w:szCs w:val="28"/>
          </w:rPr>
          <w:t xml:space="preserve"> № </w:t>
        </w:r>
        <w:r w:rsidR="00E30022" w:rsidRPr="00994683">
          <w:rPr>
            <w:rStyle w:val="afd"/>
            <w:rFonts w:cs="Arial"/>
            <w:szCs w:val="28"/>
          </w:rPr>
          <w:t>242-па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66" w:history="1">
        <w:r w:rsidR="00994683">
          <w:rPr>
            <w:rStyle w:val="afd"/>
            <w:rFonts w:cs="Arial"/>
            <w:szCs w:val="28"/>
          </w:rPr>
          <w:t>от 10.12.2021 № 560-па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Об утверждении муниципальной программы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Развитие жилищной сферы в городе </w:t>
      </w:r>
      <w:proofErr w:type="spellStart"/>
      <w:r w:rsidRPr="00994683">
        <w:rPr>
          <w:rFonts w:cs="Arial"/>
          <w:szCs w:val="28"/>
        </w:rPr>
        <w:t>Пыть-Яхе</w:t>
      </w:r>
      <w:proofErr w:type="spellEnd"/>
      <w:r w:rsidR="00994683" w:rsidRPr="00994683">
        <w:rPr>
          <w:rFonts w:cs="Arial"/>
          <w:szCs w:val="28"/>
        </w:rPr>
        <w:t>»</w:t>
      </w:r>
      <w:r w:rsidR="0096643C" w:rsidRPr="00994683">
        <w:rPr>
          <w:rFonts w:cs="Arial"/>
        </w:rPr>
        <w:t xml:space="preserve"> </w:t>
      </w:r>
      <w:r w:rsidR="0096643C" w:rsidRPr="00994683">
        <w:rPr>
          <w:rFonts w:cs="Arial"/>
          <w:szCs w:val="28"/>
        </w:rPr>
        <w:t xml:space="preserve">(в ред. </w:t>
      </w:r>
      <w:hyperlink r:id="rId67" w:history="1">
        <w:r w:rsidR="00994683">
          <w:rPr>
            <w:rStyle w:val="afd"/>
            <w:rFonts w:cs="Arial"/>
            <w:szCs w:val="28"/>
          </w:rPr>
          <w:t>от 31.01.2022 № 32-па</w:t>
        </w:r>
      </w:hyperlink>
      <w:r w:rsidR="0096643C" w:rsidRPr="00994683">
        <w:rPr>
          <w:rFonts w:cs="Arial"/>
          <w:szCs w:val="28"/>
        </w:rPr>
        <w:t xml:space="preserve">, </w:t>
      </w:r>
      <w:hyperlink r:id="rId68" w:history="1">
        <w:r w:rsidR="00994683">
          <w:rPr>
            <w:rStyle w:val="afd"/>
            <w:rFonts w:cs="Arial"/>
            <w:szCs w:val="28"/>
          </w:rPr>
          <w:t>от 06.06.2022 № 222-па</w:t>
        </w:r>
      </w:hyperlink>
      <w:r w:rsidR="0096643C" w:rsidRPr="00994683">
        <w:rPr>
          <w:rFonts w:cs="Arial"/>
          <w:szCs w:val="28"/>
        </w:rPr>
        <w:t xml:space="preserve">, </w:t>
      </w:r>
      <w:hyperlink r:id="rId69" w:history="1">
        <w:r w:rsidR="00994683">
          <w:rPr>
            <w:rStyle w:val="afd"/>
            <w:rFonts w:cs="Arial"/>
            <w:szCs w:val="28"/>
          </w:rPr>
          <w:t>от 22.06.2022 № 258-па</w:t>
        </w:r>
      </w:hyperlink>
      <w:r w:rsidR="0096643C" w:rsidRPr="00994683">
        <w:rPr>
          <w:rFonts w:cs="Arial"/>
          <w:szCs w:val="28"/>
        </w:rPr>
        <w:t xml:space="preserve">, </w:t>
      </w:r>
      <w:hyperlink r:id="rId70" w:history="1">
        <w:r w:rsidR="00994683">
          <w:rPr>
            <w:rStyle w:val="afd"/>
            <w:rFonts w:cs="Arial"/>
            <w:szCs w:val="28"/>
          </w:rPr>
          <w:t>от 10.11.2022 № 499-па</w:t>
        </w:r>
      </w:hyperlink>
      <w:r w:rsidR="0096643C" w:rsidRPr="00994683">
        <w:rPr>
          <w:rFonts w:cs="Arial"/>
          <w:szCs w:val="28"/>
        </w:rPr>
        <w:t xml:space="preserve">, </w:t>
      </w:r>
      <w:hyperlink r:id="rId71" w:history="1">
        <w:r w:rsidR="00994683">
          <w:rPr>
            <w:rStyle w:val="afd"/>
            <w:rFonts w:cs="Arial"/>
            <w:szCs w:val="28"/>
          </w:rPr>
          <w:t>от 26.12.2022 № 572-па</w:t>
        </w:r>
      </w:hyperlink>
      <w:r w:rsidR="0096643C" w:rsidRPr="00994683">
        <w:rPr>
          <w:rFonts w:cs="Arial"/>
          <w:szCs w:val="28"/>
        </w:rPr>
        <w:t xml:space="preserve">, </w:t>
      </w:r>
      <w:hyperlink r:id="rId72" w:history="1">
        <w:r w:rsidR="00994683">
          <w:rPr>
            <w:rStyle w:val="afd"/>
            <w:rFonts w:cs="Arial"/>
            <w:szCs w:val="28"/>
          </w:rPr>
          <w:t>от 30.12.2022 № 595-па</w:t>
        </w:r>
      </w:hyperlink>
      <w:r w:rsidR="0096643C" w:rsidRPr="00994683">
        <w:rPr>
          <w:rFonts w:cs="Arial"/>
          <w:szCs w:val="28"/>
        </w:rPr>
        <w:t xml:space="preserve">, </w:t>
      </w:r>
      <w:hyperlink r:id="rId73" w:history="1">
        <w:r w:rsidR="00994683">
          <w:rPr>
            <w:rStyle w:val="afd"/>
            <w:rFonts w:cs="Arial"/>
            <w:szCs w:val="28"/>
          </w:rPr>
          <w:t>от 21.03.2023 № 80-па</w:t>
        </w:r>
      </w:hyperlink>
      <w:r w:rsidR="0096643C" w:rsidRPr="00994683">
        <w:rPr>
          <w:rFonts w:cs="Arial"/>
          <w:szCs w:val="28"/>
        </w:rPr>
        <w:t xml:space="preserve">, </w:t>
      </w:r>
      <w:hyperlink r:id="rId74" w:history="1">
        <w:r w:rsidR="00994683">
          <w:rPr>
            <w:rStyle w:val="afd"/>
            <w:rFonts w:cs="Arial"/>
            <w:szCs w:val="28"/>
          </w:rPr>
          <w:t>от 01.06.2023 № 155-па</w:t>
        </w:r>
      </w:hyperlink>
      <w:r w:rsidR="0096643C" w:rsidRPr="00994683">
        <w:rPr>
          <w:rFonts w:cs="Arial"/>
          <w:szCs w:val="28"/>
        </w:rPr>
        <w:t>)</w:t>
      </w:r>
      <w:r w:rsidR="00994683" w:rsidRPr="00994683">
        <w:rPr>
          <w:rFonts w:cs="Arial"/>
          <w:szCs w:val="28"/>
        </w:rPr>
        <w:t>»</w:t>
      </w:r>
      <w:r w:rsidRPr="00994683">
        <w:rPr>
          <w:rFonts w:cs="Arial"/>
          <w:szCs w:val="28"/>
        </w:rPr>
        <w:t>;</w:t>
      </w:r>
    </w:p>
    <w:p w:rsidR="0092011F" w:rsidRPr="00994683" w:rsidRDefault="0092011F" w:rsidP="00994683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94683">
        <w:rPr>
          <w:rFonts w:cs="Arial"/>
          <w:szCs w:val="28"/>
        </w:rPr>
        <w:t xml:space="preserve">- </w:t>
      </w:r>
      <w:hyperlink r:id="rId75" w:tooltip="постановление от 16.10.2023 12:10:02 №286-па Администрация г. Пыть-Ях&#10;&#10;О внесении изменений в постановление администрации города от 10.12.2021 № 560-па " w:history="1">
        <w:r w:rsidRPr="00994683">
          <w:rPr>
            <w:rStyle w:val="afd"/>
            <w:rFonts w:cs="Arial"/>
            <w:szCs w:val="28"/>
          </w:rPr>
          <w:t>от 16.10.2023</w:t>
        </w:r>
        <w:r w:rsidR="00994683" w:rsidRPr="00994683">
          <w:rPr>
            <w:rStyle w:val="afd"/>
            <w:rFonts w:cs="Arial"/>
            <w:szCs w:val="28"/>
          </w:rPr>
          <w:t xml:space="preserve"> № </w:t>
        </w:r>
        <w:r w:rsidRPr="00994683">
          <w:rPr>
            <w:rStyle w:val="afd"/>
            <w:rFonts w:cs="Arial"/>
            <w:szCs w:val="28"/>
          </w:rPr>
          <w:t>286-па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76" w:history="1">
        <w:r w:rsidR="00994683">
          <w:rPr>
            <w:rStyle w:val="afd"/>
            <w:rFonts w:cs="Arial"/>
            <w:szCs w:val="28"/>
          </w:rPr>
          <w:t>от 10.12.2021 № 560-па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Об утверждении муниципальной программы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Развитие жилищной сферы в городе </w:t>
      </w:r>
      <w:proofErr w:type="spellStart"/>
      <w:r w:rsidRPr="00994683">
        <w:rPr>
          <w:rFonts w:cs="Arial"/>
          <w:szCs w:val="28"/>
        </w:rPr>
        <w:t>Пыть-Яхе</w:t>
      </w:r>
      <w:proofErr w:type="spellEnd"/>
      <w:r w:rsidR="00994683" w:rsidRPr="00994683">
        <w:rPr>
          <w:rFonts w:cs="Arial"/>
          <w:szCs w:val="28"/>
        </w:rPr>
        <w:t>»</w:t>
      </w:r>
      <w:r w:rsidR="00A7271A" w:rsidRPr="00994683">
        <w:rPr>
          <w:rFonts w:cs="Arial"/>
        </w:rPr>
        <w:t xml:space="preserve"> </w:t>
      </w:r>
      <w:r w:rsidR="00A7271A" w:rsidRPr="00994683">
        <w:rPr>
          <w:rFonts w:cs="Arial"/>
          <w:szCs w:val="28"/>
        </w:rPr>
        <w:t xml:space="preserve">(в ред. </w:t>
      </w:r>
      <w:hyperlink r:id="rId77" w:history="1">
        <w:r w:rsidR="00994683">
          <w:rPr>
            <w:rStyle w:val="afd"/>
            <w:rFonts w:cs="Arial"/>
            <w:szCs w:val="28"/>
          </w:rPr>
          <w:t>от 31.01.2022 № 32-па</w:t>
        </w:r>
      </w:hyperlink>
      <w:r w:rsidR="00A7271A" w:rsidRPr="00994683">
        <w:rPr>
          <w:rFonts w:cs="Arial"/>
          <w:szCs w:val="28"/>
        </w:rPr>
        <w:t xml:space="preserve">, </w:t>
      </w:r>
      <w:hyperlink r:id="rId78" w:history="1">
        <w:r w:rsidR="00994683">
          <w:rPr>
            <w:rStyle w:val="afd"/>
            <w:rFonts w:cs="Arial"/>
            <w:szCs w:val="28"/>
          </w:rPr>
          <w:t>от 06.06.2022 № 222-па</w:t>
        </w:r>
      </w:hyperlink>
      <w:r w:rsidR="00A7271A" w:rsidRPr="00994683">
        <w:rPr>
          <w:rFonts w:cs="Arial"/>
          <w:szCs w:val="28"/>
        </w:rPr>
        <w:t xml:space="preserve">, </w:t>
      </w:r>
      <w:hyperlink r:id="rId79" w:history="1">
        <w:r w:rsidR="00994683">
          <w:rPr>
            <w:rStyle w:val="afd"/>
            <w:rFonts w:cs="Arial"/>
            <w:szCs w:val="28"/>
          </w:rPr>
          <w:t>от 22.06.2022 № 258-па</w:t>
        </w:r>
      </w:hyperlink>
      <w:r w:rsidR="00A7271A" w:rsidRPr="00994683">
        <w:rPr>
          <w:rFonts w:cs="Arial"/>
          <w:szCs w:val="28"/>
        </w:rPr>
        <w:t xml:space="preserve">, </w:t>
      </w:r>
      <w:hyperlink r:id="rId80" w:history="1">
        <w:r w:rsidR="00994683">
          <w:rPr>
            <w:rStyle w:val="afd"/>
            <w:rFonts w:cs="Arial"/>
            <w:szCs w:val="28"/>
          </w:rPr>
          <w:t>от 10.11.2022 № 499-па</w:t>
        </w:r>
      </w:hyperlink>
      <w:r w:rsidR="00A7271A" w:rsidRPr="00994683">
        <w:rPr>
          <w:rFonts w:cs="Arial"/>
          <w:szCs w:val="28"/>
        </w:rPr>
        <w:t xml:space="preserve">, </w:t>
      </w:r>
      <w:hyperlink r:id="rId81" w:history="1">
        <w:r w:rsidR="00994683">
          <w:rPr>
            <w:rStyle w:val="afd"/>
            <w:rFonts w:cs="Arial"/>
            <w:szCs w:val="28"/>
          </w:rPr>
          <w:t>от 26.12.2022 № 572-па</w:t>
        </w:r>
      </w:hyperlink>
      <w:r w:rsidR="00A7271A" w:rsidRPr="00994683">
        <w:rPr>
          <w:rFonts w:cs="Arial"/>
          <w:szCs w:val="28"/>
        </w:rPr>
        <w:t xml:space="preserve">, </w:t>
      </w:r>
      <w:hyperlink r:id="rId82" w:history="1">
        <w:r w:rsidR="00994683">
          <w:rPr>
            <w:rStyle w:val="afd"/>
            <w:rFonts w:cs="Arial"/>
            <w:szCs w:val="28"/>
          </w:rPr>
          <w:t>от 30.12.2022 № 595-па</w:t>
        </w:r>
      </w:hyperlink>
      <w:r w:rsidR="00A7271A" w:rsidRPr="00994683">
        <w:rPr>
          <w:rFonts w:cs="Arial"/>
          <w:szCs w:val="28"/>
        </w:rPr>
        <w:t xml:space="preserve">, </w:t>
      </w:r>
      <w:hyperlink r:id="rId83" w:history="1">
        <w:r w:rsidR="00994683">
          <w:rPr>
            <w:rStyle w:val="afd"/>
            <w:rFonts w:cs="Arial"/>
            <w:szCs w:val="28"/>
          </w:rPr>
          <w:t>от 21.03.2023 № 80-па</w:t>
        </w:r>
      </w:hyperlink>
      <w:r w:rsidR="00A7271A" w:rsidRPr="00994683">
        <w:rPr>
          <w:rFonts w:cs="Arial"/>
          <w:szCs w:val="28"/>
        </w:rPr>
        <w:t xml:space="preserve">, </w:t>
      </w:r>
      <w:hyperlink r:id="rId84" w:history="1">
        <w:r w:rsidR="00994683">
          <w:rPr>
            <w:rStyle w:val="afd"/>
            <w:rFonts w:cs="Arial"/>
            <w:szCs w:val="28"/>
          </w:rPr>
          <w:t>от 01.06.2023 № 155-па</w:t>
        </w:r>
      </w:hyperlink>
      <w:r w:rsidR="00A7271A" w:rsidRPr="00994683">
        <w:rPr>
          <w:rFonts w:cs="Arial"/>
          <w:szCs w:val="28"/>
        </w:rPr>
        <w:t xml:space="preserve">, </w:t>
      </w:r>
      <w:hyperlink r:id="rId85" w:history="1">
        <w:r w:rsidR="00994683">
          <w:rPr>
            <w:rStyle w:val="afd"/>
            <w:rFonts w:cs="Arial"/>
            <w:szCs w:val="28"/>
          </w:rPr>
          <w:t>от 28.08.2023 № 242-па</w:t>
        </w:r>
      </w:hyperlink>
      <w:r w:rsidR="00A7271A" w:rsidRPr="00994683">
        <w:rPr>
          <w:rFonts w:cs="Arial"/>
          <w:szCs w:val="28"/>
        </w:rPr>
        <w:t>)</w:t>
      </w:r>
      <w:r w:rsidR="00994683" w:rsidRPr="00994683">
        <w:rPr>
          <w:rFonts w:cs="Arial"/>
          <w:szCs w:val="28"/>
        </w:rPr>
        <w:t>»</w:t>
      </w:r>
      <w:r w:rsidR="009C3317" w:rsidRPr="00994683">
        <w:rPr>
          <w:rFonts w:cs="Arial"/>
          <w:szCs w:val="28"/>
        </w:rPr>
        <w:t>;</w:t>
      </w:r>
    </w:p>
    <w:p w:rsidR="009C3317" w:rsidRPr="00994683" w:rsidRDefault="009C3317" w:rsidP="00994683">
      <w:pPr>
        <w:spacing w:line="360" w:lineRule="auto"/>
        <w:ind w:firstLine="709"/>
        <w:rPr>
          <w:rFonts w:cs="Arial"/>
          <w:szCs w:val="28"/>
        </w:rPr>
      </w:pPr>
      <w:r w:rsidRPr="00994683">
        <w:rPr>
          <w:rFonts w:cs="Arial"/>
          <w:szCs w:val="28"/>
        </w:rPr>
        <w:t xml:space="preserve">- </w:t>
      </w:r>
      <w:hyperlink r:id="rId86" w:tooltip="постановление от 18.12.2023 0:00:00 №346-па Администрация г. Пыть-Ях&#10;&#10;О внесении изменений в постановление администрации города от 10.12.2021 № 560-па " w:history="1">
        <w:r w:rsidRPr="00994683">
          <w:rPr>
            <w:rStyle w:val="afd"/>
            <w:rFonts w:cs="Arial"/>
            <w:szCs w:val="28"/>
          </w:rPr>
          <w:t>от 18.12.2023</w:t>
        </w:r>
        <w:r w:rsidR="00994683" w:rsidRPr="00994683">
          <w:rPr>
            <w:rStyle w:val="afd"/>
            <w:rFonts w:cs="Arial"/>
            <w:szCs w:val="28"/>
          </w:rPr>
          <w:t xml:space="preserve"> № </w:t>
        </w:r>
        <w:r w:rsidRPr="00994683">
          <w:rPr>
            <w:rStyle w:val="afd"/>
            <w:rFonts w:cs="Arial"/>
            <w:szCs w:val="28"/>
          </w:rPr>
          <w:t>346-па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87" w:history="1">
        <w:r w:rsidR="00994683">
          <w:rPr>
            <w:rStyle w:val="afd"/>
            <w:rFonts w:cs="Arial"/>
            <w:szCs w:val="28"/>
          </w:rPr>
          <w:t>от 10.12.2021 № 560-па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Об утверждении муниципальной программы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Развитие жилищной сферы в городе </w:t>
      </w:r>
      <w:proofErr w:type="spellStart"/>
      <w:r w:rsidRPr="00994683">
        <w:rPr>
          <w:rFonts w:cs="Arial"/>
          <w:szCs w:val="28"/>
        </w:rPr>
        <w:t>Пыть-Яхе</w:t>
      </w:r>
      <w:proofErr w:type="spellEnd"/>
      <w:r w:rsidR="00994683" w:rsidRPr="00994683">
        <w:rPr>
          <w:rFonts w:cs="Arial"/>
          <w:szCs w:val="28"/>
        </w:rPr>
        <w:t>»</w:t>
      </w:r>
      <w:r w:rsidR="00A628DC" w:rsidRPr="00994683">
        <w:rPr>
          <w:rFonts w:cs="Arial"/>
          <w:spacing w:val="-10"/>
          <w:szCs w:val="28"/>
        </w:rPr>
        <w:t xml:space="preserve"> в ред. </w:t>
      </w:r>
      <w:hyperlink r:id="rId88" w:history="1">
        <w:r w:rsidR="00994683">
          <w:rPr>
            <w:rStyle w:val="afd"/>
            <w:rFonts w:cs="Arial"/>
            <w:spacing w:val="-10"/>
            <w:szCs w:val="28"/>
          </w:rPr>
          <w:t>от 31.01.2022 № 32-па</w:t>
        </w:r>
      </w:hyperlink>
      <w:r w:rsidR="00A628DC" w:rsidRPr="00994683">
        <w:rPr>
          <w:rFonts w:cs="Arial"/>
          <w:spacing w:val="-10"/>
          <w:szCs w:val="28"/>
        </w:rPr>
        <w:t xml:space="preserve">, </w:t>
      </w:r>
      <w:hyperlink r:id="rId89" w:history="1">
        <w:r w:rsidR="00994683">
          <w:rPr>
            <w:rStyle w:val="afd"/>
            <w:rFonts w:cs="Arial"/>
            <w:spacing w:val="-10"/>
            <w:szCs w:val="28"/>
          </w:rPr>
          <w:t>от 06.06.2022 № 222-па</w:t>
        </w:r>
      </w:hyperlink>
      <w:r w:rsidR="00A628DC" w:rsidRPr="00994683">
        <w:rPr>
          <w:rFonts w:cs="Arial"/>
          <w:spacing w:val="-10"/>
          <w:szCs w:val="28"/>
        </w:rPr>
        <w:t xml:space="preserve">, </w:t>
      </w:r>
      <w:hyperlink r:id="rId90" w:history="1">
        <w:r w:rsidR="00994683">
          <w:rPr>
            <w:rStyle w:val="afd"/>
            <w:rFonts w:cs="Arial"/>
            <w:spacing w:val="-10"/>
            <w:szCs w:val="28"/>
          </w:rPr>
          <w:t>от 22.06.2022 № 258-па</w:t>
        </w:r>
      </w:hyperlink>
      <w:r w:rsidR="00A628DC" w:rsidRPr="00994683">
        <w:rPr>
          <w:rFonts w:cs="Arial"/>
          <w:spacing w:val="-10"/>
          <w:szCs w:val="28"/>
        </w:rPr>
        <w:t xml:space="preserve">, </w:t>
      </w:r>
      <w:hyperlink r:id="rId91" w:history="1">
        <w:r w:rsidR="00994683">
          <w:rPr>
            <w:rStyle w:val="afd"/>
            <w:rFonts w:cs="Arial"/>
            <w:spacing w:val="-10"/>
            <w:szCs w:val="28"/>
          </w:rPr>
          <w:t>от 10.11.2022 № 499-па</w:t>
        </w:r>
      </w:hyperlink>
      <w:r w:rsidR="00A628DC" w:rsidRPr="00994683">
        <w:rPr>
          <w:rFonts w:cs="Arial"/>
          <w:spacing w:val="-10"/>
          <w:szCs w:val="28"/>
        </w:rPr>
        <w:t xml:space="preserve">, </w:t>
      </w:r>
      <w:hyperlink r:id="rId92" w:history="1">
        <w:r w:rsidR="00994683">
          <w:rPr>
            <w:rStyle w:val="afd"/>
            <w:rFonts w:cs="Arial"/>
            <w:spacing w:val="-10"/>
            <w:szCs w:val="28"/>
          </w:rPr>
          <w:t>от 26.12.2022 № 572-па</w:t>
        </w:r>
      </w:hyperlink>
      <w:r w:rsidR="00A628DC" w:rsidRPr="00994683">
        <w:rPr>
          <w:rFonts w:cs="Arial"/>
          <w:spacing w:val="-10"/>
          <w:szCs w:val="28"/>
        </w:rPr>
        <w:t xml:space="preserve">, </w:t>
      </w:r>
      <w:hyperlink r:id="rId93" w:history="1">
        <w:r w:rsidR="00994683">
          <w:rPr>
            <w:rStyle w:val="afd"/>
            <w:rFonts w:cs="Arial"/>
            <w:spacing w:val="-10"/>
            <w:szCs w:val="28"/>
          </w:rPr>
          <w:t>от 30.12.2022 № 595-па</w:t>
        </w:r>
      </w:hyperlink>
      <w:r w:rsidR="00A628DC" w:rsidRPr="00994683">
        <w:rPr>
          <w:rFonts w:cs="Arial"/>
          <w:spacing w:val="-10"/>
          <w:szCs w:val="28"/>
        </w:rPr>
        <w:t xml:space="preserve">, </w:t>
      </w:r>
      <w:hyperlink r:id="rId94" w:history="1">
        <w:r w:rsidR="00994683">
          <w:rPr>
            <w:rStyle w:val="afd"/>
            <w:rFonts w:cs="Arial"/>
            <w:spacing w:val="-10"/>
            <w:szCs w:val="28"/>
          </w:rPr>
          <w:t>от 21.03.2023 № 80-па</w:t>
        </w:r>
      </w:hyperlink>
      <w:r w:rsidR="00A628DC" w:rsidRPr="00994683">
        <w:rPr>
          <w:rFonts w:cs="Arial"/>
          <w:spacing w:val="-10"/>
          <w:szCs w:val="28"/>
        </w:rPr>
        <w:t xml:space="preserve">, </w:t>
      </w:r>
      <w:hyperlink r:id="rId95" w:history="1">
        <w:r w:rsidR="00994683">
          <w:rPr>
            <w:rStyle w:val="afd"/>
            <w:rFonts w:cs="Arial"/>
            <w:spacing w:val="-10"/>
            <w:szCs w:val="28"/>
          </w:rPr>
          <w:t>от 01.06.2023 № 155-па</w:t>
        </w:r>
      </w:hyperlink>
      <w:r w:rsidR="00A628DC" w:rsidRPr="00994683">
        <w:rPr>
          <w:rFonts w:cs="Arial"/>
          <w:spacing w:val="-10"/>
          <w:szCs w:val="28"/>
        </w:rPr>
        <w:t xml:space="preserve">, </w:t>
      </w:r>
      <w:hyperlink r:id="rId96" w:history="1">
        <w:r w:rsidR="00994683">
          <w:rPr>
            <w:rStyle w:val="afd"/>
            <w:rFonts w:cs="Arial"/>
            <w:spacing w:val="-10"/>
            <w:szCs w:val="28"/>
          </w:rPr>
          <w:t>от 28.08.2023 № 242-па</w:t>
        </w:r>
      </w:hyperlink>
      <w:r w:rsidR="00A628DC" w:rsidRPr="00994683">
        <w:rPr>
          <w:rFonts w:cs="Arial"/>
          <w:spacing w:val="-10"/>
          <w:szCs w:val="28"/>
        </w:rPr>
        <w:t xml:space="preserve">, </w:t>
      </w:r>
      <w:hyperlink r:id="rId97" w:history="1">
        <w:r w:rsidR="00994683">
          <w:rPr>
            <w:rStyle w:val="afd"/>
            <w:rFonts w:cs="Arial"/>
            <w:spacing w:val="-10"/>
            <w:szCs w:val="28"/>
          </w:rPr>
          <w:t>от 16.10.2023 № 286-па</w:t>
        </w:r>
      </w:hyperlink>
      <w:r w:rsidR="00A628DC" w:rsidRPr="00994683">
        <w:rPr>
          <w:rFonts w:cs="Arial"/>
          <w:spacing w:val="-10"/>
          <w:szCs w:val="28"/>
        </w:rPr>
        <w:t>)</w:t>
      </w:r>
      <w:r w:rsidR="00994683" w:rsidRPr="00994683">
        <w:rPr>
          <w:rFonts w:cs="Arial"/>
          <w:spacing w:val="-10"/>
          <w:szCs w:val="28"/>
        </w:rPr>
        <w:t>»</w:t>
      </w:r>
      <w:r w:rsidRPr="00994683">
        <w:rPr>
          <w:rFonts w:cs="Arial"/>
          <w:szCs w:val="28"/>
        </w:rPr>
        <w:t>.</w:t>
      </w:r>
    </w:p>
    <w:p w:rsidR="00994683" w:rsidRDefault="004036E8" w:rsidP="00994683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94683">
        <w:rPr>
          <w:rFonts w:cs="Arial"/>
          <w:szCs w:val="28"/>
        </w:rPr>
        <w:t>6</w:t>
      </w:r>
      <w:r w:rsidR="0001594C" w:rsidRPr="00994683">
        <w:rPr>
          <w:rFonts w:cs="Arial"/>
          <w:szCs w:val="28"/>
        </w:rPr>
        <w:t xml:space="preserve">. </w:t>
      </w:r>
      <w:r w:rsidR="000600A7" w:rsidRPr="000600A7">
        <w:rPr>
          <w:rFonts w:cs="Arial"/>
          <w:szCs w:val="28"/>
        </w:rPr>
        <w:t>Контроль за выполнением постановления возложить на заместителя главы города (направление деятельности – вопросы внутренней политики).</w:t>
      </w:r>
    </w:p>
    <w:p w:rsidR="000600A7" w:rsidRPr="00994683" w:rsidRDefault="000600A7" w:rsidP="000600A7">
      <w:pPr>
        <w:widowControl w:val="0"/>
        <w:autoSpaceDE w:val="0"/>
        <w:autoSpaceDN w:val="0"/>
        <w:adjustRightInd w:val="0"/>
        <w:ind w:firstLine="709"/>
        <w:rPr>
          <w:rFonts w:cs="Arial"/>
          <w:szCs w:val="28"/>
        </w:rPr>
      </w:pPr>
      <w:r>
        <w:t>(</w:t>
      </w:r>
      <w:r w:rsidRPr="000600A7">
        <w:t>Пункт 6 постановления излож</w:t>
      </w:r>
      <w:r>
        <w:t>ен</w:t>
      </w:r>
      <w:r w:rsidRPr="000600A7">
        <w:t xml:space="preserve"> в </w:t>
      </w:r>
      <w:r>
        <w:t>новой</w:t>
      </w:r>
      <w:r w:rsidRPr="000600A7">
        <w:t xml:space="preserve"> редакции </w:t>
      </w:r>
      <w:r>
        <w:t>постановлением администрации</w:t>
      </w:r>
      <w:r>
        <w:rPr>
          <w:b/>
        </w:rPr>
        <w:t xml:space="preserve"> </w:t>
      </w:r>
      <w:hyperlink r:id="rId98" w:tooltip="постановление от 28.12.2024 0:00:00 №299-па Администрация г. Пыть-Ях&#10;&#10;О внесении изменений в постановление администрации города от 28.12.2023 № 372-па " w:history="1">
        <w:r w:rsidRPr="000600A7">
          <w:rPr>
            <w:rStyle w:val="afd"/>
          </w:rPr>
          <w:t>от 28.12.2024 № 299-па</w:t>
        </w:r>
      </w:hyperlink>
      <w:r w:rsidRPr="000600A7">
        <w:t>)</w:t>
      </w:r>
    </w:p>
    <w:p w:rsidR="00994683" w:rsidRPr="00994683" w:rsidRDefault="00994683" w:rsidP="00994683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234541" w:rsidRPr="00994683" w:rsidRDefault="0028534D" w:rsidP="00994683">
      <w:pPr>
        <w:pStyle w:val="ae"/>
        <w:ind w:firstLine="709"/>
        <w:jc w:val="left"/>
        <w:rPr>
          <w:rFonts w:cs="Arial"/>
          <w:sz w:val="24"/>
        </w:rPr>
      </w:pPr>
      <w:r w:rsidRPr="00994683">
        <w:rPr>
          <w:rFonts w:cs="Arial"/>
          <w:sz w:val="24"/>
        </w:rPr>
        <w:t>Г</w:t>
      </w:r>
      <w:r w:rsidR="00E1085A" w:rsidRPr="00994683">
        <w:rPr>
          <w:rFonts w:cs="Arial"/>
          <w:sz w:val="24"/>
        </w:rPr>
        <w:t>лав</w:t>
      </w:r>
      <w:r w:rsidRPr="00994683">
        <w:rPr>
          <w:rFonts w:cs="Arial"/>
          <w:sz w:val="24"/>
        </w:rPr>
        <w:t xml:space="preserve">а </w:t>
      </w:r>
      <w:r w:rsidR="00F7229D" w:rsidRPr="00994683">
        <w:rPr>
          <w:rFonts w:cs="Arial"/>
          <w:sz w:val="24"/>
        </w:rPr>
        <w:t xml:space="preserve">города </w:t>
      </w:r>
      <w:proofErr w:type="spellStart"/>
      <w:r w:rsidR="00F7229D" w:rsidRPr="00994683">
        <w:rPr>
          <w:rFonts w:cs="Arial"/>
          <w:sz w:val="24"/>
        </w:rPr>
        <w:t>Пыть-Яха</w:t>
      </w:r>
      <w:proofErr w:type="spellEnd"/>
      <w:r w:rsidR="00994683" w:rsidRPr="00994683">
        <w:rPr>
          <w:rFonts w:cs="Arial"/>
          <w:sz w:val="24"/>
        </w:rPr>
        <w:t xml:space="preserve"> </w:t>
      </w:r>
      <w:r w:rsidR="00994683">
        <w:rPr>
          <w:rFonts w:cs="Arial"/>
          <w:sz w:val="24"/>
        </w:rPr>
        <w:t xml:space="preserve">                                                                    </w:t>
      </w:r>
      <w:r w:rsidR="00D84B37" w:rsidRPr="00994683">
        <w:rPr>
          <w:rFonts w:cs="Arial"/>
          <w:sz w:val="24"/>
        </w:rPr>
        <w:t>Д.С. Горбунов</w:t>
      </w:r>
    </w:p>
    <w:p w:rsidR="00A5495D" w:rsidRDefault="00A5495D" w:rsidP="00994683">
      <w:pPr>
        <w:ind w:firstLine="0"/>
        <w:rPr>
          <w:rFonts w:cs="Arial"/>
          <w:szCs w:val="28"/>
        </w:rPr>
      </w:pPr>
    </w:p>
    <w:p w:rsidR="00994683" w:rsidRPr="00994683" w:rsidRDefault="00994683" w:rsidP="00994683">
      <w:pPr>
        <w:ind w:firstLine="0"/>
        <w:rPr>
          <w:rFonts w:cs="Arial"/>
          <w:szCs w:val="28"/>
        </w:rPr>
        <w:sectPr w:rsidR="00994683" w:rsidRPr="00994683" w:rsidSect="00604986">
          <w:headerReference w:type="even" r:id="rId99"/>
          <w:headerReference w:type="default" r:id="rId100"/>
          <w:footerReference w:type="even" r:id="rId101"/>
          <w:footerReference w:type="default" r:id="rId102"/>
          <w:headerReference w:type="first" r:id="rId103"/>
          <w:footerReference w:type="first" r:id="rId104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7243E7" w:rsidRDefault="007243E7" w:rsidP="007243E7">
      <w:pPr>
        <w:rPr>
          <w:rFonts w:cs="Arial"/>
          <w:szCs w:val="28"/>
        </w:rPr>
      </w:pPr>
      <w:r>
        <w:rPr>
          <w:rFonts w:cs="Arial"/>
          <w:szCs w:val="28"/>
        </w:rPr>
        <w:lastRenderedPageBreak/>
        <w:t xml:space="preserve">(Приложение к постановлению изложено в новой редакции </w:t>
      </w:r>
      <w:r>
        <w:t>постановлением администрации</w:t>
      </w:r>
      <w:r>
        <w:rPr>
          <w:b/>
        </w:rPr>
        <w:t xml:space="preserve"> </w:t>
      </w:r>
      <w:hyperlink r:id="rId105" w:tooltip="постановление от 30.01.2025 0:00:00 №22-па Администрация г. Пыть-Ях&#10;&#10;О внесении изменения в постановление администрации города от 28.12.2023 № 372-па " w:history="1">
        <w:r w:rsidRPr="007243E7">
          <w:rPr>
            <w:rStyle w:val="afd"/>
          </w:rPr>
          <w:t>от 30.01.2025 № 22-па</w:t>
        </w:r>
      </w:hyperlink>
      <w:r>
        <w:rPr>
          <w:b/>
        </w:rPr>
        <w:t>)</w:t>
      </w:r>
    </w:p>
    <w:p w:rsidR="007243E7" w:rsidRDefault="007243E7" w:rsidP="00FF40CD">
      <w:pPr>
        <w:ind w:left="3400"/>
        <w:jc w:val="right"/>
        <w:rPr>
          <w:rFonts w:cs="Arial"/>
          <w:szCs w:val="28"/>
        </w:rPr>
      </w:pPr>
    </w:p>
    <w:p w:rsidR="006A090F" w:rsidRPr="00994683" w:rsidRDefault="00604986" w:rsidP="00FF40CD">
      <w:pPr>
        <w:ind w:left="3400"/>
        <w:jc w:val="right"/>
        <w:rPr>
          <w:rFonts w:cs="Arial"/>
          <w:szCs w:val="28"/>
        </w:rPr>
      </w:pPr>
      <w:r w:rsidRPr="00994683">
        <w:rPr>
          <w:rFonts w:cs="Arial"/>
          <w:szCs w:val="28"/>
        </w:rPr>
        <w:t xml:space="preserve">Приложение </w:t>
      </w:r>
    </w:p>
    <w:p w:rsidR="006A090F" w:rsidRPr="00994683" w:rsidRDefault="006A090F" w:rsidP="00FF40CD">
      <w:pPr>
        <w:ind w:left="3400"/>
        <w:jc w:val="right"/>
        <w:rPr>
          <w:rFonts w:cs="Arial"/>
          <w:szCs w:val="28"/>
        </w:rPr>
      </w:pPr>
      <w:r w:rsidRPr="00994683">
        <w:rPr>
          <w:rFonts w:cs="Arial"/>
          <w:szCs w:val="28"/>
        </w:rPr>
        <w:t>к постановлению</w:t>
      </w:r>
      <w:r w:rsidR="00604986" w:rsidRPr="00994683">
        <w:rPr>
          <w:rFonts w:cs="Arial"/>
          <w:szCs w:val="28"/>
        </w:rPr>
        <w:t xml:space="preserve"> администрации</w:t>
      </w:r>
      <w:r w:rsidRPr="00994683">
        <w:rPr>
          <w:rFonts w:cs="Arial"/>
          <w:szCs w:val="28"/>
        </w:rPr>
        <w:t xml:space="preserve"> </w:t>
      </w:r>
    </w:p>
    <w:p w:rsidR="00FF40CD" w:rsidRPr="00994683" w:rsidRDefault="006A090F" w:rsidP="00FF40CD">
      <w:pPr>
        <w:ind w:left="3400"/>
        <w:jc w:val="right"/>
        <w:rPr>
          <w:rFonts w:cs="Arial"/>
          <w:szCs w:val="28"/>
        </w:rPr>
      </w:pPr>
      <w:r w:rsidRPr="00994683">
        <w:rPr>
          <w:rFonts w:cs="Arial"/>
          <w:szCs w:val="28"/>
        </w:rPr>
        <w:t>города</w:t>
      </w:r>
      <w:r w:rsidR="00604986" w:rsidRPr="00994683">
        <w:rPr>
          <w:rFonts w:cs="Arial"/>
          <w:szCs w:val="28"/>
        </w:rPr>
        <w:t xml:space="preserve"> </w:t>
      </w:r>
      <w:proofErr w:type="spellStart"/>
      <w:r w:rsidR="00604986" w:rsidRPr="00994683">
        <w:rPr>
          <w:rFonts w:cs="Arial"/>
          <w:szCs w:val="28"/>
        </w:rPr>
        <w:t>Пыть-Яха</w:t>
      </w:r>
      <w:proofErr w:type="spellEnd"/>
    </w:p>
    <w:p w:rsidR="006E0E19" w:rsidRPr="00994683" w:rsidRDefault="00804FA2" w:rsidP="00FF40CD">
      <w:pPr>
        <w:ind w:left="3400"/>
        <w:jc w:val="right"/>
        <w:rPr>
          <w:rFonts w:cs="Arial"/>
          <w:szCs w:val="28"/>
        </w:rPr>
      </w:pPr>
      <w:r w:rsidRPr="00994683">
        <w:rPr>
          <w:rFonts w:cs="Arial"/>
          <w:szCs w:val="28"/>
        </w:rPr>
        <w:t>от 28.12.2023</w:t>
      </w:r>
      <w:r w:rsidR="00994683" w:rsidRPr="00994683">
        <w:rPr>
          <w:rFonts w:cs="Arial"/>
          <w:szCs w:val="28"/>
        </w:rPr>
        <w:t xml:space="preserve"> № </w:t>
      </w:r>
      <w:r w:rsidRPr="00994683">
        <w:rPr>
          <w:rFonts w:cs="Arial"/>
          <w:szCs w:val="28"/>
        </w:rPr>
        <w:t>372-па</w:t>
      </w:r>
    </w:p>
    <w:p w:rsidR="008E038F" w:rsidRDefault="008E038F" w:rsidP="00FF40CD">
      <w:pPr>
        <w:ind w:left="3400"/>
        <w:jc w:val="right"/>
        <w:rPr>
          <w:rFonts w:cs="Arial"/>
          <w:szCs w:val="28"/>
        </w:rPr>
      </w:pPr>
    </w:p>
    <w:p w:rsidR="0060439C" w:rsidRPr="00187AD9" w:rsidRDefault="0060439C" w:rsidP="0060439C">
      <w:pPr>
        <w:pStyle w:val="2"/>
      </w:pPr>
    </w:p>
    <w:p w:rsidR="0060439C" w:rsidRPr="00187AD9" w:rsidRDefault="0060439C" w:rsidP="0060439C">
      <w:pPr>
        <w:pStyle w:val="2"/>
        <w:rPr>
          <w:szCs w:val="26"/>
        </w:rPr>
      </w:pPr>
      <w:r w:rsidRPr="00187AD9">
        <w:rPr>
          <w:szCs w:val="26"/>
        </w:rPr>
        <w:t xml:space="preserve">Муниципальная программа </w:t>
      </w:r>
    </w:p>
    <w:p w:rsidR="0060439C" w:rsidRPr="00187AD9" w:rsidRDefault="0060439C" w:rsidP="0060439C">
      <w:pPr>
        <w:pStyle w:val="2"/>
        <w:rPr>
          <w:spacing w:val="-10"/>
          <w:szCs w:val="26"/>
        </w:rPr>
      </w:pPr>
      <w:r w:rsidRPr="00187AD9">
        <w:rPr>
          <w:szCs w:val="26"/>
        </w:rPr>
        <w:t xml:space="preserve">«Развитие жилищной сферы </w:t>
      </w:r>
      <w:r w:rsidRPr="00187AD9">
        <w:rPr>
          <w:spacing w:val="-10"/>
          <w:szCs w:val="26"/>
        </w:rPr>
        <w:t xml:space="preserve">в городе </w:t>
      </w:r>
      <w:proofErr w:type="spellStart"/>
      <w:r w:rsidRPr="00187AD9">
        <w:rPr>
          <w:spacing w:val="-10"/>
          <w:szCs w:val="26"/>
        </w:rPr>
        <w:t>Пыть-Яхе</w:t>
      </w:r>
      <w:proofErr w:type="spellEnd"/>
      <w:r w:rsidRPr="00187AD9">
        <w:rPr>
          <w:spacing w:val="-10"/>
          <w:szCs w:val="26"/>
        </w:rPr>
        <w:t>»</w:t>
      </w:r>
    </w:p>
    <w:p w:rsidR="0060439C" w:rsidRPr="00187AD9" w:rsidRDefault="0060439C" w:rsidP="0060439C">
      <w:pPr>
        <w:pStyle w:val="2"/>
        <w:rPr>
          <w:spacing w:val="-10"/>
          <w:szCs w:val="26"/>
        </w:rPr>
      </w:pPr>
      <w:r w:rsidRPr="00187AD9">
        <w:rPr>
          <w:spacing w:val="-10"/>
          <w:szCs w:val="26"/>
        </w:rPr>
        <w:t>(далее-муниципальная программа)</w:t>
      </w:r>
    </w:p>
    <w:p w:rsidR="0060439C" w:rsidRPr="00187AD9" w:rsidRDefault="0060439C" w:rsidP="0060439C">
      <w:pPr>
        <w:widowControl w:val="0"/>
        <w:autoSpaceDE w:val="0"/>
        <w:autoSpaceDN w:val="0"/>
        <w:jc w:val="center"/>
        <w:rPr>
          <w:rFonts w:cs="Arial"/>
          <w:szCs w:val="26"/>
        </w:rPr>
      </w:pPr>
    </w:p>
    <w:p w:rsidR="0060439C" w:rsidRPr="00187AD9" w:rsidRDefault="0060439C" w:rsidP="0060439C">
      <w:pPr>
        <w:pStyle w:val="2"/>
      </w:pPr>
      <w:r w:rsidRPr="00187AD9">
        <w:t>Паспорт муниципальной программы</w:t>
      </w:r>
    </w:p>
    <w:p w:rsidR="0060439C" w:rsidRPr="00187AD9" w:rsidRDefault="0060439C" w:rsidP="0060439C">
      <w:pPr>
        <w:widowControl w:val="0"/>
        <w:autoSpaceDE w:val="0"/>
        <w:autoSpaceDN w:val="0"/>
        <w:jc w:val="center"/>
        <w:rPr>
          <w:rFonts w:cs="Arial"/>
          <w:szCs w:val="26"/>
        </w:rPr>
      </w:pPr>
    </w:p>
    <w:p w:rsidR="0060439C" w:rsidRPr="00187AD9" w:rsidRDefault="0060439C" w:rsidP="0060439C">
      <w:pPr>
        <w:pStyle w:val="2"/>
      </w:pPr>
      <w:r>
        <w:t xml:space="preserve">1. </w:t>
      </w:r>
      <w:r w:rsidRPr="00187AD9">
        <w:t>Основные положения</w:t>
      </w:r>
    </w:p>
    <w:p w:rsidR="0060439C" w:rsidRPr="00187AD9" w:rsidRDefault="0060439C" w:rsidP="0060439C">
      <w:pPr>
        <w:widowControl w:val="0"/>
        <w:autoSpaceDE w:val="0"/>
        <w:autoSpaceDN w:val="0"/>
        <w:jc w:val="center"/>
        <w:rPr>
          <w:rFonts w:cs="Arial"/>
          <w:szCs w:val="26"/>
        </w:rPr>
      </w:pPr>
    </w:p>
    <w:tbl>
      <w:tblPr>
        <w:tblW w:w="1453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0706"/>
      </w:tblGrid>
      <w:tr w:rsidR="0060439C" w:rsidRPr="00187AD9" w:rsidTr="001F5327">
        <w:trPr>
          <w:trHeight w:val="57"/>
        </w:trPr>
        <w:tc>
          <w:tcPr>
            <w:tcW w:w="3828" w:type="dxa"/>
          </w:tcPr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 xml:space="preserve">Куратор муниципальной программы </w:t>
            </w:r>
          </w:p>
        </w:tc>
        <w:tc>
          <w:tcPr>
            <w:tcW w:w="10706" w:type="dxa"/>
          </w:tcPr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 xml:space="preserve">Заместитель главы города </w:t>
            </w:r>
            <w:proofErr w:type="spellStart"/>
            <w:r w:rsidRPr="00187AD9">
              <w:rPr>
                <w:rFonts w:cs="Arial"/>
                <w:szCs w:val="26"/>
              </w:rPr>
              <w:t>Пыть-Яха</w:t>
            </w:r>
            <w:proofErr w:type="spellEnd"/>
            <w:r w:rsidRPr="00187AD9">
              <w:rPr>
                <w:rFonts w:cs="Arial"/>
                <w:szCs w:val="26"/>
              </w:rPr>
              <w:t xml:space="preserve"> (направление деятельности- вопросы внутренней политики)</w:t>
            </w:r>
          </w:p>
        </w:tc>
      </w:tr>
      <w:tr w:rsidR="0060439C" w:rsidRPr="00187AD9" w:rsidTr="001F5327">
        <w:trPr>
          <w:trHeight w:val="57"/>
        </w:trPr>
        <w:tc>
          <w:tcPr>
            <w:tcW w:w="3828" w:type="dxa"/>
          </w:tcPr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0706" w:type="dxa"/>
          </w:tcPr>
          <w:p w:rsidR="0060439C" w:rsidRPr="00187AD9" w:rsidRDefault="0060439C" w:rsidP="001F5327">
            <w:pPr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>Управление по жилищным вопросам администрации города</w:t>
            </w:r>
          </w:p>
        </w:tc>
      </w:tr>
      <w:tr w:rsidR="0060439C" w:rsidRPr="00187AD9" w:rsidTr="001F5327">
        <w:trPr>
          <w:trHeight w:val="57"/>
        </w:trPr>
        <w:tc>
          <w:tcPr>
            <w:tcW w:w="3828" w:type="dxa"/>
          </w:tcPr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>Период реализации муниципальной программы</w:t>
            </w:r>
          </w:p>
        </w:tc>
        <w:tc>
          <w:tcPr>
            <w:tcW w:w="10706" w:type="dxa"/>
          </w:tcPr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>2025-2030</w:t>
            </w:r>
          </w:p>
        </w:tc>
      </w:tr>
      <w:tr w:rsidR="0060439C" w:rsidRPr="00187AD9" w:rsidTr="001F5327">
        <w:trPr>
          <w:trHeight w:val="57"/>
        </w:trPr>
        <w:tc>
          <w:tcPr>
            <w:tcW w:w="3828" w:type="dxa"/>
          </w:tcPr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 xml:space="preserve">Цели муниципальной программы </w:t>
            </w:r>
          </w:p>
        </w:tc>
        <w:tc>
          <w:tcPr>
            <w:tcW w:w="10706" w:type="dxa"/>
          </w:tcPr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>1. Увеличение годового объема ввода жилья.</w:t>
            </w:r>
          </w:p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>2. Улучшение жилищных условий семей.</w:t>
            </w:r>
          </w:p>
        </w:tc>
      </w:tr>
      <w:tr w:rsidR="0060439C" w:rsidRPr="00187AD9" w:rsidTr="001F5327">
        <w:trPr>
          <w:trHeight w:val="57"/>
        </w:trPr>
        <w:tc>
          <w:tcPr>
            <w:tcW w:w="3828" w:type="dxa"/>
          </w:tcPr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 xml:space="preserve">Направления (подпрограммы) муниципальной программы </w:t>
            </w:r>
          </w:p>
        </w:tc>
        <w:tc>
          <w:tcPr>
            <w:tcW w:w="10706" w:type="dxa"/>
          </w:tcPr>
          <w:p w:rsidR="0060439C" w:rsidRPr="00187AD9" w:rsidRDefault="0060439C" w:rsidP="001F5327">
            <w:pPr>
              <w:pStyle w:val="ConsPlusNormal"/>
              <w:ind w:left="13" w:firstLine="0"/>
              <w:jc w:val="both"/>
              <w:rPr>
                <w:rFonts w:cs="Arial"/>
                <w:sz w:val="24"/>
                <w:szCs w:val="26"/>
              </w:rPr>
            </w:pPr>
            <w:r w:rsidRPr="00187AD9">
              <w:rPr>
                <w:rFonts w:cs="Arial"/>
                <w:sz w:val="24"/>
                <w:szCs w:val="26"/>
              </w:rPr>
              <w:t>1. Содействие развитию жилищного строительства.</w:t>
            </w:r>
          </w:p>
          <w:p w:rsidR="0060439C" w:rsidRPr="00187AD9" w:rsidRDefault="0060439C" w:rsidP="001F5327">
            <w:pPr>
              <w:pStyle w:val="ConsPlusNormal"/>
              <w:ind w:left="13" w:firstLine="0"/>
              <w:jc w:val="both"/>
              <w:rPr>
                <w:rFonts w:cs="Arial"/>
                <w:sz w:val="24"/>
                <w:szCs w:val="26"/>
              </w:rPr>
            </w:pPr>
            <w:r w:rsidRPr="00187AD9">
              <w:rPr>
                <w:rFonts w:cs="Arial"/>
                <w:sz w:val="24"/>
                <w:szCs w:val="26"/>
              </w:rPr>
              <w:t>2. Создание условий для обеспечения жилыми помещениями граждан.</w:t>
            </w:r>
          </w:p>
        </w:tc>
      </w:tr>
      <w:tr w:rsidR="000A1306" w:rsidRPr="00187AD9" w:rsidTr="001F5327">
        <w:trPr>
          <w:trHeight w:val="57"/>
        </w:trPr>
        <w:tc>
          <w:tcPr>
            <w:tcW w:w="3828" w:type="dxa"/>
          </w:tcPr>
          <w:p w:rsidR="000A1306" w:rsidRPr="00187AD9" w:rsidRDefault="000A1306" w:rsidP="000A1306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 xml:space="preserve">Объемы финансового обеспечения за весь период </w:t>
            </w:r>
            <w:r w:rsidRPr="00187AD9">
              <w:rPr>
                <w:rFonts w:cs="Arial"/>
                <w:szCs w:val="26"/>
              </w:rPr>
              <w:lastRenderedPageBreak/>
              <w:t>реализации</w:t>
            </w:r>
          </w:p>
        </w:tc>
        <w:tc>
          <w:tcPr>
            <w:tcW w:w="10706" w:type="dxa"/>
          </w:tcPr>
          <w:p w:rsidR="000A1306" w:rsidRPr="000A1306" w:rsidRDefault="00594A41" w:rsidP="000A1306">
            <w:pPr>
              <w:widowControl w:val="0"/>
              <w:autoSpaceDE w:val="0"/>
              <w:autoSpaceDN w:val="0"/>
              <w:ind w:firstLine="0"/>
            </w:pPr>
            <w:r w:rsidRPr="00594A41">
              <w:rPr>
                <w:bCs/>
              </w:rPr>
              <w:lastRenderedPageBreak/>
              <w:t>2 620 698,1 тыс. рублей</w:t>
            </w:r>
          </w:p>
        </w:tc>
      </w:tr>
    </w:tbl>
    <w:p w:rsidR="00E37E82" w:rsidRDefault="00E37E82" w:rsidP="0075343D">
      <w:pPr>
        <w:ind w:firstLine="0"/>
      </w:pPr>
      <w:r>
        <w:t>(Строка</w:t>
      </w:r>
      <w:r w:rsidRPr="00E37E82">
        <w:t xml:space="preserve"> «Объемы финансового обеспечения за весь период</w:t>
      </w:r>
      <w:r w:rsidR="00D0066D">
        <w:t xml:space="preserve"> реализации</w:t>
      </w:r>
      <w:r w:rsidRPr="00E37E82">
        <w:t>»</w:t>
      </w:r>
      <w:r w:rsidR="008D16F8">
        <w:t xml:space="preserve"> </w:t>
      </w:r>
      <w:r>
        <w:t xml:space="preserve">изложена в следующей редакции </w:t>
      </w:r>
      <w:r w:rsidRPr="00E37E82">
        <w:t>постановлением администрации</w:t>
      </w:r>
      <w:r w:rsidRPr="00E37E82">
        <w:rPr>
          <w:b/>
        </w:rPr>
        <w:t xml:space="preserve"> </w:t>
      </w:r>
      <w:hyperlink r:id="rId106" w:tooltip="постановление от 18.09.2025 0:00:00 №284-па Администрация г. Пыть-Ях&#10;&#10;О внесении изменений в постановление администрации города от 28.12.2023 № 372-па " w:history="1">
        <w:r w:rsidRPr="00E37E82">
          <w:rPr>
            <w:rStyle w:val="afd"/>
          </w:rPr>
          <w:t>от 18.09.2025 № 284-па</w:t>
        </w:r>
      </w:hyperlink>
      <w:r>
        <w:t>)</w:t>
      </w:r>
    </w:p>
    <w:p w:rsidR="00093B6C" w:rsidRDefault="00093B6C" w:rsidP="0075343D">
      <w:pPr>
        <w:ind w:firstLine="0"/>
      </w:pPr>
      <w:r w:rsidRPr="00093B6C">
        <w:t xml:space="preserve">(Строка «Объемы финансового обеспечения за весь период реализации» изложена в </w:t>
      </w:r>
      <w:r w:rsidR="00594A41">
        <w:t>новой</w:t>
      </w:r>
      <w:r w:rsidRPr="00093B6C">
        <w:t xml:space="preserve"> редакции постановлением администрации </w:t>
      </w:r>
      <w:hyperlink r:id="rId107" w:tooltip="постановление от 16.01.2026 0:00:00 №09-па Администрация г. Пыть-Ях&#10;&#10;О внесении изменений в постановление администрации города от 28.12.2023 № 372-па " w:history="1">
        <w:r w:rsidRPr="00093B6C">
          <w:rPr>
            <w:rStyle w:val="afd"/>
          </w:rPr>
          <w:t>от 16.01.2026 № 09-па</w:t>
        </w:r>
      </w:hyperlink>
      <w:r w:rsidRPr="00093B6C">
        <w:t>)</w:t>
      </w:r>
    </w:p>
    <w:p w:rsidR="00594A41" w:rsidRPr="00594A41" w:rsidRDefault="00594A41" w:rsidP="00594A41">
      <w:pPr>
        <w:ind w:firstLine="0"/>
        <w:rPr>
          <w:bCs/>
        </w:rPr>
      </w:pPr>
      <w:r>
        <w:rPr>
          <w:bCs/>
        </w:rPr>
        <w:t>(</w:t>
      </w:r>
      <w:r w:rsidRPr="00594A41">
        <w:rPr>
          <w:bCs/>
        </w:rPr>
        <w:t xml:space="preserve">Строка «Объемы финансового обеспечения за весь период реализации» изложена в </w:t>
      </w:r>
      <w:r>
        <w:rPr>
          <w:bCs/>
        </w:rPr>
        <w:t>новой</w:t>
      </w:r>
      <w:r w:rsidRPr="00594A41">
        <w:rPr>
          <w:bCs/>
        </w:rPr>
        <w:t xml:space="preserve"> редакции постановлением администрации </w:t>
      </w:r>
      <w:hyperlink r:id="rId108" w:tooltip="постановление от 27.01.2026 0:00:00 №19-па Администрация г. Пыть-Ях&#10;&#10;О внесении изменений в постановление администрации города от 28.12.2023 № 372-па " w:history="1">
        <w:r w:rsidRPr="00594A41">
          <w:rPr>
            <w:rStyle w:val="afd"/>
            <w:bCs/>
          </w:rPr>
          <w:t>от 27.01.2026 № 19-па</w:t>
        </w:r>
      </w:hyperlink>
      <w:r w:rsidRPr="00594A41">
        <w:rPr>
          <w:bCs/>
        </w:rPr>
        <w:t>)</w:t>
      </w:r>
    </w:p>
    <w:p w:rsidR="00594A41" w:rsidRPr="00093B6C" w:rsidRDefault="00594A41" w:rsidP="0075343D">
      <w:pPr>
        <w:ind w:firstLine="0"/>
      </w:pPr>
    </w:p>
    <w:tbl>
      <w:tblPr>
        <w:tblW w:w="1453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0706"/>
      </w:tblGrid>
      <w:tr w:rsidR="0060439C" w:rsidRPr="00187AD9" w:rsidTr="001F5327">
        <w:trPr>
          <w:trHeight w:val="57"/>
        </w:trPr>
        <w:tc>
          <w:tcPr>
            <w:tcW w:w="3828" w:type="dxa"/>
          </w:tcPr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>Связь с национальными целями развития Российской Федерации/ государственной программой Ханты-Мансийского автономного округа-Югры</w:t>
            </w:r>
          </w:p>
        </w:tc>
        <w:tc>
          <w:tcPr>
            <w:tcW w:w="10706" w:type="dxa"/>
          </w:tcPr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 xml:space="preserve">1. </w:t>
            </w:r>
            <w:r w:rsidRPr="00187AD9">
              <w:rPr>
                <w:rFonts w:cs="Arial"/>
                <w:szCs w:val="26"/>
              </w:rPr>
              <w:t>Комфортная и безопасная среда для жизни:</w:t>
            </w:r>
          </w:p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>1.1. Показатель «Обеспечение граждан жильем общей площадью не менее 33 кв. метров на человека к 2030 году и не менее 38 кв. метров к 2036 году».</w:t>
            </w:r>
          </w:p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>1.2. Показатель «Устойчивое сокращение непригодного для проживания жилищного фонда».</w:t>
            </w:r>
          </w:p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>1.3. Показатель «Повышение доступности жилья на первичном рынке».</w:t>
            </w:r>
          </w:p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</w:p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>2. Государственная программа Российской Федерации «Обеспечение доступным и комфортным жильем и коммунальными услугами граждан Российской Федерации».</w:t>
            </w:r>
          </w:p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</w:p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>3. Государственная программа Ханты-Мансийского автономного округа-Югры «Строительство»</w:t>
            </w:r>
          </w:p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>3.1. Показатель «Объем жилищного строительства».</w:t>
            </w:r>
          </w:p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>3.2. Показатель «Количество семей, улучшивших жилищные условия».</w:t>
            </w:r>
          </w:p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>3.3. Показатель «Общая площадь жилых помещений, приходящаяся в среднем на 1 жителя».</w:t>
            </w:r>
          </w:p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</w:p>
        </w:tc>
      </w:tr>
    </w:tbl>
    <w:p w:rsidR="0060439C" w:rsidRPr="00187AD9" w:rsidRDefault="0060439C" w:rsidP="0060439C">
      <w:pPr>
        <w:pStyle w:val="2"/>
      </w:pPr>
    </w:p>
    <w:p w:rsidR="0060439C" w:rsidRPr="00187AD9" w:rsidRDefault="0060439C" w:rsidP="0060439C">
      <w:pPr>
        <w:pStyle w:val="2"/>
      </w:pPr>
      <w:r w:rsidRPr="00187AD9">
        <w:t>2. Показатели муниципальной программы</w:t>
      </w:r>
    </w:p>
    <w:p w:rsidR="0060439C" w:rsidRPr="00187AD9" w:rsidRDefault="0060439C" w:rsidP="0060439C">
      <w:pPr>
        <w:ind w:left="3400"/>
        <w:jc w:val="right"/>
        <w:rPr>
          <w:rFonts w:cs="Arial"/>
          <w:color w:val="FF0000"/>
          <w:szCs w:val="28"/>
        </w:rPr>
      </w:pPr>
    </w:p>
    <w:p w:rsidR="00D0066D" w:rsidRDefault="00D0066D" w:rsidP="0075343D"/>
    <w:tbl>
      <w:tblPr>
        <w:tblW w:w="15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992"/>
        <w:gridCol w:w="992"/>
        <w:gridCol w:w="992"/>
        <w:gridCol w:w="694"/>
        <w:gridCol w:w="851"/>
        <w:gridCol w:w="850"/>
        <w:gridCol w:w="708"/>
        <w:gridCol w:w="709"/>
        <w:gridCol w:w="709"/>
        <w:gridCol w:w="709"/>
        <w:gridCol w:w="2126"/>
        <w:gridCol w:w="1559"/>
        <w:gridCol w:w="1585"/>
      </w:tblGrid>
      <w:tr w:rsidR="00403910" w:rsidRPr="008D535B" w:rsidTr="007853CC">
        <w:trPr>
          <w:trHeight w:val="57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Уровень показателя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 xml:space="preserve">Единица измерения </w:t>
            </w:r>
            <w:r w:rsidRPr="008D535B">
              <w:rPr>
                <w:rFonts w:cs="Arial"/>
                <w:szCs w:val="20"/>
              </w:rPr>
              <w:lastRenderedPageBreak/>
              <w:t>(по ОКЕИ)</w:t>
            </w:r>
          </w:p>
        </w:tc>
        <w:tc>
          <w:tcPr>
            <w:tcW w:w="1686" w:type="dxa"/>
            <w:gridSpan w:val="2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lastRenderedPageBreak/>
              <w:t>Базовое значение</w:t>
            </w:r>
          </w:p>
        </w:tc>
        <w:tc>
          <w:tcPr>
            <w:tcW w:w="4536" w:type="dxa"/>
            <w:gridSpan w:val="6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Значение показателя по годам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Документ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Ответственный за достижение показателя</w:t>
            </w: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Связь с показателями национальных целей</w:t>
            </w:r>
          </w:p>
        </w:tc>
      </w:tr>
      <w:tr w:rsidR="00403910" w:rsidRPr="008D535B" w:rsidTr="007853CC">
        <w:trPr>
          <w:trHeight w:val="57"/>
        </w:trPr>
        <w:tc>
          <w:tcPr>
            <w:tcW w:w="567" w:type="dxa"/>
            <w:vMerge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значение</w:t>
            </w:r>
          </w:p>
        </w:tc>
        <w:tc>
          <w:tcPr>
            <w:tcW w:w="694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2025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2026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2027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2028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2029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2030</w:t>
            </w: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rPr>
                <w:rFonts w:cs="Arial"/>
                <w:szCs w:val="20"/>
              </w:rPr>
            </w:pPr>
          </w:p>
        </w:tc>
      </w:tr>
      <w:tr w:rsidR="00403910" w:rsidRPr="008D535B" w:rsidTr="007853CC">
        <w:trPr>
          <w:trHeight w:val="57"/>
        </w:trPr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1</w:t>
            </w:r>
          </w:p>
        </w:tc>
        <w:tc>
          <w:tcPr>
            <w:tcW w:w="1702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5</w:t>
            </w:r>
          </w:p>
        </w:tc>
        <w:tc>
          <w:tcPr>
            <w:tcW w:w="694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12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13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14</w:t>
            </w:r>
          </w:p>
        </w:tc>
        <w:tc>
          <w:tcPr>
            <w:tcW w:w="1585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15</w:t>
            </w:r>
          </w:p>
        </w:tc>
      </w:tr>
      <w:tr w:rsidR="00403910" w:rsidRPr="008D535B" w:rsidTr="007853CC">
        <w:trPr>
          <w:trHeight w:val="57"/>
        </w:trPr>
        <w:tc>
          <w:tcPr>
            <w:tcW w:w="15745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Цель 1 «Увеличение годового объема ввода жилья»</w:t>
            </w:r>
          </w:p>
        </w:tc>
      </w:tr>
      <w:tr w:rsidR="00403910" w:rsidRPr="008D535B" w:rsidTr="007853CC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Объем жилищного строительства, 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«НП» «ГП»</w:t>
            </w:r>
          </w:p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 xml:space="preserve">«РП»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млн.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0,00474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0,003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0,0085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0,004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0,004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0,005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0,005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 xml:space="preserve">Указы Президента Российской Федерации </w:t>
            </w:r>
            <w:hyperlink r:id="rId109" w:tooltip="УКАЗ от 07.05.2024 № 309 ПРЕЗИДЕНТ РОССИЙСКОЙ ФЕДЕРАЦИИ&#10;&#10;О НАЦИОНАЛЬНЫХ ЦЕЛЯХ РАЗВИТИЯ РОССИЙСКОЙ ФЕДЕРАЦИИ НА ПЕРИОД ДО 2030 ГОДА  И НА ПЕРСПЕКТИВУ ДО 2036 ГОДА  " w:history="1">
              <w:r w:rsidRPr="008D535B">
                <w:rPr>
                  <w:rStyle w:val="afd"/>
                  <w:rFonts w:cs="Arial"/>
                  <w:szCs w:val="20"/>
                </w:rPr>
                <w:t>от 07 мая 2024 года № 309</w:t>
              </w:r>
            </w:hyperlink>
            <w:r w:rsidRPr="008D535B">
              <w:rPr>
                <w:rFonts w:cs="Arial"/>
                <w:szCs w:val="20"/>
              </w:rPr>
              <w:t xml:space="preserve"> «О национальных целях развития Российской Федерации на период до 2030 года и на перспективу до 2036 года»,</w:t>
            </w:r>
          </w:p>
          <w:p w:rsidR="00403910" w:rsidRPr="008D535B" w:rsidRDefault="00403910" w:rsidP="007853CC">
            <w:pPr>
              <w:ind w:firstLine="0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 xml:space="preserve">Постановление Правительства Ханты-Мансийского автономного округа-Югры </w:t>
            </w:r>
            <w:hyperlink r:id="rId110" w:tooltip="ПОСТАНОВЛЕНИЕ от 10.11.2023 № 561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      <w:r w:rsidRPr="008D535B">
                <w:rPr>
                  <w:rStyle w:val="afd"/>
                  <w:rFonts w:cs="Arial"/>
                  <w:szCs w:val="20"/>
                </w:rPr>
                <w:t>от 10.11.2023 № 561-п</w:t>
              </w:r>
            </w:hyperlink>
            <w:r w:rsidRPr="008D535B">
              <w:rPr>
                <w:rFonts w:cs="Arial"/>
                <w:szCs w:val="20"/>
              </w:rPr>
              <w:t xml:space="preserve"> «О государственной программе Ханты-Мансийского автономного округа-Югры «Строительство»</w:t>
            </w:r>
          </w:p>
          <w:p w:rsidR="00403910" w:rsidRPr="008D535B" w:rsidRDefault="00403910" w:rsidP="007853CC">
            <w:pPr>
              <w:ind w:firstLine="0"/>
              <w:rPr>
                <w:rFonts w:cs="Arial"/>
                <w:szCs w:val="20"/>
              </w:rPr>
            </w:pPr>
          </w:p>
          <w:p w:rsidR="00403910" w:rsidRPr="008D535B" w:rsidRDefault="00403910" w:rsidP="007853CC">
            <w:pPr>
              <w:ind w:firstLine="0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 xml:space="preserve">Региональный проект «Жилье»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lastRenderedPageBreak/>
              <w:t>Управление архитектуры и градостроительства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Обеспечение граждан жильем общей площадью не менее 33 кв. метров на человека к 2030 году и не менее 38 кв. метров к 2036 году.</w:t>
            </w:r>
          </w:p>
          <w:p w:rsidR="00403910" w:rsidRPr="008D535B" w:rsidRDefault="00403910" w:rsidP="007853CC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Повышение доступности жилья на первичном рынке.</w:t>
            </w:r>
          </w:p>
        </w:tc>
      </w:tr>
      <w:tr w:rsidR="00403910" w:rsidRPr="008D535B" w:rsidTr="007853CC">
        <w:trPr>
          <w:trHeight w:val="57"/>
        </w:trPr>
        <w:tc>
          <w:tcPr>
            <w:tcW w:w="157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910" w:rsidRPr="008D535B" w:rsidRDefault="00403910" w:rsidP="007853CC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Цель 2 «Улучшение жилищных условий семей»</w:t>
            </w:r>
          </w:p>
        </w:tc>
      </w:tr>
      <w:tr w:rsidR="00403910" w:rsidRPr="008D535B" w:rsidTr="007853CC">
        <w:trPr>
          <w:trHeight w:val="57"/>
        </w:trPr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2</w:t>
            </w:r>
          </w:p>
        </w:tc>
        <w:tc>
          <w:tcPr>
            <w:tcW w:w="1702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Количество семей, улучшивших жилищные условия, ежегодно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«ГП» «ВДЛ»</w:t>
            </w:r>
          </w:p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 xml:space="preserve">«РП»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семей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108</w:t>
            </w:r>
          </w:p>
        </w:tc>
        <w:tc>
          <w:tcPr>
            <w:tcW w:w="694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2023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31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67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75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69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79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43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 xml:space="preserve">Указ Президента Российской Федерации </w:t>
            </w:r>
            <w:hyperlink r:id="rId111" w:tooltip="УКАЗ от 28.11.2024 № 1014 ПРЕЗИДЕНТ РОССИЙСКОЙ ФЕДЕРАЦИИ&#10;&#10;ОБ ОЦЕНКЕ ЭФФЕКТИВНОСТИ ДЕЯТЕЛЬНОСТИ ВЫСШИХ ДОЛЖНОСТНЫХ ЛИЦ СУБЪЕКТОВ РОССИЙСКОЙ  ФЕДЕРАЦИИ И ДЕЯТЕЛЬНОСТИ ИСПОЛНИТЕЛЬНЫХ ОРГАНОВ  СУБЪЕКТОВ РОССИЙСКОЙ ФЕДЕРАЦИИ  " w:history="1">
              <w:r w:rsidRPr="008D535B">
                <w:rPr>
                  <w:rStyle w:val="afd"/>
                  <w:rFonts w:cs="Arial"/>
                  <w:szCs w:val="20"/>
                </w:rPr>
                <w:t>от 28 ноября 2024 года № 1014</w:t>
              </w:r>
            </w:hyperlink>
            <w:r w:rsidRPr="008D535B">
              <w:rPr>
                <w:rFonts w:cs="Arial"/>
                <w:szCs w:val="20"/>
              </w:rPr>
              <w:t xml:space="preserve">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Федерации»,</w:t>
            </w:r>
          </w:p>
          <w:p w:rsidR="00403910" w:rsidRPr="008D535B" w:rsidRDefault="00403910" w:rsidP="007853CC">
            <w:pPr>
              <w:ind w:firstLine="0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 xml:space="preserve">Постановление Правительства Ханты-Мансийского автономного округа-Югры </w:t>
            </w:r>
            <w:hyperlink r:id="rId112" w:history="1">
              <w:r>
                <w:rPr>
                  <w:rStyle w:val="afd"/>
                  <w:rFonts w:cs="Arial"/>
                  <w:szCs w:val="20"/>
                </w:rPr>
                <w:t>от 10.11.2023 № 561-п</w:t>
              </w:r>
            </w:hyperlink>
            <w:r w:rsidRPr="008D535B">
              <w:rPr>
                <w:rFonts w:cs="Arial"/>
                <w:szCs w:val="20"/>
              </w:rPr>
              <w:t xml:space="preserve"> «О государственной программе Ханты-</w:t>
            </w:r>
            <w:r w:rsidRPr="008D535B">
              <w:rPr>
                <w:rFonts w:cs="Arial"/>
                <w:szCs w:val="20"/>
              </w:rPr>
              <w:lastRenderedPageBreak/>
              <w:t>Мансийского автономного округа-Югры «Строительство»</w:t>
            </w:r>
          </w:p>
          <w:p w:rsidR="00403910" w:rsidRPr="008D535B" w:rsidRDefault="00403910" w:rsidP="007853CC">
            <w:pPr>
              <w:ind w:firstLine="0"/>
              <w:rPr>
                <w:rFonts w:cs="Arial"/>
                <w:szCs w:val="20"/>
              </w:rPr>
            </w:pPr>
          </w:p>
          <w:p w:rsidR="00403910" w:rsidRPr="008D535B" w:rsidRDefault="00403910" w:rsidP="007853CC">
            <w:pPr>
              <w:ind w:firstLine="0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Региональный проект «Жилье»</w:t>
            </w:r>
          </w:p>
          <w:p w:rsidR="00403910" w:rsidRPr="008D535B" w:rsidRDefault="00403910" w:rsidP="007853CC">
            <w:pPr>
              <w:ind w:firstLine="0"/>
              <w:rPr>
                <w:rFonts w:cs="Arial"/>
                <w:szCs w:val="20"/>
              </w:rPr>
            </w:pPr>
          </w:p>
          <w:p w:rsidR="00403910" w:rsidRPr="008D535B" w:rsidRDefault="00403910" w:rsidP="007853CC">
            <w:pPr>
              <w:ind w:firstLine="0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 xml:space="preserve">Региональный проект «Содействие субъектам Российской Федерации в реализации полномочий по оказания государственной поддержки граждан в обеспечении жильем и оплате жилищно-коммунальных услуг»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lastRenderedPageBreak/>
              <w:t>Управление по жилищным вопросам</w:t>
            </w:r>
          </w:p>
        </w:tc>
        <w:tc>
          <w:tcPr>
            <w:tcW w:w="1585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Обеспечение граждан жильем общей площадью не менее 33 кв. метров на человека к 2030 году и не менее 38 кв. метров к 2036 году.</w:t>
            </w:r>
          </w:p>
        </w:tc>
      </w:tr>
      <w:tr w:rsidR="00403910" w:rsidRPr="008D535B" w:rsidTr="007853CC">
        <w:trPr>
          <w:trHeight w:val="5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«ГП»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кв. м.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19,9</w:t>
            </w:r>
          </w:p>
        </w:tc>
        <w:tc>
          <w:tcPr>
            <w:tcW w:w="6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19,4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19,4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19,5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19,5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19,6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 xml:space="preserve">Постановление Правительства Ханты-Мансийского автономного округа-Югры </w:t>
            </w:r>
            <w:hyperlink r:id="rId113" w:history="1">
              <w:r>
                <w:rPr>
                  <w:rStyle w:val="afd"/>
                  <w:rFonts w:cs="Arial"/>
                  <w:szCs w:val="20"/>
                </w:rPr>
                <w:t>от 10.11.2023 № 561-п</w:t>
              </w:r>
            </w:hyperlink>
            <w:r w:rsidRPr="008D535B">
              <w:rPr>
                <w:rFonts w:cs="Arial"/>
                <w:szCs w:val="20"/>
              </w:rPr>
              <w:t xml:space="preserve"> «О </w:t>
            </w:r>
            <w:r w:rsidRPr="008D535B">
              <w:rPr>
                <w:rFonts w:cs="Arial"/>
                <w:szCs w:val="20"/>
              </w:rPr>
              <w:lastRenderedPageBreak/>
              <w:t>государственной программе Ханты-Мансийского автономного округа-Югры «Строительство»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lastRenderedPageBreak/>
              <w:t>Управление архитектуры и градостроительства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 xml:space="preserve">Обеспечение граждан жильем общей площадью не менее 33 кв. метров на человека </w:t>
            </w:r>
            <w:r w:rsidRPr="008D535B">
              <w:rPr>
                <w:rFonts w:cs="Arial"/>
                <w:szCs w:val="20"/>
              </w:rPr>
              <w:lastRenderedPageBreak/>
              <w:t>к 2030 году и не менее 38 кв. метров к 2036 году.</w:t>
            </w:r>
          </w:p>
        </w:tc>
      </w:tr>
      <w:tr w:rsidR="00403910" w:rsidRPr="008D535B" w:rsidTr="007853CC">
        <w:trPr>
          <w:trHeight w:val="57"/>
        </w:trPr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lastRenderedPageBreak/>
              <w:t>4</w:t>
            </w:r>
          </w:p>
        </w:tc>
        <w:tc>
          <w:tcPr>
            <w:tcW w:w="1702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Количество квадратных метров расселенного непригодного жилищного фонда (аварийный)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«НП»</w:t>
            </w:r>
          </w:p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«РП»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тыс. кв. м.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3,6</w:t>
            </w:r>
          </w:p>
        </w:tc>
        <w:tc>
          <w:tcPr>
            <w:tcW w:w="694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2023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0,46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2,51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3,2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3,1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3,6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2,37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 в обеспечении жильем и оплате жилищно-коммунальных услуг» портфеля проектов «Жилье и городская среда»</w:t>
            </w:r>
          </w:p>
          <w:p w:rsidR="00403910" w:rsidRPr="008D535B" w:rsidRDefault="00403910" w:rsidP="007853CC">
            <w:pPr>
              <w:ind w:firstLine="0"/>
              <w:rPr>
                <w:rFonts w:cs="Arial"/>
                <w:color w:val="FF0000"/>
                <w:szCs w:val="20"/>
              </w:rPr>
            </w:pPr>
            <w:r w:rsidRPr="008D535B">
              <w:rPr>
                <w:rFonts w:cs="Arial"/>
                <w:szCs w:val="20"/>
              </w:rPr>
              <w:t>Региональный проект «Жилье»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Управление по жилищным вопросам</w:t>
            </w:r>
          </w:p>
        </w:tc>
        <w:tc>
          <w:tcPr>
            <w:tcW w:w="1585" w:type="dxa"/>
            <w:shd w:val="clear" w:color="auto" w:fill="FFFFFF" w:themeFill="background1"/>
            <w:vAlign w:val="center"/>
            <w:hideMark/>
          </w:tcPr>
          <w:p w:rsidR="00403910" w:rsidRPr="008D535B" w:rsidRDefault="00403910" w:rsidP="007853CC">
            <w:pPr>
              <w:ind w:firstLine="0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Устойчивое сокращение непригодного для проживания жилищного фонда</w:t>
            </w:r>
          </w:p>
        </w:tc>
      </w:tr>
    </w:tbl>
    <w:p w:rsidR="00403910" w:rsidRDefault="00403910" w:rsidP="0075343D"/>
    <w:p w:rsidR="00403910" w:rsidRDefault="00403910" w:rsidP="0075343D">
      <w:r>
        <w:rPr>
          <w:bCs/>
        </w:rPr>
        <w:t xml:space="preserve"> (Р</w:t>
      </w:r>
      <w:r w:rsidRPr="00403910">
        <w:rPr>
          <w:bCs/>
        </w:rPr>
        <w:t>аздел 2 «Показатели муниципальной программы»</w:t>
      </w:r>
      <w:r>
        <w:rPr>
          <w:bCs/>
        </w:rPr>
        <w:t xml:space="preserve"> изложен в новой редакции </w:t>
      </w:r>
      <w:r w:rsidRPr="00594A41">
        <w:rPr>
          <w:bCs/>
        </w:rPr>
        <w:t xml:space="preserve">постановлением администрации </w:t>
      </w:r>
      <w:hyperlink r:id="rId114" w:tooltip="постановление от 27.01.2026 0:00:00 №19-па Администрация г. Пыть-Ях&#10;&#10;О внесении изменений в постановление администрации города от 28.12.2023 № 372-па " w:history="1">
        <w:r w:rsidRPr="00594A41">
          <w:rPr>
            <w:rStyle w:val="afd"/>
            <w:bCs/>
          </w:rPr>
          <w:t>от 27.01.2026 № 19-па</w:t>
        </w:r>
      </w:hyperlink>
      <w:r w:rsidRPr="00594A41">
        <w:rPr>
          <w:bCs/>
        </w:rPr>
        <w:t>)</w:t>
      </w:r>
    </w:p>
    <w:p w:rsidR="000A1306" w:rsidRDefault="000A1306" w:rsidP="00D0066D">
      <w:pPr>
        <w:ind w:firstLine="709"/>
      </w:pPr>
    </w:p>
    <w:p w:rsidR="0092574C" w:rsidRPr="0092574C" w:rsidRDefault="0092574C" w:rsidP="0092574C">
      <w:pPr>
        <w:ind w:left="-567" w:firstLine="0"/>
        <w:rPr>
          <w:rFonts w:cs="Arial"/>
          <w:color w:val="000000" w:themeColor="text1"/>
          <w:szCs w:val="28"/>
        </w:rPr>
      </w:pPr>
    </w:p>
    <w:p w:rsidR="0060439C" w:rsidRPr="00187AD9" w:rsidRDefault="0060439C" w:rsidP="0060439C">
      <w:pPr>
        <w:pStyle w:val="2"/>
      </w:pPr>
      <w:r w:rsidRPr="00187AD9">
        <w:t>3. План достижения показателей муниципальной программы в 202</w:t>
      </w:r>
      <w:r w:rsidR="00271866">
        <w:t>6</w:t>
      </w:r>
      <w:r w:rsidRPr="00187AD9">
        <w:t xml:space="preserve"> году</w:t>
      </w:r>
    </w:p>
    <w:p w:rsidR="0060439C" w:rsidRPr="00187AD9" w:rsidRDefault="0060439C" w:rsidP="0060439C">
      <w:pPr>
        <w:ind w:left="3400"/>
        <w:rPr>
          <w:rFonts w:cs="Arial"/>
          <w:color w:val="FF0000"/>
          <w:szCs w:val="28"/>
        </w:rPr>
      </w:pPr>
    </w:p>
    <w:tbl>
      <w:tblPr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5297"/>
        <w:gridCol w:w="1701"/>
        <w:gridCol w:w="1442"/>
        <w:gridCol w:w="960"/>
        <w:gridCol w:w="960"/>
        <w:gridCol w:w="960"/>
        <w:gridCol w:w="960"/>
        <w:gridCol w:w="1238"/>
      </w:tblGrid>
      <w:tr w:rsidR="00271866" w:rsidRPr="008D535B" w:rsidTr="007853CC">
        <w:trPr>
          <w:trHeight w:val="57"/>
        </w:trPr>
        <w:tc>
          <w:tcPr>
            <w:tcW w:w="1083" w:type="dxa"/>
            <w:vMerge w:val="restart"/>
            <w:shd w:val="clear" w:color="auto" w:fill="auto"/>
            <w:vAlign w:val="center"/>
            <w:hideMark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№ п/п</w:t>
            </w:r>
          </w:p>
        </w:tc>
        <w:tc>
          <w:tcPr>
            <w:tcW w:w="5297" w:type="dxa"/>
            <w:vMerge w:val="restart"/>
            <w:shd w:val="clear" w:color="auto" w:fill="auto"/>
            <w:vAlign w:val="center"/>
            <w:hideMark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 xml:space="preserve">Цели/показатели муниципальной программы, структурного элемента / источник финансового обеспечения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Уровень показателя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  <w:hideMark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Единица измерения (по ОКЕИ)</w:t>
            </w:r>
          </w:p>
        </w:tc>
        <w:tc>
          <w:tcPr>
            <w:tcW w:w="3840" w:type="dxa"/>
            <w:gridSpan w:val="4"/>
            <w:shd w:val="clear" w:color="auto" w:fill="auto"/>
            <w:vAlign w:val="center"/>
            <w:hideMark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Плановые значения по кварталам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На конец года</w:t>
            </w:r>
          </w:p>
        </w:tc>
      </w:tr>
      <w:tr w:rsidR="00271866" w:rsidRPr="008D535B" w:rsidTr="007853CC">
        <w:trPr>
          <w:trHeight w:val="57"/>
        </w:trPr>
        <w:tc>
          <w:tcPr>
            <w:tcW w:w="1083" w:type="dxa"/>
            <w:vMerge/>
            <w:vAlign w:val="center"/>
            <w:hideMark/>
          </w:tcPr>
          <w:p w:rsidR="00271866" w:rsidRPr="008D535B" w:rsidRDefault="00271866" w:rsidP="007853CC">
            <w:pPr>
              <w:ind w:firstLine="0"/>
              <w:rPr>
                <w:rFonts w:cs="Arial"/>
              </w:rPr>
            </w:pPr>
          </w:p>
        </w:tc>
        <w:tc>
          <w:tcPr>
            <w:tcW w:w="5297" w:type="dxa"/>
            <w:vMerge/>
            <w:vAlign w:val="center"/>
            <w:hideMark/>
          </w:tcPr>
          <w:p w:rsidR="00271866" w:rsidRPr="008D535B" w:rsidRDefault="00271866" w:rsidP="007853CC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71866" w:rsidRPr="008D535B" w:rsidRDefault="00271866" w:rsidP="007853CC">
            <w:pPr>
              <w:ind w:firstLine="0"/>
              <w:rPr>
                <w:rFonts w:cs="Arial"/>
              </w:rPr>
            </w:pPr>
          </w:p>
        </w:tc>
        <w:tc>
          <w:tcPr>
            <w:tcW w:w="1442" w:type="dxa"/>
            <w:vMerge/>
            <w:vAlign w:val="center"/>
            <w:hideMark/>
          </w:tcPr>
          <w:p w:rsidR="00271866" w:rsidRPr="008D535B" w:rsidRDefault="00271866" w:rsidP="007853CC">
            <w:pPr>
              <w:ind w:firstLine="0"/>
              <w:rPr>
                <w:rFonts w:cs="Arial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II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III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IV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2026</w:t>
            </w:r>
          </w:p>
        </w:tc>
      </w:tr>
      <w:tr w:rsidR="00271866" w:rsidRPr="008D535B" w:rsidTr="007853CC">
        <w:trPr>
          <w:trHeight w:val="57"/>
        </w:trPr>
        <w:tc>
          <w:tcPr>
            <w:tcW w:w="1083" w:type="dxa"/>
            <w:shd w:val="clear" w:color="auto" w:fill="auto"/>
            <w:vAlign w:val="center"/>
            <w:hideMark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1</w:t>
            </w:r>
          </w:p>
        </w:tc>
        <w:tc>
          <w:tcPr>
            <w:tcW w:w="5297" w:type="dxa"/>
            <w:shd w:val="clear" w:color="auto" w:fill="auto"/>
            <w:vAlign w:val="center"/>
            <w:hideMark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3</w:t>
            </w:r>
          </w:p>
        </w:tc>
        <w:tc>
          <w:tcPr>
            <w:tcW w:w="1442" w:type="dxa"/>
            <w:shd w:val="clear" w:color="auto" w:fill="auto"/>
            <w:vAlign w:val="center"/>
            <w:hideMark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8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9</w:t>
            </w:r>
          </w:p>
        </w:tc>
      </w:tr>
      <w:tr w:rsidR="00271866" w:rsidRPr="008D535B" w:rsidTr="007853CC">
        <w:trPr>
          <w:trHeight w:val="57"/>
        </w:trPr>
        <w:tc>
          <w:tcPr>
            <w:tcW w:w="14601" w:type="dxa"/>
            <w:gridSpan w:val="9"/>
            <w:shd w:val="clear" w:color="auto" w:fill="auto"/>
            <w:vAlign w:val="center"/>
            <w:hideMark/>
          </w:tcPr>
          <w:p w:rsidR="00271866" w:rsidRPr="008D535B" w:rsidRDefault="00271866" w:rsidP="007853CC">
            <w:pPr>
              <w:ind w:firstLine="0"/>
              <w:rPr>
                <w:rFonts w:cs="Arial"/>
                <w:szCs w:val="22"/>
              </w:rPr>
            </w:pPr>
            <w:r w:rsidRPr="008D535B">
              <w:rPr>
                <w:rFonts w:cs="Arial"/>
              </w:rPr>
              <w:t>Цель 1 «Увеличение годового объема ввода жилья»</w:t>
            </w:r>
          </w:p>
        </w:tc>
      </w:tr>
      <w:tr w:rsidR="00271866" w:rsidRPr="008D535B" w:rsidTr="007853CC">
        <w:trPr>
          <w:trHeight w:val="57"/>
        </w:trPr>
        <w:tc>
          <w:tcPr>
            <w:tcW w:w="1083" w:type="dxa"/>
            <w:shd w:val="clear" w:color="auto" w:fill="auto"/>
            <w:vAlign w:val="center"/>
            <w:hideMark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1.</w:t>
            </w:r>
          </w:p>
        </w:tc>
        <w:tc>
          <w:tcPr>
            <w:tcW w:w="5297" w:type="dxa"/>
            <w:shd w:val="clear" w:color="auto" w:fill="auto"/>
            <w:vAlign w:val="center"/>
            <w:hideMark/>
          </w:tcPr>
          <w:p w:rsidR="00271866" w:rsidRPr="008D535B" w:rsidRDefault="00271866" w:rsidP="007853CC">
            <w:pPr>
              <w:ind w:firstLine="0"/>
              <w:rPr>
                <w:rFonts w:cs="Arial"/>
                <w:szCs w:val="22"/>
              </w:rPr>
            </w:pPr>
            <w:r w:rsidRPr="008D535B">
              <w:rPr>
                <w:rFonts w:cs="Arial"/>
                <w:szCs w:val="22"/>
              </w:rPr>
              <w:t>Объем жилищного 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 xml:space="preserve">«НП» «ГП» </w:t>
            </w:r>
          </w:p>
        </w:tc>
        <w:tc>
          <w:tcPr>
            <w:tcW w:w="1442" w:type="dxa"/>
            <w:shd w:val="clear" w:color="auto" w:fill="auto"/>
            <w:vAlign w:val="center"/>
            <w:hideMark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млн. кв. м.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0,007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0,0005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0,0005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0,0005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0,0085</w:t>
            </w:r>
          </w:p>
        </w:tc>
      </w:tr>
      <w:tr w:rsidR="00271866" w:rsidRPr="008D535B" w:rsidTr="007853CC">
        <w:trPr>
          <w:trHeight w:val="57"/>
        </w:trPr>
        <w:tc>
          <w:tcPr>
            <w:tcW w:w="14601" w:type="dxa"/>
            <w:gridSpan w:val="9"/>
            <w:shd w:val="clear" w:color="auto" w:fill="auto"/>
            <w:vAlign w:val="center"/>
          </w:tcPr>
          <w:p w:rsidR="00271866" w:rsidRPr="008D535B" w:rsidRDefault="00271866" w:rsidP="007853CC">
            <w:pPr>
              <w:ind w:firstLine="0"/>
              <w:rPr>
                <w:rFonts w:cs="Arial"/>
              </w:rPr>
            </w:pPr>
            <w:r w:rsidRPr="008D535B">
              <w:rPr>
                <w:rFonts w:cs="Arial"/>
              </w:rPr>
              <w:t>Цель 2 «Улучшение жилищных условий семей»</w:t>
            </w:r>
          </w:p>
        </w:tc>
      </w:tr>
      <w:tr w:rsidR="00271866" w:rsidRPr="008D535B" w:rsidTr="007853CC">
        <w:trPr>
          <w:trHeight w:val="57"/>
        </w:trPr>
        <w:tc>
          <w:tcPr>
            <w:tcW w:w="1083" w:type="dxa"/>
            <w:shd w:val="clear" w:color="auto" w:fill="auto"/>
            <w:vAlign w:val="center"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2.</w:t>
            </w:r>
          </w:p>
        </w:tc>
        <w:tc>
          <w:tcPr>
            <w:tcW w:w="5297" w:type="dxa"/>
            <w:shd w:val="clear" w:color="auto" w:fill="auto"/>
            <w:vAlign w:val="center"/>
          </w:tcPr>
          <w:p w:rsidR="00271866" w:rsidRPr="008D535B" w:rsidRDefault="00271866" w:rsidP="007853CC">
            <w:pPr>
              <w:ind w:firstLine="0"/>
              <w:rPr>
                <w:rFonts w:cs="Arial"/>
                <w:szCs w:val="22"/>
              </w:rPr>
            </w:pPr>
            <w:r w:rsidRPr="008D535B">
              <w:rPr>
                <w:rFonts w:cs="Arial"/>
                <w:szCs w:val="22"/>
              </w:rPr>
              <w:t>Количество семей, улучшивших жилищные условия, ежегодно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«ГП» «ВДЛ»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семей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15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25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27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67</w:t>
            </w:r>
          </w:p>
        </w:tc>
      </w:tr>
      <w:tr w:rsidR="00271866" w:rsidRPr="008D535B" w:rsidTr="007853CC">
        <w:trPr>
          <w:trHeight w:val="57"/>
        </w:trPr>
        <w:tc>
          <w:tcPr>
            <w:tcW w:w="1083" w:type="dxa"/>
            <w:shd w:val="clear" w:color="auto" w:fill="auto"/>
            <w:vAlign w:val="center"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3.</w:t>
            </w:r>
          </w:p>
        </w:tc>
        <w:tc>
          <w:tcPr>
            <w:tcW w:w="5297" w:type="dxa"/>
            <w:shd w:val="clear" w:color="auto" w:fill="auto"/>
            <w:vAlign w:val="center"/>
          </w:tcPr>
          <w:p w:rsidR="00271866" w:rsidRPr="008D535B" w:rsidRDefault="00271866" w:rsidP="007853CC">
            <w:pPr>
              <w:ind w:firstLine="0"/>
              <w:rPr>
                <w:rFonts w:cs="Arial"/>
                <w:szCs w:val="22"/>
              </w:rPr>
            </w:pPr>
            <w:r w:rsidRPr="008D535B">
              <w:rPr>
                <w:rFonts w:cs="Arial"/>
                <w:szCs w:val="22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«ГП»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кв. м.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19,4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19,4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19,4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19,4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19,4</w:t>
            </w:r>
          </w:p>
        </w:tc>
      </w:tr>
      <w:tr w:rsidR="00271866" w:rsidRPr="008D535B" w:rsidTr="007853CC">
        <w:trPr>
          <w:trHeight w:val="57"/>
        </w:trPr>
        <w:tc>
          <w:tcPr>
            <w:tcW w:w="1083" w:type="dxa"/>
            <w:shd w:val="clear" w:color="auto" w:fill="auto"/>
            <w:vAlign w:val="center"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4.</w:t>
            </w:r>
          </w:p>
        </w:tc>
        <w:tc>
          <w:tcPr>
            <w:tcW w:w="5297" w:type="dxa"/>
            <w:shd w:val="clear" w:color="auto" w:fill="auto"/>
            <w:vAlign w:val="center"/>
          </w:tcPr>
          <w:p w:rsidR="00271866" w:rsidRPr="008D535B" w:rsidRDefault="00271866" w:rsidP="007853CC">
            <w:pPr>
              <w:ind w:firstLine="0"/>
              <w:rPr>
                <w:rFonts w:cs="Arial"/>
                <w:szCs w:val="22"/>
              </w:rPr>
            </w:pPr>
            <w:r w:rsidRPr="008D535B">
              <w:rPr>
                <w:rFonts w:cs="Arial"/>
                <w:szCs w:val="22"/>
              </w:rPr>
              <w:t>Количество квадратных метров расселенного непригодного жилищного фонда (аварийный, фенольный)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«НП»</w:t>
            </w:r>
          </w:p>
          <w:p w:rsidR="00271866" w:rsidRPr="008D535B" w:rsidRDefault="00271866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«ФП в НП»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>тыс. кв. м.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0,47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1,14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271866" w:rsidRPr="008D535B" w:rsidRDefault="00271866" w:rsidP="007853CC">
            <w:pPr>
              <w:ind w:firstLine="0"/>
              <w:jc w:val="center"/>
              <w:rPr>
                <w:rFonts w:cs="Arial"/>
                <w:lang w:val="en-US"/>
              </w:rPr>
            </w:pPr>
            <w:r w:rsidRPr="008D535B">
              <w:rPr>
                <w:rFonts w:cs="Arial"/>
              </w:rPr>
              <w:t>2,51</w:t>
            </w:r>
          </w:p>
        </w:tc>
      </w:tr>
    </w:tbl>
    <w:p w:rsidR="00271866" w:rsidRDefault="00271866" w:rsidP="00271866">
      <w:r>
        <w:rPr>
          <w:bCs/>
        </w:rPr>
        <w:t xml:space="preserve">(Раздел </w:t>
      </w:r>
      <w:r w:rsidRPr="00271866">
        <w:rPr>
          <w:bCs/>
        </w:rPr>
        <w:t>3 «План достижения показателей муниципальной программы в 2026 году»</w:t>
      </w:r>
      <w:r>
        <w:rPr>
          <w:bCs/>
        </w:rPr>
        <w:t xml:space="preserve"> изложен в новой редакции </w:t>
      </w:r>
      <w:r w:rsidRPr="00594A41">
        <w:rPr>
          <w:bCs/>
        </w:rPr>
        <w:t xml:space="preserve">постановлением администрации </w:t>
      </w:r>
      <w:hyperlink r:id="rId115" w:tooltip="постановление от 27.01.2026 0:00:00 №19-па Администрация г. Пыть-Ях&#10;&#10;О внесении изменений в постановление администрации города от 28.12.2023 № 372-па " w:history="1">
        <w:r w:rsidRPr="00594A41">
          <w:rPr>
            <w:rStyle w:val="afd"/>
            <w:bCs/>
          </w:rPr>
          <w:t>от 27.01.2026 № 19-па</w:t>
        </w:r>
      </w:hyperlink>
      <w:r w:rsidRPr="00594A41">
        <w:rPr>
          <w:bCs/>
        </w:rPr>
        <w:t>)</w:t>
      </w:r>
    </w:p>
    <w:p w:rsidR="0060439C" w:rsidRPr="00187AD9" w:rsidRDefault="0060439C" w:rsidP="00271866">
      <w:pPr>
        <w:rPr>
          <w:rFonts w:cs="Arial"/>
          <w:color w:val="FF0000"/>
          <w:szCs w:val="28"/>
        </w:rPr>
      </w:pPr>
    </w:p>
    <w:p w:rsidR="0060439C" w:rsidRPr="00187AD9" w:rsidRDefault="0060439C" w:rsidP="0060439C">
      <w:pPr>
        <w:pStyle w:val="2"/>
      </w:pPr>
      <w:r w:rsidRPr="00187AD9">
        <w:t>4. Структура муниципальной программы</w:t>
      </w:r>
    </w:p>
    <w:p w:rsidR="0060439C" w:rsidRPr="00187AD9" w:rsidRDefault="0060439C" w:rsidP="0060439C">
      <w:pPr>
        <w:ind w:left="3400"/>
        <w:jc w:val="right"/>
        <w:rPr>
          <w:rFonts w:cs="Arial"/>
          <w:color w:val="FF0000"/>
          <w:szCs w:val="28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523"/>
        <w:gridCol w:w="5245"/>
        <w:gridCol w:w="2982"/>
      </w:tblGrid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</w:rPr>
            </w:pPr>
            <w:r w:rsidRPr="00187AD9">
              <w:rPr>
                <w:rFonts w:cs="Arial"/>
                <w:color w:val="000000"/>
              </w:rPr>
              <w:t>№ п/п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</w:rPr>
            </w:pPr>
            <w:r w:rsidRPr="00187AD9">
              <w:rPr>
                <w:rFonts w:cs="Arial"/>
                <w:color w:val="000000"/>
              </w:rPr>
              <w:t>Задачи структурного элемента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</w:rPr>
            </w:pPr>
            <w:r w:rsidRPr="00187AD9">
              <w:rPr>
                <w:rFonts w:cs="Arial"/>
                <w:color w:val="00000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</w:rPr>
            </w:pPr>
            <w:r w:rsidRPr="00187AD9">
              <w:rPr>
                <w:rFonts w:cs="Arial"/>
                <w:color w:val="000000"/>
              </w:rPr>
              <w:t>Связь с показателями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</w:rPr>
            </w:pPr>
            <w:r w:rsidRPr="00187AD9">
              <w:rPr>
                <w:rFonts w:cs="Arial"/>
                <w:color w:val="000000"/>
              </w:rPr>
              <w:t>1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</w:rPr>
            </w:pPr>
            <w:r w:rsidRPr="00187AD9">
              <w:rPr>
                <w:rFonts w:cs="Arial"/>
                <w:color w:val="00000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</w:rPr>
            </w:pPr>
            <w:r w:rsidRPr="00187AD9">
              <w:rPr>
                <w:rFonts w:cs="Arial"/>
                <w:color w:val="000000"/>
              </w:rPr>
              <w:t>3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</w:rPr>
            </w:pPr>
            <w:r w:rsidRPr="00187AD9">
              <w:rPr>
                <w:rFonts w:cs="Arial"/>
                <w:color w:val="000000"/>
              </w:rPr>
              <w:t>4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1.</w:t>
            </w:r>
          </w:p>
        </w:tc>
        <w:tc>
          <w:tcPr>
            <w:tcW w:w="13750" w:type="dxa"/>
            <w:gridSpan w:val="3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 w:themeColor="text1"/>
                <w:szCs w:val="22"/>
              </w:rPr>
              <w:t>Направление (подпрограмма) «Содействие развитию жилищного строительства»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1.1.</w:t>
            </w:r>
          </w:p>
        </w:tc>
        <w:tc>
          <w:tcPr>
            <w:tcW w:w="13750" w:type="dxa"/>
            <w:gridSpan w:val="3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Региональный проект «Жилье»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5523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Ответственный за реализацию: Управление по жилищным вопросам</w:t>
            </w:r>
          </w:p>
        </w:tc>
        <w:tc>
          <w:tcPr>
            <w:tcW w:w="8227" w:type="dxa"/>
            <w:gridSpan w:val="2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Срок реализации: 2025-2030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szCs w:val="22"/>
              </w:rPr>
            </w:pPr>
            <w:r w:rsidRPr="00187AD9">
              <w:rPr>
                <w:rFonts w:cs="Arial"/>
                <w:szCs w:val="22"/>
              </w:rPr>
              <w:t>1.1.1.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rPr>
                <w:rFonts w:cs="Arial"/>
                <w:szCs w:val="22"/>
              </w:rPr>
            </w:pPr>
            <w:r w:rsidRPr="00187AD9">
              <w:rPr>
                <w:rFonts w:cs="Arial"/>
                <w:szCs w:val="22"/>
              </w:rPr>
              <w:t xml:space="preserve">Расселение аварийного жилищного фонда </w:t>
            </w:r>
          </w:p>
        </w:tc>
        <w:tc>
          <w:tcPr>
            <w:tcW w:w="5245" w:type="dxa"/>
            <w:shd w:val="clear" w:color="auto" w:fill="auto"/>
          </w:tcPr>
          <w:p w:rsidR="0060439C" w:rsidRPr="00187AD9" w:rsidRDefault="0060439C" w:rsidP="001F5327">
            <w:pPr>
              <w:pStyle w:val="ConsPlusNormal"/>
              <w:ind w:firstLine="0"/>
              <w:jc w:val="both"/>
              <w:rPr>
                <w:rFonts w:cs="Arial"/>
                <w:sz w:val="24"/>
                <w:szCs w:val="22"/>
              </w:rPr>
            </w:pPr>
            <w:r w:rsidRPr="00187AD9">
              <w:rPr>
                <w:rFonts w:cs="Arial"/>
                <w:sz w:val="24"/>
                <w:szCs w:val="22"/>
              </w:rPr>
              <w:t xml:space="preserve">Приобретение жилья для переселения граждан из жилых домов, признанных аварийными, выплата возмещения 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rPr>
                <w:rFonts w:cs="Arial"/>
                <w:szCs w:val="22"/>
              </w:rPr>
            </w:pPr>
            <w:r w:rsidRPr="00187AD9">
              <w:rPr>
                <w:rFonts w:cs="Arial"/>
              </w:rPr>
              <w:t xml:space="preserve">Количество квадратных метров расселенного непригодного </w:t>
            </w:r>
            <w:r w:rsidRPr="00187AD9">
              <w:rPr>
                <w:rFonts w:cs="Arial"/>
              </w:rPr>
              <w:lastRenderedPageBreak/>
              <w:t>жилищного фонда (аварийный, фенольный).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lastRenderedPageBreak/>
              <w:t>1.2.</w:t>
            </w:r>
          </w:p>
        </w:tc>
        <w:tc>
          <w:tcPr>
            <w:tcW w:w="13750" w:type="dxa"/>
            <w:gridSpan w:val="3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Комплекс процессных мероприятий «Реализация полномочий в области строительства и жилищных отношений»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szCs w:val="22"/>
              </w:rPr>
            </w:pPr>
            <w:r w:rsidRPr="00187AD9">
              <w:rPr>
                <w:rFonts w:cs="Arial"/>
                <w:szCs w:val="22"/>
              </w:rPr>
              <w:t>1.2.1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rPr>
                <w:rFonts w:cs="Arial"/>
                <w:szCs w:val="22"/>
              </w:rPr>
            </w:pPr>
            <w:r w:rsidRPr="00187AD9">
              <w:rPr>
                <w:rFonts w:cs="Arial"/>
                <w:szCs w:val="22"/>
              </w:rPr>
              <w:t xml:space="preserve">Реализация полномочий в области строительства и жилищных отношений </w:t>
            </w:r>
          </w:p>
        </w:tc>
        <w:tc>
          <w:tcPr>
            <w:tcW w:w="5245" w:type="dxa"/>
            <w:shd w:val="clear" w:color="auto" w:fill="auto"/>
          </w:tcPr>
          <w:p w:rsidR="0060439C" w:rsidRPr="00187AD9" w:rsidRDefault="0060439C" w:rsidP="001F5327">
            <w:pPr>
              <w:pStyle w:val="ConsPlusNormal"/>
              <w:ind w:firstLine="0"/>
              <w:jc w:val="both"/>
              <w:rPr>
                <w:rFonts w:cs="Arial"/>
                <w:sz w:val="24"/>
                <w:szCs w:val="22"/>
              </w:rPr>
            </w:pPr>
            <w:r w:rsidRPr="00187AD9">
              <w:rPr>
                <w:rFonts w:cs="Arial"/>
                <w:sz w:val="24"/>
                <w:szCs w:val="22"/>
              </w:rPr>
              <w:t xml:space="preserve">Приобретение жилья для переселения в первоочередном порядке участников специальной военной операции, членов их семей из жилых домов, признанных аварийными, выплата </w:t>
            </w:r>
            <w:proofErr w:type="spellStart"/>
            <w:r w:rsidRPr="00187AD9">
              <w:rPr>
                <w:rFonts w:cs="Arial"/>
                <w:sz w:val="24"/>
                <w:szCs w:val="22"/>
              </w:rPr>
              <w:t>возмещения.Обеспечение</w:t>
            </w:r>
            <w:proofErr w:type="spellEnd"/>
            <w:r w:rsidRPr="00187AD9">
              <w:rPr>
                <w:rFonts w:cs="Arial"/>
                <w:sz w:val="24"/>
                <w:szCs w:val="22"/>
              </w:rPr>
              <w:t xml:space="preserve"> жильем граждан, состоящих на учете для его получения на условиях социального </w:t>
            </w:r>
            <w:proofErr w:type="spellStart"/>
            <w:r w:rsidRPr="00187AD9">
              <w:rPr>
                <w:rFonts w:cs="Arial"/>
                <w:sz w:val="24"/>
                <w:szCs w:val="22"/>
              </w:rPr>
              <w:t>найма.Предоставление</w:t>
            </w:r>
            <w:proofErr w:type="spellEnd"/>
            <w:r w:rsidRPr="00187AD9">
              <w:rPr>
                <w:rFonts w:cs="Arial"/>
                <w:sz w:val="24"/>
                <w:szCs w:val="22"/>
              </w:rPr>
              <w:t xml:space="preserve"> субсидии участникам специальной военной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собственность.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rPr>
                <w:rFonts w:cs="Arial"/>
              </w:rPr>
            </w:pPr>
            <w:r w:rsidRPr="00187AD9">
              <w:rPr>
                <w:rFonts w:cs="Arial"/>
                <w:szCs w:val="22"/>
              </w:rPr>
              <w:t>Количество семей, улучшивших жилищные условия</w:t>
            </w:r>
            <w:r w:rsidRPr="00187AD9">
              <w:rPr>
                <w:rFonts w:cs="Arial"/>
              </w:rPr>
              <w:t>.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1.3.</w:t>
            </w:r>
          </w:p>
        </w:tc>
        <w:tc>
          <w:tcPr>
            <w:tcW w:w="13750" w:type="dxa"/>
            <w:gridSpan w:val="3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szCs w:val="22"/>
              </w:rPr>
            </w:pPr>
            <w:r w:rsidRPr="00187AD9">
              <w:rPr>
                <w:rFonts w:cs="Arial"/>
                <w:szCs w:val="22"/>
              </w:rPr>
              <w:t>Комплекс процессных мероприятий «Реализация мероприятий по градостроительной деятельности»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 xml:space="preserve"> 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Ответственный за реализацию: Управление архитектуры и градостроительства</w:t>
            </w:r>
          </w:p>
        </w:tc>
        <w:tc>
          <w:tcPr>
            <w:tcW w:w="8227" w:type="dxa"/>
            <w:gridSpan w:val="2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Срок реализации: 2025-2030</w:t>
            </w:r>
          </w:p>
        </w:tc>
      </w:tr>
      <w:tr w:rsidR="009D4C18" w:rsidRPr="00187AD9" w:rsidTr="001F5327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9D4C18" w:rsidRPr="00187AD9" w:rsidRDefault="009D4C18" w:rsidP="009D4C18">
            <w:pPr>
              <w:ind w:firstLine="0"/>
              <w:jc w:val="center"/>
              <w:rPr>
                <w:rFonts w:cs="Arial"/>
                <w:szCs w:val="22"/>
              </w:rPr>
            </w:pPr>
            <w:r w:rsidRPr="00187AD9">
              <w:rPr>
                <w:rFonts w:cs="Arial"/>
                <w:szCs w:val="22"/>
              </w:rPr>
              <w:t>1.3.1.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9D4C18" w:rsidRPr="008D535B" w:rsidRDefault="009D4C18" w:rsidP="009D4C18">
            <w:pPr>
              <w:ind w:firstLine="0"/>
              <w:rPr>
                <w:rFonts w:cs="Arial"/>
                <w:szCs w:val="22"/>
              </w:rPr>
            </w:pPr>
            <w:r w:rsidRPr="008D535B">
              <w:rPr>
                <w:rFonts w:cs="Arial"/>
                <w:szCs w:val="22"/>
              </w:rPr>
              <w:t xml:space="preserve">Обеспечение сбалансированного пространственного развития за счет эффективной реализации градостроительного потенциала территорий, включая совершенствование документов стратегического и территориального планирования, </w:t>
            </w:r>
            <w:proofErr w:type="spellStart"/>
            <w:r w:rsidRPr="008D535B">
              <w:rPr>
                <w:rFonts w:cs="Arial"/>
                <w:szCs w:val="22"/>
              </w:rPr>
              <w:t>цифровизацию</w:t>
            </w:r>
            <w:proofErr w:type="spellEnd"/>
            <w:r w:rsidRPr="008D535B">
              <w:rPr>
                <w:rFonts w:cs="Arial"/>
                <w:szCs w:val="22"/>
              </w:rPr>
              <w:t xml:space="preserve"> градостроительной деятельности, комплексное развитие территорий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9D4C18" w:rsidRPr="008D535B" w:rsidRDefault="009D4C18" w:rsidP="009D4C18">
            <w:pPr>
              <w:ind w:firstLine="0"/>
              <w:rPr>
                <w:rFonts w:cs="Arial"/>
                <w:szCs w:val="22"/>
              </w:rPr>
            </w:pPr>
            <w:r w:rsidRPr="008D535B">
              <w:rPr>
                <w:rFonts w:cs="Arial"/>
                <w:szCs w:val="22"/>
              </w:rPr>
              <w:t>Корректировка документов территориального планирования, градостроительного зонирования, связанная с изменениями градостроительного законодательства, выполнением обосновывающих материалов и инженерных изысканий для их корректировки.</w:t>
            </w:r>
          </w:p>
          <w:p w:rsidR="009D4C18" w:rsidRPr="008D535B" w:rsidRDefault="009D4C18" w:rsidP="009D4C18">
            <w:pPr>
              <w:ind w:firstLine="0"/>
              <w:rPr>
                <w:rFonts w:cs="Arial"/>
                <w:szCs w:val="22"/>
              </w:rPr>
            </w:pPr>
            <w:r w:rsidRPr="008D535B">
              <w:rPr>
                <w:rFonts w:cs="Arial"/>
                <w:szCs w:val="22"/>
              </w:rPr>
              <w:t xml:space="preserve">Подготовка, внесение изменений в документы для постановки территориальных зон, границ населенных пунктов на кадастровый учет. Разработка документации </w:t>
            </w:r>
            <w:r w:rsidRPr="008D535B">
              <w:rPr>
                <w:rFonts w:cs="Arial"/>
                <w:szCs w:val="22"/>
              </w:rPr>
              <w:lastRenderedPageBreak/>
              <w:t>по планировке и межеванию территории и выполнение инженерных изысканий для территорий, на которые ранее проекты планировки и межевания не разрабатывались с учетом «Югорского стандарта развития территорий»;</w:t>
            </w:r>
          </w:p>
          <w:p w:rsidR="009D4C18" w:rsidRPr="008D535B" w:rsidRDefault="009D4C18" w:rsidP="009D4C18">
            <w:pPr>
              <w:ind w:firstLine="0"/>
              <w:rPr>
                <w:rFonts w:cs="Arial"/>
                <w:szCs w:val="22"/>
              </w:rPr>
            </w:pPr>
            <w:r w:rsidRPr="008D535B">
              <w:rPr>
                <w:rFonts w:cs="Arial"/>
                <w:szCs w:val="22"/>
              </w:rPr>
              <w:t>Внесение изменений в документацию по планировке и межеванию территории и выполнение инженерных изысканий с учетом «Югорского стандарта развития территорий».</w:t>
            </w:r>
          </w:p>
          <w:p w:rsidR="009D4C18" w:rsidRPr="008D535B" w:rsidRDefault="009D4C18" w:rsidP="009D4C18">
            <w:pPr>
              <w:ind w:firstLine="0"/>
              <w:rPr>
                <w:rFonts w:cs="Arial"/>
                <w:szCs w:val="22"/>
              </w:rPr>
            </w:pPr>
            <w:r w:rsidRPr="008D535B">
              <w:rPr>
                <w:rFonts w:cs="Arial"/>
                <w:szCs w:val="22"/>
              </w:rPr>
              <w:t>Разработка местных нормативов градостроительного проектирования.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9D4C18" w:rsidRPr="008D535B" w:rsidRDefault="009D4C18" w:rsidP="009D4C18">
            <w:pPr>
              <w:ind w:firstLine="0"/>
              <w:rPr>
                <w:rFonts w:cs="Arial"/>
                <w:szCs w:val="22"/>
              </w:rPr>
            </w:pPr>
            <w:r w:rsidRPr="008D535B">
              <w:rPr>
                <w:rFonts w:cs="Arial"/>
                <w:szCs w:val="22"/>
              </w:rPr>
              <w:lastRenderedPageBreak/>
              <w:t>Объем жилищного строительства.</w:t>
            </w:r>
          </w:p>
        </w:tc>
      </w:tr>
    </w:tbl>
    <w:p w:rsidR="00271866" w:rsidRDefault="00271866" w:rsidP="009D4C18">
      <w:r>
        <w:rPr>
          <w:bCs/>
        </w:rPr>
        <w:t xml:space="preserve">(Строка 1.3.1 </w:t>
      </w:r>
      <w:r w:rsidRPr="00271866">
        <w:rPr>
          <w:bCs/>
        </w:rPr>
        <w:t>раздела 4 «Структура муниципальной программы»</w:t>
      </w:r>
      <w:r>
        <w:rPr>
          <w:bCs/>
        </w:rPr>
        <w:t xml:space="preserve"> </w:t>
      </w:r>
      <w:r w:rsidR="009D4C18">
        <w:rPr>
          <w:bCs/>
        </w:rPr>
        <w:t xml:space="preserve">изложена в новой редакции </w:t>
      </w:r>
      <w:r w:rsidRPr="00271866">
        <w:rPr>
          <w:bCs/>
        </w:rPr>
        <w:t xml:space="preserve">постановлением администрации </w:t>
      </w:r>
      <w:hyperlink r:id="rId116" w:tooltip="постановление от 27.01.2026 0:00:00 №19-па Администрация г. Пыть-Ях&#10;&#10;О внесении изменений в постановление администрации города от 28.12.2023 № 372-па " w:history="1">
        <w:r w:rsidRPr="00271866">
          <w:rPr>
            <w:rStyle w:val="afd"/>
            <w:bCs/>
          </w:rPr>
          <w:t>от 27.01.2026 № 19-па</w:t>
        </w:r>
      </w:hyperlink>
      <w:r>
        <w:t>)</w:t>
      </w: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523"/>
        <w:gridCol w:w="5245"/>
        <w:gridCol w:w="2982"/>
      </w:tblGrid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1.3.2.</w:t>
            </w:r>
          </w:p>
        </w:tc>
        <w:tc>
          <w:tcPr>
            <w:tcW w:w="5523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 w:themeColor="text1"/>
                <w:szCs w:val="22"/>
              </w:rPr>
              <w:t xml:space="preserve">Стимулирование жилищного строительства </w:t>
            </w:r>
          </w:p>
        </w:tc>
        <w:tc>
          <w:tcPr>
            <w:tcW w:w="5245" w:type="dxa"/>
            <w:shd w:val="clear" w:color="auto" w:fill="auto"/>
          </w:tcPr>
          <w:p w:rsidR="0060439C" w:rsidRPr="00187AD9" w:rsidRDefault="0060439C" w:rsidP="001F5327">
            <w:pPr>
              <w:pStyle w:val="ConsPlusNormal"/>
              <w:ind w:firstLine="0"/>
              <w:jc w:val="both"/>
              <w:rPr>
                <w:rFonts w:cs="Arial"/>
                <w:sz w:val="24"/>
                <w:szCs w:val="22"/>
              </w:rPr>
            </w:pPr>
            <w:r w:rsidRPr="00187AD9">
              <w:rPr>
                <w:rFonts w:cs="Arial"/>
                <w:sz w:val="24"/>
                <w:szCs w:val="22"/>
              </w:rPr>
              <w:t>Увеличение годового объема ввода жилья до 0,005 млн. кв. метров к 2030 году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szCs w:val="22"/>
              </w:rPr>
            </w:pPr>
            <w:r w:rsidRPr="00187AD9">
              <w:rPr>
                <w:rFonts w:cs="Arial"/>
                <w:szCs w:val="22"/>
              </w:rPr>
              <w:t>Объем жилищного строительства.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1.4.</w:t>
            </w:r>
          </w:p>
        </w:tc>
        <w:tc>
          <w:tcPr>
            <w:tcW w:w="13750" w:type="dxa"/>
            <w:gridSpan w:val="3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Комплекс процессных мероприятий «Сопровождение и развитие региональных информационных систем в области жилищной сферы и строительной отрасли»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5523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 xml:space="preserve">Ответственный за реализацию: Управление по жилищным вопросам; </w:t>
            </w:r>
          </w:p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Управление архитектуры и градостроительства</w:t>
            </w:r>
          </w:p>
        </w:tc>
        <w:tc>
          <w:tcPr>
            <w:tcW w:w="8227" w:type="dxa"/>
            <w:gridSpan w:val="2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Срок реализации: 2025-2030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 xml:space="preserve"> 1.4.1.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 w:themeColor="text1"/>
                <w:szCs w:val="22"/>
              </w:rPr>
              <w:t>Сопровождение и развитие региональных информационных систем в области жилищной сферы и строительной отрасли</w:t>
            </w:r>
          </w:p>
        </w:tc>
        <w:tc>
          <w:tcPr>
            <w:tcW w:w="5245" w:type="dxa"/>
            <w:shd w:val="clear" w:color="auto" w:fill="auto"/>
          </w:tcPr>
          <w:p w:rsidR="0060439C" w:rsidRPr="00187AD9" w:rsidRDefault="0060439C" w:rsidP="001F5327">
            <w:pPr>
              <w:pStyle w:val="ConsPlusNormal"/>
              <w:ind w:firstLine="0"/>
              <w:jc w:val="both"/>
              <w:rPr>
                <w:rFonts w:cs="Arial"/>
                <w:color w:val="000000" w:themeColor="text1"/>
                <w:sz w:val="24"/>
                <w:szCs w:val="22"/>
              </w:rPr>
            </w:pPr>
            <w:r w:rsidRPr="00187AD9">
              <w:rPr>
                <w:rFonts w:cs="Arial"/>
                <w:color w:val="000000" w:themeColor="text1"/>
                <w:sz w:val="24"/>
                <w:szCs w:val="22"/>
              </w:rPr>
              <w:t>Формирование полной информации о гражданах, нуждающихся в улучшении жилищных условий, через сопровождение и развитие автоматизированной информационной системы учета граждан, нуждающихся в получении государственной поддержки в жилищной сфере автономного округа (АИС ГПЖС);</w:t>
            </w:r>
          </w:p>
          <w:p w:rsidR="0060439C" w:rsidRPr="00187AD9" w:rsidRDefault="0060439C" w:rsidP="001F5327">
            <w:pPr>
              <w:pStyle w:val="ConsPlusNormal"/>
              <w:ind w:firstLine="0"/>
              <w:jc w:val="both"/>
              <w:rPr>
                <w:rFonts w:cs="Arial"/>
                <w:color w:val="000000" w:themeColor="text1"/>
                <w:sz w:val="24"/>
                <w:szCs w:val="22"/>
              </w:rPr>
            </w:pPr>
            <w:r w:rsidRPr="00187AD9">
              <w:rPr>
                <w:rFonts w:cs="Arial"/>
                <w:color w:val="000000" w:themeColor="text1"/>
                <w:sz w:val="24"/>
                <w:szCs w:val="22"/>
              </w:rPr>
              <w:t>Формирование полной информации об объектах капитального строительства и развитие информационной системы управления проектами (ИСУП)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szCs w:val="22"/>
              </w:rPr>
            </w:pPr>
            <w:r w:rsidRPr="00187AD9">
              <w:rPr>
                <w:rFonts w:cs="Arial"/>
                <w:szCs w:val="22"/>
              </w:rPr>
              <w:t>-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lastRenderedPageBreak/>
              <w:t>2.</w:t>
            </w:r>
          </w:p>
        </w:tc>
        <w:tc>
          <w:tcPr>
            <w:tcW w:w="13750" w:type="dxa"/>
            <w:gridSpan w:val="3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szCs w:val="22"/>
              </w:rPr>
            </w:pPr>
            <w:r w:rsidRPr="00187AD9">
              <w:rPr>
                <w:rFonts w:cs="Arial"/>
                <w:szCs w:val="22"/>
              </w:rPr>
              <w:t>Направление (подпрограмма) «Создание условий для обеспечения жилыми помещениями граждан»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2.1.</w:t>
            </w:r>
          </w:p>
        </w:tc>
        <w:tc>
          <w:tcPr>
            <w:tcW w:w="13750" w:type="dxa"/>
            <w:gridSpan w:val="3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szCs w:val="22"/>
              </w:rPr>
            </w:pPr>
            <w:r w:rsidRPr="00187AD9">
              <w:rPr>
                <w:rFonts w:cs="Arial"/>
                <w:szCs w:val="22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 в обеспечении жильем и оплате жилищно-коммунальных услуг»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5523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Ответственный за реализацию: Управление по жилищным вопросам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Срок реализации: 2025-2030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szCs w:val="22"/>
              </w:rPr>
            </w:pP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2.1.1</w:t>
            </w:r>
          </w:p>
        </w:tc>
        <w:tc>
          <w:tcPr>
            <w:tcW w:w="5523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 w:themeColor="text1"/>
                <w:szCs w:val="22"/>
              </w:rPr>
              <w:t xml:space="preserve">Улучшение жилищных условий граждан из числа молодых семей и граждан, переселяемых из жилых помещений, не отвечающих требованиям в связи с превышением предельно допустимой концентрации фенола и (или) формальдегида, расположенных в многоквартирных домах </w:t>
            </w:r>
          </w:p>
        </w:tc>
        <w:tc>
          <w:tcPr>
            <w:tcW w:w="5245" w:type="dxa"/>
            <w:shd w:val="clear" w:color="auto" w:fill="auto"/>
          </w:tcPr>
          <w:p w:rsidR="0060439C" w:rsidRPr="00187AD9" w:rsidRDefault="0060439C" w:rsidP="001F5327">
            <w:pPr>
              <w:pStyle w:val="ConsPlusNormal"/>
              <w:ind w:firstLine="0"/>
              <w:jc w:val="both"/>
              <w:rPr>
                <w:rFonts w:cs="Arial"/>
                <w:sz w:val="24"/>
                <w:szCs w:val="22"/>
              </w:rPr>
            </w:pPr>
            <w:r w:rsidRPr="00187AD9">
              <w:rPr>
                <w:rFonts w:cs="Arial"/>
                <w:sz w:val="24"/>
                <w:szCs w:val="22"/>
              </w:rPr>
              <w:t>Предоставление молодым семьям ежегодно свидетельств о праве на получение социальной выплаты на приобретение (строительство) жилого помещения.</w:t>
            </w:r>
          </w:p>
          <w:p w:rsidR="0060439C" w:rsidRPr="00187AD9" w:rsidRDefault="0060439C" w:rsidP="001F5327">
            <w:pPr>
              <w:pStyle w:val="ConsPlusNormal"/>
              <w:ind w:firstLine="0"/>
              <w:jc w:val="both"/>
              <w:rPr>
                <w:rFonts w:cs="Arial"/>
                <w:sz w:val="24"/>
                <w:szCs w:val="22"/>
              </w:rPr>
            </w:pPr>
            <w:r w:rsidRPr="00187AD9">
              <w:rPr>
                <w:rFonts w:cs="Arial"/>
                <w:sz w:val="24"/>
                <w:szCs w:val="22"/>
              </w:rPr>
              <w:t>Обеспечение жильем путем предоставления жилых помещений или социальной выплаты семьям, переселяемым из жилых помещений, не отвечающих требованиям в связи с превышением предельно допустимой концентрации фенола и (или) формальдегида, расположенных в многоквартирных домах, ежегодно.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szCs w:val="22"/>
              </w:rPr>
            </w:pPr>
            <w:r w:rsidRPr="00187AD9">
              <w:rPr>
                <w:rFonts w:cs="Arial"/>
                <w:szCs w:val="22"/>
              </w:rPr>
              <w:t>Количество семей, улучшивших жилищные условия.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2.2.</w:t>
            </w:r>
          </w:p>
        </w:tc>
        <w:tc>
          <w:tcPr>
            <w:tcW w:w="13750" w:type="dxa"/>
            <w:gridSpan w:val="3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szCs w:val="22"/>
              </w:rPr>
            </w:pPr>
            <w:r w:rsidRPr="00187AD9">
              <w:rPr>
                <w:rFonts w:cs="Arial"/>
                <w:szCs w:val="22"/>
              </w:rPr>
              <w:t>Комплекс процессных мероприятий «</w:t>
            </w:r>
            <w:r w:rsidRPr="00187AD9">
              <w:rPr>
                <w:rFonts w:cs="Arial"/>
                <w:bCs/>
                <w:szCs w:val="22"/>
              </w:rPr>
              <w:t>Обеспечение мерами государственной поддержки по улучшению жилищных условий отдельных категорий граждан</w:t>
            </w:r>
            <w:r w:rsidRPr="00187AD9">
              <w:rPr>
                <w:rFonts w:cs="Arial"/>
                <w:szCs w:val="22"/>
              </w:rPr>
              <w:t>»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5523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Ответственный за реализацию: Управление по жилищным вопросам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Срок реализации: 2025-2030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szCs w:val="22"/>
              </w:rPr>
            </w:pPr>
          </w:p>
        </w:tc>
      </w:tr>
      <w:tr w:rsidR="009D4C18" w:rsidRPr="00187AD9" w:rsidTr="001F5327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</w:tcPr>
          <w:p w:rsidR="009D4C18" w:rsidRPr="00187AD9" w:rsidRDefault="009D4C18" w:rsidP="009D4C18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2.2.1.</w:t>
            </w:r>
          </w:p>
        </w:tc>
        <w:tc>
          <w:tcPr>
            <w:tcW w:w="5523" w:type="dxa"/>
            <w:shd w:val="clear" w:color="auto" w:fill="auto"/>
            <w:vAlign w:val="center"/>
          </w:tcPr>
          <w:p w:rsidR="009D4C18" w:rsidRPr="008D535B" w:rsidRDefault="009D4C18" w:rsidP="009D4C18">
            <w:pPr>
              <w:ind w:firstLine="0"/>
              <w:rPr>
                <w:rFonts w:cs="Arial"/>
                <w:color w:val="000000"/>
                <w:szCs w:val="22"/>
              </w:rPr>
            </w:pPr>
            <w:r w:rsidRPr="008D535B">
              <w:rPr>
                <w:rFonts w:cs="Arial"/>
                <w:color w:val="000000"/>
                <w:szCs w:val="22"/>
              </w:rPr>
              <w:t>Создание условий для улучшения жилищных условий отдельных категорий граждан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D4C18" w:rsidRPr="008D535B" w:rsidRDefault="009D4C18" w:rsidP="009D4C18">
            <w:pPr>
              <w:pStyle w:val="ConsPlusNormal"/>
              <w:ind w:firstLine="0"/>
              <w:jc w:val="both"/>
              <w:rPr>
                <w:rFonts w:cs="Arial"/>
                <w:color w:val="000000" w:themeColor="text1"/>
                <w:sz w:val="24"/>
                <w:szCs w:val="22"/>
              </w:rPr>
            </w:pPr>
            <w:r w:rsidRPr="008D535B">
              <w:rPr>
                <w:rFonts w:cs="Arial"/>
                <w:color w:val="000000" w:themeColor="text1"/>
                <w:sz w:val="24"/>
                <w:szCs w:val="22"/>
              </w:rPr>
              <w:t>Представление гражданам из числа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 1 января 2005 года, извещений (уведомлений) о праве на получение государственной поддержки на улучшение жилищных условий.</w:t>
            </w:r>
          </w:p>
          <w:p w:rsidR="009D4C18" w:rsidRPr="008D535B" w:rsidRDefault="009D4C18" w:rsidP="009D4C1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2"/>
              </w:rPr>
            </w:pPr>
          </w:p>
          <w:p w:rsidR="009D4C18" w:rsidRPr="008D535B" w:rsidRDefault="009D4C18" w:rsidP="009D4C1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2"/>
              </w:rPr>
            </w:pPr>
            <w:r w:rsidRPr="008D535B">
              <w:rPr>
                <w:rFonts w:cs="Arial"/>
                <w:szCs w:val="22"/>
              </w:rPr>
              <w:t xml:space="preserve">Представление представителям коренных малочисленных народов автономного округа уведомлений о праве на получение субсидии </w:t>
            </w:r>
            <w:r w:rsidRPr="008D535B">
              <w:rPr>
                <w:rFonts w:cs="Arial"/>
                <w:szCs w:val="22"/>
              </w:rPr>
              <w:lastRenderedPageBreak/>
              <w:t>на приобретение (строительство) жилых помещений.</w:t>
            </w:r>
          </w:p>
          <w:p w:rsidR="009D4C18" w:rsidRPr="008D535B" w:rsidRDefault="009D4C18" w:rsidP="009D4C18">
            <w:pPr>
              <w:pStyle w:val="ConsPlusNormal"/>
              <w:ind w:firstLine="0"/>
              <w:jc w:val="both"/>
              <w:rPr>
                <w:rFonts w:cs="Arial"/>
                <w:sz w:val="24"/>
                <w:szCs w:val="22"/>
              </w:rPr>
            </w:pPr>
          </w:p>
          <w:p w:rsidR="009D4C18" w:rsidRPr="008D535B" w:rsidRDefault="009D4C18" w:rsidP="009D4C18">
            <w:pPr>
              <w:pStyle w:val="ConsPlusNormal"/>
              <w:ind w:firstLine="0"/>
              <w:jc w:val="both"/>
              <w:rPr>
                <w:rFonts w:cs="Arial"/>
                <w:color w:val="000000"/>
                <w:sz w:val="24"/>
                <w:szCs w:val="22"/>
              </w:rPr>
            </w:pPr>
            <w:r w:rsidRPr="008D535B">
              <w:rPr>
                <w:rFonts w:cs="Arial"/>
                <w:sz w:val="24"/>
                <w:szCs w:val="22"/>
              </w:rPr>
              <w:t xml:space="preserve">Предоставление представителям отдельных категорий граждан (в том числе семьям </w:t>
            </w:r>
            <w:r w:rsidRPr="008D535B">
              <w:rPr>
                <w:rFonts w:cs="Arial"/>
                <w:color w:val="000000" w:themeColor="text1"/>
                <w:sz w:val="24"/>
                <w:szCs w:val="22"/>
              </w:rPr>
              <w:t>с 3 и более детей и другим) поддержки на улучшение жилищных условий.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9D4C18" w:rsidRPr="008D535B" w:rsidRDefault="009D4C18" w:rsidP="009D4C18">
            <w:pPr>
              <w:ind w:firstLine="0"/>
              <w:rPr>
                <w:rFonts w:cs="Arial"/>
                <w:szCs w:val="22"/>
              </w:rPr>
            </w:pPr>
            <w:r w:rsidRPr="008D535B">
              <w:rPr>
                <w:rFonts w:cs="Arial"/>
                <w:szCs w:val="22"/>
              </w:rPr>
              <w:lastRenderedPageBreak/>
              <w:t>Количество семей, улучшивших жилищные условия.</w:t>
            </w:r>
          </w:p>
        </w:tc>
      </w:tr>
    </w:tbl>
    <w:p w:rsidR="009D4C18" w:rsidRDefault="009D4C18" w:rsidP="009D4C18">
      <w:r w:rsidRPr="009D4C18">
        <w:rPr>
          <w:bCs/>
        </w:rPr>
        <w:t xml:space="preserve">(Строка 2.2.1 раздела 4 «Структура муниципальной программы» изложена в новой редакции постановлением администрации </w:t>
      </w:r>
      <w:hyperlink r:id="rId117" w:tooltip="постановление от 27.01.2026 0:00:00 №19-па Администрация г. Пыть-Ях&#10;&#10;О внесении изменений в постановление администрации города от 28.12.2023 № 372-па " w:history="1">
        <w:r w:rsidRPr="009D4C18">
          <w:rPr>
            <w:rStyle w:val="afd"/>
            <w:bCs/>
          </w:rPr>
          <w:t>от 27.01.2026 № 19-па</w:t>
        </w:r>
      </w:hyperlink>
      <w:r w:rsidRPr="009D4C18">
        <w:t>)</w:t>
      </w: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523"/>
        <w:gridCol w:w="5245"/>
        <w:gridCol w:w="2982"/>
      </w:tblGrid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 xml:space="preserve">3. </w:t>
            </w:r>
          </w:p>
        </w:tc>
        <w:tc>
          <w:tcPr>
            <w:tcW w:w="13750" w:type="dxa"/>
            <w:gridSpan w:val="3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szCs w:val="22"/>
              </w:rPr>
            </w:pPr>
            <w:r w:rsidRPr="00187AD9">
              <w:rPr>
                <w:rFonts w:cs="Arial"/>
                <w:szCs w:val="22"/>
              </w:rPr>
              <w:t>Структурные элементы, не входящие в направления (подпрограммы) муниципальной программы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3.1.</w:t>
            </w:r>
          </w:p>
        </w:tc>
        <w:tc>
          <w:tcPr>
            <w:tcW w:w="13750" w:type="dxa"/>
            <w:gridSpan w:val="3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 xml:space="preserve">Комплекс процессных мероприятий «Обеспечение деятельности МКУ «Управление капитального строительства города </w:t>
            </w:r>
            <w:proofErr w:type="spellStart"/>
            <w:r w:rsidRPr="00187AD9">
              <w:rPr>
                <w:rFonts w:cs="Arial"/>
                <w:color w:val="000000"/>
                <w:szCs w:val="22"/>
              </w:rPr>
              <w:t>Пыть-Яха</w:t>
            </w:r>
            <w:proofErr w:type="spellEnd"/>
            <w:r w:rsidRPr="00187AD9">
              <w:rPr>
                <w:rFonts w:cs="Arial"/>
                <w:color w:val="000000"/>
                <w:szCs w:val="22"/>
              </w:rPr>
              <w:t>»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 xml:space="preserve"> 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 xml:space="preserve">Ответственный за реализацию: МКУ «Управление капитального строительства города </w:t>
            </w:r>
            <w:proofErr w:type="spellStart"/>
            <w:r w:rsidRPr="00187AD9">
              <w:rPr>
                <w:rFonts w:cs="Arial"/>
                <w:color w:val="000000"/>
                <w:szCs w:val="22"/>
              </w:rPr>
              <w:t>Пыть-Яха</w:t>
            </w:r>
            <w:proofErr w:type="spellEnd"/>
            <w:r w:rsidRPr="00187AD9">
              <w:rPr>
                <w:rFonts w:cs="Arial"/>
                <w:color w:val="000000"/>
                <w:szCs w:val="22"/>
              </w:rPr>
              <w:t>»</w:t>
            </w:r>
          </w:p>
        </w:tc>
        <w:tc>
          <w:tcPr>
            <w:tcW w:w="8227" w:type="dxa"/>
            <w:gridSpan w:val="2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Срок реализации: 2025-2030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3.1.1.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 xml:space="preserve">Обеспечение деятельности МКУ «Управление капитального строительства города </w:t>
            </w:r>
            <w:proofErr w:type="spellStart"/>
            <w:r w:rsidRPr="00187AD9">
              <w:rPr>
                <w:rFonts w:cs="Arial"/>
                <w:color w:val="000000"/>
                <w:szCs w:val="22"/>
              </w:rPr>
              <w:t>Пыть-Яха</w:t>
            </w:r>
            <w:proofErr w:type="spellEnd"/>
            <w:r w:rsidRPr="00187AD9">
              <w:rPr>
                <w:rFonts w:cs="Arial"/>
                <w:color w:val="000000"/>
                <w:szCs w:val="22"/>
              </w:rPr>
              <w:t>»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Оплата расходов на организационное обеспечение деятельности.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 xml:space="preserve"> -</w:t>
            </w:r>
          </w:p>
        </w:tc>
      </w:tr>
    </w:tbl>
    <w:p w:rsidR="0060439C" w:rsidRDefault="0060439C" w:rsidP="0060439C">
      <w:pPr>
        <w:pStyle w:val="2"/>
      </w:pPr>
    </w:p>
    <w:p w:rsidR="0092574C" w:rsidRPr="00187AD9" w:rsidRDefault="0092574C" w:rsidP="00E56754">
      <w:pPr>
        <w:pStyle w:val="2"/>
        <w:ind w:firstLine="0"/>
        <w:jc w:val="both"/>
      </w:pPr>
    </w:p>
    <w:p w:rsidR="0060439C" w:rsidRPr="00187AD9" w:rsidRDefault="0060439C" w:rsidP="0060439C">
      <w:pPr>
        <w:pStyle w:val="2"/>
      </w:pPr>
      <w:r w:rsidRPr="00187AD9">
        <w:t>5. Финансовое обеспечение муниципальной программы</w:t>
      </w:r>
    </w:p>
    <w:p w:rsidR="0092574C" w:rsidRDefault="0092574C" w:rsidP="0092574C">
      <w:pPr>
        <w:jc w:val="center"/>
        <w:rPr>
          <w:sz w:val="28"/>
          <w:szCs w:val="28"/>
        </w:rPr>
      </w:pPr>
    </w:p>
    <w:tbl>
      <w:tblPr>
        <w:tblW w:w="14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318"/>
        <w:gridCol w:w="1318"/>
        <w:gridCol w:w="1318"/>
        <w:gridCol w:w="1486"/>
        <w:gridCol w:w="1499"/>
        <w:gridCol w:w="1444"/>
        <w:gridCol w:w="1763"/>
      </w:tblGrid>
      <w:tr w:rsidR="009D4C18" w:rsidRPr="008D535B" w:rsidTr="007853CC">
        <w:trPr>
          <w:trHeight w:val="540"/>
        </w:trPr>
        <w:tc>
          <w:tcPr>
            <w:tcW w:w="4673" w:type="dxa"/>
            <w:vMerge w:val="restart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1014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Объемы финансового обеспечения по годам реализации, тыс. рублей</w:t>
            </w:r>
          </w:p>
        </w:tc>
      </w:tr>
      <w:tr w:rsidR="009D4C18" w:rsidRPr="008D535B" w:rsidTr="007853CC">
        <w:trPr>
          <w:trHeight w:val="1320"/>
        </w:trPr>
        <w:tc>
          <w:tcPr>
            <w:tcW w:w="467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rPr>
                <w:rFonts w:cs="Arial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 xml:space="preserve">2025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 xml:space="preserve">2026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 xml:space="preserve">2027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 xml:space="preserve">2028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2029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2030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 xml:space="preserve">ВСЕГО </w:t>
            </w:r>
          </w:p>
        </w:tc>
      </w:tr>
      <w:tr w:rsidR="009D4C18" w:rsidRPr="008D535B" w:rsidTr="007853CC">
        <w:trPr>
          <w:trHeight w:val="450"/>
        </w:trPr>
        <w:tc>
          <w:tcPr>
            <w:tcW w:w="467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 xml:space="preserve"> 5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6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7</w:t>
            </w:r>
          </w:p>
        </w:tc>
        <w:tc>
          <w:tcPr>
            <w:tcW w:w="176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szCs w:val="20"/>
              </w:rPr>
            </w:pPr>
            <w:r w:rsidRPr="008D535B">
              <w:rPr>
                <w:rFonts w:cs="Arial"/>
                <w:szCs w:val="20"/>
              </w:rPr>
              <w:t xml:space="preserve"> 8</w:t>
            </w:r>
          </w:p>
        </w:tc>
      </w:tr>
      <w:tr w:rsidR="009D4C18" w:rsidRPr="008D535B" w:rsidTr="007853CC">
        <w:trPr>
          <w:trHeight w:val="630"/>
        </w:trPr>
        <w:tc>
          <w:tcPr>
            <w:tcW w:w="467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 xml:space="preserve">Развитие жилищной сферы в городе </w:t>
            </w:r>
            <w:proofErr w:type="spellStart"/>
            <w:r w:rsidRPr="008D535B">
              <w:rPr>
                <w:rFonts w:cs="Arial"/>
                <w:bCs/>
              </w:rPr>
              <w:t>Пыть-Яхе</w:t>
            </w:r>
            <w:proofErr w:type="spellEnd"/>
            <w:r w:rsidRPr="008D535B">
              <w:rPr>
                <w:rFonts w:cs="Arial"/>
                <w:bCs/>
              </w:rPr>
              <w:t xml:space="preserve">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193 048,7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492 993,8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571 611,3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454 348,1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454 348,1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454 348,1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2 620 698,1</w:t>
            </w:r>
          </w:p>
        </w:tc>
      </w:tr>
      <w:tr w:rsidR="009D4C18" w:rsidRPr="008D535B" w:rsidTr="007853CC">
        <w:trPr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rPr>
                <w:rFonts w:cs="Arial"/>
              </w:rPr>
            </w:pPr>
            <w:r w:rsidRPr="008D535B">
              <w:rPr>
                <w:rFonts w:cs="Arial"/>
              </w:rPr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3 591,5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46 830,7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56 287,9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448,0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448,0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448,0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108 054,1</w:t>
            </w:r>
          </w:p>
        </w:tc>
      </w:tr>
      <w:tr w:rsidR="009D4C18" w:rsidRPr="008D535B" w:rsidTr="007853CC">
        <w:trPr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rPr>
                <w:rFonts w:cs="Arial"/>
              </w:rPr>
            </w:pPr>
            <w:r w:rsidRPr="008D535B">
              <w:rPr>
                <w:rFonts w:cs="Arial"/>
              </w:rPr>
              <w:lastRenderedPageBreak/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141 859,9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363 968,9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428 769,5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377 879,6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377 879,6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377 879,6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2 068 237,1</w:t>
            </w:r>
          </w:p>
        </w:tc>
      </w:tr>
      <w:tr w:rsidR="009D4C18" w:rsidRPr="008D535B" w:rsidTr="007853CC">
        <w:trPr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rPr>
                <w:rFonts w:cs="Arial"/>
              </w:rPr>
            </w:pPr>
            <w:r w:rsidRPr="008D535B">
              <w:rPr>
                <w:rFonts w:cs="Arial"/>
              </w:rPr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47 597,3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82 194,2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86 553,9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76 020,5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76 020,5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76 020,5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444 406,9</w:t>
            </w:r>
          </w:p>
        </w:tc>
      </w:tr>
      <w:tr w:rsidR="009D4C18" w:rsidRPr="008D535B" w:rsidTr="007853CC">
        <w:trPr>
          <w:trHeight w:val="510"/>
        </w:trPr>
        <w:tc>
          <w:tcPr>
            <w:tcW w:w="467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1. Региональный проект «Жилье»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63 903,1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373 548,8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454 583,7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337 380,0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337 380,0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337 380,0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1 904 175,6</w:t>
            </w:r>
          </w:p>
        </w:tc>
      </w:tr>
      <w:tr w:rsidR="009D4C18" w:rsidRPr="008D535B" w:rsidTr="007853CC">
        <w:trPr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rPr>
                <w:rFonts w:cs="Arial"/>
              </w:rPr>
            </w:pPr>
            <w:r w:rsidRPr="008D535B">
              <w:rPr>
                <w:rFonts w:cs="Arial"/>
              </w:rPr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44 068,6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55 765,4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99 834,0</w:t>
            </w:r>
          </w:p>
        </w:tc>
      </w:tr>
      <w:tr w:rsidR="009D4C18" w:rsidRPr="008D535B" w:rsidTr="007853CC">
        <w:trPr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rPr>
                <w:rFonts w:cs="Arial"/>
              </w:rPr>
            </w:pPr>
            <w:r w:rsidRPr="008D535B">
              <w:rPr>
                <w:rFonts w:cs="Arial"/>
              </w:rPr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59 429,9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295 860,8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357 905,7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307 015,8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307 015,8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307 015,8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1 634 243,8</w:t>
            </w:r>
          </w:p>
        </w:tc>
      </w:tr>
      <w:tr w:rsidR="009D4C18" w:rsidRPr="008D535B" w:rsidTr="007853CC">
        <w:trPr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rPr>
                <w:rFonts w:cs="Arial"/>
              </w:rPr>
            </w:pPr>
            <w:r w:rsidRPr="008D535B">
              <w:rPr>
                <w:rFonts w:cs="Arial"/>
              </w:rPr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4 473,2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33 619,4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40 912,6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30 364,2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30 364,2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30 364,2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170 097,8</w:t>
            </w:r>
          </w:p>
        </w:tc>
      </w:tr>
      <w:tr w:rsidR="009D4C18" w:rsidRPr="008D535B" w:rsidTr="007853CC">
        <w:trPr>
          <w:trHeight w:val="1455"/>
        </w:trPr>
        <w:tc>
          <w:tcPr>
            <w:tcW w:w="467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2. Региональный проект «Содействие субъектам Российской Федерации в реализации полномочий по оказанию государственной поддержки граждан в обеспечении жильем и оплате жилищно-коммунальных услуг»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9 231,3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15 767,9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15 758,3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15 679,8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15 679,8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15 679,8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87 796,9</w:t>
            </w:r>
          </w:p>
        </w:tc>
      </w:tr>
      <w:tr w:rsidR="009D4C18" w:rsidRPr="008D535B" w:rsidTr="007853CC">
        <w:trPr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rPr>
                <w:rFonts w:cs="Arial"/>
              </w:rPr>
            </w:pPr>
            <w:r w:rsidRPr="008D535B">
              <w:rPr>
                <w:rFonts w:cs="Arial"/>
              </w:rPr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517,8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531,7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522,5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448,0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448,0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448,0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2 916,0</w:t>
            </w:r>
          </w:p>
        </w:tc>
      </w:tr>
      <w:tr w:rsidR="009D4C18" w:rsidRPr="008D535B" w:rsidTr="007853CC">
        <w:trPr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rPr>
                <w:rFonts w:cs="Arial"/>
              </w:rPr>
            </w:pPr>
            <w:r w:rsidRPr="008D535B">
              <w:rPr>
                <w:rFonts w:cs="Arial"/>
              </w:rPr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8 251,9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14 447,8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14 447,8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14 447,8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14 447,8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14 447,8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80 490,9</w:t>
            </w:r>
          </w:p>
        </w:tc>
      </w:tr>
      <w:tr w:rsidR="009D4C18" w:rsidRPr="008D535B" w:rsidTr="007853CC">
        <w:trPr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rPr>
                <w:rFonts w:cs="Arial"/>
              </w:rPr>
            </w:pPr>
            <w:r w:rsidRPr="008D535B">
              <w:rPr>
                <w:rFonts w:cs="Arial"/>
              </w:rPr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461,6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788,4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788,0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784,0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784,0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784,0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4 390,0</w:t>
            </w:r>
          </w:p>
        </w:tc>
      </w:tr>
      <w:tr w:rsidR="009D4C18" w:rsidRPr="008D535B" w:rsidTr="007853CC">
        <w:trPr>
          <w:trHeight w:val="930"/>
        </w:trPr>
        <w:tc>
          <w:tcPr>
            <w:tcW w:w="467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3. Комплекс процессных мероприятий «Реализация мероприятий по градостроительной деятельности»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4 341,7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4 217,0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4 217,0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4 217,0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4 217,0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4 217,0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25 426,7</w:t>
            </w:r>
          </w:p>
        </w:tc>
      </w:tr>
      <w:tr w:rsidR="009D4C18" w:rsidRPr="008D535B" w:rsidTr="007853CC">
        <w:trPr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rPr>
                <w:rFonts w:cs="Arial"/>
              </w:rPr>
            </w:pPr>
            <w:r w:rsidRPr="008D535B">
              <w:rPr>
                <w:rFonts w:cs="Arial"/>
              </w:rPr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 xml:space="preserve"> 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</w:tr>
      <w:tr w:rsidR="009D4C18" w:rsidRPr="008D535B" w:rsidTr="007853CC">
        <w:trPr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rPr>
                <w:rFonts w:cs="Arial"/>
              </w:rPr>
            </w:pPr>
            <w:r w:rsidRPr="008D535B">
              <w:rPr>
                <w:rFonts w:cs="Arial"/>
              </w:rPr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3 508,7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3 837,4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3 837,4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3 837,4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3 837,4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3 837,4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22 695,7</w:t>
            </w:r>
          </w:p>
        </w:tc>
      </w:tr>
      <w:tr w:rsidR="009D4C18" w:rsidRPr="008D535B" w:rsidTr="007853CC">
        <w:trPr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rPr>
                <w:rFonts w:cs="Arial"/>
              </w:rPr>
            </w:pPr>
            <w:r w:rsidRPr="008D535B">
              <w:rPr>
                <w:rFonts w:cs="Arial"/>
              </w:rPr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833,0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379,6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379,6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379,6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379,6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379,6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2 731,0</w:t>
            </w:r>
          </w:p>
        </w:tc>
      </w:tr>
      <w:tr w:rsidR="009D4C18" w:rsidRPr="008D535B" w:rsidTr="007853CC">
        <w:trPr>
          <w:trHeight w:val="990"/>
        </w:trPr>
        <w:tc>
          <w:tcPr>
            <w:tcW w:w="467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4. Комплекс процессных мероприятий «Реализация полномочий в области строительства и жилищных отношений»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80 158,0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56 485,2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55 163,5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55 163,5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55 163,5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55 163,5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357 297,2</w:t>
            </w:r>
          </w:p>
        </w:tc>
      </w:tr>
      <w:tr w:rsidR="009D4C18" w:rsidRPr="008D535B" w:rsidTr="007853CC">
        <w:trPr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rPr>
                <w:rFonts w:cs="Arial"/>
              </w:rPr>
            </w:pPr>
            <w:r w:rsidRPr="008D535B">
              <w:rPr>
                <w:rFonts w:cs="Arial"/>
              </w:rPr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 xml:space="preserve"> 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</w:tr>
      <w:tr w:rsidR="009D4C18" w:rsidRPr="008D535B" w:rsidTr="007853CC">
        <w:trPr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rPr>
                <w:rFonts w:cs="Arial"/>
              </w:rPr>
            </w:pPr>
            <w:r w:rsidRPr="008D535B">
              <w:rPr>
                <w:rFonts w:cs="Arial"/>
              </w:rPr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70 663,6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47 443,0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50 198,7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50 198,7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50 198,7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50 198,7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318 901,4</w:t>
            </w:r>
          </w:p>
        </w:tc>
      </w:tr>
      <w:tr w:rsidR="009D4C18" w:rsidRPr="008D535B" w:rsidTr="007853CC">
        <w:trPr>
          <w:trHeight w:val="465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rPr>
                <w:rFonts w:cs="Arial"/>
              </w:rPr>
            </w:pPr>
            <w:r w:rsidRPr="008D535B">
              <w:rPr>
                <w:rFonts w:cs="Arial"/>
              </w:rPr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9 494,4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9 042,2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4 964,8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4 964,8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4 964,8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4 964,8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38 395,8</w:t>
            </w:r>
          </w:p>
        </w:tc>
      </w:tr>
      <w:tr w:rsidR="009D4C18" w:rsidRPr="008D535B" w:rsidTr="007853CC">
        <w:trPr>
          <w:trHeight w:val="1170"/>
        </w:trPr>
        <w:tc>
          <w:tcPr>
            <w:tcW w:w="467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lastRenderedPageBreak/>
              <w:t>5. Комплекс процессных мероприятий «Обеспечение мерами государственной поддержки по улучшению жилищных условий отдельных категорий граждан»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3 079,5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4 734,8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2 504,4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2 504,4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2 504,4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2 504,4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17 831,9</w:t>
            </w:r>
          </w:p>
        </w:tc>
      </w:tr>
      <w:tr w:rsidR="009D4C18" w:rsidRPr="008D535B" w:rsidTr="007853CC">
        <w:trPr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rPr>
                <w:rFonts w:cs="Arial"/>
              </w:rPr>
            </w:pPr>
            <w:r w:rsidRPr="008D535B">
              <w:rPr>
                <w:rFonts w:cs="Arial"/>
              </w:rPr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3 073,7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2 230,4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5 304,1</w:t>
            </w:r>
          </w:p>
        </w:tc>
      </w:tr>
      <w:tr w:rsidR="009D4C18" w:rsidRPr="008D535B" w:rsidTr="007853CC">
        <w:trPr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rPr>
                <w:rFonts w:cs="Arial"/>
              </w:rPr>
            </w:pPr>
            <w:r w:rsidRPr="008D535B">
              <w:rPr>
                <w:rFonts w:cs="Arial"/>
              </w:rPr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5,8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2 379,9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2 379,9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2 379,9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2 379,9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2 379,9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11 905,3</w:t>
            </w:r>
          </w:p>
        </w:tc>
      </w:tr>
      <w:tr w:rsidR="009D4C18" w:rsidRPr="008D535B" w:rsidTr="007853CC">
        <w:trPr>
          <w:trHeight w:val="270"/>
        </w:trPr>
        <w:tc>
          <w:tcPr>
            <w:tcW w:w="467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rPr>
                <w:rFonts w:cs="Arial"/>
              </w:rPr>
            </w:pPr>
            <w:r w:rsidRPr="008D535B">
              <w:rPr>
                <w:rFonts w:cs="Arial"/>
              </w:rPr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124,5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124,5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124,5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124,5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124,5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622,5</w:t>
            </w:r>
          </w:p>
        </w:tc>
      </w:tr>
      <w:tr w:rsidR="009D4C18" w:rsidRPr="008D535B" w:rsidTr="007853CC">
        <w:trPr>
          <w:trHeight w:val="1050"/>
        </w:trPr>
        <w:tc>
          <w:tcPr>
            <w:tcW w:w="467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rPr>
                <w:rFonts w:cs="Arial"/>
              </w:rPr>
            </w:pPr>
            <w:r w:rsidRPr="008D535B">
              <w:rPr>
                <w:rFonts w:cs="Arial"/>
              </w:rPr>
              <w:t>6. Комплекс процессных мероприятий «Сопровождение и развитие региональных информационных систем в области жилищной сферы и строительной отрасли»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</w:tr>
      <w:tr w:rsidR="009D4C18" w:rsidRPr="008D535B" w:rsidTr="007853CC">
        <w:trPr>
          <w:trHeight w:val="300"/>
        </w:trPr>
        <w:tc>
          <w:tcPr>
            <w:tcW w:w="467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rPr>
                <w:rFonts w:cs="Arial"/>
              </w:rPr>
            </w:pPr>
            <w:r w:rsidRPr="008D535B">
              <w:rPr>
                <w:rFonts w:cs="Arial"/>
              </w:rPr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</w:tr>
      <w:tr w:rsidR="009D4C18" w:rsidRPr="008D535B" w:rsidTr="007853CC">
        <w:trPr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rPr>
                <w:rFonts w:cs="Arial"/>
              </w:rPr>
            </w:pPr>
            <w:r w:rsidRPr="008D535B">
              <w:rPr>
                <w:rFonts w:cs="Arial"/>
              </w:rPr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</w:tr>
      <w:tr w:rsidR="009D4C18" w:rsidRPr="008D535B" w:rsidTr="007853CC">
        <w:trPr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rPr>
                <w:rFonts w:cs="Arial"/>
              </w:rPr>
            </w:pPr>
            <w:r w:rsidRPr="008D535B">
              <w:rPr>
                <w:rFonts w:cs="Arial"/>
              </w:rPr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</w:tr>
      <w:tr w:rsidR="009D4C18" w:rsidRPr="008D535B" w:rsidTr="007853CC">
        <w:trPr>
          <w:trHeight w:val="915"/>
        </w:trPr>
        <w:tc>
          <w:tcPr>
            <w:tcW w:w="467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 xml:space="preserve">7. Комплекс процессных мероприятий «Обеспечение деятельности МКУ «Управление капитального строительства города </w:t>
            </w:r>
            <w:proofErr w:type="spellStart"/>
            <w:r w:rsidRPr="008D535B">
              <w:rPr>
                <w:rFonts w:cs="Arial"/>
                <w:bCs/>
              </w:rPr>
              <w:t>Пыть-Яха</w:t>
            </w:r>
            <w:proofErr w:type="spellEnd"/>
            <w:r w:rsidRPr="008D535B">
              <w:rPr>
                <w:rFonts w:cs="Arial"/>
                <w:bCs/>
              </w:rPr>
              <w:t>»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32 335,1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38 240,1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39 384,4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39 403,4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39 403,4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39 403,4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228 169,8</w:t>
            </w:r>
          </w:p>
        </w:tc>
      </w:tr>
      <w:tr w:rsidR="009D4C18" w:rsidRPr="008D535B" w:rsidTr="007853CC">
        <w:trPr>
          <w:trHeight w:val="345"/>
        </w:trPr>
        <w:tc>
          <w:tcPr>
            <w:tcW w:w="467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rPr>
                <w:rFonts w:cs="Arial"/>
              </w:rPr>
            </w:pPr>
            <w:r w:rsidRPr="008D535B">
              <w:rPr>
                <w:rFonts w:cs="Arial"/>
              </w:rPr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0,0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0,0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0,0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</w:tr>
      <w:tr w:rsidR="009D4C18" w:rsidRPr="008D535B" w:rsidTr="007853CC">
        <w:trPr>
          <w:trHeight w:val="375"/>
        </w:trPr>
        <w:tc>
          <w:tcPr>
            <w:tcW w:w="467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rPr>
                <w:rFonts w:cs="Arial"/>
              </w:rPr>
            </w:pPr>
            <w:r w:rsidRPr="008D535B">
              <w:rPr>
                <w:rFonts w:cs="Arial"/>
              </w:rPr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0,0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0,0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  <w:bCs/>
              </w:rPr>
            </w:pPr>
            <w:r w:rsidRPr="008D535B">
              <w:rPr>
                <w:rFonts w:cs="Arial"/>
                <w:bCs/>
              </w:rPr>
              <w:t>0,0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0,0</w:t>
            </w:r>
          </w:p>
        </w:tc>
      </w:tr>
      <w:tr w:rsidR="009D4C18" w:rsidRPr="008D535B" w:rsidTr="007853CC">
        <w:trPr>
          <w:trHeight w:val="330"/>
        </w:trPr>
        <w:tc>
          <w:tcPr>
            <w:tcW w:w="467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rPr>
                <w:rFonts w:cs="Arial"/>
              </w:rPr>
            </w:pPr>
            <w:r w:rsidRPr="008D535B">
              <w:rPr>
                <w:rFonts w:cs="Arial"/>
              </w:rPr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32 335,1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38 240,1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39 384,4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39 403,4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39 403,4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39 403,4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9D4C18" w:rsidRPr="008D535B" w:rsidRDefault="009D4C18" w:rsidP="007853CC">
            <w:pPr>
              <w:ind w:firstLine="0"/>
              <w:jc w:val="center"/>
              <w:rPr>
                <w:rFonts w:cs="Arial"/>
              </w:rPr>
            </w:pPr>
            <w:r w:rsidRPr="008D535B">
              <w:rPr>
                <w:rFonts w:cs="Arial"/>
              </w:rPr>
              <w:t>228 169,8</w:t>
            </w:r>
          </w:p>
        </w:tc>
      </w:tr>
    </w:tbl>
    <w:p w:rsidR="009D4C18" w:rsidRDefault="009D4C18" w:rsidP="00093B6C">
      <w:pPr>
        <w:rPr>
          <w:bCs/>
          <w:iCs/>
          <w:color w:val="000000" w:themeColor="text1"/>
        </w:rPr>
      </w:pPr>
    </w:p>
    <w:p w:rsidR="00E56754" w:rsidRDefault="00E56754" w:rsidP="00093B6C">
      <w:pPr>
        <w:rPr>
          <w:bCs/>
          <w:iCs/>
          <w:color w:val="000000" w:themeColor="text1"/>
        </w:rPr>
      </w:pPr>
      <w:r w:rsidRPr="00E56754">
        <w:rPr>
          <w:bCs/>
          <w:iCs/>
          <w:color w:val="000000" w:themeColor="text1"/>
        </w:rPr>
        <w:t xml:space="preserve">(Раздел 5 «Финансовое обеспечение программы» изложен в </w:t>
      </w:r>
      <w:r w:rsidR="00FB2AB3">
        <w:rPr>
          <w:bCs/>
          <w:iCs/>
          <w:color w:val="000000" w:themeColor="text1"/>
        </w:rPr>
        <w:t>новой</w:t>
      </w:r>
      <w:r w:rsidRPr="00E56754">
        <w:rPr>
          <w:bCs/>
          <w:iCs/>
          <w:color w:val="000000" w:themeColor="text1"/>
        </w:rPr>
        <w:t xml:space="preserve"> редакции постановлением администрации </w:t>
      </w:r>
      <w:hyperlink r:id="rId118" w:tooltip="постановление от 18.09.2025 0:00:00 №284-па Администрация г. Пыть-Ях&#10;&#10;О внесении изменений в постановление администрации города от 28.12.2023 № 372-па " w:history="1">
        <w:r w:rsidRPr="00E56754">
          <w:rPr>
            <w:rStyle w:val="afd"/>
            <w:bCs/>
            <w:iCs/>
          </w:rPr>
          <w:t>от 18.09.2025 № 284-па</w:t>
        </w:r>
      </w:hyperlink>
      <w:r w:rsidRPr="00E56754">
        <w:rPr>
          <w:bCs/>
          <w:iCs/>
          <w:color w:val="000000" w:themeColor="text1"/>
        </w:rPr>
        <w:t>)</w:t>
      </w:r>
    </w:p>
    <w:p w:rsidR="00093B6C" w:rsidRDefault="00093B6C" w:rsidP="00093B6C">
      <w:r w:rsidRPr="00093B6C">
        <w:rPr>
          <w:bCs/>
          <w:iCs/>
        </w:rPr>
        <w:t xml:space="preserve">(Раздел 5 «Финансовое обеспечение </w:t>
      </w:r>
      <w:r>
        <w:rPr>
          <w:bCs/>
          <w:iCs/>
        </w:rPr>
        <w:t xml:space="preserve">муниципальной </w:t>
      </w:r>
      <w:r w:rsidRPr="00093B6C">
        <w:rPr>
          <w:bCs/>
          <w:iCs/>
        </w:rPr>
        <w:t xml:space="preserve">программы» изложен в </w:t>
      </w:r>
      <w:r w:rsidR="00FB2AB3">
        <w:rPr>
          <w:bCs/>
          <w:iCs/>
        </w:rPr>
        <w:t>новой</w:t>
      </w:r>
      <w:r w:rsidRPr="00093B6C">
        <w:rPr>
          <w:bCs/>
          <w:iCs/>
        </w:rPr>
        <w:t xml:space="preserve"> редакции </w:t>
      </w:r>
      <w:r w:rsidRPr="00093B6C">
        <w:t xml:space="preserve">постановлением администрации </w:t>
      </w:r>
      <w:hyperlink r:id="rId119" w:tooltip="постановление от 16.01.2026 0:00:00 №09-па Администрация г. Пыть-Ях&#10;&#10;О внесении изменений в постановление администрации города от 28.12.2023 № 372-па " w:history="1">
        <w:r w:rsidRPr="00093B6C">
          <w:rPr>
            <w:rStyle w:val="afd"/>
          </w:rPr>
          <w:t>от 16.01.2026 № 09-па</w:t>
        </w:r>
      </w:hyperlink>
      <w:r w:rsidRPr="00093B6C">
        <w:t>)</w:t>
      </w:r>
    </w:p>
    <w:p w:rsidR="00093B6C" w:rsidRPr="00B07D9B" w:rsidRDefault="009D4C18" w:rsidP="00B07D9B">
      <w:r w:rsidRPr="009D4C18">
        <w:rPr>
          <w:bCs/>
          <w:iCs/>
        </w:rPr>
        <w:t>(Раздел 5 «Финансовое обеспечение муниципальной программы» изложен в новой редакции</w:t>
      </w:r>
      <w:r w:rsidRPr="009D4C18">
        <w:rPr>
          <w:bCs/>
        </w:rPr>
        <w:t xml:space="preserve"> постановлением администрации </w:t>
      </w:r>
      <w:hyperlink r:id="rId120" w:tooltip="постановление от 27.01.2026 0:00:00 №19-па Администрация г. Пыть-Ях&#10;&#10;О внесении изменений в постановление администрации города от 28.12.2023 № 372-па " w:history="1">
        <w:r w:rsidRPr="009D4C18">
          <w:rPr>
            <w:rStyle w:val="afd"/>
            <w:bCs/>
          </w:rPr>
          <w:t>от 27.01.2026 № 19-па</w:t>
        </w:r>
      </w:hyperlink>
      <w:r w:rsidRPr="009D4C18">
        <w:t>)</w:t>
      </w:r>
    </w:p>
    <w:sectPr w:rsidR="00093B6C" w:rsidRPr="00B07D9B" w:rsidSect="006E0E19">
      <w:headerReference w:type="first" r:id="rId121"/>
      <w:pgSz w:w="16838" w:h="11906" w:orient="landscape" w:code="9"/>
      <w:pgMar w:top="1134" w:right="850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6AD" w:rsidRDefault="003C66AD">
      <w:r>
        <w:separator/>
      </w:r>
    </w:p>
  </w:endnote>
  <w:endnote w:type="continuationSeparator" w:id="0">
    <w:p w:rsidR="003C66AD" w:rsidRDefault="003C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A41" w:rsidRDefault="00594A41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A41" w:rsidRDefault="00594A41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A41" w:rsidRDefault="00594A41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6AD" w:rsidRDefault="003C66AD">
      <w:r>
        <w:separator/>
      </w:r>
    </w:p>
  </w:footnote>
  <w:footnote w:type="continuationSeparator" w:id="0">
    <w:p w:rsidR="003C66AD" w:rsidRDefault="003C6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A41" w:rsidRDefault="00594A41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4A41" w:rsidRDefault="00594A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A41" w:rsidRDefault="00594A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A41" w:rsidRDefault="00594A41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594A41" w:rsidRDefault="003C66AD" w:rsidP="00020598">
        <w:pPr>
          <w:pStyle w:val="a3"/>
          <w:jc w:val="center"/>
        </w:pPr>
      </w:p>
    </w:sdtContent>
  </w:sdt>
  <w:p w:rsidR="00594A41" w:rsidRDefault="00594A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F291D"/>
    <w:multiLevelType w:val="hybridMultilevel"/>
    <w:tmpl w:val="C722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80559"/>
    <w:multiLevelType w:val="hybridMultilevel"/>
    <w:tmpl w:val="8B8AC164"/>
    <w:lvl w:ilvl="0" w:tplc="AA169A9E">
      <w:start w:val="1"/>
      <w:numFmt w:val="decimal"/>
      <w:lvlText w:val="%1."/>
      <w:lvlJc w:val="left"/>
    </w:lvl>
    <w:lvl w:ilvl="1" w:tplc="29421870">
      <w:start w:val="1"/>
      <w:numFmt w:val="lowerLetter"/>
      <w:lvlText w:val="%2."/>
      <w:lvlJc w:val="left"/>
      <w:pPr>
        <w:ind w:left="1440" w:hanging="360"/>
      </w:pPr>
    </w:lvl>
    <w:lvl w:ilvl="2" w:tplc="CB9E0744">
      <w:start w:val="1"/>
      <w:numFmt w:val="lowerRoman"/>
      <w:lvlText w:val="%3."/>
      <w:lvlJc w:val="right"/>
      <w:pPr>
        <w:ind w:left="2160" w:hanging="180"/>
      </w:pPr>
    </w:lvl>
    <w:lvl w:ilvl="3" w:tplc="027E1312">
      <w:start w:val="1"/>
      <w:numFmt w:val="decimal"/>
      <w:lvlText w:val="%4."/>
      <w:lvlJc w:val="left"/>
      <w:pPr>
        <w:ind w:left="2880" w:hanging="360"/>
      </w:pPr>
    </w:lvl>
    <w:lvl w:ilvl="4" w:tplc="F976CC5A">
      <w:start w:val="1"/>
      <w:numFmt w:val="lowerLetter"/>
      <w:lvlText w:val="%5."/>
      <w:lvlJc w:val="left"/>
      <w:pPr>
        <w:ind w:left="3600" w:hanging="360"/>
      </w:pPr>
    </w:lvl>
    <w:lvl w:ilvl="5" w:tplc="51BAB710">
      <w:start w:val="1"/>
      <w:numFmt w:val="lowerRoman"/>
      <w:lvlText w:val="%6."/>
      <w:lvlJc w:val="right"/>
      <w:pPr>
        <w:ind w:left="4320" w:hanging="180"/>
      </w:pPr>
    </w:lvl>
    <w:lvl w:ilvl="6" w:tplc="885A73E4">
      <w:start w:val="1"/>
      <w:numFmt w:val="decimal"/>
      <w:lvlText w:val="%7."/>
      <w:lvlJc w:val="left"/>
      <w:pPr>
        <w:ind w:left="5040" w:hanging="360"/>
      </w:pPr>
    </w:lvl>
    <w:lvl w:ilvl="7" w:tplc="6D7A7162">
      <w:start w:val="1"/>
      <w:numFmt w:val="lowerLetter"/>
      <w:lvlText w:val="%8."/>
      <w:lvlJc w:val="left"/>
      <w:pPr>
        <w:ind w:left="5760" w:hanging="360"/>
      </w:pPr>
    </w:lvl>
    <w:lvl w:ilvl="8" w:tplc="54CECE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5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8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AFD13F8"/>
    <w:multiLevelType w:val="hybridMultilevel"/>
    <w:tmpl w:val="8A78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0"/>
  </w:num>
  <w:num w:numId="10">
    <w:abstractNumId w:val="9"/>
  </w:num>
  <w:num w:numId="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5BE"/>
    <w:rsid w:val="00013607"/>
    <w:rsid w:val="0001446C"/>
    <w:rsid w:val="00014A69"/>
    <w:rsid w:val="00014D6E"/>
    <w:rsid w:val="00015195"/>
    <w:rsid w:val="00015833"/>
    <w:rsid w:val="0001594C"/>
    <w:rsid w:val="000161A2"/>
    <w:rsid w:val="00016AE4"/>
    <w:rsid w:val="00016FD8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14F"/>
    <w:rsid w:val="00026762"/>
    <w:rsid w:val="0002770C"/>
    <w:rsid w:val="00027982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15D4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8D4"/>
    <w:rsid w:val="00057930"/>
    <w:rsid w:val="000600A7"/>
    <w:rsid w:val="00060E6E"/>
    <w:rsid w:val="00061984"/>
    <w:rsid w:val="000627B3"/>
    <w:rsid w:val="00062AF9"/>
    <w:rsid w:val="00062EDA"/>
    <w:rsid w:val="000639FB"/>
    <w:rsid w:val="000673F7"/>
    <w:rsid w:val="000678FD"/>
    <w:rsid w:val="00070773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301"/>
    <w:rsid w:val="00077690"/>
    <w:rsid w:val="00077B5B"/>
    <w:rsid w:val="00077EF5"/>
    <w:rsid w:val="000804D0"/>
    <w:rsid w:val="00081644"/>
    <w:rsid w:val="000821E1"/>
    <w:rsid w:val="000831A2"/>
    <w:rsid w:val="000833E6"/>
    <w:rsid w:val="000836BC"/>
    <w:rsid w:val="000840A9"/>
    <w:rsid w:val="000840B5"/>
    <w:rsid w:val="00084538"/>
    <w:rsid w:val="00085963"/>
    <w:rsid w:val="00087A9B"/>
    <w:rsid w:val="00087D11"/>
    <w:rsid w:val="000915DF"/>
    <w:rsid w:val="00091FB6"/>
    <w:rsid w:val="00091FEB"/>
    <w:rsid w:val="00092BFE"/>
    <w:rsid w:val="0009395D"/>
    <w:rsid w:val="00093B6C"/>
    <w:rsid w:val="000943CE"/>
    <w:rsid w:val="00095E72"/>
    <w:rsid w:val="00097258"/>
    <w:rsid w:val="0009791C"/>
    <w:rsid w:val="00097AC6"/>
    <w:rsid w:val="000A1306"/>
    <w:rsid w:val="000A16A3"/>
    <w:rsid w:val="000A4D7D"/>
    <w:rsid w:val="000A50A3"/>
    <w:rsid w:val="000A50CD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3930"/>
    <w:rsid w:val="000B501F"/>
    <w:rsid w:val="000B7995"/>
    <w:rsid w:val="000C1659"/>
    <w:rsid w:val="000C2B93"/>
    <w:rsid w:val="000C4B56"/>
    <w:rsid w:val="000C526F"/>
    <w:rsid w:val="000C59D8"/>
    <w:rsid w:val="000C62A0"/>
    <w:rsid w:val="000C7899"/>
    <w:rsid w:val="000C7972"/>
    <w:rsid w:val="000D0CF7"/>
    <w:rsid w:val="000D1801"/>
    <w:rsid w:val="000D227A"/>
    <w:rsid w:val="000D2D9B"/>
    <w:rsid w:val="000D31B2"/>
    <w:rsid w:val="000D459E"/>
    <w:rsid w:val="000D4DAE"/>
    <w:rsid w:val="000D5574"/>
    <w:rsid w:val="000D62E4"/>
    <w:rsid w:val="000D65CE"/>
    <w:rsid w:val="000E0888"/>
    <w:rsid w:val="000E111A"/>
    <w:rsid w:val="000E2491"/>
    <w:rsid w:val="000E2A25"/>
    <w:rsid w:val="000E3DE2"/>
    <w:rsid w:val="000E49B7"/>
    <w:rsid w:val="000E5D44"/>
    <w:rsid w:val="000E6058"/>
    <w:rsid w:val="000E63D7"/>
    <w:rsid w:val="000E7819"/>
    <w:rsid w:val="000E7E38"/>
    <w:rsid w:val="000F0046"/>
    <w:rsid w:val="000F0F37"/>
    <w:rsid w:val="000F42FC"/>
    <w:rsid w:val="000F56BA"/>
    <w:rsid w:val="000F6AEF"/>
    <w:rsid w:val="000F6E28"/>
    <w:rsid w:val="000F77EE"/>
    <w:rsid w:val="00100439"/>
    <w:rsid w:val="001005AD"/>
    <w:rsid w:val="0010101B"/>
    <w:rsid w:val="0010119D"/>
    <w:rsid w:val="00102820"/>
    <w:rsid w:val="00102F38"/>
    <w:rsid w:val="001032A7"/>
    <w:rsid w:val="001063CA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58E5"/>
    <w:rsid w:val="00117DF2"/>
    <w:rsid w:val="00120235"/>
    <w:rsid w:val="001202FB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4303"/>
    <w:rsid w:val="00156476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3B0D"/>
    <w:rsid w:val="00173B87"/>
    <w:rsid w:val="0017416A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338B"/>
    <w:rsid w:val="001946A8"/>
    <w:rsid w:val="00194C4B"/>
    <w:rsid w:val="00194E79"/>
    <w:rsid w:val="00194EE9"/>
    <w:rsid w:val="00195227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93"/>
    <w:rsid w:val="001A58E8"/>
    <w:rsid w:val="001A59D1"/>
    <w:rsid w:val="001A6B72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5B25"/>
    <w:rsid w:val="001B7716"/>
    <w:rsid w:val="001C1102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861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134"/>
    <w:rsid w:val="001E568D"/>
    <w:rsid w:val="001E5AD1"/>
    <w:rsid w:val="001E6472"/>
    <w:rsid w:val="001E6C70"/>
    <w:rsid w:val="001E6E39"/>
    <w:rsid w:val="001F1BA0"/>
    <w:rsid w:val="001F211B"/>
    <w:rsid w:val="001F466A"/>
    <w:rsid w:val="001F5327"/>
    <w:rsid w:val="001F5C81"/>
    <w:rsid w:val="001F641C"/>
    <w:rsid w:val="001F6AEC"/>
    <w:rsid w:val="001F7522"/>
    <w:rsid w:val="001F7B80"/>
    <w:rsid w:val="002000D9"/>
    <w:rsid w:val="00202057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35A8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4590"/>
    <w:rsid w:val="0022510D"/>
    <w:rsid w:val="0022600D"/>
    <w:rsid w:val="00226429"/>
    <w:rsid w:val="00227594"/>
    <w:rsid w:val="0022771B"/>
    <w:rsid w:val="00227D78"/>
    <w:rsid w:val="002310D8"/>
    <w:rsid w:val="00231D23"/>
    <w:rsid w:val="00231D67"/>
    <w:rsid w:val="00232DC4"/>
    <w:rsid w:val="00233233"/>
    <w:rsid w:val="00234541"/>
    <w:rsid w:val="0023503D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1006"/>
    <w:rsid w:val="002623D8"/>
    <w:rsid w:val="00262EFE"/>
    <w:rsid w:val="002641AA"/>
    <w:rsid w:val="00265AF0"/>
    <w:rsid w:val="00270252"/>
    <w:rsid w:val="0027101B"/>
    <w:rsid w:val="00271866"/>
    <w:rsid w:val="002734CE"/>
    <w:rsid w:val="00274EA3"/>
    <w:rsid w:val="002765BC"/>
    <w:rsid w:val="00280623"/>
    <w:rsid w:val="002807C5"/>
    <w:rsid w:val="00280FD1"/>
    <w:rsid w:val="002814E7"/>
    <w:rsid w:val="0028152B"/>
    <w:rsid w:val="00282269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A769C"/>
    <w:rsid w:val="002B09FA"/>
    <w:rsid w:val="002B1FC0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3499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2F7ECC"/>
    <w:rsid w:val="003003BA"/>
    <w:rsid w:val="003015B3"/>
    <w:rsid w:val="003020B6"/>
    <w:rsid w:val="0030242E"/>
    <w:rsid w:val="00302815"/>
    <w:rsid w:val="00302F28"/>
    <w:rsid w:val="00303BF9"/>
    <w:rsid w:val="00304C12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16A04"/>
    <w:rsid w:val="00317297"/>
    <w:rsid w:val="00321086"/>
    <w:rsid w:val="003216E9"/>
    <w:rsid w:val="00321F40"/>
    <w:rsid w:val="00323B50"/>
    <w:rsid w:val="00324632"/>
    <w:rsid w:val="003252C2"/>
    <w:rsid w:val="003253A8"/>
    <w:rsid w:val="00325A54"/>
    <w:rsid w:val="00327267"/>
    <w:rsid w:val="00327536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17EA"/>
    <w:rsid w:val="0034254E"/>
    <w:rsid w:val="00343BE2"/>
    <w:rsid w:val="00344E49"/>
    <w:rsid w:val="00346382"/>
    <w:rsid w:val="0034777C"/>
    <w:rsid w:val="00350BE2"/>
    <w:rsid w:val="00351023"/>
    <w:rsid w:val="003522A0"/>
    <w:rsid w:val="00352D15"/>
    <w:rsid w:val="00352F77"/>
    <w:rsid w:val="00354708"/>
    <w:rsid w:val="00355C4B"/>
    <w:rsid w:val="003567F1"/>
    <w:rsid w:val="00361E1D"/>
    <w:rsid w:val="00363401"/>
    <w:rsid w:val="00365C64"/>
    <w:rsid w:val="00365F02"/>
    <w:rsid w:val="003666C4"/>
    <w:rsid w:val="00366830"/>
    <w:rsid w:val="00366A1D"/>
    <w:rsid w:val="00366D37"/>
    <w:rsid w:val="00366D92"/>
    <w:rsid w:val="0036726D"/>
    <w:rsid w:val="00370322"/>
    <w:rsid w:val="003720BF"/>
    <w:rsid w:val="003720ED"/>
    <w:rsid w:val="003731D0"/>
    <w:rsid w:val="003743DC"/>
    <w:rsid w:val="0037469B"/>
    <w:rsid w:val="00374ECC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D"/>
    <w:rsid w:val="00390375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93B"/>
    <w:rsid w:val="003B3A00"/>
    <w:rsid w:val="003B3C4C"/>
    <w:rsid w:val="003B3CEC"/>
    <w:rsid w:val="003B4263"/>
    <w:rsid w:val="003B44A3"/>
    <w:rsid w:val="003B5DBB"/>
    <w:rsid w:val="003B6775"/>
    <w:rsid w:val="003B77F7"/>
    <w:rsid w:val="003B7B85"/>
    <w:rsid w:val="003C018E"/>
    <w:rsid w:val="003C0A6F"/>
    <w:rsid w:val="003C102A"/>
    <w:rsid w:val="003C43BC"/>
    <w:rsid w:val="003C46D4"/>
    <w:rsid w:val="003C66AD"/>
    <w:rsid w:val="003C7527"/>
    <w:rsid w:val="003D00CD"/>
    <w:rsid w:val="003D0842"/>
    <w:rsid w:val="003D1C5D"/>
    <w:rsid w:val="003D1FF6"/>
    <w:rsid w:val="003D409E"/>
    <w:rsid w:val="003D4D65"/>
    <w:rsid w:val="003D5108"/>
    <w:rsid w:val="003D5A95"/>
    <w:rsid w:val="003D64FB"/>
    <w:rsid w:val="003D7F86"/>
    <w:rsid w:val="003E0837"/>
    <w:rsid w:val="003E2E96"/>
    <w:rsid w:val="003E3F62"/>
    <w:rsid w:val="003E4284"/>
    <w:rsid w:val="003E56DE"/>
    <w:rsid w:val="003E7007"/>
    <w:rsid w:val="003F02FA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6E8"/>
    <w:rsid w:val="00403910"/>
    <w:rsid w:val="00403BCF"/>
    <w:rsid w:val="00404130"/>
    <w:rsid w:val="00404508"/>
    <w:rsid w:val="004049CC"/>
    <w:rsid w:val="004051DE"/>
    <w:rsid w:val="00405961"/>
    <w:rsid w:val="00410279"/>
    <w:rsid w:val="00410C81"/>
    <w:rsid w:val="00413D1F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6FBE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777"/>
    <w:rsid w:val="00433C79"/>
    <w:rsid w:val="00434651"/>
    <w:rsid w:val="004348D1"/>
    <w:rsid w:val="0043611B"/>
    <w:rsid w:val="00436251"/>
    <w:rsid w:val="00437354"/>
    <w:rsid w:val="004377EA"/>
    <w:rsid w:val="00437967"/>
    <w:rsid w:val="00437B38"/>
    <w:rsid w:val="004411CA"/>
    <w:rsid w:val="004431C4"/>
    <w:rsid w:val="004451A0"/>
    <w:rsid w:val="00445419"/>
    <w:rsid w:val="004468C5"/>
    <w:rsid w:val="00447CCC"/>
    <w:rsid w:val="00450329"/>
    <w:rsid w:val="00450440"/>
    <w:rsid w:val="004504B7"/>
    <w:rsid w:val="004504BF"/>
    <w:rsid w:val="00450CF6"/>
    <w:rsid w:val="00451278"/>
    <w:rsid w:val="00451432"/>
    <w:rsid w:val="00451952"/>
    <w:rsid w:val="004519C5"/>
    <w:rsid w:val="00451F2F"/>
    <w:rsid w:val="00453F19"/>
    <w:rsid w:val="004562BE"/>
    <w:rsid w:val="0045741C"/>
    <w:rsid w:val="00457B39"/>
    <w:rsid w:val="0046028B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3D8"/>
    <w:rsid w:val="0046606B"/>
    <w:rsid w:val="00467490"/>
    <w:rsid w:val="00470ED2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0F08"/>
    <w:rsid w:val="00481A40"/>
    <w:rsid w:val="00481DAA"/>
    <w:rsid w:val="004853E2"/>
    <w:rsid w:val="0048655A"/>
    <w:rsid w:val="00487A7C"/>
    <w:rsid w:val="00487C69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56"/>
    <w:rsid w:val="004A5EED"/>
    <w:rsid w:val="004A783B"/>
    <w:rsid w:val="004A78A8"/>
    <w:rsid w:val="004A7F3B"/>
    <w:rsid w:val="004B058C"/>
    <w:rsid w:val="004B1657"/>
    <w:rsid w:val="004B1B0B"/>
    <w:rsid w:val="004B2151"/>
    <w:rsid w:val="004B2286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1C13"/>
    <w:rsid w:val="004C34DE"/>
    <w:rsid w:val="004C39C4"/>
    <w:rsid w:val="004C3FD1"/>
    <w:rsid w:val="004C4386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1D5C"/>
    <w:rsid w:val="004D29FC"/>
    <w:rsid w:val="004D3683"/>
    <w:rsid w:val="004D47DC"/>
    <w:rsid w:val="004D57E8"/>
    <w:rsid w:val="004D5ADF"/>
    <w:rsid w:val="004D5F6D"/>
    <w:rsid w:val="004D60C2"/>
    <w:rsid w:val="004D6B51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5C46"/>
    <w:rsid w:val="004E628D"/>
    <w:rsid w:val="004E71A9"/>
    <w:rsid w:val="004E77E7"/>
    <w:rsid w:val="004F00B2"/>
    <w:rsid w:val="004F2830"/>
    <w:rsid w:val="004F5422"/>
    <w:rsid w:val="004F5A1B"/>
    <w:rsid w:val="004F5C60"/>
    <w:rsid w:val="004F715A"/>
    <w:rsid w:val="004F71A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3ED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6992"/>
    <w:rsid w:val="0052749B"/>
    <w:rsid w:val="005300B8"/>
    <w:rsid w:val="005303AD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5198D"/>
    <w:rsid w:val="00552667"/>
    <w:rsid w:val="0055311D"/>
    <w:rsid w:val="005545C4"/>
    <w:rsid w:val="00554ABE"/>
    <w:rsid w:val="00554B4E"/>
    <w:rsid w:val="00554DAF"/>
    <w:rsid w:val="00555D1A"/>
    <w:rsid w:val="0056041D"/>
    <w:rsid w:val="005612A9"/>
    <w:rsid w:val="005619BB"/>
    <w:rsid w:val="00561AD9"/>
    <w:rsid w:val="00562872"/>
    <w:rsid w:val="00562EA7"/>
    <w:rsid w:val="00563263"/>
    <w:rsid w:val="00563AEC"/>
    <w:rsid w:val="00564820"/>
    <w:rsid w:val="0056560E"/>
    <w:rsid w:val="00566F0B"/>
    <w:rsid w:val="00572B64"/>
    <w:rsid w:val="005732A5"/>
    <w:rsid w:val="00573D44"/>
    <w:rsid w:val="00573F52"/>
    <w:rsid w:val="005762B7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CDE"/>
    <w:rsid w:val="0059072A"/>
    <w:rsid w:val="0059166D"/>
    <w:rsid w:val="00594A41"/>
    <w:rsid w:val="00595BB3"/>
    <w:rsid w:val="00596672"/>
    <w:rsid w:val="00596B6A"/>
    <w:rsid w:val="00596BAA"/>
    <w:rsid w:val="005A024E"/>
    <w:rsid w:val="005A0D78"/>
    <w:rsid w:val="005A1C66"/>
    <w:rsid w:val="005A20F5"/>
    <w:rsid w:val="005A211D"/>
    <w:rsid w:val="005A2E70"/>
    <w:rsid w:val="005A2F26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B7E06"/>
    <w:rsid w:val="005C0EE2"/>
    <w:rsid w:val="005C4171"/>
    <w:rsid w:val="005C6055"/>
    <w:rsid w:val="005C7305"/>
    <w:rsid w:val="005C757F"/>
    <w:rsid w:val="005C787C"/>
    <w:rsid w:val="005D0F24"/>
    <w:rsid w:val="005D1ADA"/>
    <w:rsid w:val="005D229A"/>
    <w:rsid w:val="005D2A08"/>
    <w:rsid w:val="005D2A0C"/>
    <w:rsid w:val="005D427E"/>
    <w:rsid w:val="005D4B60"/>
    <w:rsid w:val="005D6417"/>
    <w:rsid w:val="005D7058"/>
    <w:rsid w:val="005E016D"/>
    <w:rsid w:val="005E0470"/>
    <w:rsid w:val="005E2AAB"/>
    <w:rsid w:val="005E2D1A"/>
    <w:rsid w:val="005E31AB"/>
    <w:rsid w:val="005E3F11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115F"/>
    <w:rsid w:val="0060334C"/>
    <w:rsid w:val="0060439C"/>
    <w:rsid w:val="00604582"/>
    <w:rsid w:val="00604986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0C0D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0E60"/>
    <w:rsid w:val="00633FD9"/>
    <w:rsid w:val="006354E2"/>
    <w:rsid w:val="006356F9"/>
    <w:rsid w:val="00635AC5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493B"/>
    <w:rsid w:val="00646431"/>
    <w:rsid w:val="00647891"/>
    <w:rsid w:val="00650A90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1774"/>
    <w:rsid w:val="00662336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7ED"/>
    <w:rsid w:val="00671C52"/>
    <w:rsid w:val="00672F63"/>
    <w:rsid w:val="006730A5"/>
    <w:rsid w:val="00673625"/>
    <w:rsid w:val="00674126"/>
    <w:rsid w:val="006747E2"/>
    <w:rsid w:val="00674D62"/>
    <w:rsid w:val="00674EE1"/>
    <w:rsid w:val="0067725E"/>
    <w:rsid w:val="006804C4"/>
    <w:rsid w:val="006807C2"/>
    <w:rsid w:val="00681905"/>
    <w:rsid w:val="00682EF9"/>
    <w:rsid w:val="00683F07"/>
    <w:rsid w:val="0068474F"/>
    <w:rsid w:val="00687F93"/>
    <w:rsid w:val="00691119"/>
    <w:rsid w:val="006927EF"/>
    <w:rsid w:val="00692F6B"/>
    <w:rsid w:val="006935A1"/>
    <w:rsid w:val="00694630"/>
    <w:rsid w:val="00695405"/>
    <w:rsid w:val="00695938"/>
    <w:rsid w:val="006966C7"/>
    <w:rsid w:val="00696D5D"/>
    <w:rsid w:val="00697BF7"/>
    <w:rsid w:val="006A00F8"/>
    <w:rsid w:val="006A088E"/>
    <w:rsid w:val="006A090F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3074"/>
    <w:rsid w:val="006B3EC6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06A1"/>
    <w:rsid w:val="006D165D"/>
    <w:rsid w:val="006D24F2"/>
    <w:rsid w:val="006D3445"/>
    <w:rsid w:val="006D34C5"/>
    <w:rsid w:val="006D38CD"/>
    <w:rsid w:val="006D3E83"/>
    <w:rsid w:val="006D629D"/>
    <w:rsid w:val="006D7D4B"/>
    <w:rsid w:val="006E0009"/>
    <w:rsid w:val="006E0515"/>
    <w:rsid w:val="006E0655"/>
    <w:rsid w:val="006E0E19"/>
    <w:rsid w:val="006E19CD"/>
    <w:rsid w:val="006E1FA0"/>
    <w:rsid w:val="006E34B1"/>
    <w:rsid w:val="006E5ADF"/>
    <w:rsid w:val="006E6642"/>
    <w:rsid w:val="006E7577"/>
    <w:rsid w:val="006E7F22"/>
    <w:rsid w:val="006F0041"/>
    <w:rsid w:val="006F0289"/>
    <w:rsid w:val="006F4A9C"/>
    <w:rsid w:val="006F50FC"/>
    <w:rsid w:val="006F5E71"/>
    <w:rsid w:val="006F74E9"/>
    <w:rsid w:val="006F7AEE"/>
    <w:rsid w:val="006F7BC5"/>
    <w:rsid w:val="0070027E"/>
    <w:rsid w:val="00702280"/>
    <w:rsid w:val="007027F5"/>
    <w:rsid w:val="007027FF"/>
    <w:rsid w:val="00702B30"/>
    <w:rsid w:val="00702FD1"/>
    <w:rsid w:val="007033B6"/>
    <w:rsid w:val="00703EA1"/>
    <w:rsid w:val="00704D7A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41E8"/>
    <w:rsid w:val="007243E7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3A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343D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577E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A6332"/>
    <w:rsid w:val="007A7BB0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C7D43"/>
    <w:rsid w:val="007D0F19"/>
    <w:rsid w:val="007D0F85"/>
    <w:rsid w:val="007D1311"/>
    <w:rsid w:val="007D14AF"/>
    <w:rsid w:val="007D16E0"/>
    <w:rsid w:val="007D305B"/>
    <w:rsid w:val="007D370B"/>
    <w:rsid w:val="007D37BE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5A6A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4FA2"/>
    <w:rsid w:val="00806C3F"/>
    <w:rsid w:val="00806E8F"/>
    <w:rsid w:val="008072F9"/>
    <w:rsid w:val="00807C61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2A8"/>
    <w:rsid w:val="00821842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25"/>
    <w:rsid w:val="00834957"/>
    <w:rsid w:val="00834BB5"/>
    <w:rsid w:val="0083789E"/>
    <w:rsid w:val="008415FA"/>
    <w:rsid w:val="00841919"/>
    <w:rsid w:val="00841E3E"/>
    <w:rsid w:val="00842168"/>
    <w:rsid w:val="00842662"/>
    <w:rsid w:val="00842B1E"/>
    <w:rsid w:val="008432A0"/>
    <w:rsid w:val="00844610"/>
    <w:rsid w:val="00845F93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76047"/>
    <w:rsid w:val="0088029D"/>
    <w:rsid w:val="0088085D"/>
    <w:rsid w:val="00881B92"/>
    <w:rsid w:val="00882A1D"/>
    <w:rsid w:val="00882C14"/>
    <w:rsid w:val="00882DB7"/>
    <w:rsid w:val="008831BE"/>
    <w:rsid w:val="00884F42"/>
    <w:rsid w:val="008850C9"/>
    <w:rsid w:val="0088569C"/>
    <w:rsid w:val="008856A3"/>
    <w:rsid w:val="0088613D"/>
    <w:rsid w:val="00886144"/>
    <w:rsid w:val="00886481"/>
    <w:rsid w:val="008873A3"/>
    <w:rsid w:val="00887FD2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97CF9"/>
    <w:rsid w:val="008A0781"/>
    <w:rsid w:val="008A09CC"/>
    <w:rsid w:val="008A1681"/>
    <w:rsid w:val="008A3EA4"/>
    <w:rsid w:val="008A401B"/>
    <w:rsid w:val="008A4392"/>
    <w:rsid w:val="008A4803"/>
    <w:rsid w:val="008A571F"/>
    <w:rsid w:val="008A62CB"/>
    <w:rsid w:val="008B02FA"/>
    <w:rsid w:val="008B1B2E"/>
    <w:rsid w:val="008B26D6"/>
    <w:rsid w:val="008B2C1F"/>
    <w:rsid w:val="008B2D93"/>
    <w:rsid w:val="008B3213"/>
    <w:rsid w:val="008B3A99"/>
    <w:rsid w:val="008B4142"/>
    <w:rsid w:val="008B5168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6F8"/>
    <w:rsid w:val="008D18D3"/>
    <w:rsid w:val="008D2A57"/>
    <w:rsid w:val="008D51EF"/>
    <w:rsid w:val="008D5623"/>
    <w:rsid w:val="008D5A0E"/>
    <w:rsid w:val="008D7257"/>
    <w:rsid w:val="008D7AB3"/>
    <w:rsid w:val="008D7BA3"/>
    <w:rsid w:val="008E038F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4EF7"/>
    <w:rsid w:val="0090587B"/>
    <w:rsid w:val="00905EDC"/>
    <w:rsid w:val="0090651D"/>
    <w:rsid w:val="009078B8"/>
    <w:rsid w:val="00912491"/>
    <w:rsid w:val="00913354"/>
    <w:rsid w:val="00913948"/>
    <w:rsid w:val="009143D5"/>
    <w:rsid w:val="00916E5B"/>
    <w:rsid w:val="009177F8"/>
    <w:rsid w:val="0092011F"/>
    <w:rsid w:val="009216F0"/>
    <w:rsid w:val="00921A45"/>
    <w:rsid w:val="00921BDC"/>
    <w:rsid w:val="00922C8C"/>
    <w:rsid w:val="009233E7"/>
    <w:rsid w:val="0092381D"/>
    <w:rsid w:val="00923A9F"/>
    <w:rsid w:val="00923F17"/>
    <w:rsid w:val="0092574C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65C8"/>
    <w:rsid w:val="00937324"/>
    <w:rsid w:val="00940E72"/>
    <w:rsid w:val="009419B7"/>
    <w:rsid w:val="00942327"/>
    <w:rsid w:val="00942F17"/>
    <w:rsid w:val="00942FCD"/>
    <w:rsid w:val="0094368B"/>
    <w:rsid w:val="00943700"/>
    <w:rsid w:val="00944F0D"/>
    <w:rsid w:val="00944F71"/>
    <w:rsid w:val="00944FB6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43C"/>
    <w:rsid w:val="00966C2C"/>
    <w:rsid w:val="00967723"/>
    <w:rsid w:val="00967833"/>
    <w:rsid w:val="0097081B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24B7"/>
    <w:rsid w:val="00982C36"/>
    <w:rsid w:val="0098328C"/>
    <w:rsid w:val="0098349A"/>
    <w:rsid w:val="00983E18"/>
    <w:rsid w:val="00984010"/>
    <w:rsid w:val="009850DC"/>
    <w:rsid w:val="009858D2"/>
    <w:rsid w:val="00985ACE"/>
    <w:rsid w:val="00986040"/>
    <w:rsid w:val="00987809"/>
    <w:rsid w:val="009918A9"/>
    <w:rsid w:val="00992306"/>
    <w:rsid w:val="00992561"/>
    <w:rsid w:val="009929AF"/>
    <w:rsid w:val="00992C4F"/>
    <w:rsid w:val="00994683"/>
    <w:rsid w:val="0099505E"/>
    <w:rsid w:val="0099525C"/>
    <w:rsid w:val="009966AA"/>
    <w:rsid w:val="009967EC"/>
    <w:rsid w:val="00996E33"/>
    <w:rsid w:val="00996F6C"/>
    <w:rsid w:val="0099768B"/>
    <w:rsid w:val="009A04E3"/>
    <w:rsid w:val="009A1F2B"/>
    <w:rsid w:val="009A217E"/>
    <w:rsid w:val="009A4B20"/>
    <w:rsid w:val="009A5313"/>
    <w:rsid w:val="009A6D9D"/>
    <w:rsid w:val="009B01D5"/>
    <w:rsid w:val="009B05D5"/>
    <w:rsid w:val="009B0C3F"/>
    <w:rsid w:val="009B299E"/>
    <w:rsid w:val="009B32B9"/>
    <w:rsid w:val="009B362F"/>
    <w:rsid w:val="009B3DAB"/>
    <w:rsid w:val="009B3E1B"/>
    <w:rsid w:val="009B4114"/>
    <w:rsid w:val="009B49ED"/>
    <w:rsid w:val="009B4E30"/>
    <w:rsid w:val="009B70DB"/>
    <w:rsid w:val="009B7C68"/>
    <w:rsid w:val="009B7E4D"/>
    <w:rsid w:val="009C06A1"/>
    <w:rsid w:val="009C2917"/>
    <w:rsid w:val="009C33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C18"/>
    <w:rsid w:val="009D4D2E"/>
    <w:rsid w:val="009E0E3F"/>
    <w:rsid w:val="009E122D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3EB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96A"/>
    <w:rsid w:val="00A148EE"/>
    <w:rsid w:val="00A1670A"/>
    <w:rsid w:val="00A16BA0"/>
    <w:rsid w:val="00A16DC2"/>
    <w:rsid w:val="00A178AA"/>
    <w:rsid w:val="00A17C85"/>
    <w:rsid w:val="00A2068F"/>
    <w:rsid w:val="00A22188"/>
    <w:rsid w:val="00A22254"/>
    <w:rsid w:val="00A23024"/>
    <w:rsid w:val="00A239D9"/>
    <w:rsid w:val="00A247F3"/>
    <w:rsid w:val="00A258DA"/>
    <w:rsid w:val="00A25995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69B1"/>
    <w:rsid w:val="00A374D9"/>
    <w:rsid w:val="00A40C87"/>
    <w:rsid w:val="00A425F0"/>
    <w:rsid w:val="00A45728"/>
    <w:rsid w:val="00A45C1E"/>
    <w:rsid w:val="00A46546"/>
    <w:rsid w:val="00A46D67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4962"/>
    <w:rsid w:val="00A558F2"/>
    <w:rsid w:val="00A55BA0"/>
    <w:rsid w:val="00A5659E"/>
    <w:rsid w:val="00A569F4"/>
    <w:rsid w:val="00A56EB6"/>
    <w:rsid w:val="00A575A7"/>
    <w:rsid w:val="00A60713"/>
    <w:rsid w:val="00A61FBB"/>
    <w:rsid w:val="00A62003"/>
    <w:rsid w:val="00A6208D"/>
    <w:rsid w:val="00A628D5"/>
    <w:rsid w:val="00A628DC"/>
    <w:rsid w:val="00A63905"/>
    <w:rsid w:val="00A63925"/>
    <w:rsid w:val="00A63AD1"/>
    <w:rsid w:val="00A63D68"/>
    <w:rsid w:val="00A63DCC"/>
    <w:rsid w:val="00A6448C"/>
    <w:rsid w:val="00A6669F"/>
    <w:rsid w:val="00A66A33"/>
    <w:rsid w:val="00A7271A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86C44"/>
    <w:rsid w:val="00A8740F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96D02"/>
    <w:rsid w:val="00AA085B"/>
    <w:rsid w:val="00AA08D2"/>
    <w:rsid w:val="00AA0E96"/>
    <w:rsid w:val="00AA13D0"/>
    <w:rsid w:val="00AA16F5"/>
    <w:rsid w:val="00AA22DF"/>
    <w:rsid w:val="00AA30BB"/>
    <w:rsid w:val="00AA363E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24D"/>
    <w:rsid w:val="00AB550B"/>
    <w:rsid w:val="00AB68DB"/>
    <w:rsid w:val="00AB7AD5"/>
    <w:rsid w:val="00AC087D"/>
    <w:rsid w:val="00AC0C3B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162"/>
    <w:rsid w:val="00AF3C10"/>
    <w:rsid w:val="00AF3C6E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1D75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07D9B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2B08"/>
    <w:rsid w:val="00B2301B"/>
    <w:rsid w:val="00B23CCE"/>
    <w:rsid w:val="00B23D1F"/>
    <w:rsid w:val="00B25CE6"/>
    <w:rsid w:val="00B266E1"/>
    <w:rsid w:val="00B2691F"/>
    <w:rsid w:val="00B26D43"/>
    <w:rsid w:val="00B26E19"/>
    <w:rsid w:val="00B306B2"/>
    <w:rsid w:val="00B30DF8"/>
    <w:rsid w:val="00B328AC"/>
    <w:rsid w:val="00B32DCD"/>
    <w:rsid w:val="00B3344C"/>
    <w:rsid w:val="00B33D66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2C94"/>
    <w:rsid w:val="00B638A8"/>
    <w:rsid w:val="00B63AAA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34E7"/>
    <w:rsid w:val="00B741A5"/>
    <w:rsid w:val="00B74C1F"/>
    <w:rsid w:val="00B77D63"/>
    <w:rsid w:val="00B80639"/>
    <w:rsid w:val="00B80BC9"/>
    <w:rsid w:val="00B8248E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5E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12BA"/>
    <w:rsid w:val="00BB2721"/>
    <w:rsid w:val="00BB3B0F"/>
    <w:rsid w:val="00BB43FE"/>
    <w:rsid w:val="00BB500E"/>
    <w:rsid w:val="00BB615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3C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FAE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35CF"/>
    <w:rsid w:val="00C54055"/>
    <w:rsid w:val="00C540A9"/>
    <w:rsid w:val="00C54911"/>
    <w:rsid w:val="00C5599C"/>
    <w:rsid w:val="00C5613C"/>
    <w:rsid w:val="00C57DCC"/>
    <w:rsid w:val="00C607EF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3FA0"/>
    <w:rsid w:val="00C656B0"/>
    <w:rsid w:val="00C65A0E"/>
    <w:rsid w:val="00C6787C"/>
    <w:rsid w:val="00C73475"/>
    <w:rsid w:val="00C73927"/>
    <w:rsid w:val="00C73D57"/>
    <w:rsid w:val="00C7429F"/>
    <w:rsid w:val="00C75657"/>
    <w:rsid w:val="00C776E5"/>
    <w:rsid w:val="00C80B34"/>
    <w:rsid w:val="00C81248"/>
    <w:rsid w:val="00C81B88"/>
    <w:rsid w:val="00C84E49"/>
    <w:rsid w:val="00C85332"/>
    <w:rsid w:val="00C85895"/>
    <w:rsid w:val="00C86C72"/>
    <w:rsid w:val="00C87930"/>
    <w:rsid w:val="00C90539"/>
    <w:rsid w:val="00C915AE"/>
    <w:rsid w:val="00C918F6"/>
    <w:rsid w:val="00C91CF1"/>
    <w:rsid w:val="00C922DE"/>
    <w:rsid w:val="00C92F11"/>
    <w:rsid w:val="00C937A2"/>
    <w:rsid w:val="00C93B44"/>
    <w:rsid w:val="00C946D0"/>
    <w:rsid w:val="00C95370"/>
    <w:rsid w:val="00C95483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6A84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66C"/>
    <w:rsid w:val="00CB52AD"/>
    <w:rsid w:val="00CB5550"/>
    <w:rsid w:val="00CB56A7"/>
    <w:rsid w:val="00CB66B3"/>
    <w:rsid w:val="00CB68E3"/>
    <w:rsid w:val="00CB6A32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4B62"/>
    <w:rsid w:val="00CE5315"/>
    <w:rsid w:val="00CE64A1"/>
    <w:rsid w:val="00CE7606"/>
    <w:rsid w:val="00CE7F92"/>
    <w:rsid w:val="00CF07A6"/>
    <w:rsid w:val="00CF111A"/>
    <w:rsid w:val="00CF128B"/>
    <w:rsid w:val="00CF14EA"/>
    <w:rsid w:val="00CF1D20"/>
    <w:rsid w:val="00CF2207"/>
    <w:rsid w:val="00CF28C2"/>
    <w:rsid w:val="00CF3A5B"/>
    <w:rsid w:val="00CF467C"/>
    <w:rsid w:val="00CF5286"/>
    <w:rsid w:val="00CF61DF"/>
    <w:rsid w:val="00CF670F"/>
    <w:rsid w:val="00CF6F6C"/>
    <w:rsid w:val="00CF7705"/>
    <w:rsid w:val="00CF7C55"/>
    <w:rsid w:val="00D0066D"/>
    <w:rsid w:val="00D009A3"/>
    <w:rsid w:val="00D00AA4"/>
    <w:rsid w:val="00D03105"/>
    <w:rsid w:val="00D04605"/>
    <w:rsid w:val="00D0557F"/>
    <w:rsid w:val="00D0612A"/>
    <w:rsid w:val="00D06C30"/>
    <w:rsid w:val="00D074B8"/>
    <w:rsid w:val="00D078D9"/>
    <w:rsid w:val="00D07B40"/>
    <w:rsid w:val="00D11410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D94"/>
    <w:rsid w:val="00D22888"/>
    <w:rsid w:val="00D2733F"/>
    <w:rsid w:val="00D27990"/>
    <w:rsid w:val="00D27E52"/>
    <w:rsid w:val="00D30C01"/>
    <w:rsid w:val="00D31EAD"/>
    <w:rsid w:val="00D34D12"/>
    <w:rsid w:val="00D35DCA"/>
    <w:rsid w:val="00D36066"/>
    <w:rsid w:val="00D37F0C"/>
    <w:rsid w:val="00D404AB"/>
    <w:rsid w:val="00D412A5"/>
    <w:rsid w:val="00D4178E"/>
    <w:rsid w:val="00D421CF"/>
    <w:rsid w:val="00D4249E"/>
    <w:rsid w:val="00D43076"/>
    <w:rsid w:val="00D44EA9"/>
    <w:rsid w:val="00D45080"/>
    <w:rsid w:val="00D453F0"/>
    <w:rsid w:val="00D47055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57E96"/>
    <w:rsid w:val="00D61E73"/>
    <w:rsid w:val="00D61F66"/>
    <w:rsid w:val="00D620B0"/>
    <w:rsid w:val="00D621D1"/>
    <w:rsid w:val="00D62498"/>
    <w:rsid w:val="00D62E4B"/>
    <w:rsid w:val="00D630A4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4B3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2E5"/>
    <w:rsid w:val="00DB344D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2FBF"/>
    <w:rsid w:val="00DE2FD3"/>
    <w:rsid w:val="00DE3E0A"/>
    <w:rsid w:val="00DE42A4"/>
    <w:rsid w:val="00DE446F"/>
    <w:rsid w:val="00DE44A6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0A81"/>
    <w:rsid w:val="00DF2421"/>
    <w:rsid w:val="00DF286C"/>
    <w:rsid w:val="00DF3DB9"/>
    <w:rsid w:val="00DF5EF2"/>
    <w:rsid w:val="00DF6FF2"/>
    <w:rsid w:val="00DF7DD7"/>
    <w:rsid w:val="00E009CC"/>
    <w:rsid w:val="00E01A84"/>
    <w:rsid w:val="00E030BA"/>
    <w:rsid w:val="00E033EE"/>
    <w:rsid w:val="00E0419F"/>
    <w:rsid w:val="00E04C4C"/>
    <w:rsid w:val="00E05082"/>
    <w:rsid w:val="00E0600B"/>
    <w:rsid w:val="00E07FE9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0022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37E82"/>
    <w:rsid w:val="00E4010C"/>
    <w:rsid w:val="00E4074A"/>
    <w:rsid w:val="00E41ED4"/>
    <w:rsid w:val="00E41FC9"/>
    <w:rsid w:val="00E43B99"/>
    <w:rsid w:val="00E44590"/>
    <w:rsid w:val="00E44929"/>
    <w:rsid w:val="00E44EC9"/>
    <w:rsid w:val="00E45A12"/>
    <w:rsid w:val="00E45BDB"/>
    <w:rsid w:val="00E45D36"/>
    <w:rsid w:val="00E46329"/>
    <w:rsid w:val="00E46656"/>
    <w:rsid w:val="00E5158A"/>
    <w:rsid w:val="00E51932"/>
    <w:rsid w:val="00E519B4"/>
    <w:rsid w:val="00E51A5A"/>
    <w:rsid w:val="00E532B7"/>
    <w:rsid w:val="00E535EE"/>
    <w:rsid w:val="00E56754"/>
    <w:rsid w:val="00E56A20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B88"/>
    <w:rsid w:val="00E70DAF"/>
    <w:rsid w:val="00E72EB7"/>
    <w:rsid w:val="00E7364F"/>
    <w:rsid w:val="00E745E1"/>
    <w:rsid w:val="00E747C7"/>
    <w:rsid w:val="00E74B01"/>
    <w:rsid w:val="00E751A0"/>
    <w:rsid w:val="00E76B3B"/>
    <w:rsid w:val="00E8009B"/>
    <w:rsid w:val="00E80404"/>
    <w:rsid w:val="00E806A9"/>
    <w:rsid w:val="00E808CB"/>
    <w:rsid w:val="00E813EF"/>
    <w:rsid w:val="00E8150E"/>
    <w:rsid w:val="00E82CE4"/>
    <w:rsid w:val="00E8311E"/>
    <w:rsid w:val="00E8312A"/>
    <w:rsid w:val="00E841D5"/>
    <w:rsid w:val="00E85A0E"/>
    <w:rsid w:val="00E86F4B"/>
    <w:rsid w:val="00E9057C"/>
    <w:rsid w:val="00E91533"/>
    <w:rsid w:val="00E91858"/>
    <w:rsid w:val="00E91A1D"/>
    <w:rsid w:val="00E91A4A"/>
    <w:rsid w:val="00E92DAE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5D53"/>
    <w:rsid w:val="00EB7629"/>
    <w:rsid w:val="00EC0723"/>
    <w:rsid w:val="00EC22B2"/>
    <w:rsid w:val="00EC32BA"/>
    <w:rsid w:val="00EC641D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4C3B"/>
    <w:rsid w:val="00EE53FB"/>
    <w:rsid w:val="00EE6C35"/>
    <w:rsid w:val="00EE6F08"/>
    <w:rsid w:val="00EF02FC"/>
    <w:rsid w:val="00EF0939"/>
    <w:rsid w:val="00EF1220"/>
    <w:rsid w:val="00EF1800"/>
    <w:rsid w:val="00EF219F"/>
    <w:rsid w:val="00EF29C8"/>
    <w:rsid w:val="00EF4053"/>
    <w:rsid w:val="00EF4314"/>
    <w:rsid w:val="00EF49E6"/>
    <w:rsid w:val="00EF4AF9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1D27"/>
    <w:rsid w:val="00F12E75"/>
    <w:rsid w:val="00F136C9"/>
    <w:rsid w:val="00F13B30"/>
    <w:rsid w:val="00F13ECF"/>
    <w:rsid w:val="00F14470"/>
    <w:rsid w:val="00F14920"/>
    <w:rsid w:val="00F15624"/>
    <w:rsid w:val="00F1608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0B34"/>
    <w:rsid w:val="00F31705"/>
    <w:rsid w:val="00F3197D"/>
    <w:rsid w:val="00F32BC9"/>
    <w:rsid w:val="00F3340F"/>
    <w:rsid w:val="00F34123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564C6"/>
    <w:rsid w:val="00F605FB"/>
    <w:rsid w:val="00F61279"/>
    <w:rsid w:val="00F6262C"/>
    <w:rsid w:val="00F63043"/>
    <w:rsid w:val="00F63A1E"/>
    <w:rsid w:val="00F63E01"/>
    <w:rsid w:val="00F641C0"/>
    <w:rsid w:val="00F6516D"/>
    <w:rsid w:val="00F6534A"/>
    <w:rsid w:val="00F6547E"/>
    <w:rsid w:val="00F65D47"/>
    <w:rsid w:val="00F66C58"/>
    <w:rsid w:val="00F66E66"/>
    <w:rsid w:val="00F66EF4"/>
    <w:rsid w:val="00F6739A"/>
    <w:rsid w:val="00F67C5A"/>
    <w:rsid w:val="00F72063"/>
    <w:rsid w:val="00F7229D"/>
    <w:rsid w:val="00F72632"/>
    <w:rsid w:val="00F731CA"/>
    <w:rsid w:val="00F734CE"/>
    <w:rsid w:val="00F74E6D"/>
    <w:rsid w:val="00F75404"/>
    <w:rsid w:val="00F75F2E"/>
    <w:rsid w:val="00F760CD"/>
    <w:rsid w:val="00F762D7"/>
    <w:rsid w:val="00F76BFA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6AF"/>
    <w:rsid w:val="00F92C26"/>
    <w:rsid w:val="00F92F68"/>
    <w:rsid w:val="00F93604"/>
    <w:rsid w:val="00F93CF0"/>
    <w:rsid w:val="00F9652B"/>
    <w:rsid w:val="00F96BFD"/>
    <w:rsid w:val="00FA117B"/>
    <w:rsid w:val="00FA1598"/>
    <w:rsid w:val="00FA196F"/>
    <w:rsid w:val="00FA23C8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2AB3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CB8"/>
    <w:rsid w:val="00FC4EF0"/>
    <w:rsid w:val="00FC5838"/>
    <w:rsid w:val="00FC639E"/>
    <w:rsid w:val="00FD0D54"/>
    <w:rsid w:val="00FD0E8A"/>
    <w:rsid w:val="00FD1173"/>
    <w:rsid w:val="00FD2309"/>
    <w:rsid w:val="00FD271B"/>
    <w:rsid w:val="00FD3F33"/>
    <w:rsid w:val="00FD5E11"/>
    <w:rsid w:val="00FD6300"/>
    <w:rsid w:val="00FD66D8"/>
    <w:rsid w:val="00FD687D"/>
    <w:rsid w:val="00FD6CDF"/>
    <w:rsid w:val="00FD792B"/>
    <w:rsid w:val="00FD79EF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133A"/>
    <w:rsid w:val="00FF16DA"/>
    <w:rsid w:val="00FF40CD"/>
    <w:rsid w:val="00FF4298"/>
    <w:rsid w:val="00FF4385"/>
    <w:rsid w:val="00FF473E"/>
    <w:rsid w:val="00FF4BA6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A9D0A1-D5FB-4591-A92A-DF23A44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iPriority="0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630A4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C46D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C46D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C46D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C46D4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A5261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locked/>
    <w:rsid w:val="00A52615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locked/>
    <w:rsid w:val="00A52615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locked/>
    <w:rsid w:val="00A52615"/>
    <w:rPr>
      <w:rFonts w:ascii="Arial" w:hAnsi="Arial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aliases w:val="!Равноширинный текст документа"/>
    <w:basedOn w:val="a"/>
    <w:link w:val="11"/>
    <w:semiHidden/>
    <w:rsid w:val="003C46D4"/>
    <w:rPr>
      <w:rFonts w:ascii="Courier" w:hAnsi="Courier"/>
      <w:sz w:val="22"/>
      <w:szCs w:val="20"/>
    </w:rPr>
  </w:style>
  <w:style w:type="character" w:customStyle="1" w:styleId="11">
    <w:name w:val="Текст примечания Знак1"/>
    <w:aliases w:val="!Равноширинный текст документа Знак"/>
    <w:basedOn w:val="a0"/>
    <w:link w:val="af6"/>
    <w:semiHidden/>
    <w:locked/>
    <w:rsid w:val="005B795C"/>
    <w:rPr>
      <w:rFonts w:ascii="Courier" w:hAnsi="Courier"/>
      <w:szCs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34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5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rsid w:val="003C46D4"/>
    <w:rPr>
      <w:color w:val="0000FF"/>
      <w:u w:val="non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5E3F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3">
    <w:name w:val="font13"/>
    <w:basedOn w:val="a"/>
    <w:rsid w:val="005E3F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4">
    <w:name w:val="font14"/>
    <w:basedOn w:val="a"/>
    <w:rsid w:val="00AA085B"/>
    <w:pPr>
      <w:spacing w:before="100" w:beforeAutospacing="1" w:after="100" w:afterAutospacing="1"/>
    </w:pPr>
    <w:rPr>
      <w:color w:val="FF0000"/>
      <w:sz w:val="18"/>
      <w:szCs w:val="18"/>
    </w:rPr>
  </w:style>
  <w:style w:type="character" w:styleId="HTML2">
    <w:name w:val="HTML Variable"/>
    <w:aliases w:val="!Ссылки в документе"/>
    <w:basedOn w:val="a0"/>
    <w:locked/>
    <w:rsid w:val="003C46D4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3C46D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C46D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C46D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C46D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Heading3Char">
    <w:name w:val="Heading 3 Char"/>
    <w:basedOn w:val="a0"/>
    <w:uiPriority w:val="9"/>
    <w:rsid w:val="0060439C"/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content\act\083f4def-093f-4fb9-a692-d40aa07014e1.doc" TargetMode="External"/><Relationship Id="rId117" Type="http://schemas.openxmlformats.org/officeDocument/2006/relationships/hyperlink" Target="file:///C:\content\act\a5312ae9-2d1b-4c6e-922b-7ae8c44f3762.docx" TargetMode="External"/><Relationship Id="rId21" Type="http://schemas.openxmlformats.org/officeDocument/2006/relationships/hyperlink" Target="file:///C:\content\act\f21d54a0-27c7-451c-97a0-50abfb47f9be.html" TargetMode="External"/><Relationship Id="rId42" Type="http://schemas.openxmlformats.org/officeDocument/2006/relationships/hyperlink" Target="file:///C:\content\act\ce4c71fc-19f7-465b-9dc4-2679d7ae5e7b.doc" TargetMode="External"/><Relationship Id="rId47" Type="http://schemas.openxmlformats.org/officeDocument/2006/relationships/hyperlink" Target="file:///C:\content\act\65b4a9d6-afed-4068-80a5-bc7545dea356.doc" TargetMode="External"/><Relationship Id="rId63" Type="http://schemas.openxmlformats.org/officeDocument/2006/relationships/hyperlink" Target="file:///C:\content\act\3c6cd220-e72d-4a4b-b519-e8aade142a8a.doc" TargetMode="External"/><Relationship Id="rId68" Type="http://schemas.openxmlformats.org/officeDocument/2006/relationships/hyperlink" Target="file:///C:\content\act\083f4def-093f-4fb9-a692-d40aa07014e1.doc" TargetMode="External"/><Relationship Id="rId84" Type="http://schemas.openxmlformats.org/officeDocument/2006/relationships/hyperlink" Target="file:///C:\content\act\30d5573b-3118-4b48-a2c3-69e07f736f75.docx" TargetMode="External"/><Relationship Id="rId89" Type="http://schemas.openxmlformats.org/officeDocument/2006/relationships/hyperlink" Target="file:///C:\content\act\083f4def-093f-4fb9-a692-d40aa07014e1.doc" TargetMode="External"/><Relationship Id="rId112" Type="http://schemas.openxmlformats.org/officeDocument/2006/relationships/hyperlink" Target="file:///C:\content\act\b6faf616-fcf6-4561-a94e-d146a8e6418a.html" TargetMode="External"/><Relationship Id="rId16" Type="http://schemas.openxmlformats.org/officeDocument/2006/relationships/hyperlink" Target="file:///C:\content\act\f5d9add2-cc36-4aac-9c8b-04ea3deb76c5.docx" TargetMode="External"/><Relationship Id="rId107" Type="http://schemas.openxmlformats.org/officeDocument/2006/relationships/hyperlink" Target="file:///C:\content\act\76ed80da-538e-4b9d-b846-272d18fa9d65.docx" TargetMode="External"/><Relationship Id="rId11" Type="http://schemas.openxmlformats.org/officeDocument/2006/relationships/hyperlink" Target="file:///C:\content\act\84b23cdd-1c73-4167-8565-b54f9a2e1d5c.docx" TargetMode="External"/><Relationship Id="rId32" Type="http://schemas.openxmlformats.org/officeDocument/2006/relationships/hyperlink" Target="file:///C:\content\act\083f4def-093f-4fb9-a692-d40aa07014e1.doc" TargetMode="External"/><Relationship Id="rId37" Type="http://schemas.openxmlformats.org/officeDocument/2006/relationships/hyperlink" Target="file:///C:\content\act\f95e5788-8d6e-4559-8ecd-1663a012c787.doc" TargetMode="External"/><Relationship Id="rId53" Type="http://schemas.openxmlformats.org/officeDocument/2006/relationships/hyperlink" Target="file:///C:\content\act\61f1b283-2875-4318-8ad9-88e7580a73a9.doc" TargetMode="External"/><Relationship Id="rId58" Type="http://schemas.openxmlformats.org/officeDocument/2006/relationships/hyperlink" Target="file:///C:\content\act\c9f336e3-0302-4e22-a79b-a9bc48f60c82.doc" TargetMode="External"/><Relationship Id="rId74" Type="http://schemas.openxmlformats.org/officeDocument/2006/relationships/hyperlink" Target="file:///C:\content\act\30d5573b-3118-4b48-a2c3-69e07f736f75.docx" TargetMode="External"/><Relationship Id="rId79" Type="http://schemas.openxmlformats.org/officeDocument/2006/relationships/hyperlink" Target="file:///C:\content\act\f95e5788-8d6e-4559-8ecd-1663a012c787.doc" TargetMode="External"/><Relationship Id="rId102" Type="http://schemas.openxmlformats.org/officeDocument/2006/relationships/footer" Target="footer2.xml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file:///C:\content\act\61f1b283-2875-4318-8ad9-88e7580a73a9.doc" TargetMode="External"/><Relationship Id="rId82" Type="http://schemas.openxmlformats.org/officeDocument/2006/relationships/hyperlink" Target="file:///C:\content\act\3c6cd220-e72d-4a4b-b519-e8aade142a8a.doc" TargetMode="External"/><Relationship Id="rId90" Type="http://schemas.openxmlformats.org/officeDocument/2006/relationships/hyperlink" Target="file:///C:\content\act\f95e5788-8d6e-4559-8ecd-1663a012c787.doc" TargetMode="External"/><Relationship Id="rId95" Type="http://schemas.openxmlformats.org/officeDocument/2006/relationships/hyperlink" Target="file:///C:\content\act\30d5573b-3118-4b48-a2c3-69e07f736f75.docx" TargetMode="External"/><Relationship Id="rId19" Type="http://schemas.openxmlformats.org/officeDocument/2006/relationships/hyperlink" Target="file:///C:\content\act\8f21b21c-a408-42c4-b9fe-a939b863c84a.html" TargetMode="External"/><Relationship Id="rId14" Type="http://schemas.openxmlformats.org/officeDocument/2006/relationships/hyperlink" Target="file:///C:\content\act\5f4b8ada-a6c0-43ab-b834-c6e2e49c1a44.docx" TargetMode="External"/><Relationship Id="rId22" Type="http://schemas.openxmlformats.org/officeDocument/2006/relationships/hyperlink" Target="file:///C:\content\act\e682fa86-b46e-4f62-ae91-e9da3de6249a.docx" TargetMode="External"/><Relationship Id="rId27" Type="http://schemas.openxmlformats.org/officeDocument/2006/relationships/hyperlink" Target="file:///C:\content\act\ce4c71fc-19f7-465b-9dc4-2679d7ae5e7b.doc" TargetMode="External"/><Relationship Id="rId30" Type="http://schemas.openxmlformats.org/officeDocument/2006/relationships/hyperlink" Target="file:///C:\content\act\ce4c71fc-19f7-465b-9dc4-2679d7ae5e7b.doc" TargetMode="External"/><Relationship Id="rId35" Type="http://schemas.openxmlformats.org/officeDocument/2006/relationships/hyperlink" Target="file:///C:\content\act\c9f336e3-0302-4e22-a79b-a9bc48f60c82.doc" TargetMode="External"/><Relationship Id="rId43" Type="http://schemas.openxmlformats.org/officeDocument/2006/relationships/hyperlink" Target="file:///C:\content\act\c9f336e3-0302-4e22-a79b-a9bc48f60c82.doc" TargetMode="External"/><Relationship Id="rId48" Type="http://schemas.openxmlformats.org/officeDocument/2006/relationships/hyperlink" Target="file:///C:\content\act\da065693-4306-4794-ba41-631033464ec3.docx" TargetMode="External"/><Relationship Id="rId56" Type="http://schemas.openxmlformats.org/officeDocument/2006/relationships/hyperlink" Target="file:///C:\content\act\30d5573b-3118-4b48-a2c3-69e07f736f75.docx" TargetMode="External"/><Relationship Id="rId64" Type="http://schemas.openxmlformats.org/officeDocument/2006/relationships/hyperlink" Target="file:///C:\content\act\da065693-4306-4794-ba41-631033464ec3.docx" TargetMode="External"/><Relationship Id="rId69" Type="http://schemas.openxmlformats.org/officeDocument/2006/relationships/hyperlink" Target="file:///C:\content\act\f95e5788-8d6e-4559-8ecd-1663a012c787.doc" TargetMode="External"/><Relationship Id="rId77" Type="http://schemas.openxmlformats.org/officeDocument/2006/relationships/hyperlink" Target="file:///C:\content\act\c9f336e3-0302-4e22-a79b-a9bc48f60c82.doc" TargetMode="External"/><Relationship Id="rId100" Type="http://schemas.openxmlformats.org/officeDocument/2006/relationships/header" Target="header2.xml"/><Relationship Id="rId105" Type="http://schemas.openxmlformats.org/officeDocument/2006/relationships/hyperlink" Target="file:///C:\content\act\84b23cdd-1c73-4167-8565-b54f9a2e1d5c.docx" TargetMode="External"/><Relationship Id="rId113" Type="http://schemas.openxmlformats.org/officeDocument/2006/relationships/hyperlink" Target="file:///C:\content\act\b6faf616-fcf6-4561-a94e-d146a8e6418a.html" TargetMode="External"/><Relationship Id="rId118" Type="http://schemas.openxmlformats.org/officeDocument/2006/relationships/hyperlink" Target="file:///C:\content\act\f5d9add2-cc36-4aac-9c8b-04ea3deb76c5.docx" TargetMode="External"/><Relationship Id="rId8" Type="http://schemas.openxmlformats.org/officeDocument/2006/relationships/hyperlink" Target="file:///C:\content\act\e650cef9-3808-494d-80bb-1b9060a33a1e.docx" TargetMode="External"/><Relationship Id="rId51" Type="http://schemas.openxmlformats.org/officeDocument/2006/relationships/hyperlink" Target="file:///C:\content\act\083f4def-093f-4fb9-a692-d40aa07014e1.doc" TargetMode="External"/><Relationship Id="rId72" Type="http://schemas.openxmlformats.org/officeDocument/2006/relationships/hyperlink" Target="file:///C:\content\act\3c6cd220-e72d-4a4b-b519-e8aade142a8a.doc" TargetMode="External"/><Relationship Id="rId80" Type="http://schemas.openxmlformats.org/officeDocument/2006/relationships/hyperlink" Target="file:///C:\content\act\61f1b283-2875-4318-8ad9-88e7580a73a9.doc" TargetMode="External"/><Relationship Id="rId85" Type="http://schemas.openxmlformats.org/officeDocument/2006/relationships/hyperlink" Target="file:///C:\content\act\0e15bbe2-3fc4-47af-b790-a0f5409a74ff.docx" TargetMode="External"/><Relationship Id="rId93" Type="http://schemas.openxmlformats.org/officeDocument/2006/relationships/hyperlink" Target="file:///C:\content\act\3c6cd220-e72d-4a4b-b519-e8aade142a8a.doc" TargetMode="External"/><Relationship Id="rId98" Type="http://schemas.openxmlformats.org/officeDocument/2006/relationships/hyperlink" Target="file:///C:\content\act\5f4b8ada-a6c0-43ab-b834-c6e2e49c1a44.docx" TargetMode="External"/><Relationship Id="rId121" Type="http://schemas.openxmlformats.org/officeDocument/2006/relationships/header" Target="header4.xml"/><Relationship Id="rId3" Type="http://schemas.openxmlformats.org/officeDocument/2006/relationships/styles" Target="styles.xml"/><Relationship Id="rId12" Type="http://schemas.openxmlformats.org/officeDocument/2006/relationships/hyperlink" Target="file:///C:\content\act\b7c0f52b-e69a-4afe-9ecb-8c41eecfc9fa.docx" TargetMode="External"/><Relationship Id="rId17" Type="http://schemas.openxmlformats.org/officeDocument/2006/relationships/hyperlink" Target="file:///C:\content\act\76ed80da-538e-4b9d-b846-272d18fa9d65.docx" TargetMode="External"/><Relationship Id="rId25" Type="http://schemas.openxmlformats.org/officeDocument/2006/relationships/hyperlink" Target="file:///C:\content\act\ce4c71fc-19f7-465b-9dc4-2679d7ae5e7b.doc" TargetMode="External"/><Relationship Id="rId33" Type="http://schemas.openxmlformats.org/officeDocument/2006/relationships/hyperlink" Target="file:///C:\content\act\61f1b283-2875-4318-8ad9-88e7580a73a9.doc" TargetMode="External"/><Relationship Id="rId38" Type="http://schemas.openxmlformats.org/officeDocument/2006/relationships/hyperlink" Target="file:///C:\content\act\61f1b283-2875-4318-8ad9-88e7580a73a9.doc" TargetMode="External"/><Relationship Id="rId46" Type="http://schemas.openxmlformats.org/officeDocument/2006/relationships/hyperlink" Target="file:///C:\content\act\61f1b283-2875-4318-8ad9-88e7580a73a9.doc" TargetMode="External"/><Relationship Id="rId59" Type="http://schemas.openxmlformats.org/officeDocument/2006/relationships/hyperlink" Target="file:///C:\content\act\083f4def-093f-4fb9-a692-d40aa07014e1.doc" TargetMode="External"/><Relationship Id="rId67" Type="http://schemas.openxmlformats.org/officeDocument/2006/relationships/hyperlink" Target="file:///C:\content\act\c9f336e3-0302-4e22-a79b-a9bc48f60c82.doc" TargetMode="External"/><Relationship Id="rId103" Type="http://schemas.openxmlformats.org/officeDocument/2006/relationships/header" Target="header3.xml"/><Relationship Id="rId108" Type="http://schemas.openxmlformats.org/officeDocument/2006/relationships/hyperlink" Target="file:///C:\content\act\a5312ae9-2d1b-4c6e-922b-7ae8c44f3762.docx" TargetMode="External"/><Relationship Id="rId116" Type="http://schemas.openxmlformats.org/officeDocument/2006/relationships/hyperlink" Target="file:///C:\content\act\a5312ae9-2d1b-4c6e-922b-7ae8c44f3762.docx" TargetMode="External"/><Relationship Id="rId20" Type="http://schemas.openxmlformats.org/officeDocument/2006/relationships/hyperlink" Target="file:///C:\content\act\b6faf616-fcf6-4561-a94e-d146a8e6418a.html" TargetMode="External"/><Relationship Id="rId41" Type="http://schemas.openxmlformats.org/officeDocument/2006/relationships/hyperlink" Target="file:///C:\content\act\3c6cd220-e72d-4a4b-b519-e8aade142a8a.doc" TargetMode="External"/><Relationship Id="rId54" Type="http://schemas.openxmlformats.org/officeDocument/2006/relationships/hyperlink" Target="file:///C:\content\act\65b4a9d6-afed-4068-80a5-bc7545dea356.doc" TargetMode="External"/><Relationship Id="rId62" Type="http://schemas.openxmlformats.org/officeDocument/2006/relationships/hyperlink" Target="file:///C:\content\act\65b4a9d6-afed-4068-80a5-bc7545dea356.doc" TargetMode="External"/><Relationship Id="rId70" Type="http://schemas.openxmlformats.org/officeDocument/2006/relationships/hyperlink" Target="file:///C:\content\act\61f1b283-2875-4318-8ad9-88e7580a73a9.doc" TargetMode="External"/><Relationship Id="rId75" Type="http://schemas.openxmlformats.org/officeDocument/2006/relationships/hyperlink" Target="file:///C:\content\act\0d46dd42-7133-402d-9087-c9baff0c5348.docx" TargetMode="External"/><Relationship Id="rId83" Type="http://schemas.openxmlformats.org/officeDocument/2006/relationships/hyperlink" Target="file:///C:\content\act\da065693-4306-4794-ba41-631033464ec3.docx" TargetMode="External"/><Relationship Id="rId88" Type="http://schemas.openxmlformats.org/officeDocument/2006/relationships/hyperlink" Target="file:///C:\content\act\c9f336e3-0302-4e22-a79b-a9bc48f60c82.doc" TargetMode="External"/><Relationship Id="rId91" Type="http://schemas.openxmlformats.org/officeDocument/2006/relationships/hyperlink" Target="file:///C:\content\act\61f1b283-2875-4318-8ad9-88e7580a73a9.doc" TargetMode="External"/><Relationship Id="rId96" Type="http://schemas.openxmlformats.org/officeDocument/2006/relationships/hyperlink" Target="file:///C:\content\act\0e15bbe2-3fc4-47af-b790-a0f5409a74ff.docx" TargetMode="External"/><Relationship Id="rId111" Type="http://schemas.openxmlformats.org/officeDocument/2006/relationships/hyperlink" Target="file:///C:\content\act\72b687db-55cf-4dcc-a6e3-3e2fb2117f8c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content\act\84b23cdd-1c73-4167-8565-b54f9a2e1d5c.docx" TargetMode="External"/><Relationship Id="rId23" Type="http://schemas.openxmlformats.org/officeDocument/2006/relationships/hyperlink" Target="file:///C:\content\act\ce4c71fc-19f7-465b-9dc4-2679d7ae5e7b.doc" TargetMode="External"/><Relationship Id="rId28" Type="http://schemas.openxmlformats.org/officeDocument/2006/relationships/hyperlink" Target="file:///C:\content\act\c9f336e3-0302-4e22-a79b-a9bc48f60c82.doc" TargetMode="External"/><Relationship Id="rId36" Type="http://schemas.openxmlformats.org/officeDocument/2006/relationships/hyperlink" Target="file:///C:\content\act\083f4def-093f-4fb9-a692-d40aa07014e1.doc" TargetMode="External"/><Relationship Id="rId49" Type="http://schemas.openxmlformats.org/officeDocument/2006/relationships/hyperlink" Target="file:///C:\content\act\ce4c71fc-19f7-465b-9dc4-2679d7ae5e7b.doc" TargetMode="External"/><Relationship Id="rId57" Type="http://schemas.openxmlformats.org/officeDocument/2006/relationships/hyperlink" Target="file:///C:\content\act\ce4c71fc-19f7-465b-9dc4-2679d7ae5e7b.doc" TargetMode="External"/><Relationship Id="rId106" Type="http://schemas.openxmlformats.org/officeDocument/2006/relationships/hyperlink" Target="file:///C:\content\act\f5d9add2-cc36-4aac-9c8b-04ea3deb76c5.docx" TargetMode="External"/><Relationship Id="rId114" Type="http://schemas.openxmlformats.org/officeDocument/2006/relationships/hyperlink" Target="file:///C:\content\act\a5312ae9-2d1b-4c6e-922b-7ae8c44f3762.docx" TargetMode="External"/><Relationship Id="rId119" Type="http://schemas.openxmlformats.org/officeDocument/2006/relationships/hyperlink" Target="file:///C:\content\act\76ed80da-538e-4b9d-b846-272d18fa9d65.docx" TargetMode="External"/><Relationship Id="rId10" Type="http://schemas.openxmlformats.org/officeDocument/2006/relationships/hyperlink" Target="file:///C:\content\act\d488cc27-9679-4c14-b166-2c876303dc64.docx" TargetMode="External"/><Relationship Id="rId31" Type="http://schemas.openxmlformats.org/officeDocument/2006/relationships/hyperlink" Target="file:///C:\content\act\c9f336e3-0302-4e22-a79b-a9bc48f60c82.doc" TargetMode="External"/><Relationship Id="rId44" Type="http://schemas.openxmlformats.org/officeDocument/2006/relationships/hyperlink" Target="file:///C:\content\act\083f4def-093f-4fb9-a692-d40aa07014e1.doc" TargetMode="External"/><Relationship Id="rId52" Type="http://schemas.openxmlformats.org/officeDocument/2006/relationships/hyperlink" Target="file:///C:\content\act\f95e5788-8d6e-4559-8ecd-1663a012c787.doc" TargetMode="External"/><Relationship Id="rId60" Type="http://schemas.openxmlformats.org/officeDocument/2006/relationships/hyperlink" Target="file:///C:\content\act\f95e5788-8d6e-4559-8ecd-1663a012c787.doc" TargetMode="External"/><Relationship Id="rId65" Type="http://schemas.openxmlformats.org/officeDocument/2006/relationships/hyperlink" Target="file:///C:\content\act\0e15bbe2-3fc4-47af-b790-a0f5409a74ff.docx" TargetMode="External"/><Relationship Id="rId73" Type="http://schemas.openxmlformats.org/officeDocument/2006/relationships/hyperlink" Target="file:///C:\content\act\da065693-4306-4794-ba41-631033464ec3.docx" TargetMode="External"/><Relationship Id="rId78" Type="http://schemas.openxmlformats.org/officeDocument/2006/relationships/hyperlink" Target="file:///C:\content\act\083f4def-093f-4fb9-a692-d40aa07014e1.doc" TargetMode="External"/><Relationship Id="rId81" Type="http://schemas.openxmlformats.org/officeDocument/2006/relationships/hyperlink" Target="file:///C:\content\act\65b4a9d6-afed-4068-80a5-bc7545dea356.doc" TargetMode="External"/><Relationship Id="rId86" Type="http://schemas.openxmlformats.org/officeDocument/2006/relationships/hyperlink" Target="file:///C:\content\act\acf85ade-923d-4a46-91b1-7c67515820cb.docx" TargetMode="External"/><Relationship Id="rId94" Type="http://schemas.openxmlformats.org/officeDocument/2006/relationships/hyperlink" Target="file:///C:\content\act\da065693-4306-4794-ba41-631033464ec3.docx" TargetMode="External"/><Relationship Id="rId99" Type="http://schemas.openxmlformats.org/officeDocument/2006/relationships/header" Target="header1.xml"/><Relationship Id="rId101" Type="http://schemas.openxmlformats.org/officeDocument/2006/relationships/footer" Target="footer1.xml"/><Relationship Id="rId12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content\act\84b23cdd-1c73-4167-8565-b54f9a2e1d5c.docx" TargetMode="External"/><Relationship Id="rId13" Type="http://schemas.openxmlformats.org/officeDocument/2006/relationships/hyperlink" Target="file:///C:\content\act\84b23cdd-1c73-4167-8565-b54f9a2e1d5c.docx" TargetMode="External"/><Relationship Id="rId18" Type="http://schemas.openxmlformats.org/officeDocument/2006/relationships/hyperlink" Target="file:///C:\content\act\a5312ae9-2d1b-4c6e-922b-7ae8c44f3762.docx" TargetMode="External"/><Relationship Id="rId39" Type="http://schemas.openxmlformats.org/officeDocument/2006/relationships/hyperlink" Target="file:///C:\content\act\65b4a9d6-afed-4068-80a5-bc7545dea356.doc" TargetMode="External"/><Relationship Id="rId109" Type="http://schemas.openxmlformats.org/officeDocument/2006/relationships/hyperlink" Target="file:///C:\content\act\23887d00-6d86-441e-8db1-09d00c8bd994.html" TargetMode="External"/><Relationship Id="rId34" Type="http://schemas.openxmlformats.org/officeDocument/2006/relationships/hyperlink" Target="file:///C:\content\act\ce4c71fc-19f7-465b-9dc4-2679d7ae5e7b.doc" TargetMode="External"/><Relationship Id="rId50" Type="http://schemas.openxmlformats.org/officeDocument/2006/relationships/hyperlink" Target="file:///C:\content\act\c9f336e3-0302-4e22-a79b-a9bc48f60c82.doc" TargetMode="External"/><Relationship Id="rId55" Type="http://schemas.openxmlformats.org/officeDocument/2006/relationships/hyperlink" Target="file:///C:\content\act\3c6cd220-e72d-4a4b-b519-e8aade142a8a.doc" TargetMode="External"/><Relationship Id="rId76" Type="http://schemas.openxmlformats.org/officeDocument/2006/relationships/hyperlink" Target="file:///C:\content\act\ce4c71fc-19f7-465b-9dc4-2679d7ae5e7b.doc" TargetMode="External"/><Relationship Id="rId97" Type="http://schemas.openxmlformats.org/officeDocument/2006/relationships/hyperlink" Target="file:///C:\content\act\0d46dd42-7133-402d-9087-c9baff0c5348.docx" TargetMode="External"/><Relationship Id="rId104" Type="http://schemas.openxmlformats.org/officeDocument/2006/relationships/footer" Target="footer3.xml"/><Relationship Id="rId120" Type="http://schemas.openxmlformats.org/officeDocument/2006/relationships/hyperlink" Target="file:///C:\content\act\a5312ae9-2d1b-4c6e-922b-7ae8c44f3762.docx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C:\content\act\65b4a9d6-afed-4068-80a5-bc7545dea356.doc" TargetMode="External"/><Relationship Id="rId92" Type="http://schemas.openxmlformats.org/officeDocument/2006/relationships/hyperlink" Target="file:///C:\content\act\65b4a9d6-afed-4068-80a5-bc7545dea356.doc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content\act\f95e5788-8d6e-4559-8ecd-1663a012c787.doc" TargetMode="External"/><Relationship Id="rId24" Type="http://schemas.openxmlformats.org/officeDocument/2006/relationships/hyperlink" Target="file:///C:\content\act\c9f336e3-0302-4e22-a79b-a9bc48f60c82.doc" TargetMode="External"/><Relationship Id="rId40" Type="http://schemas.openxmlformats.org/officeDocument/2006/relationships/hyperlink" Target="file:///C:\content\act\ce4c71fc-19f7-465b-9dc4-2679d7ae5e7b.doc" TargetMode="External"/><Relationship Id="rId45" Type="http://schemas.openxmlformats.org/officeDocument/2006/relationships/hyperlink" Target="file:///C:\content\act\f95e5788-8d6e-4559-8ecd-1663a012c787.doc" TargetMode="External"/><Relationship Id="rId66" Type="http://schemas.openxmlformats.org/officeDocument/2006/relationships/hyperlink" Target="file:///C:\content\act\ce4c71fc-19f7-465b-9dc4-2679d7ae5e7b.doc" TargetMode="External"/><Relationship Id="rId87" Type="http://schemas.openxmlformats.org/officeDocument/2006/relationships/hyperlink" Target="file:///C:\content\act\ce4c71fc-19f7-465b-9dc4-2679d7ae5e7b.doc" TargetMode="External"/><Relationship Id="rId110" Type="http://schemas.openxmlformats.org/officeDocument/2006/relationships/hyperlink" Target="file:///C:\content\act\b6faf616-fcf6-4561-a94e-d146a8e6418a.html" TargetMode="External"/><Relationship Id="rId115" Type="http://schemas.openxmlformats.org/officeDocument/2006/relationships/hyperlink" Target="file:///C:\content\act\a5312ae9-2d1b-4c6e-922b-7ae8c44f3762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1B3B1-A410-415E-A2F1-89377A86E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16</Pages>
  <Words>5929</Words>
  <Characters>33801</Characters>
  <Application>Microsoft Office Word</Application>
  <DocSecurity>0</DocSecurity>
  <Lines>281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39651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Ксения Алексейцева</cp:lastModifiedBy>
  <cp:revision>2</cp:revision>
  <cp:lastPrinted>2023-12-28T11:08:00Z</cp:lastPrinted>
  <dcterms:created xsi:type="dcterms:W3CDTF">2026-03-24T11:21:00Z</dcterms:created>
  <dcterms:modified xsi:type="dcterms:W3CDTF">2026-03-24T11:21:00Z</dcterms:modified>
</cp:coreProperties>
</file>