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F19" w:rsidRPr="00590F19" w:rsidRDefault="00590F19">
      <w:pPr>
        <w:pStyle w:val="ConsPlusTitlePage"/>
        <w:rPr>
          <w:rFonts w:ascii="Times New Roman" w:hAnsi="Times New Roman" w:cs="Times New Roman"/>
          <w:sz w:val="26"/>
          <w:szCs w:val="26"/>
        </w:rPr>
      </w:pPr>
    </w:p>
    <w:p w:rsidR="00590F19" w:rsidRPr="00590F19" w:rsidRDefault="00590F19">
      <w:pPr>
        <w:pStyle w:val="ConsPlusNormal"/>
        <w:jc w:val="both"/>
        <w:outlineLvl w:val="0"/>
        <w:rPr>
          <w:rFonts w:ascii="Times New Roman" w:hAnsi="Times New Roman" w:cs="Times New Roman"/>
          <w:sz w:val="26"/>
          <w:szCs w:val="26"/>
        </w:rPr>
      </w:pPr>
    </w:p>
    <w:p w:rsidR="00590F19" w:rsidRPr="00590F19" w:rsidRDefault="00590F19">
      <w:pPr>
        <w:pStyle w:val="ConsPlusTitle"/>
        <w:jc w:val="center"/>
        <w:outlineLvl w:val="0"/>
        <w:rPr>
          <w:rFonts w:ascii="Times New Roman" w:hAnsi="Times New Roman" w:cs="Times New Roman"/>
          <w:sz w:val="26"/>
          <w:szCs w:val="26"/>
        </w:rPr>
      </w:pPr>
      <w:r w:rsidRPr="00590F19">
        <w:rPr>
          <w:rFonts w:ascii="Times New Roman" w:hAnsi="Times New Roman" w:cs="Times New Roman"/>
          <w:sz w:val="26"/>
          <w:szCs w:val="26"/>
        </w:rPr>
        <w:t>ПРАВИТЕЛЬСТВО РОССИЙСКОЙ ФЕДЕРАЦИИ</w:t>
      </w:r>
    </w:p>
    <w:p w:rsidR="00590F19" w:rsidRPr="00590F19" w:rsidRDefault="00590F19">
      <w:pPr>
        <w:pStyle w:val="ConsPlusTitle"/>
        <w:jc w:val="center"/>
        <w:rPr>
          <w:rFonts w:ascii="Times New Roman" w:hAnsi="Times New Roman" w:cs="Times New Roman"/>
          <w:sz w:val="26"/>
          <w:szCs w:val="26"/>
        </w:rPr>
      </w:pPr>
    </w:p>
    <w:p w:rsidR="00590F19" w:rsidRPr="00590F19" w:rsidRDefault="00590F19">
      <w:pPr>
        <w:pStyle w:val="ConsPlusTitle"/>
        <w:jc w:val="center"/>
        <w:rPr>
          <w:rFonts w:ascii="Times New Roman" w:hAnsi="Times New Roman" w:cs="Times New Roman"/>
          <w:sz w:val="26"/>
          <w:szCs w:val="26"/>
        </w:rPr>
      </w:pPr>
      <w:r w:rsidRPr="00590F19">
        <w:rPr>
          <w:rFonts w:ascii="Times New Roman" w:hAnsi="Times New Roman" w:cs="Times New Roman"/>
          <w:sz w:val="26"/>
          <w:szCs w:val="26"/>
        </w:rPr>
        <w:t>РАСПОРЯЖЕНИЕ</w:t>
      </w:r>
    </w:p>
    <w:p w:rsidR="00590F19" w:rsidRPr="00590F19" w:rsidRDefault="00590F19">
      <w:pPr>
        <w:pStyle w:val="ConsPlusTitle"/>
        <w:jc w:val="center"/>
        <w:rPr>
          <w:rFonts w:ascii="Times New Roman" w:hAnsi="Times New Roman" w:cs="Times New Roman"/>
          <w:sz w:val="26"/>
          <w:szCs w:val="26"/>
        </w:rPr>
      </w:pPr>
      <w:r w:rsidRPr="00590F19">
        <w:rPr>
          <w:rFonts w:ascii="Times New Roman" w:hAnsi="Times New Roman" w:cs="Times New Roman"/>
          <w:sz w:val="26"/>
          <w:szCs w:val="26"/>
        </w:rPr>
        <w:t>от 24 октября 2023 г. N 2958-р</w:t>
      </w:r>
    </w:p>
    <w:p w:rsidR="00590F19" w:rsidRPr="00590F19" w:rsidRDefault="00590F19">
      <w:pPr>
        <w:pStyle w:val="ConsPlusNormal"/>
        <w:spacing w:after="1"/>
        <w:rPr>
          <w:rFonts w:ascii="Times New Roman" w:hAnsi="Times New Roman" w:cs="Times New Roman"/>
          <w:sz w:val="26"/>
          <w:szCs w:val="26"/>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90F19" w:rsidRPr="00590F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0F19" w:rsidRPr="00590F19" w:rsidRDefault="00590F19">
            <w:pPr>
              <w:pStyle w:val="ConsPlusNormal"/>
              <w:rPr>
                <w:rFonts w:ascii="Times New Roman" w:hAnsi="Times New Roman" w:cs="Times New Roman"/>
                <w:sz w:val="26"/>
                <w:szCs w:val="26"/>
              </w:rPr>
            </w:pPr>
          </w:p>
        </w:tc>
        <w:tc>
          <w:tcPr>
            <w:tcW w:w="113" w:type="dxa"/>
            <w:tcBorders>
              <w:top w:val="nil"/>
              <w:left w:val="nil"/>
              <w:bottom w:val="nil"/>
              <w:right w:val="nil"/>
            </w:tcBorders>
            <w:shd w:val="clear" w:color="auto" w:fill="F4F3F8"/>
            <w:tcMar>
              <w:top w:w="0" w:type="dxa"/>
              <w:left w:w="0" w:type="dxa"/>
              <w:bottom w:w="0" w:type="dxa"/>
              <w:right w:w="0" w:type="dxa"/>
            </w:tcMar>
          </w:tcPr>
          <w:p w:rsidR="00590F19" w:rsidRPr="00590F19" w:rsidRDefault="00590F19">
            <w:pPr>
              <w:pStyle w:val="ConsPlusNormal"/>
              <w:rPr>
                <w:rFonts w:ascii="Times New Roman" w:hAnsi="Times New Roman" w:cs="Times New Roman"/>
                <w:sz w:val="26"/>
                <w:szCs w:val="26"/>
              </w:rPr>
            </w:pPr>
          </w:p>
        </w:tc>
        <w:tc>
          <w:tcPr>
            <w:tcW w:w="0" w:type="auto"/>
            <w:tcBorders>
              <w:top w:val="nil"/>
              <w:left w:val="nil"/>
              <w:bottom w:val="nil"/>
              <w:right w:val="nil"/>
            </w:tcBorders>
            <w:shd w:val="clear" w:color="auto" w:fill="F4F3F8"/>
            <w:tcMar>
              <w:top w:w="113" w:type="dxa"/>
              <w:left w:w="0" w:type="dxa"/>
              <w:bottom w:w="113" w:type="dxa"/>
              <w:right w:w="0" w:type="dxa"/>
            </w:tcMar>
          </w:tcPr>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color w:val="392C69"/>
                <w:sz w:val="26"/>
                <w:szCs w:val="26"/>
              </w:rPr>
              <w:t>Список изменяющих документов</w:t>
            </w:r>
          </w:p>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color w:val="392C69"/>
                <w:sz w:val="26"/>
                <w:szCs w:val="26"/>
              </w:rPr>
              <w:t xml:space="preserve">(в ред. </w:t>
            </w:r>
            <w:hyperlink r:id="rId4">
              <w:r w:rsidRPr="00590F19">
                <w:rPr>
                  <w:rFonts w:ascii="Times New Roman" w:hAnsi="Times New Roman" w:cs="Times New Roman"/>
                  <w:color w:val="0000FF"/>
                  <w:sz w:val="26"/>
                  <w:szCs w:val="26"/>
                </w:rPr>
                <w:t>распоряжения</w:t>
              </w:r>
            </w:hyperlink>
            <w:r w:rsidRPr="00590F19">
              <w:rPr>
                <w:rFonts w:ascii="Times New Roman" w:hAnsi="Times New Roman" w:cs="Times New Roman"/>
                <w:color w:val="392C69"/>
                <w:sz w:val="26"/>
                <w:szCs w:val="26"/>
              </w:rPr>
              <w:t xml:space="preserve"> Правительства РФ от 15.10.2025 N 2868-р)</w:t>
            </w:r>
          </w:p>
        </w:tc>
        <w:tc>
          <w:tcPr>
            <w:tcW w:w="113" w:type="dxa"/>
            <w:tcBorders>
              <w:top w:val="nil"/>
              <w:left w:val="nil"/>
              <w:bottom w:val="nil"/>
              <w:right w:val="nil"/>
            </w:tcBorders>
            <w:shd w:val="clear" w:color="auto" w:fill="F4F3F8"/>
            <w:tcMar>
              <w:top w:w="0" w:type="dxa"/>
              <w:left w:w="0" w:type="dxa"/>
              <w:bottom w:w="0" w:type="dxa"/>
              <w:right w:w="0" w:type="dxa"/>
            </w:tcMar>
          </w:tcPr>
          <w:p w:rsidR="00590F19" w:rsidRPr="00590F19" w:rsidRDefault="00590F19">
            <w:pPr>
              <w:pStyle w:val="ConsPlusNormal"/>
              <w:rPr>
                <w:rFonts w:ascii="Times New Roman" w:hAnsi="Times New Roman" w:cs="Times New Roman"/>
                <w:sz w:val="26"/>
                <w:szCs w:val="26"/>
              </w:rPr>
            </w:pPr>
          </w:p>
        </w:tc>
      </w:tr>
    </w:tbl>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1. Утвердить прилагаемую разработанную совместно с Банком России и одобренную Советом директоров Банка России </w:t>
      </w:r>
      <w:hyperlink w:anchor="P27">
        <w:r w:rsidRPr="00590F19">
          <w:rPr>
            <w:rFonts w:ascii="Times New Roman" w:hAnsi="Times New Roman" w:cs="Times New Roman"/>
            <w:color w:val="0000FF"/>
            <w:sz w:val="26"/>
            <w:szCs w:val="26"/>
          </w:rPr>
          <w:t>Стратегию</w:t>
        </w:r>
      </w:hyperlink>
      <w:r w:rsidRPr="00590F19">
        <w:rPr>
          <w:rFonts w:ascii="Times New Roman" w:hAnsi="Times New Roman" w:cs="Times New Roman"/>
          <w:sz w:val="26"/>
          <w:szCs w:val="26"/>
        </w:rPr>
        <w:t xml:space="preserve"> повышения финансовой грамотности и формирования финансовой культуры до 2030 года (далее - Стратегия).</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2. Минфину России совместно с Банком России разработать с привлечением заинтересованных федеральных органов исполнительной власти и организаций и утвердить в 2-месячный срок </w:t>
      </w:r>
      <w:hyperlink r:id="rId5">
        <w:r w:rsidRPr="00590F19">
          <w:rPr>
            <w:rFonts w:ascii="Times New Roman" w:hAnsi="Times New Roman" w:cs="Times New Roman"/>
            <w:color w:val="0000FF"/>
            <w:sz w:val="26"/>
            <w:szCs w:val="26"/>
          </w:rPr>
          <w:t>план</w:t>
        </w:r>
      </w:hyperlink>
      <w:r w:rsidRPr="00590F19">
        <w:rPr>
          <w:rFonts w:ascii="Times New Roman" w:hAnsi="Times New Roman" w:cs="Times New Roman"/>
          <w:sz w:val="26"/>
          <w:szCs w:val="26"/>
        </w:rPr>
        <w:t xml:space="preserve"> мероприятий ("дорожную карту") по реализации </w:t>
      </w:r>
      <w:hyperlink w:anchor="P27">
        <w:r w:rsidRPr="00590F19">
          <w:rPr>
            <w:rFonts w:ascii="Times New Roman" w:hAnsi="Times New Roman" w:cs="Times New Roman"/>
            <w:color w:val="0000FF"/>
            <w:sz w:val="26"/>
            <w:szCs w:val="26"/>
          </w:rPr>
          <w:t>Стратегии</w:t>
        </w:r>
      </w:hyperlink>
      <w:r w:rsidRPr="00590F19">
        <w:rPr>
          <w:rFonts w:ascii="Times New Roman" w:hAnsi="Times New Roman" w:cs="Times New Roman"/>
          <w:sz w:val="26"/>
          <w:szCs w:val="26"/>
        </w:rPr>
        <w:t>.</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3. Федеральным органам исполнительной власти руководствоваться положениями </w:t>
      </w:r>
      <w:hyperlink w:anchor="P27">
        <w:r w:rsidRPr="00590F19">
          <w:rPr>
            <w:rFonts w:ascii="Times New Roman" w:hAnsi="Times New Roman" w:cs="Times New Roman"/>
            <w:color w:val="0000FF"/>
            <w:sz w:val="26"/>
            <w:szCs w:val="26"/>
          </w:rPr>
          <w:t>Стратегии</w:t>
        </w:r>
      </w:hyperlink>
      <w:r w:rsidRPr="00590F19">
        <w:rPr>
          <w:rFonts w:ascii="Times New Roman" w:hAnsi="Times New Roman" w:cs="Times New Roman"/>
          <w:sz w:val="26"/>
          <w:szCs w:val="26"/>
        </w:rPr>
        <w:t xml:space="preserve"> при разработке и реализации государственных программ Российской Федерации и иных документов.</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4. Рекомендовать органам государственной власти субъектов Российской Федерации и органам местного самоуправления руководствоваться положениями </w:t>
      </w:r>
      <w:hyperlink w:anchor="P27">
        <w:r w:rsidRPr="00590F19">
          <w:rPr>
            <w:rFonts w:ascii="Times New Roman" w:hAnsi="Times New Roman" w:cs="Times New Roman"/>
            <w:color w:val="0000FF"/>
            <w:sz w:val="26"/>
            <w:szCs w:val="26"/>
          </w:rPr>
          <w:t>Стратегии</w:t>
        </w:r>
      </w:hyperlink>
      <w:r w:rsidRPr="00590F19">
        <w:rPr>
          <w:rFonts w:ascii="Times New Roman" w:hAnsi="Times New Roman" w:cs="Times New Roman"/>
          <w:sz w:val="26"/>
          <w:szCs w:val="26"/>
        </w:rPr>
        <w:t xml:space="preserve"> при разработке и реализации государственных программ субъектов Российской Федерации (региональных программ), направленных на повышение финансовой грамотности и формирование финансовой культуры, и иных документов.</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5. Настоящее распоряжение вступает в силу с 1 января 2024 г.</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jc w:val="right"/>
        <w:rPr>
          <w:rFonts w:ascii="Times New Roman" w:hAnsi="Times New Roman" w:cs="Times New Roman"/>
          <w:sz w:val="26"/>
          <w:szCs w:val="26"/>
        </w:rPr>
      </w:pPr>
      <w:r w:rsidRPr="00590F19">
        <w:rPr>
          <w:rFonts w:ascii="Times New Roman" w:hAnsi="Times New Roman" w:cs="Times New Roman"/>
          <w:sz w:val="26"/>
          <w:szCs w:val="26"/>
        </w:rPr>
        <w:t>Председатель Правительства</w:t>
      </w:r>
    </w:p>
    <w:p w:rsidR="00590F19" w:rsidRPr="00590F19" w:rsidRDefault="00590F19">
      <w:pPr>
        <w:pStyle w:val="ConsPlusNormal"/>
        <w:jc w:val="right"/>
        <w:rPr>
          <w:rFonts w:ascii="Times New Roman" w:hAnsi="Times New Roman" w:cs="Times New Roman"/>
          <w:sz w:val="26"/>
          <w:szCs w:val="26"/>
        </w:rPr>
      </w:pPr>
      <w:r w:rsidRPr="00590F19">
        <w:rPr>
          <w:rFonts w:ascii="Times New Roman" w:hAnsi="Times New Roman" w:cs="Times New Roman"/>
          <w:sz w:val="26"/>
          <w:szCs w:val="26"/>
        </w:rPr>
        <w:t>Российской Федерации</w:t>
      </w:r>
    </w:p>
    <w:p w:rsidR="00590F19" w:rsidRPr="00590F19" w:rsidRDefault="00590F19">
      <w:pPr>
        <w:pStyle w:val="ConsPlusNormal"/>
        <w:jc w:val="right"/>
        <w:rPr>
          <w:rFonts w:ascii="Times New Roman" w:hAnsi="Times New Roman" w:cs="Times New Roman"/>
          <w:sz w:val="26"/>
          <w:szCs w:val="26"/>
        </w:rPr>
      </w:pPr>
      <w:r w:rsidRPr="00590F19">
        <w:rPr>
          <w:rFonts w:ascii="Times New Roman" w:hAnsi="Times New Roman" w:cs="Times New Roman"/>
          <w:sz w:val="26"/>
          <w:szCs w:val="26"/>
        </w:rPr>
        <w:t>М.МИШУСТИН</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jc w:val="both"/>
        <w:rPr>
          <w:rFonts w:ascii="Times New Roman" w:hAnsi="Times New Roman" w:cs="Times New Roman"/>
          <w:sz w:val="26"/>
          <w:szCs w:val="26"/>
        </w:rPr>
      </w:pPr>
    </w:p>
    <w:p w:rsidR="00995044" w:rsidRDefault="00995044">
      <w:pPr>
        <w:pStyle w:val="ConsPlusNormal"/>
        <w:jc w:val="right"/>
        <w:outlineLvl w:val="0"/>
        <w:rPr>
          <w:rFonts w:ascii="Times New Roman" w:hAnsi="Times New Roman" w:cs="Times New Roman"/>
          <w:sz w:val="26"/>
          <w:szCs w:val="26"/>
        </w:rPr>
      </w:pPr>
    </w:p>
    <w:p w:rsidR="00995044" w:rsidRDefault="00995044">
      <w:pPr>
        <w:pStyle w:val="ConsPlusNormal"/>
        <w:jc w:val="right"/>
        <w:outlineLvl w:val="0"/>
        <w:rPr>
          <w:rFonts w:ascii="Times New Roman" w:hAnsi="Times New Roman" w:cs="Times New Roman"/>
          <w:sz w:val="26"/>
          <w:szCs w:val="26"/>
        </w:rPr>
      </w:pPr>
    </w:p>
    <w:p w:rsidR="00995044" w:rsidRDefault="00995044">
      <w:pPr>
        <w:pStyle w:val="ConsPlusNormal"/>
        <w:jc w:val="right"/>
        <w:outlineLvl w:val="0"/>
        <w:rPr>
          <w:rFonts w:ascii="Times New Roman" w:hAnsi="Times New Roman" w:cs="Times New Roman"/>
          <w:sz w:val="26"/>
          <w:szCs w:val="26"/>
        </w:rPr>
      </w:pPr>
    </w:p>
    <w:p w:rsidR="00995044" w:rsidRDefault="00995044">
      <w:pPr>
        <w:pStyle w:val="ConsPlusNormal"/>
        <w:jc w:val="right"/>
        <w:outlineLvl w:val="0"/>
        <w:rPr>
          <w:rFonts w:ascii="Times New Roman" w:hAnsi="Times New Roman" w:cs="Times New Roman"/>
          <w:sz w:val="26"/>
          <w:szCs w:val="26"/>
        </w:rPr>
      </w:pPr>
    </w:p>
    <w:p w:rsidR="00995044" w:rsidRDefault="00995044">
      <w:pPr>
        <w:pStyle w:val="ConsPlusNormal"/>
        <w:jc w:val="right"/>
        <w:outlineLvl w:val="0"/>
        <w:rPr>
          <w:rFonts w:ascii="Times New Roman" w:hAnsi="Times New Roman" w:cs="Times New Roman"/>
          <w:sz w:val="26"/>
          <w:szCs w:val="26"/>
        </w:rPr>
      </w:pPr>
    </w:p>
    <w:p w:rsidR="00995044" w:rsidRDefault="00995044">
      <w:pPr>
        <w:pStyle w:val="ConsPlusNormal"/>
        <w:jc w:val="right"/>
        <w:outlineLvl w:val="0"/>
        <w:rPr>
          <w:rFonts w:ascii="Times New Roman" w:hAnsi="Times New Roman" w:cs="Times New Roman"/>
          <w:sz w:val="26"/>
          <w:szCs w:val="26"/>
        </w:rPr>
      </w:pPr>
    </w:p>
    <w:p w:rsidR="00995044" w:rsidRDefault="00995044">
      <w:pPr>
        <w:pStyle w:val="ConsPlusNormal"/>
        <w:jc w:val="right"/>
        <w:outlineLvl w:val="0"/>
        <w:rPr>
          <w:rFonts w:ascii="Times New Roman" w:hAnsi="Times New Roman" w:cs="Times New Roman"/>
          <w:sz w:val="26"/>
          <w:szCs w:val="26"/>
        </w:rPr>
      </w:pPr>
    </w:p>
    <w:p w:rsidR="00995044" w:rsidRDefault="00995044">
      <w:pPr>
        <w:pStyle w:val="ConsPlusNormal"/>
        <w:jc w:val="right"/>
        <w:outlineLvl w:val="0"/>
        <w:rPr>
          <w:rFonts w:ascii="Times New Roman" w:hAnsi="Times New Roman" w:cs="Times New Roman"/>
          <w:sz w:val="26"/>
          <w:szCs w:val="26"/>
        </w:rPr>
      </w:pPr>
    </w:p>
    <w:p w:rsidR="00590F19" w:rsidRPr="00590F19" w:rsidRDefault="00590F19">
      <w:pPr>
        <w:pStyle w:val="ConsPlusNormal"/>
        <w:jc w:val="right"/>
        <w:outlineLvl w:val="0"/>
        <w:rPr>
          <w:rFonts w:ascii="Times New Roman" w:hAnsi="Times New Roman" w:cs="Times New Roman"/>
          <w:sz w:val="26"/>
          <w:szCs w:val="26"/>
        </w:rPr>
      </w:pPr>
      <w:bookmarkStart w:id="0" w:name="_GoBack"/>
      <w:bookmarkEnd w:id="0"/>
      <w:r w:rsidRPr="00590F19">
        <w:rPr>
          <w:rFonts w:ascii="Times New Roman" w:hAnsi="Times New Roman" w:cs="Times New Roman"/>
          <w:sz w:val="26"/>
          <w:szCs w:val="26"/>
        </w:rPr>
        <w:lastRenderedPageBreak/>
        <w:t>Утверждена</w:t>
      </w:r>
    </w:p>
    <w:p w:rsidR="00590F19" w:rsidRPr="00590F19" w:rsidRDefault="00590F19">
      <w:pPr>
        <w:pStyle w:val="ConsPlusNormal"/>
        <w:jc w:val="right"/>
        <w:rPr>
          <w:rFonts w:ascii="Times New Roman" w:hAnsi="Times New Roman" w:cs="Times New Roman"/>
          <w:sz w:val="26"/>
          <w:szCs w:val="26"/>
        </w:rPr>
      </w:pPr>
      <w:r w:rsidRPr="00590F19">
        <w:rPr>
          <w:rFonts w:ascii="Times New Roman" w:hAnsi="Times New Roman" w:cs="Times New Roman"/>
          <w:sz w:val="26"/>
          <w:szCs w:val="26"/>
        </w:rPr>
        <w:t>распоряжением Правительства</w:t>
      </w:r>
    </w:p>
    <w:p w:rsidR="00590F19" w:rsidRPr="00590F19" w:rsidRDefault="00590F19">
      <w:pPr>
        <w:pStyle w:val="ConsPlusNormal"/>
        <w:jc w:val="right"/>
        <w:rPr>
          <w:rFonts w:ascii="Times New Roman" w:hAnsi="Times New Roman" w:cs="Times New Roman"/>
          <w:sz w:val="26"/>
          <w:szCs w:val="26"/>
        </w:rPr>
      </w:pPr>
      <w:r w:rsidRPr="00590F19">
        <w:rPr>
          <w:rFonts w:ascii="Times New Roman" w:hAnsi="Times New Roman" w:cs="Times New Roman"/>
          <w:sz w:val="26"/>
          <w:szCs w:val="26"/>
        </w:rPr>
        <w:t>Российской Федерации</w:t>
      </w:r>
    </w:p>
    <w:p w:rsidR="00590F19" w:rsidRPr="00590F19" w:rsidRDefault="00590F19">
      <w:pPr>
        <w:pStyle w:val="ConsPlusNormal"/>
        <w:jc w:val="right"/>
        <w:rPr>
          <w:rFonts w:ascii="Times New Roman" w:hAnsi="Times New Roman" w:cs="Times New Roman"/>
          <w:sz w:val="26"/>
          <w:szCs w:val="26"/>
        </w:rPr>
      </w:pPr>
      <w:r w:rsidRPr="00590F19">
        <w:rPr>
          <w:rFonts w:ascii="Times New Roman" w:hAnsi="Times New Roman" w:cs="Times New Roman"/>
          <w:sz w:val="26"/>
          <w:szCs w:val="26"/>
        </w:rPr>
        <w:t>от 24 октября 2023 г. N 2958-р</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Title"/>
        <w:jc w:val="center"/>
        <w:rPr>
          <w:rFonts w:ascii="Times New Roman" w:hAnsi="Times New Roman" w:cs="Times New Roman"/>
          <w:sz w:val="26"/>
          <w:szCs w:val="26"/>
        </w:rPr>
      </w:pPr>
      <w:bookmarkStart w:id="1" w:name="P27"/>
      <w:bookmarkEnd w:id="1"/>
      <w:r w:rsidRPr="00590F19">
        <w:rPr>
          <w:rFonts w:ascii="Times New Roman" w:hAnsi="Times New Roman" w:cs="Times New Roman"/>
          <w:sz w:val="26"/>
          <w:szCs w:val="26"/>
        </w:rPr>
        <w:t>СТРАТЕГИЯ</w:t>
      </w:r>
    </w:p>
    <w:p w:rsidR="00590F19" w:rsidRPr="00590F19" w:rsidRDefault="00590F19">
      <w:pPr>
        <w:pStyle w:val="ConsPlusTitle"/>
        <w:jc w:val="center"/>
        <w:rPr>
          <w:rFonts w:ascii="Times New Roman" w:hAnsi="Times New Roman" w:cs="Times New Roman"/>
          <w:sz w:val="26"/>
          <w:szCs w:val="26"/>
        </w:rPr>
      </w:pPr>
      <w:r w:rsidRPr="00590F19">
        <w:rPr>
          <w:rFonts w:ascii="Times New Roman" w:hAnsi="Times New Roman" w:cs="Times New Roman"/>
          <w:sz w:val="26"/>
          <w:szCs w:val="26"/>
        </w:rPr>
        <w:t>ПОВЫШЕНИЯ ФИНАНСОВОЙ ГРАМОТНОСТИ И ФОРМИРОВАНИЯ ФИНАНСОВОЙ</w:t>
      </w:r>
    </w:p>
    <w:p w:rsidR="00590F19" w:rsidRPr="00590F19" w:rsidRDefault="00590F19">
      <w:pPr>
        <w:pStyle w:val="ConsPlusTitle"/>
        <w:jc w:val="center"/>
        <w:rPr>
          <w:rFonts w:ascii="Times New Roman" w:hAnsi="Times New Roman" w:cs="Times New Roman"/>
          <w:sz w:val="26"/>
          <w:szCs w:val="26"/>
        </w:rPr>
      </w:pPr>
      <w:r w:rsidRPr="00590F19">
        <w:rPr>
          <w:rFonts w:ascii="Times New Roman" w:hAnsi="Times New Roman" w:cs="Times New Roman"/>
          <w:sz w:val="26"/>
          <w:szCs w:val="26"/>
        </w:rPr>
        <w:t>КУЛЬТУРЫ ДО 2030 ГОДА</w:t>
      </w:r>
    </w:p>
    <w:p w:rsidR="00590F19" w:rsidRPr="00590F19" w:rsidRDefault="00590F19">
      <w:pPr>
        <w:pStyle w:val="ConsPlusNormal"/>
        <w:spacing w:after="1"/>
        <w:rPr>
          <w:rFonts w:ascii="Times New Roman" w:hAnsi="Times New Roman" w:cs="Times New Roman"/>
          <w:sz w:val="26"/>
          <w:szCs w:val="26"/>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90F19" w:rsidRPr="00590F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0F19" w:rsidRPr="00590F19" w:rsidRDefault="00590F19">
            <w:pPr>
              <w:pStyle w:val="ConsPlusNormal"/>
              <w:rPr>
                <w:rFonts w:ascii="Times New Roman" w:hAnsi="Times New Roman" w:cs="Times New Roman"/>
                <w:sz w:val="26"/>
                <w:szCs w:val="26"/>
              </w:rPr>
            </w:pPr>
          </w:p>
        </w:tc>
        <w:tc>
          <w:tcPr>
            <w:tcW w:w="113" w:type="dxa"/>
            <w:tcBorders>
              <w:top w:val="nil"/>
              <w:left w:val="nil"/>
              <w:bottom w:val="nil"/>
              <w:right w:val="nil"/>
            </w:tcBorders>
            <w:shd w:val="clear" w:color="auto" w:fill="F4F3F8"/>
            <w:tcMar>
              <w:top w:w="0" w:type="dxa"/>
              <w:left w:w="0" w:type="dxa"/>
              <w:bottom w:w="0" w:type="dxa"/>
              <w:right w:w="0" w:type="dxa"/>
            </w:tcMar>
          </w:tcPr>
          <w:p w:rsidR="00590F19" w:rsidRPr="00590F19" w:rsidRDefault="00590F19">
            <w:pPr>
              <w:pStyle w:val="ConsPlusNormal"/>
              <w:rPr>
                <w:rFonts w:ascii="Times New Roman" w:hAnsi="Times New Roman" w:cs="Times New Roman"/>
                <w:sz w:val="26"/>
                <w:szCs w:val="26"/>
              </w:rPr>
            </w:pPr>
          </w:p>
        </w:tc>
        <w:tc>
          <w:tcPr>
            <w:tcW w:w="0" w:type="auto"/>
            <w:tcBorders>
              <w:top w:val="nil"/>
              <w:left w:val="nil"/>
              <w:bottom w:val="nil"/>
              <w:right w:val="nil"/>
            </w:tcBorders>
            <w:shd w:val="clear" w:color="auto" w:fill="F4F3F8"/>
            <w:tcMar>
              <w:top w:w="113" w:type="dxa"/>
              <w:left w:w="0" w:type="dxa"/>
              <w:bottom w:w="113" w:type="dxa"/>
              <w:right w:w="0" w:type="dxa"/>
            </w:tcMar>
          </w:tcPr>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color w:val="392C69"/>
                <w:sz w:val="26"/>
                <w:szCs w:val="26"/>
              </w:rPr>
              <w:t>Список изменяющих документов</w:t>
            </w:r>
          </w:p>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color w:val="392C69"/>
                <w:sz w:val="26"/>
                <w:szCs w:val="26"/>
              </w:rPr>
              <w:t xml:space="preserve">(в ред. </w:t>
            </w:r>
            <w:hyperlink r:id="rId6">
              <w:r w:rsidRPr="00590F19">
                <w:rPr>
                  <w:rFonts w:ascii="Times New Roman" w:hAnsi="Times New Roman" w:cs="Times New Roman"/>
                  <w:color w:val="0000FF"/>
                  <w:sz w:val="26"/>
                  <w:szCs w:val="26"/>
                </w:rPr>
                <w:t>распоряжения</w:t>
              </w:r>
            </w:hyperlink>
            <w:r w:rsidRPr="00590F19">
              <w:rPr>
                <w:rFonts w:ascii="Times New Roman" w:hAnsi="Times New Roman" w:cs="Times New Roman"/>
                <w:color w:val="392C69"/>
                <w:sz w:val="26"/>
                <w:szCs w:val="26"/>
              </w:rPr>
              <w:t xml:space="preserve"> Правительства РФ от 15.10.2025 N 2868-р)</w:t>
            </w:r>
          </w:p>
        </w:tc>
        <w:tc>
          <w:tcPr>
            <w:tcW w:w="113" w:type="dxa"/>
            <w:tcBorders>
              <w:top w:val="nil"/>
              <w:left w:val="nil"/>
              <w:bottom w:val="nil"/>
              <w:right w:val="nil"/>
            </w:tcBorders>
            <w:shd w:val="clear" w:color="auto" w:fill="F4F3F8"/>
            <w:tcMar>
              <w:top w:w="0" w:type="dxa"/>
              <w:left w:w="0" w:type="dxa"/>
              <w:bottom w:w="0" w:type="dxa"/>
              <w:right w:w="0" w:type="dxa"/>
            </w:tcMar>
          </w:tcPr>
          <w:p w:rsidR="00590F19" w:rsidRPr="00590F19" w:rsidRDefault="00590F19">
            <w:pPr>
              <w:pStyle w:val="ConsPlusNormal"/>
              <w:rPr>
                <w:rFonts w:ascii="Times New Roman" w:hAnsi="Times New Roman" w:cs="Times New Roman"/>
                <w:sz w:val="26"/>
                <w:szCs w:val="26"/>
              </w:rPr>
            </w:pPr>
          </w:p>
        </w:tc>
      </w:tr>
    </w:tbl>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Title"/>
        <w:jc w:val="center"/>
        <w:outlineLvl w:val="1"/>
        <w:rPr>
          <w:rFonts w:ascii="Times New Roman" w:hAnsi="Times New Roman" w:cs="Times New Roman"/>
          <w:sz w:val="26"/>
          <w:szCs w:val="26"/>
        </w:rPr>
      </w:pPr>
      <w:r w:rsidRPr="00590F19">
        <w:rPr>
          <w:rFonts w:ascii="Times New Roman" w:hAnsi="Times New Roman" w:cs="Times New Roman"/>
          <w:sz w:val="26"/>
          <w:szCs w:val="26"/>
        </w:rPr>
        <w:t>I. Общие положения</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ind w:firstLine="540"/>
        <w:jc w:val="both"/>
        <w:rPr>
          <w:rFonts w:ascii="Times New Roman" w:hAnsi="Times New Roman" w:cs="Times New Roman"/>
          <w:sz w:val="26"/>
          <w:szCs w:val="26"/>
        </w:rPr>
      </w:pPr>
      <w:r w:rsidRPr="00590F19">
        <w:rPr>
          <w:rFonts w:ascii="Times New Roman" w:hAnsi="Times New Roman" w:cs="Times New Roman"/>
          <w:sz w:val="26"/>
          <w:szCs w:val="26"/>
        </w:rPr>
        <w:t>Устойчивое повышение качества и уровня жизни граждан требует повышения финансовой грамотности и формирования финансовой культуры, обеспечения финансового благополучия граждан, осознанного использования ими финансовых продуктов и услуг, разумного принятия финансовых решений, инвестирования и управления рисками.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В период 2017 - 2023 годов повышение финансовой грамотности осуществлялось в рамках </w:t>
      </w:r>
      <w:hyperlink r:id="rId7">
        <w:r w:rsidRPr="00590F19">
          <w:rPr>
            <w:rFonts w:ascii="Times New Roman" w:hAnsi="Times New Roman" w:cs="Times New Roman"/>
            <w:color w:val="0000FF"/>
            <w:sz w:val="26"/>
            <w:szCs w:val="26"/>
          </w:rPr>
          <w:t>Стратегии</w:t>
        </w:r>
      </w:hyperlink>
      <w:r w:rsidRPr="00590F19">
        <w:rPr>
          <w:rFonts w:ascii="Times New Roman" w:hAnsi="Times New Roman" w:cs="Times New Roman"/>
          <w:sz w:val="26"/>
          <w:szCs w:val="26"/>
        </w:rPr>
        <w:t xml:space="preserve"> повышения финансовой грамотности в Российской Федерации, утвержденной распоряжением Правительства Российской Федерации от 25 сентября 2017 г. N 2039-р (далее - Стратегия 2017 - 2023 годов).</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Стратегия повышения финансовой грамотности и формирования финансовой культуры до 2030 года (далее - Стратегия) определяет приоритеты, цели, задачи и инструменты их достижения на период до 2030 года в сфере повышения финансовой грамотности и формирования финансовой культуры граждан, укрепления системы финансового образования и просвещения, обеспечения прав и интересов потребителей финансовых услуг, финансовой безопасности граждан.</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Стратегия призвана способствовать достижению национальных целей развития Российской Федерации, определенных </w:t>
      </w:r>
      <w:hyperlink r:id="rId8">
        <w:r w:rsidRPr="00590F19">
          <w:rPr>
            <w:rFonts w:ascii="Times New Roman" w:hAnsi="Times New Roman" w:cs="Times New Roman"/>
            <w:color w:val="0000FF"/>
            <w:sz w:val="26"/>
            <w:szCs w:val="26"/>
          </w:rPr>
          <w:t>Указом</w:t>
        </w:r>
      </w:hyperlink>
      <w:r w:rsidRPr="00590F19">
        <w:rPr>
          <w:rFonts w:ascii="Times New Roman" w:hAnsi="Times New Roman" w:cs="Times New Roman"/>
          <w:sz w:val="26"/>
          <w:szCs w:val="26"/>
        </w:rP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w:t>
      </w:r>
    </w:p>
    <w:p w:rsidR="00590F19" w:rsidRPr="00590F19" w:rsidRDefault="00590F19">
      <w:pPr>
        <w:pStyle w:val="ConsPlusNormal"/>
        <w:jc w:val="both"/>
        <w:rPr>
          <w:rFonts w:ascii="Times New Roman" w:hAnsi="Times New Roman" w:cs="Times New Roman"/>
          <w:sz w:val="26"/>
          <w:szCs w:val="26"/>
        </w:rPr>
      </w:pPr>
      <w:r w:rsidRPr="00590F19">
        <w:rPr>
          <w:rFonts w:ascii="Times New Roman" w:hAnsi="Times New Roman" w:cs="Times New Roman"/>
          <w:sz w:val="26"/>
          <w:szCs w:val="26"/>
        </w:rPr>
        <w:t xml:space="preserve">(в ред. </w:t>
      </w:r>
      <w:hyperlink r:id="rId9">
        <w:r w:rsidRPr="00590F19">
          <w:rPr>
            <w:rFonts w:ascii="Times New Roman" w:hAnsi="Times New Roman" w:cs="Times New Roman"/>
            <w:color w:val="0000FF"/>
            <w:sz w:val="26"/>
            <w:szCs w:val="26"/>
          </w:rPr>
          <w:t>распоряжения</w:t>
        </w:r>
      </w:hyperlink>
      <w:r w:rsidRPr="00590F19">
        <w:rPr>
          <w:rFonts w:ascii="Times New Roman" w:hAnsi="Times New Roman" w:cs="Times New Roman"/>
          <w:sz w:val="26"/>
          <w:szCs w:val="26"/>
        </w:rPr>
        <w:t xml:space="preserve"> Правительства РФ от 15.10.2025 N 2868-р)</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Стратегия основывается на </w:t>
      </w:r>
      <w:hyperlink r:id="rId10">
        <w:r w:rsidRPr="00590F19">
          <w:rPr>
            <w:rFonts w:ascii="Times New Roman" w:hAnsi="Times New Roman" w:cs="Times New Roman"/>
            <w:color w:val="0000FF"/>
            <w:sz w:val="26"/>
            <w:szCs w:val="26"/>
          </w:rPr>
          <w:t>Конституции</w:t>
        </w:r>
      </w:hyperlink>
      <w:r w:rsidRPr="00590F19">
        <w:rPr>
          <w:rFonts w:ascii="Times New Roman" w:hAnsi="Times New Roman" w:cs="Times New Roman"/>
          <w:sz w:val="26"/>
          <w:szCs w:val="26"/>
        </w:rPr>
        <w:t xml:space="preserve"> Российской Федерации, Федеральном </w:t>
      </w:r>
      <w:hyperlink r:id="rId11">
        <w:r w:rsidRPr="00590F19">
          <w:rPr>
            <w:rFonts w:ascii="Times New Roman" w:hAnsi="Times New Roman" w:cs="Times New Roman"/>
            <w:color w:val="0000FF"/>
            <w:sz w:val="26"/>
            <w:szCs w:val="26"/>
          </w:rPr>
          <w:t>законе</w:t>
        </w:r>
      </w:hyperlink>
      <w:r w:rsidRPr="00590F19">
        <w:rPr>
          <w:rFonts w:ascii="Times New Roman" w:hAnsi="Times New Roman" w:cs="Times New Roman"/>
          <w:sz w:val="26"/>
          <w:szCs w:val="26"/>
        </w:rPr>
        <w:t xml:space="preserve"> "О стратегическом планировании в Российской Федерации", </w:t>
      </w:r>
      <w:hyperlink r:id="rId12">
        <w:r w:rsidRPr="00590F19">
          <w:rPr>
            <w:rFonts w:ascii="Times New Roman" w:hAnsi="Times New Roman" w:cs="Times New Roman"/>
            <w:color w:val="0000FF"/>
            <w:sz w:val="26"/>
            <w:szCs w:val="26"/>
          </w:rPr>
          <w:t>Законе</w:t>
        </w:r>
      </w:hyperlink>
      <w:r w:rsidRPr="00590F19">
        <w:rPr>
          <w:rFonts w:ascii="Times New Roman" w:hAnsi="Times New Roman" w:cs="Times New Roman"/>
          <w:sz w:val="26"/>
          <w:szCs w:val="26"/>
        </w:rPr>
        <w:t xml:space="preserve"> Российской Федерации "О защите прав потребителей", Федеральном </w:t>
      </w:r>
      <w:hyperlink r:id="rId13">
        <w:r w:rsidRPr="00590F19">
          <w:rPr>
            <w:rFonts w:ascii="Times New Roman" w:hAnsi="Times New Roman" w:cs="Times New Roman"/>
            <w:color w:val="0000FF"/>
            <w:sz w:val="26"/>
            <w:szCs w:val="26"/>
          </w:rPr>
          <w:t>законе</w:t>
        </w:r>
      </w:hyperlink>
      <w:r w:rsidRPr="00590F19">
        <w:rPr>
          <w:rFonts w:ascii="Times New Roman" w:hAnsi="Times New Roman" w:cs="Times New Roman"/>
          <w:sz w:val="26"/>
          <w:szCs w:val="26"/>
        </w:rPr>
        <w:t xml:space="preserve"> "Об образовании в Российской Федерации", других федеральных законах, а также на нормативных правовых актах Правительства Российской Федерации и федеральных органов исполнительной власти, регулирующих отношения, возникающие в сфере повышения финансовой грамотности и формирования финансовой культуры граждан.</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Стратегия учитывает принятые документы, связанные с вопросами повышения </w:t>
      </w:r>
      <w:r w:rsidRPr="00590F19">
        <w:rPr>
          <w:rFonts w:ascii="Times New Roman" w:hAnsi="Times New Roman" w:cs="Times New Roman"/>
          <w:sz w:val="26"/>
          <w:szCs w:val="26"/>
        </w:rPr>
        <w:lastRenderedPageBreak/>
        <w:t>финансовой грамотности и формирования финансовой культуры граждан, в том числе:</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государственную </w:t>
      </w:r>
      <w:hyperlink r:id="rId14">
        <w:r w:rsidRPr="00590F19">
          <w:rPr>
            <w:rFonts w:ascii="Times New Roman" w:hAnsi="Times New Roman" w:cs="Times New Roman"/>
            <w:color w:val="0000FF"/>
            <w:sz w:val="26"/>
            <w:szCs w:val="26"/>
          </w:rPr>
          <w:t>программу</w:t>
        </w:r>
      </w:hyperlink>
      <w:r w:rsidRPr="00590F19">
        <w:rPr>
          <w:rFonts w:ascii="Times New Roman" w:hAnsi="Times New Roman" w:cs="Times New Roman"/>
          <w:sz w:val="26"/>
          <w:szCs w:val="26"/>
        </w:rPr>
        <w:t xml:space="preserve"> Российской Федерации "Управление государственными финансами и регулирование финансовых рынков", утвержденную постановлением Правительства Российской Федерации от 15 апреля 2014 г. N 320 "Об утверждении государственной программы Российской Федерации "Управление государственными финансами и регулирование финансовых рынков";</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государственную </w:t>
      </w:r>
      <w:hyperlink r:id="rId15">
        <w:r w:rsidRPr="00590F19">
          <w:rPr>
            <w:rFonts w:ascii="Times New Roman" w:hAnsi="Times New Roman" w:cs="Times New Roman"/>
            <w:color w:val="0000FF"/>
            <w:sz w:val="26"/>
            <w:szCs w:val="26"/>
          </w:rPr>
          <w:t>программу</w:t>
        </w:r>
      </w:hyperlink>
      <w:r w:rsidRPr="00590F19">
        <w:rPr>
          <w:rFonts w:ascii="Times New Roman" w:hAnsi="Times New Roman" w:cs="Times New Roman"/>
          <w:sz w:val="26"/>
          <w:szCs w:val="26"/>
        </w:rPr>
        <w:t xml:space="preserve"> Российской Федерации "Развитие образования", утвержденную постановлением Правительства Российской Федерации от 26 декабря 2017 г. N 1642 "Об утверждении государственной программы Российской Федерации "Развитие образования";</w:t>
      </w:r>
    </w:p>
    <w:p w:rsidR="00590F19" w:rsidRPr="00590F19" w:rsidRDefault="00590F19">
      <w:pPr>
        <w:pStyle w:val="ConsPlusNormal"/>
        <w:spacing w:before="220"/>
        <w:ind w:firstLine="540"/>
        <w:jc w:val="both"/>
        <w:rPr>
          <w:rFonts w:ascii="Times New Roman" w:hAnsi="Times New Roman" w:cs="Times New Roman"/>
          <w:sz w:val="26"/>
          <w:szCs w:val="26"/>
        </w:rPr>
      </w:pPr>
      <w:hyperlink r:id="rId16">
        <w:r w:rsidRPr="00590F19">
          <w:rPr>
            <w:rFonts w:ascii="Times New Roman" w:hAnsi="Times New Roman" w:cs="Times New Roman"/>
            <w:color w:val="0000FF"/>
            <w:sz w:val="26"/>
            <w:szCs w:val="26"/>
          </w:rPr>
          <w:t>Стратегию</w:t>
        </w:r>
      </w:hyperlink>
      <w:r w:rsidRPr="00590F19">
        <w:rPr>
          <w:rFonts w:ascii="Times New Roman" w:hAnsi="Times New Roman" w:cs="Times New Roman"/>
          <w:sz w:val="26"/>
          <w:szCs w:val="26"/>
        </w:rPr>
        <w:t xml:space="preserve"> развития воспитания в Российской Федерации на период до 2025 года, утвержденную распоряжением Правительства Российской Федерации от 29 мая 2015 г. N 996-р;</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Стратегию государственной политики Российской Федерации в области защиты прав потребителей на период до 2030 года, утвержденную распоряжением Правительства Российской Федерации от 28 августа 2017 г. N 1837-р;</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Единый </w:t>
      </w:r>
      <w:hyperlink r:id="rId17">
        <w:r w:rsidRPr="00590F19">
          <w:rPr>
            <w:rFonts w:ascii="Times New Roman" w:hAnsi="Times New Roman" w:cs="Times New Roman"/>
            <w:color w:val="0000FF"/>
            <w:sz w:val="26"/>
            <w:szCs w:val="26"/>
          </w:rPr>
          <w:t>план</w:t>
        </w:r>
      </w:hyperlink>
      <w:r w:rsidRPr="00590F19">
        <w:rPr>
          <w:rFonts w:ascii="Times New Roman" w:hAnsi="Times New Roman" w:cs="Times New Roman"/>
          <w:sz w:val="26"/>
          <w:szCs w:val="26"/>
        </w:rPr>
        <w:t xml:space="preserve"> по достижению национальных целей развития Российской Федерации до 2030 года и на перспективу до 2036 года;</w:t>
      </w:r>
    </w:p>
    <w:p w:rsidR="00590F19" w:rsidRPr="00590F19" w:rsidRDefault="00590F19">
      <w:pPr>
        <w:pStyle w:val="ConsPlusNormal"/>
        <w:jc w:val="both"/>
        <w:rPr>
          <w:rFonts w:ascii="Times New Roman" w:hAnsi="Times New Roman" w:cs="Times New Roman"/>
          <w:sz w:val="26"/>
          <w:szCs w:val="26"/>
        </w:rPr>
      </w:pPr>
      <w:r w:rsidRPr="00590F19">
        <w:rPr>
          <w:rFonts w:ascii="Times New Roman" w:hAnsi="Times New Roman" w:cs="Times New Roman"/>
          <w:sz w:val="26"/>
          <w:szCs w:val="26"/>
        </w:rPr>
        <w:t xml:space="preserve">(в ред. </w:t>
      </w:r>
      <w:hyperlink r:id="rId18">
        <w:r w:rsidRPr="00590F19">
          <w:rPr>
            <w:rFonts w:ascii="Times New Roman" w:hAnsi="Times New Roman" w:cs="Times New Roman"/>
            <w:color w:val="0000FF"/>
            <w:sz w:val="26"/>
            <w:szCs w:val="26"/>
          </w:rPr>
          <w:t>распоряжения</w:t>
        </w:r>
      </w:hyperlink>
      <w:r w:rsidRPr="00590F19">
        <w:rPr>
          <w:rFonts w:ascii="Times New Roman" w:hAnsi="Times New Roman" w:cs="Times New Roman"/>
          <w:sz w:val="26"/>
          <w:szCs w:val="26"/>
        </w:rPr>
        <w:t xml:space="preserve"> Правительства РФ от 15.10.2025 N 2868-р)</w:t>
      </w:r>
    </w:p>
    <w:p w:rsidR="00590F19" w:rsidRPr="00590F19" w:rsidRDefault="00590F19">
      <w:pPr>
        <w:pStyle w:val="ConsPlusNormal"/>
        <w:spacing w:before="220"/>
        <w:ind w:firstLine="540"/>
        <w:jc w:val="both"/>
        <w:rPr>
          <w:rFonts w:ascii="Times New Roman" w:hAnsi="Times New Roman" w:cs="Times New Roman"/>
          <w:sz w:val="26"/>
          <w:szCs w:val="26"/>
        </w:rPr>
      </w:pPr>
      <w:hyperlink r:id="rId19">
        <w:r w:rsidRPr="00590F19">
          <w:rPr>
            <w:rFonts w:ascii="Times New Roman" w:hAnsi="Times New Roman" w:cs="Times New Roman"/>
            <w:color w:val="0000FF"/>
            <w:sz w:val="26"/>
            <w:szCs w:val="26"/>
          </w:rPr>
          <w:t>Концепцию</w:t>
        </w:r>
      </w:hyperlink>
      <w:r w:rsidRPr="00590F19">
        <w:rPr>
          <w:rFonts w:ascii="Times New Roman" w:hAnsi="Times New Roman" w:cs="Times New Roman"/>
          <w:sz w:val="26"/>
          <w:szCs w:val="26"/>
        </w:rPr>
        <w:t xml:space="preserve"> подготовки педагогических кадров для системы образования на период до 2030 года, утвержденную распоряжением Правительства Российской Федерации от 24 июня 2022 г. N 1688-р;</w:t>
      </w:r>
    </w:p>
    <w:p w:rsidR="00590F19" w:rsidRPr="00590F19" w:rsidRDefault="00590F19">
      <w:pPr>
        <w:pStyle w:val="ConsPlusNormal"/>
        <w:spacing w:before="220"/>
        <w:ind w:firstLine="540"/>
        <w:jc w:val="both"/>
        <w:rPr>
          <w:rFonts w:ascii="Times New Roman" w:hAnsi="Times New Roman" w:cs="Times New Roman"/>
          <w:sz w:val="26"/>
          <w:szCs w:val="26"/>
        </w:rPr>
      </w:pPr>
      <w:hyperlink r:id="rId20">
        <w:r w:rsidRPr="00590F19">
          <w:rPr>
            <w:rFonts w:ascii="Times New Roman" w:hAnsi="Times New Roman" w:cs="Times New Roman"/>
            <w:color w:val="0000FF"/>
            <w:sz w:val="26"/>
            <w:szCs w:val="26"/>
          </w:rPr>
          <w:t>Концепцию</w:t>
        </w:r>
      </w:hyperlink>
      <w:r w:rsidRPr="00590F19">
        <w:rPr>
          <w:rFonts w:ascii="Times New Roman" w:hAnsi="Times New Roman" w:cs="Times New Roman"/>
          <w:sz w:val="26"/>
          <w:szCs w:val="26"/>
        </w:rPr>
        <w:t xml:space="preserve"> формирования и развития культуры информационной безопасности граждан Российской Федерации, утвержденную распоряжением Правительства Российской Федерации от 22 декабря 2022 г. N 4088-р;</w:t>
      </w:r>
    </w:p>
    <w:p w:rsidR="00590F19" w:rsidRPr="00590F19" w:rsidRDefault="00590F19">
      <w:pPr>
        <w:pStyle w:val="ConsPlusNormal"/>
        <w:spacing w:before="220"/>
        <w:ind w:firstLine="540"/>
        <w:jc w:val="both"/>
        <w:rPr>
          <w:rFonts w:ascii="Times New Roman" w:hAnsi="Times New Roman" w:cs="Times New Roman"/>
          <w:sz w:val="26"/>
          <w:szCs w:val="26"/>
        </w:rPr>
      </w:pPr>
      <w:hyperlink r:id="rId21">
        <w:r w:rsidRPr="00590F19">
          <w:rPr>
            <w:rFonts w:ascii="Times New Roman" w:hAnsi="Times New Roman" w:cs="Times New Roman"/>
            <w:color w:val="0000FF"/>
            <w:sz w:val="26"/>
            <w:szCs w:val="26"/>
          </w:rPr>
          <w:t>Стратегию</w:t>
        </w:r>
      </w:hyperlink>
      <w:r w:rsidRPr="00590F19">
        <w:rPr>
          <w:rFonts w:ascii="Times New Roman" w:hAnsi="Times New Roman" w:cs="Times New Roman"/>
          <w:sz w:val="26"/>
          <w:szCs w:val="26"/>
        </w:rPr>
        <w:t xml:space="preserve"> развития финансового рынка Российской Федерации до 2030 года, утвержденную распоряжением Правительства Российской Федерации от 29 декабря 2022 г. N 4355-р;</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Основные направления развития финансового рынка Российской Федерации на 2025 год и период 2026 и 2027 годов, одобренные </w:t>
      </w:r>
      <w:hyperlink r:id="rId22">
        <w:r w:rsidRPr="00590F19">
          <w:rPr>
            <w:rFonts w:ascii="Times New Roman" w:hAnsi="Times New Roman" w:cs="Times New Roman"/>
            <w:color w:val="0000FF"/>
            <w:sz w:val="26"/>
            <w:szCs w:val="26"/>
          </w:rPr>
          <w:t>решением</w:t>
        </w:r>
      </w:hyperlink>
      <w:r w:rsidRPr="00590F19">
        <w:rPr>
          <w:rFonts w:ascii="Times New Roman" w:hAnsi="Times New Roman" w:cs="Times New Roman"/>
          <w:sz w:val="26"/>
          <w:szCs w:val="26"/>
        </w:rPr>
        <w:t xml:space="preserve"> Совета директоров Центрального банка Российской Федерации 20 декабря 2024 г.</w:t>
      </w:r>
    </w:p>
    <w:p w:rsidR="00590F19" w:rsidRPr="00590F19" w:rsidRDefault="00590F19">
      <w:pPr>
        <w:pStyle w:val="ConsPlusNormal"/>
        <w:jc w:val="both"/>
        <w:rPr>
          <w:rFonts w:ascii="Times New Roman" w:hAnsi="Times New Roman" w:cs="Times New Roman"/>
          <w:sz w:val="26"/>
          <w:szCs w:val="26"/>
        </w:rPr>
      </w:pPr>
      <w:r w:rsidRPr="00590F19">
        <w:rPr>
          <w:rFonts w:ascii="Times New Roman" w:hAnsi="Times New Roman" w:cs="Times New Roman"/>
          <w:sz w:val="26"/>
          <w:szCs w:val="26"/>
        </w:rPr>
        <w:t xml:space="preserve">(в ред. </w:t>
      </w:r>
      <w:hyperlink r:id="rId23">
        <w:r w:rsidRPr="00590F19">
          <w:rPr>
            <w:rFonts w:ascii="Times New Roman" w:hAnsi="Times New Roman" w:cs="Times New Roman"/>
            <w:color w:val="0000FF"/>
            <w:sz w:val="26"/>
            <w:szCs w:val="26"/>
          </w:rPr>
          <w:t>распоряжения</w:t>
        </w:r>
      </w:hyperlink>
      <w:r w:rsidRPr="00590F19">
        <w:rPr>
          <w:rFonts w:ascii="Times New Roman" w:hAnsi="Times New Roman" w:cs="Times New Roman"/>
          <w:sz w:val="26"/>
          <w:szCs w:val="26"/>
        </w:rPr>
        <w:t xml:space="preserve"> Правительства РФ от 15.10.2025 N 2868-р)</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 Стратегии используются следующие термины:</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"финансовая грамотность" - основные знания, умения и навыки, необходимые для принятия финансовых решений в целях достижения финансового благополучия и управления финансовыми рисками;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"финансовая культура" - ценности, установки и поведенческие практики граждан в финансовой сфере, зависящие от воспитания, уровня финансовой </w:t>
      </w:r>
      <w:r w:rsidRPr="00590F19">
        <w:rPr>
          <w:rFonts w:ascii="Times New Roman" w:hAnsi="Times New Roman" w:cs="Times New Roman"/>
          <w:sz w:val="26"/>
          <w:szCs w:val="26"/>
        </w:rPr>
        <w:lastRenderedPageBreak/>
        <w:t>грамотности, опыта принятия финансовых решений, уровня развития финансового рынка и общественных институтов.</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Title"/>
        <w:jc w:val="center"/>
        <w:outlineLvl w:val="1"/>
        <w:rPr>
          <w:rFonts w:ascii="Times New Roman" w:hAnsi="Times New Roman" w:cs="Times New Roman"/>
          <w:sz w:val="26"/>
          <w:szCs w:val="26"/>
        </w:rPr>
      </w:pPr>
      <w:r w:rsidRPr="00590F19">
        <w:rPr>
          <w:rFonts w:ascii="Times New Roman" w:hAnsi="Times New Roman" w:cs="Times New Roman"/>
          <w:sz w:val="26"/>
          <w:szCs w:val="26"/>
        </w:rPr>
        <w:t>II. Общее состояние финансовой грамотности и финансовой</w:t>
      </w:r>
    </w:p>
    <w:p w:rsidR="00590F19" w:rsidRPr="00590F19" w:rsidRDefault="00590F19">
      <w:pPr>
        <w:pStyle w:val="ConsPlusTitle"/>
        <w:jc w:val="center"/>
        <w:rPr>
          <w:rFonts w:ascii="Times New Roman" w:hAnsi="Times New Roman" w:cs="Times New Roman"/>
          <w:sz w:val="26"/>
          <w:szCs w:val="26"/>
        </w:rPr>
      </w:pPr>
      <w:r w:rsidRPr="00590F19">
        <w:rPr>
          <w:rFonts w:ascii="Times New Roman" w:hAnsi="Times New Roman" w:cs="Times New Roman"/>
          <w:sz w:val="26"/>
          <w:szCs w:val="26"/>
        </w:rPr>
        <w:t>культуры в Российской Федерации</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ind w:firstLine="540"/>
        <w:jc w:val="both"/>
        <w:rPr>
          <w:rFonts w:ascii="Times New Roman" w:hAnsi="Times New Roman" w:cs="Times New Roman"/>
          <w:sz w:val="26"/>
          <w:szCs w:val="26"/>
        </w:rPr>
      </w:pPr>
      <w:r w:rsidRPr="00590F19">
        <w:rPr>
          <w:rFonts w:ascii="Times New Roman" w:hAnsi="Times New Roman" w:cs="Times New Roman"/>
          <w:sz w:val="26"/>
          <w:szCs w:val="26"/>
        </w:rPr>
        <w:t>В период 2017 - 2023 годов совместными действиями Центрального банка Российской Федерации, Министерства финансов Российской Федерации и других федеральных органов исполнительной власти в сфере повышения финансовой грамотности достигнуты следующие результаты:</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элементы финансовой грамотности включены в федеральные государственные образовательные стандарты на всех уровнях образования (финансовая грамотность преподается в 98 процентах общеобразовательных организаций и 96 процентах профессиональных образовательных организаций с охватом 78 процентов учащихся и 69 процентов студентов соответственно);</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Межведомственной координационной комиссией по реализации </w:t>
      </w:r>
      <w:hyperlink r:id="rId24">
        <w:r w:rsidRPr="00590F19">
          <w:rPr>
            <w:rFonts w:ascii="Times New Roman" w:hAnsi="Times New Roman" w:cs="Times New Roman"/>
            <w:color w:val="0000FF"/>
            <w:sz w:val="26"/>
            <w:szCs w:val="26"/>
          </w:rPr>
          <w:t>Стратегии</w:t>
        </w:r>
      </w:hyperlink>
      <w:r w:rsidRPr="00590F19">
        <w:rPr>
          <w:rFonts w:ascii="Times New Roman" w:hAnsi="Times New Roman" w:cs="Times New Roman"/>
          <w:sz w:val="26"/>
          <w:szCs w:val="26"/>
        </w:rPr>
        <w:t xml:space="preserve"> 2017 - 2023 годов утверждена единая рамка компетенций по финансовой грамотности, объединяющая в себе компетенции по финансовой грамотности для учащихся и для взрослых граждан;</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на базе ведущих образовательных организаций высшего образования (федеральное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 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 федеральное государственное бюджетное образовательное учреждение высшего образования "Московский государственный университет имени М.В. Ломоносова", 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 федеральное государственное бюджетное образовательное учреждение высшего образования "Российский экономический университет имени Г.В. Плеханова") созданы 5 федеральных методических центров повышения финансовой грамотности населения, осуществляющих образовательно-просветительскую работу с разными возрастными группами граждан (учащиеся, студенты, взрослые граждане, граждане старшего возраста);</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обучено более 135 тыс. педагогических работников общеобразовательных и профессиональных образовательных организаций, преподавателей и работников административно-управленческого персонала образовательных организаций высшего образования, а также специалистов в области финансового просвещения по программам повышения квалификации, содержащим элементы финансовой грамотности;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проведены олимпиады по финансовой грамотности, в которых приняли участие более 350 тыс. учащихся и студентов;</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совокупный охват информационно-коммуникационной кампанией в области </w:t>
      </w:r>
      <w:r w:rsidRPr="00590F19">
        <w:rPr>
          <w:rFonts w:ascii="Times New Roman" w:hAnsi="Times New Roman" w:cs="Times New Roman"/>
          <w:sz w:val="26"/>
          <w:szCs w:val="26"/>
        </w:rPr>
        <w:lastRenderedPageBreak/>
        <w:t xml:space="preserve">финансового просвещения составил свыше 60 млн. граждан (включая целевые аудитории, находящиеся в фокусе реализации </w:t>
      </w:r>
      <w:hyperlink r:id="rId25">
        <w:r w:rsidRPr="00590F19">
          <w:rPr>
            <w:rFonts w:ascii="Times New Roman" w:hAnsi="Times New Roman" w:cs="Times New Roman"/>
            <w:color w:val="0000FF"/>
            <w:sz w:val="26"/>
            <w:szCs w:val="26"/>
          </w:rPr>
          <w:t>Стратегии</w:t>
        </w:r>
      </w:hyperlink>
      <w:r w:rsidRPr="00590F19">
        <w:rPr>
          <w:rFonts w:ascii="Times New Roman" w:hAnsi="Times New Roman" w:cs="Times New Roman"/>
          <w:sz w:val="26"/>
          <w:szCs w:val="26"/>
        </w:rPr>
        <w:t xml:space="preserve"> 2017 - 2023 годов, а именно граждан старшего возраста, лиц с ограниченными возможностями здоровья, граждан, попавших в сложную финансовую ситуацию, детей-сирот и детей, оставшихся без попечения родителей, представителей малого и среднего предпринимательства, военнослужащих), в том числе путем:</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организации и проведения мероприятий с использованием цифрового и онлайн-форматов (в различных мероприятиях, онлайн-уроках и обучающих </w:t>
      </w:r>
      <w:proofErr w:type="spellStart"/>
      <w:r w:rsidRPr="00590F19">
        <w:rPr>
          <w:rFonts w:ascii="Times New Roman" w:hAnsi="Times New Roman" w:cs="Times New Roman"/>
          <w:sz w:val="26"/>
          <w:szCs w:val="26"/>
        </w:rPr>
        <w:t>вебинарах</w:t>
      </w:r>
      <w:proofErr w:type="spellEnd"/>
      <w:r w:rsidRPr="00590F19">
        <w:rPr>
          <w:rFonts w:ascii="Times New Roman" w:hAnsi="Times New Roman" w:cs="Times New Roman"/>
          <w:sz w:val="26"/>
          <w:szCs w:val="26"/>
        </w:rPr>
        <w:t xml:space="preserve"> по финансовой грамотности, реализованных Министерством финансов Российской Федерации и Центральным банком Российской Федерации совместно с партнерами, только в 2022 году приняли участие более 30 млн. граждан, в том числе свыше 12 млн. граждан посмотрели онлайн-уроки финансовой грамотности, более 3 млн. граждан приняли участие в онлайн-зачете по финансовой грамотности, более 4,3 млн. граждан стали аудиторией ипотечного марафона, ежемесячно порталы "Финансовая культура" и "Мои финансы" посещали 1,1 млн. уникальных пользователей);</w:t>
      </w:r>
    </w:p>
    <w:p w:rsidR="00590F19" w:rsidRPr="00590F19" w:rsidRDefault="00590F19">
      <w:pPr>
        <w:pStyle w:val="ConsPlusNormal"/>
        <w:spacing w:before="220"/>
        <w:ind w:firstLine="540"/>
        <w:jc w:val="both"/>
        <w:rPr>
          <w:rFonts w:ascii="Times New Roman" w:hAnsi="Times New Roman" w:cs="Times New Roman"/>
          <w:sz w:val="26"/>
          <w:szCs w:val="26"/>
        </w:rPr>
      </w:pPr>
      <w:proofErr w:type="spellStart"/>
      <w:r w:rsidRPr="00590F19">
        <w:rPr>
          <w:rFonts w:ascii="Times New Roman" w:hAnsi="Times New Roman" w:cs="Times New Roman"/>
          <w:sz w:val="26"/>
          <w:szCs w:val="26"/>
        </w:rPr>
        <w:t>медийного</w:t>
      </w:r>
      <w:proofErr w:type="spellEnd"/>
      <w:r w:rsidRPr="00590F19">
        <w:rPr>
          <w:rFonts w:ascii="Times New Roman" w:hAnsi="Times New Roman" w:cs="Times New Roman"/>
          <w:sz w:val="26"/>
          <w:szCs w:val="26"/>
        </w:rPr>
        <w:t xml:space="preserve"> продвижения информационных материалов по финансовой грамотности с использованием цифровых ресурсов, в том числе официальных сайтов участников реализации </w:t>
      </w:r>
      <w:hyperlink r:id="rId26">
        <w:r w:rsidRPr="00590F19">
          <w:rPr>
            <w:rFonts w:ascii="Times New Roman" w:hAnsi="Times New Roman" w:cs="Times New Roman"/>
            <w:color w:val="0000FF"/>
            <w:sz w:val="26"/>
            <w:szCs w:val="26"/>
          </w:rPr>
          <w:t>Стратегии</w:t>
        </w:r>
      </w:hyperlink>
      <w:r w:rsidRPr="00590F19">
        <w:rPr>
          <w:rFonts w:ascii="Times New Roman" w:hAnsi="Times New Roman" w:cs="Times New Roman"/>
          <w:sz w:val="26"/>
          <w:szCs w:val="26"/>
        </w:rPr>
        <w:t xml:space="preserve"> 2017 - 2023 годов, а также федеральной государственной информационной системы "Единый портал государственных и муниципальных услуг (функций)", средств массовой информации и социальных сетей, онлайн-приложений и голосовых помощников, мультфильмов и онлайн-игр по финансовой грамотности, форматов социальной рекламы;</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организовано движение волонтеров финансового просвещения, насчитывающее более 11 тыс. граждан во всех регионах страны, активно осуществляющих просветительскую деятельность со всеми целевыми аудиториями, в том числе с гражданами старшего возраста, жителями отдаленных населенных пунктов, лицами, оказавшимися в трудной жизненной ситуации;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на системной основе обеспечена координационная и экспертная поддержка деятельности субъектов Российской Федерации, по итогам которой:</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 85 регионах утверждены и реализуются собственные программы повышения финансовой грамотности, созданы координационные органы по вопросам финансовой грамотности;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 53 регионах созданы и функционируют региональные центры финансовой грамотности;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 77 регионах реализуются практики инициативного бюджетирования и (или) иные практики вовлечения граждан в процессы управления, основанные на интернет-решениях (далее - иные практики), благодаря которым граждане вовлекаются в процесс формирования, обсуждения, принятия и реализации решений, в том числе в бюджетной сфере;</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 14 регионах созданы ресурсные центры волонтеров финансового просвещения.</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lastRenderedPageBreak/>
        <w:t xml:space="preserve">Таким образом, за период реализации </w:t>
      </w:r>
      <w:hyperlink r:id="rId27">
        <w:r w:rsidRPr="00590F19">
          <w:rPr>
            <w:rFonts w:ascii="Times New Roman" w:hAnsi="Times New Roman" w:cs="Times New Roman"/>
            <w:color w:val="0000FF"/>
            <w:sz w:val="26"/>
            <w:szCs w:val="26"/>
          </w:rPr>
          <w:t>Стратегии</w:t>
        </w:r>
      </w:hyperlink>
      <w:r w:rsidRPr="00590F19">
        <w:rPr>
          <w:rFonts w:ascii="Times New Roman" w:hAnsi="Times New Roman" w:cs="Times New Roman"/>
          <w:sz w:val="26"/>
          <w:szCs w:val="26"/>
        </w:rPr>
        <w:t xml:space="preserve"> 2017 - 2023 годов удалось добиться заметных успехов в сфере повышения финансовой грамотности.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Результаты проведенного в 2022 году исследования свидетельствуют о том, что уровень финансовой грамотности граждан страны в целом вырос. Улучшилось понимание россиянами сути таких понятий, как "ссудный процент" (увеличение доли правильных ответов с 68 процентов в 2017 году до 75 процентов в 2022 году) и "инфляция" (увеличение доли правильных ответов с 78 процентов в 2017 году до 81 процента в 2022 году), усилилось осознание ответственности в отношении долгового поведения (увеличение доли правильных ответов с 65 процентов в 2017 году до 69 процентов в 2022 году), повысилась информированность об организациях, защищающих права пользователей финансовых услуг (увеличение доли правильных ответов с 38 процентов в 2017 году до 51 процента в 2022 году).</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Финансовое поведение граждан в отдельных аспектах стало более устойчивым и осознанным. Выросли доли опрошенных граждан:</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имеющих денежный запас на непредвиденный случай (с 37 процентов в 2017 году до 47 процентов в 2022 году);</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самостоятельно принимающих финансовые решения (с 38 процентов в 2017 году до 51 процента в 2022 году);</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распределяющих свои доходы так, чтобы их хватало на текущие расходы (с 54 процентов в 2017 году до 62 процентов в 2022 году).</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Результаты опросов граждан показывают, что граждане с более высоким уровнем финансовой грамотности имеют более достоверные инфляционные ожидания, а значит, могут более рационально планировать свои финансы.</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Положительный эффект от популяризации финансовой грамотности особенно сильно отражается в росте показателей финансовой грамотности молодежи - по итогам исследования молодые люди демонстрируют более рациональное и ответственное финансовое поведение (33 процента осознанно выбирают финансовую услугу по сравнению с 27 процентами взрослых граждан, 55 процентов делают сбережения по сравнению с 45 процентами взрослых граждан), лучше разбираются в цифровых и инвестиционных финансовых инструментах (60 процентов используют двойную аутентификацию при пользовании финансами онлайн по сравнению с 36 процентами взрослых граждан, 23 процента активно инвестируют по сравнению с 11 процентами взрослых граждан). Существенное влияние на это оказало внедрение финансовой грамотности в образовательный процесс.</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Вместе с тем достигнутые результаты не в полной мере отвечают целям формирования устойчивых моделей финансового поведения. Значительное количество граждан не строит долгосрочные планы (75 процентов), не формирует сбережения в значимых объемах (53 процента). Необходимы повышение информированности граждан об инструментах финансового рынка и формирование навыков осознанного (рационального) выбора этих инструментов.</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Согласно опросу, проведенному в 2022 году при участии автономной </w:t>
      </w:r>
      <w:r w:rsidRPr="00590F19">
        <w:rPr>
          <w:rFonts w:ascii="Times New Roman" w:hAnsi="Times New Roman" w:cs="Times New Roman"/>
          <w:sz w:val="26"/>
          <w:szCs w:val="26"/>
        </w:rPr>
        <w:lastRenderedPageBreak/>
        <w:t>некоммерческой организации "Международный учебно-методический центр финансового мониторинга", каждый второй молодой россиянин в возрасте от 14 до 35 лет (53 процента) считает, что ему не хватает знаний об основах финансовой безопасности, чтобы защитить себя от мошенничества и других рисков потери денег, 87 процентов россиян моложе 35 лет заявляют о желании повысить свою грамотность в этой сфере.</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Уровень финансовой грамотности заметно различается в разных группах граждан. Люди более молодого возраста, а также граждане с высоким доходом, что часто обусловлено высоким уровнем образования и (или) проживанием в крупном городе, демонстрируют большую финансовую активность и, как следствие, более высокий уровень финансовой грамотности.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Заметно меньшую финансовую компетентность проявляют граждане старшего возраста, граждане с невысоким уровнем доходов, низким уровнем образования и граждане, проживающие в небольших населенных пунктах.</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Взрослые граждане, в отличие от молодежи, менее восприимчивы к новой информации. Взрослый гражданин готов изучать новые для себя вопросы в случае возникновения интереса к ним, при необходимости (например, для решения профессиональных или личных практических задач, при существенных изменениях внешней среды) или под влиянием общественного мнения, поведения окружающих людей (эффект социального подражания). Поэтому в рамках реализации Стратегии необходимо повысить заинтересованность взрослых граждан в финансовой грамотности и формировании финансовой культуры.</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На современном этапе рост благополучия граждан может обеспечить их более активное осознанное участие в российской экономике, что, в свою очередь, будет фактором ее развития. Финансовая грамотность является необходимым, но не достаточным условием такого участия. Знания и компетенции не всегда автоматически обеспечивают продуктивное финансовое поведение, особенно в ситуации, если они вступают в конфликт с социокультурными установками и ценностями людей - например, низким уровнем доверия, коротким горизонтом планирования, недостаточным самоконтролем и ответственностью.</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Необходимо также учитывать, что быстрое развитие цифровых технологий существенно изменило традиционные подходы к оказанию финансовых услуг, повысило требования к финансовой </w:t>
      </w:r>
      <w:proofErr w:type="spellStart"/>
      <w:r w:rsidRPr="00590F19">
        <w:rPr>
          <w:rFonts w:ascii="Times New Roman" w:hAnsi="Times New Roman" w:cs="Times New Roman"/>
          <w:sz w:val="26"/>
          <w:szCs w:val="26"/>
        </w:rPr>
        <w:t>киберграмотности</w:t>
      </w:r>
      <w:proofErr w:type="spellEnd"/>
      <w:r w:rsidRPr="00590F19">
        <w:rPr>
          <w:rFonts w:ascii="Times New Roman" w:hAnsi="Times New Roman" w:cs="Times New Roman"/>
          <w:sz w:val="26"/>
          <w:szCs w:val="26"/>
        </w:rPr>
        <w:t xml:space="preserve">, под которой понимаются основные знания, умения и навыки граждан в области безопасного пользования цифровыми финансовыми технологиями. В настоящее время многие граждане в России могут совершать большинство финансовых операций в онлайн-режиме круглосуточно с помощью мобильных приложений. Развитие подобных решений наряду с плюсами для потребителей финансовых услуг привело также к росту мошеннических действий с использованием цифровых технологий, увеличению количества нелегальных участников финансового рынка и "финансовых пирамид", осуществляющих деятельность посредством информационно-телекоммуникационной сети "Интернет". В этой связи в ближайшие годы приоритет в вопросах финансовой безопасности будут иметь вопросы финансовой кибербезопасности, под которой понимается совокупность методов и практик управления </w:t>
      </w:r>
      <w:proofErr w:type="spellStart"/>
      <w:r w:rsidRPr="00590F19">
        <w:rPr>
          <w:rFonts w:ascii="Times New Roman" w:hAnsi="Times New Roman" w:cs="Times New Roman"/>
          <w:sz w:val="26"/>
          <w:szCs w:val="26"/>
        </w:rPr>
        <w:t>киберрисками</w:t>
      </w:r>
      <w:proofErr w:type="spellEnd"/>
      <w:r w:rsidRPr="00590F19">
        <w:rPr>
          <w:rFonts w:ascii="Times New Roman" w:hAnsi="Times New Roman" w:cs="Times New Roman"/>
          <w:sz w:val="26"/>
          <w:szCs w:val="26"/>
        </w:rPr>
        <w:t xml:space="preserve">, в том числе защиты от атак злоумышленников в </w:t>
      </w:r>
      <w:r w:rsidRPr="00590F19">
        <w:rPr>
          <w:rFonts w:ascii="Times New Roman" w:hAnsi="Times New Roman" w:cs="Times New Roman"/>
          <w:sz w:val="26"/>
          <w:szCs w:val="26"/>
        </w:rPr>
        <w:lastRenderedPageBreak/>
        <w:t>отношении цифровых финансовых технологий.</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Поэтому в рамках реализации Стратегии ставится задача перехода от финансовой грамотности как набора знаний, умений и навыков к финансовой культуре, которая включает в себя ценности, установки и поведенческие практики, определяет качество использования гражданами финансовой грамотности. Для этого необходимо целенаправленное воздействие на все компоненты финансовой культуры через различные каналы коммуникации и соответствующих субъектов - государство, образовательные организации, финансовые организации, бизнес, креативные индустрии, добровольцев (волонтеров), семью, гражданское общество.</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Положительное влияние на уровень финансовой культуры будут оказывать опыт пользования разнообразными финансовыми продуктами и услугами, рост уровня доходов, повышение доступности финансовых услуг и вовлеченности граждан в операции на финансовом рынке. Важную роль в этих процессах будет играть </w:t>
      </w:r>
      <w:proofErr w:type="spellStart"/>
      <w:r w:rsidRPr="00590F19">
        <w:rPr>
          <w:rFonts w:ascii="Times New Roman" w:hAnsi="Times New Roman" w:cs="Times New Roman"/>
          <w:sz w:val="26"/>
          <w:szCs w:val="26"/>
        </w:rPr>
        <w:t>клиентоориентированный</w:t>
      </w:r>
      <w:proofErr w:type="spellEnd"/>
      <w:r w:rsidRPr="00590F19">
        <w:rPr>
          <w:rFonts w:ascii="Times New Roman" w:hAnsi="Times New Roman" w:cs="Times New Roman"/>
          <w:sz w:val="26"/>
          <w:szCs w:val="26"/>
        </w:rPr>
        <w:t xml:space="preserve"> и этичный финансовый бизнес, нацеленный на долгосрочные взаимовыгодные отношения с клиентами.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 процессе формирования финансовой культуры необходимо учитывать и факторы, связанные с самой природой человека, когнитивные и эмоциональные механизмы финансового поведения, которые приводят к ошибкам и нерациональным действиям. Поэтому повышение уровня финансовой культуры должно включать в себя не только финансовое просвещение, но и обучение людей общим навыкам принятия решений в условиях неопределенности и с учетом когнитивных искажений.</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В начале десятилетия российская экономика и финансовый рынок столкнулись с серьезными вызовами, включая новую </w:t>
      </w:r>
      <w:proofErr w:type="spellStart"/>
      <w:r w:rsidRPr="00590F19">
        <w:rPr>
          <w:rFonts w:ascii="Times New Roman" w:hAnsi="Times New Roman" w:cs="Times New Roman"/>
          <w:sz w:val="26"/>
          <w:szCs w:val="26"/>
        </w:rPr>
        <w:t>коронавирусную</w:t>
      </w:r>
      <w:proofErr w:type="spellEnd"/>
      <w:r w:rsidRPr="00590F19">
        <w:rPr>
          <w:rFonts w:ascii="Times New Roman" w:hAnsi="Times New Roman" w:cs="Times New Roman"/>
          <w:sz w:val="26"/>
          <w:szCs w:val="26"/>
        </w:rPr>
        <w:t xml:space="preserve"> инфекцию (COVID-19), геополитическую турбулентность, широкомасштабные санкции со стороны ряда зарубежных государств и связанную с этим "заморозку" иностранных активов частных инвесторов. Эти вызовы потребовали оперативных решений Правительства Российской Федерации и Центрального банка Российской Федерации, принятия новых нормативных правовых актов. Граждане, со своей стороны, также продемонстрировали высокий уровень адаптации к внешним факторам, способность преодолевать кризисные явления, чему способствовала в том числе и последовательно проводившаяся в предыдущие годы работа по повышению финансовой грамотности.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Реализация </w:t>
      </w:r>
      <w:hyperlink r:id="rId28">
        <w:r w:rsidRPr="00590F19">
          <w:rPr>
            <w:rFonts w:ascii="Times New Roman" w:hAnsi="Times New Roman" w:cs="Times New Roman"/>
            <w:color w:val="0000FF"/>
            <w:sz w:val="26"/>
            <w:szCs w:val="26"/>
          </w:rPr>
          <w:t>Стратегии</w:t>
        </w:r>
      </w:hyperlink>
      <w:r w:rsidRPr="00590F19">
        <w:rPr>
          <w:rFonts w:ascii="Times New Roman" w:hAnsi="Times New Roman" w:cs="Times New Roman"/>
          <w:sz w:val="26"/>
          <w:szCs w:val="26"/>
        </w:rPr>
        <w:t xml:space="preserve"> 2017 - 2023 годов позволила заложить устойчивый фундамент для дальнейшего повышения финансовой грамотности и формирования финансовой культуры граждан. Сформирована система управления программами повышения финансовой грамотности на федеральном и региональном уровнях в их взаимосвязи, внедрены эффективные инструменты продвижения финансовой грамотности в рамках системы образования, создана базовая архитектура работы со взрослыми гражданами через информационно-просветительские мероприятия.</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Это позволяет ставить более сложные задачи на горизонт до 2030 года, связанные с формированием финансовой культуры и финансово грамотного поведения.</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Title"/>
        <w:jc w:val="center"/>
        <w:outlineLvl w:val="1"/>
        <w:rPr>
          <w:rFonts w:ascii="Times New Roman" w:hAnsi="Times New Roman" w:cs="Times New Roman"/>
          <w:sz w:val="26"/>
          <w:szCs w:val="26"/>
        </w:rPr>
      </w:pPr>
      <w:r w:rsidRPr="00590F19">
        <w:rPr>
          <w:rFonts w:ascii="Times New Roman" w:hAnsi="Times New Roman" w:cs="Times New Roman"/>
          <w:sz w:val="26"/>
          <w:szCs w:val="26"/>
        </w:rPr>
        <w:lastRenderedPageBreak/>
        <w:t>III. Цели и задачи Стратегии</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ind w:firstLine="540"/>
        <w:jc w:val="both"/>
        <w:rPr>
          <w:rFonts w:ascii="Times New Roman" w:hAnsi="Times New Roman" w:cs="Times New Roman"/>
          <w:sz w:val="26"/>
          <w:szCs w:val="26"/>
        </w:rPr>
      </w:pPr>
      <w:r w:rsidRPr="00590F19">
        <w:rPr>
          <w:rFonts w:ascii="Times New Roman" w:hAnsi="Times New Roman" w:cs="Times New Roman"/>
          <w:sz w:val="26"/>
          <w:szCs w:val="26"/>
        </w:rPr>
        <w:t>Целью Стратегии является формирование к 2030 году у большинства граждан Российской Федерации ключевых элементов финансовой культуры (ценностей, установок и поведенческих практик), способствующих финансовому благополучию гражданина, семьи и общества, в том числе через формирование компетенций по финансовой грамотности, расширение практических навыков и опыта принятия финансовых решений, обеспечение надежности функционирования финансовой системы.</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Формирование финансовой культуры будет служить интересам граждан, бизнеса и общества в целом, способствовать повышению благосостояния граждан, достижению национальных целей развития Российской Федерации, решению приоритетных задач. Результатами повышения финансовой культуры должны стать увеличение горизонта планирования граждан, их способности осознанно формулировать финансовые и инвестиционные цели и обеспечивать их реализацию, повышение приемлемости осознанного риска при исключении неоправданно рискованного поведения, рост доверия в целом и, в частности, доверия граждан к финансовым институтам.</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Эти результаты внесут вклад в повышение реальных доходов и финансового благополучия граждан, увеличение потенциала формирования долгосрочных сбережений и инвестиций в российской экономике, что будет способствовать ее структурной трансформации и более эффективному развитию, снижению рисков для финансовой стабильности.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Повышение доверия граждан, в том числе к финансовым институтам, является комплексной задачей, характеризующей общее состояние финансовой культуры в экономике и обществе, и зависит от множества факторов. Такое повышение основывается на развитии финансового рынка, культуры государственных институтов и финансовых организаций, права и правоприменительной практики, защите интересов граждан и участников финансового рынка. Развитие финансовой грамотности и формирование финансовой культуры должны способствовать повышению доверия при снижении рисков финансовой стабильности и индивидуальных рисков граждан.</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 равной мере финансовая грамотность и финансовая культура важны для формирования поведения граждан в сфере общественных финансов. В целях лучшего понимания гражданами важности роли общественных финансов в их жизни и своих возможностей принимать участие в бюджетном процессе необходимо акцентировать внимание в первую очередь на воспитании гражданской ответственности, укреплении доверия граждан к органам государственной власти и органам местного самоуправления, на существующих инструментах участия граждан в бюджетном процессе и общественного контроля за эффективным использованием бюджетных средств.</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Повышение финансовой грамотности и формирование финансовой культуры граждан в результате реализации Стратегии будут способствовать в том числе достижению ключевых целей развития российского финансового рынка, определенных </w:t>
      </w:r>
      <w:hyperlink r:id="rId29">
        <w:r w:rsidRPr="00590F19">
          <w:rPr>
            <w:rFonts w:ascii="Times New Roman" w:hAnsi="Times New Roman" w:cs="Times New Roman"/>
            <w:color w:val="0000FF"/>
            <w:sz w:val="26"/>
            <w:szCs w:val="26"/>
          </w:rPr>
          <w:t>Стратегией</w:t>
        </w:r>
      </w:hyperlink>
      <w:r w:rsidRPr="00590F19">
        <w:rPr>
          <w:rFonts w:ascii="Times New Roman" w:hAnsi="Times New Roman" w:cs="Times New Roman"/>
          <w:sz w:val="26"/>
          <w:szCs w:val="26"/>
        </w:rPr>
        <w:t xml:space="preserve"> развития финансового рынка Российской Федерации до </w:t>
      </w:r>
      <w:r w:rsidRPr="00590F19">
        <w:rPr>
          <w:rFonts w:ascii="Times New Roman" w:hAnsi="Times New Roman" w:cs="Times New Roman"/>
          <w:sz w:val="26"/>
          <w:szCs w:val="26"/>
        </w:rPr>
        <w:lastRenderedPageBreak/>
        <w:t>2030 года, утвержденной распоряжением Правительства Российской Федерации от 29 декабря 2022 г. N 4355-р. Наиболее актуальными вопросами в этой сфере являются:</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расширение долгосрочных инвестиций граждан в российскую экономику, в том числе с использованием государственных ценных бумаг Российской Федерации и субъектов Российской Федерации, включая облигации для населения, механизма индивидуальных инвестиционных счетов, вовлечение граждан в долгосрочные сбережения с использованием пассивных инвестиционных стратегий при посредничестве управляющих компаний, негосударственных пенсионных фондов и страховщиков, долгосрочных безотзывных вкладов и сберегательных сертификатов, основанное на понимании возможных рисков;</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поддержка формирования достаточного уровня сбережений граждан ("финансовые подушки безопасности"), в том числе для социально незащищенных категорий граждан, а также информирование об инструментах формирования долгосрочных накоплений;</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развитие страхования жизни как долгосрочного инструмента защиты имущественных интересов граждан;</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повышение доверия граждан к системе добровольного пенсионного страхования и их вовлеченности в программы негосударственного пенсионного обеспечения.</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Стратегия направлена на повышение финансовой грамотности и формирование финансовой культуры, рост благосостояния всех граждан страны и ориентирована на учет потребностей и возможностей гражданина на разных стадиях его жизненного цикла. Вместе с тем в ней учитываются интересы отдельных групп граждан, для которых требуются специальные меры и программы по повышению их финансовой грамотности и формированию их финансовой культуры с учетом возможностей и жизненных ситуаций. Стратегия также способствует повышению уровня финансовой безопасности, в том числе финансовой кибербезопасности, граждан Российской Федерации.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Для достижения поставленной цели необходимо решить следующие взаимосвязанные задачи Стратегии: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продвижение ценностей и формирование установок финансовой культуры среди взрослых экономически активных граждан в целях выработки осознанных и рациональных поведенческих практик;</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сохранение и развитие накопленного опыта в рамках системы образования по повышению финансовой грамотности детей и молодежи, дополнение образовательных программ элементами финансовой культуры;</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использование различных каналов коммуникаций по актуальным вопросам финансовой грамотности и финансовой культуры в целях формирования и закрепления навыков осознанного финансового поведения граждан;</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ведение целевой информационно-просветительской деятельности в отношении </w:t>
      </w:r>
      <w:r w:rsidRPr="00590F19">
        <w:rPr>
          <w:rFonts w:ascii="Times New Roman" w:hAnsi="Times New Roman" w:cs="Times New Roman"/>
          <w:sz w:val="26"/>
          <w:szCs w:val="26"/>
        </w:rPr>
        <w:lastRenderedPageBreak/>
        <w:t>отдельных групп граждан;</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расширение положительного опыта использования гражданами финансовых продуктов и услуг, сопровождаемое экспертизой со стороны государства и </w:t>
      </w:r>
      <w:proofErr w:type="gramStart"/>
      <w:r w:rsidRPr="00590F19">
        <w:rPr>
          <w:rFonts w:ascii="Times New Roman" w:hAnsi="Times New Roman" w:cs="Times New Roman"/>
          <w:sz w:val="26"/>
          <w:szCs w:val="26"/>
        </w:rPr>
        <w:t>гражданского общества качества и потребительской ценности предлагаемых на рынке финансовых продуктов</w:t>
      </w:r>
      <w:proofErr w:type="gramEnd"/>
      <w:r w:rsidRPr="00590F19">
        <w:rPr>
          <w:rFonts w:ascii="Times New Roman" w:hAnsi="Times New Roman" w:cs="Times New Roman"/>
          <w:sz w:val="26"/>
          <w:szCs w:val="26"/>
        </w:rPr>
        <w:t xml:space="preserve"> и услуг;</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формирование доверительного отношения граждан к финансовому рынку и финансовым институтам;</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обеспечение финансовой безопасности, в том числе финансовой кибербезопасности, путем формирования у граждан навыков, установок и поведенческих практик для защиты от возможных рисков в финансовой сфере, эффективного противодействия нелегальной деятельности на финансовом рынке и мошенничеству;</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обеспечение подготовки кадров в сфере финансовой грамотности;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обеспечение регулярного мониторинга состояния финансовой грамотности и финансовой культуры в Российской Федерации, в том числе по субъектам Российской Федерации;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обеспечение открытости (прозрачности) бюджетов бюджетной системы Российской Федерации для осуществления контроля за эффективным использованием бюджетных средств в целях воспитания гражданской ответственности и укрепления доверия граждан к органам государственной власти и органам местного самоуправления.</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Title"/>
        <w:jc w:val="center"/>
        <w:outlineLvl w:val="1"/>
        <w:rPr>
          <w:rFonts w:ascii="Times New Roman" w:hAnsi="Times New Roman" w:cs="Times New Roman"/>
          <w:sz w:val="26"/>
          <w:szCs w:val="26"/>
        </w:rPr>
      </w:pPr>
      <w:r w:rsidRPr="00590F19">
        <w:rPr>
          <w:rFonts w:ascii="Times New Roman" w:hAnsi="Times New Roman" w:cs="Times New Roman"/>
          <w:sz w:val="26"/>
          <w:szCs w:val="26"/>
        </w:rPr>
        <w:t>IV. Ожидаемые результаты реализации Стратегии, ключевые</w:t>
      </w:r>
    </w:p>
    <w:p w:rsidR="00590F19" w:rsidRPr="00590F19" w:rsidRDefault="00590F19">
      <w:pPr>
        <w:pStyle w:val="ConsPlusTitle"/>
        <w:jc w:val="center"/>
        <w:rPr>
          <w:rFonts w:ascii="Times New Roman" w:hAnsi="Times New Roman" w:cs="Times New Roman"/>
          <w:sz w:val="26"/>
          <w:szCs w:val="26"/>
        </w:rPr>
      </w:pPr>
      <w:r w:rsidRPr="00590F19">
        <w:rPr>
          <w:rFonts w:ascii="Times New Roman" w:hAnsi="Times New Roman" w:cs="Times New Roman"/>
          <w:sz w:val="26"/>
          <w:szCs w:val="26"/>
        </w:rPr>
        <w:t>характеристики финансовой грамотности и финансовой культуры</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ind w:firstLine="540"/>
        <w:jc w:val="both"/>
        <w:rPr>
          <w:rFonts w:ascii="Times New Roman" w:hAnsi="Times New Roman" w:cs="Times New Roman"/>
          <w:sz w:val="26"/>
          <w:szCs w:val="26"/>
        </w:rPr>
      </w:pPr>
      <w:r w:rsidRPr="00590F19">
        <w:rPr>
          <w:rFonts w:ascii="Times New Roman" w:hAnsi="Times New Roman" w:cs="Times New Roman"/>
          <w:sz w:val="26"/>
          <w:szCs w:val="26"/>
        </w:rPr>
        <w:t>Основным результатом реализации Стратегии является повышение уровня финансовой грамотности и финансовой культуры, отраженное в следующих характеристиках:</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 сфере личных финансов:</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планирование финансов, ведение учета личных доходов и расходов, умение ставить перед собой краткосрочные и долгосрочные финансовые цели и выстраивать траекторию достижения этих целей;</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установка на рациональное и ответственное потребление во всех сферах жизнедеятельности, умение отказаться от спонтанных трат;</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осознанный выбор финансовой организации и умение проверить ее надежность, умение выбрать финансовые продукты, соответствующие жизненной ситуации и целям гражданина;</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умение пользоваться платежными инструментами;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ответственное заимствование, умение оценить свои финансовые возможности </w:t>
      </w:r>
      <w:r w:rsidRPr="00590F19">
        <w:rPr>
          <w:rFonts w:ascii="Times New Roman" w:hAnsi="Times New Roman" w:cs="Times New Roman"/>
          <w:sz w:val="26"/>
          <w:szCs w:val="26"/>
        </w:rPr>
        <w:lastRenderedPageBreak/>
        <w:t>при принятии решения о получении кредита (займа), дисциплинированное обслуживание кредитов (займов), понимание кредитной истории, индивидуального кредитного рейтинга, условий личного банкротства и его последствий;</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наличие установки на формирование сбережений для различных жизненных ситуаций (крупные покупки, непредвиденные трудности, будущая пенсия и др.) и умение реализовать эту установку, формирование и поддержание резервного фонда ("финансовой подушки безопасности") на 3 - 6 месяцев;</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понимание сущности инвестирования и адекватное представление об уровне принимаемых рыночных, кредитных, операционных, инфраструктурных, других внешних и внутренних рисков, умение выбирать подходящие инвестиционные продукты с учетом приемлемого уровня риска, установка на диверсификацию и долгосрочность вложений;</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умение управлять личными рисками, в том числе путем страхования, осознанный выбор подходящих страховых продуктов;</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планирование и регулярное формирование дополнительных накоплений к будущей пенсии;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умение защищать свои права потребителя с помощью правовых инструментов, в том числе в цифровой среде;</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понимание сути инфляции, информированность о целевом показателе инфляции и его учет при формировании инфляционных ожиданий, потребительских и сберегательных стратегий;</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готовность к приобретению знаний о новых финансовых технологиях и финансовых инструментах (цифровой рубль, партнерское финансирование, цифровые финансовые активы, утилитарные цифровые права, </w:t>
      </w:r>
      <w:proofErr w:type="spellStart"/>
      <w:r w:rsidRPr="00590F19">
        <w:rPr>
          <w:rFonts w:ascii="Times New Roman" w:hAnsi="Times New Roman" w:cs="Times New Roman"/>
          <w:sz w:val="26"/>
          <w:szCs w:val="26"/>
        </w:rPr>
        <w:t>криптоактивы</w:t>
      </w:r>
      <w:proofErr w:type="spellEnd"/>
      <w:r w:rsidRPr="00590F19">
        <w:rPr>
          <w:rFonts w:ascii="Times New Roman" w:hAnsi="Times New Roman" w:cs="Times New Roman"/>
          <w:sz w:val="26"/>
          <w:szCs w:val="26"/>
        </w:rPr>
        <w:t>, инвестиционные платформы, финансовые платформы, использование искусственного интеллекта в финансовой сфере и др.) и осознанный подход к их использованию в своей практике;</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 сфере общественных финансов:</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понимание смысла уплаты налогов как источника доходов государства, благодаря которому оно предоставляет гражданам необходимые им блага;</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установка на официальное трудоустройство, понимание взаимосвязи официальной заработной платы и уровня пенсионного обеспечения в будущем;</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установка на соблюдение положений законодательства Российской Федерации о налогах и сборах, ориентация на работу с официальной зарплатой, регистрацией в качестве индивидуального предпринимателя или плательщика налога на профессиональный доход;</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выбор подходящего налогового режима для бизнеса, использование полагающихся налоговых льгот;</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знания о бюджетах бюджетной системы Российской Федерации, о структуре их </w:t>
      </w:r>
      <w:r w:rsidRPr="00590F19">
        <w:rPr>
          <w:rFonts w:ascii="Times New Roman" w:hAnsi="Times New Roman" w:cs="Times New Roman"/>
          <w:sz w:val="26"/>
          <w:szCs w:val="26"/>
        </w:rPr>
        <w:lastRenderedPageBreak/>
        <w:t>доходов и направлениях расходов;</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установка на участие в проектах инициативного бюджетирования, иных практиках, а также использование других существующих инструментов участия граждан в бюджетном процессе;</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использование полагающихся по закону государственных и муниципальных услуг и льгот, социальных выплат;</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 сфере финансовой безопасности, в том числе финансовой кибербезопасности: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понимание требований финансовой безопасности как личной ответственности потребителя, соблюдение правил финансовой безопасности при управлении личными финансами;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знание и умение безопасно пользоваться цифровыми финансовыми технологиями;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умение распознавать нелегальных участников финансового рынка и "финансовые пирамиды", распознавать и противостоять угрозе мошенничества, в том числе связанного с использованием социальной инженерии;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умение осмотрительно относиться к размещению в информационно-телекоммуникационной сети "Интернет" личных данных, в том числе финансовых, сокращать свой "цифровой след";</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установка на взаимодействие с финансовыми организациями и правоохранительными органами в случае обнаружения мошеннических действий.</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При этом работа в рамках реализации Стратегии должна учитывать характеристики финансовой грамотности и финансовой культуры на отдельных стадиях жизненного цикла гражданина, быть сконцентрированной на актуальных вопросах для детей и подростков, молодых граждан, взрослых экономически активных граждан и граждан старшего возраста;</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 отношении детей и подростков - освоение базовых основ финансовой грамотности и финансовой культуры через образование, воспитание и опыт:</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базовое понимание того, что такое деньги, как их можно заработать и как их правильно тратить, как планировать личный бюджет, ставить и достигать финансовые цели;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получение первого опыта откладывания денег на самостоятельные покупки;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получение базовых представлений об основах безопасного пользования цифровыми финансовыми технологиями;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обучение базовым навыкам математических расчетов и критического мышления, необходимых для действий в финансовой сфере;</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получение базовых представлений о том, как устроен финансовый рынок, какие на нем существуют организации и финансовые продукты, получение первого опыта </w:t>
      </w:r>
      <w:r w:rsidRPr="00590F19">
        <w:rPr>
          <w:rFonts w:ascii="Times New Roman" w:hAnsi="Times New Roman" w:cs="Times New Roman"/>
          <w:sz w:val="26"/>
          <w:szCs w:val="26"/>
        </w:rPr>
        <w:lastRenderedPageBreak/>
        <w:t>использования доступных финансовых продуктов;</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получение базовых представлений о том, как устроены бюджеты бюджетной системы Российской Федерации, получение первого опыта работы с информацией в формате "Бюджет для граждан";</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выработка установки на участие в практиках школьного инициативного бюджетирования, иных практиках;</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получение базовых представлений о том, какие риски существуют в сфере финансов и как с ними справляться;</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 отношении молодых граждан - владение навыками и установками для удовлетворения текущих потребностей и формирование основы для удовлетворения будущих потребностей:</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умение рационально распоряжаться деньгами, освоение навыков финансового планирования;</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умение выбирать и использовать подходящие кредитные продукты, в том числе ипотеку (с учетом недостаточности собственных доходов на покрытие всех потребностей на этой стадии жизненного цикла);</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осознание необходимости начинать формировать сбережения и инвестировать свободные средства как можно раньше, в том числе для формирования стабильных доходов в будущем;</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выработка установки на добросовестное отношение к налогам;</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осознание того, что участие в практиках инициативного бюджетирования, иных практиках является инструментом формирования комфортной среды, а также фактором развития территории;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 отношении взрослых экономически активных граждан - обеспечение финансовой устойчивости и благополучия на протяжении всего жизненного цикла:</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умение ставить и достигать долгосрочные финансовые цели;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умение жить по средствам и не допускать дефицита личного бюджета;</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рациональное использование кредитных продуктов;</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инвестирование существенной части свободных денежных средств, формирование пенсионных накоплений;</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понимание разнообразных финансовых рисков и обеспечение защиты от них;</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участие в публичных слушаниях и (или) общественных обсуждениях проектов бюджетов субъектов Российской Федерации и местных бюджетов и годовых отчетов об их исполнении, создание благоприятных условий жизни посредством участия в практиках инициативного бюджетирования, иных практиках;</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забота о финансовом благополучии близких;</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lastRenderedPageBreak/>
        <w:t>в отношении граждан старшего возраста - обеспечение комфортного уровня жизни, защита от рисков и мошенничества:</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умение рационально использовать имеющиеся накопления;</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умение отказываться от чрезмерно рискованных инвестиционных и кредитных продуктов;</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готовность получать новые знания и навыки управления личными финансами, в том числе с применением цифровых финансовых технологий;</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знание и использование налоговых льгот, социальных выплат, государственных и муниципальных услуг, полагающихся гражданам старшего возраста;</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участие в бюджетном процессе, в том числе посредством практик инициативного бюджетирования, иных практик, в том числе в целях решения актуальных проблем граждан и создания благоприятных условий жизни для следующих поколений;</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умение распознавать и противостоять мошенничеству, установка на необходимость советоваться с родственниками или другими людьми, заслуживающими доверия, в вызывающих опасения ситуациях.</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Title"/>
        <w:jc w:val="center"/>
        <w:outlineLvl w:val="1"/>
        <w:rPr>
          <w:rFonts w:ascii="Times New Roman" w:hAnsi="Times New Roman" w:cs="Times New Roman"/>
          <w:sz w:val="26"/>
          <w:szCs w:val="26"/>
        </w:rPr>
      </w:pPr>
      <w:r w:rsidRPr="00590F19">
        <w:rPr>
          <w:rFonts w:ascii="Times New Roman" w:hAnsi="Times New Roman" w:cs="Times New Roman"/>
          <w:sz w:val="26"/>
          <w:szCs w:val="26"/>
        </w:rPr>
        <w:t>V. Основные направления реализации Стратегии</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ind w:firstLine="540"/>
        <w:jc w:val="both"/>
        <w:rPr>
          <w:rFonts w:ascii="Times New Roman" w:hAnsi="Times New Roman" w:cs="Times New Roman"/>
          <w:sz w:val="26"/>
          <w:szCs w:val="26"/>
        </w:rPr>
      </w:pPr>
      <w:r w:rsidRPr="00590F19">
        <w:rPr>
          <w:rFonts w:ascii="Times New Roman" w:hAnsi="Times New Roman" w:cs="Times New Roman"/>
          <w:sz w:val="26"/>
          <w:szCs w:val="26"/>
        </w:rPr>
        <w:t>Основными направлениями реализации Стратегии являются:</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информационно-просветительская деятельность;</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образовательная деятельность;</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подготовка кадров в сфере финансовой грамотности;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взаимодействие с финансовыми организациями;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взаимодействие с бизнесом;</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взаимодействие с гражданским обществом и некоммерческими организациями;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развитие международного сотрудничества;</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развитие практик инициативного бюджетирования, иных практик, а также обеспечение открытости бюджетной информации.</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Title"/>
        <w:jc w:val="center"/>
        <w:outlineLvl w:val="2"/>
        <w:rPr>
          <w:rFonts w:ascii="Times New Roman" w:hAnsi="Times New Roman" w:cs="Times New Roman"/>
          <w:sz w:val="26"/>
          <w:szCs w:val="26"/>
        </w:rPr>
      </w:pPr>
      <w:r w:rsidRPr="00590F19">
        <w:rPr>
          <w:rFonts w:ascii="Times New Roman" w:hAnsi="Times New Roman" w:cs="Times New Roman"/>
          <w:sz w:val="26"/>
          <w:szCs w:val="26"/>
        </w:rPr>
        <w:t>1. Информационно-просветительская деятельность</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ind w:firstLine="540"/>
        <w:jc w:val="both"/>
        <w:rPr>
          <w:rFonts w:ascii="Times New Roman" w:hAnsi="Times New Roman" w:cs="Times New Roman"/>
          <w:sz w:val="26"/>
          <w:szCs w:val="26"/>
        </w:rPr>
      </w:pPr>
      <w:r w:rsidRPr="00590F19">
        <w:rPr>
          <w:rFonts w:ascii="Times New Roman" w:hAnsi="Times New Roman" w:cs="Times New Roman"/>
          <w:sz w:val="26"/>
          <w:szCs w:val="26"/>
        </w:rPr>
        <w:t>Целью информационно-просветительской деятельности являются популяризация финансовой грамотности и финансовой культуры, содействие закреплению знаний и навыков осознанного финансового поведения, продвижение ценностей и установок финансовой культуры в целях выработки разумных поведенческих практик.</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lastRenderedPageBreak/>
        <w:t>В задачи информационно-просветительской деятельности в области повышения финансовой грамотности и формирования финансовой культуры входят:</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формирование общественного интереса к различным аспектам повышения финансовой грамотности и формирования финансовой культуры граждан через социальную рекламу и другие каналы информирования, включая продукцию креативных индустрий;</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продвижение ценностей и установок, обеспечивающих финансовое благополучие граждан и финансовую безопасность, в том числе ответственное заимствование, культуру сбережений и инвестирования денежных средств, повышение доверия к финансовому рынку и осведомленности о возможности вложения денежных средств в российскую экономику, контроль за персональными рисками и их страхование, отказ от нелегальных или непонятных финансовых продуктов;</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продвижение знаний, умений и навыков безопасного пользования цифровыми финансовыми технологиями, обеспечивающих финансовую </w:t>
      </w:r>
      <w:proofErr w:type="spellStart"/>
      <w:r w:rsidRPr="00590F19">
        <w:rPr>
          <w:rFonts w:ascii="Times New Roman" w:hAnsi="Times New Roman" w:cs="Times New Roman"/>
          <w:sz w:val="26"/>
          <w:szCs w:val="26"/>
        </w:rPr>
        <w:t>кибербезопасность</w:t>
      </w:r>
      <w:proofErr w:type="spellEnd"/>
      <w:r w:rsidRPr="00590F19">
        <w:rPr>
          <w:rFonts w:ascii="Times New Roman" w:hAnsi="Times New Roman" w:cs="Times New Roman"/>
          <w:sz w:val="26"/>
          <w:szCs w:val="26"/>
        </w:rPr>
        <w:t xml:space="preserve"> граждан и бизнеса;</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взаимодействие участников реализации Стратегии с различными аудиториями, включающими социально уязвимые группы граждан, с учетом их потребностей;</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координация и взаимодействие между участниками реализации Стратегии, способствующие созданию информационно-просветительского контента, для повышения доверия потребителей к соответствующей информации;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развитие эффективных каналов коммуникаций с учетом актуальных форматов и </w:t>
      </w:r>
      <w:proofErr w:type="spellStart"/>
      <w:r w:rsidRPr="00590F19">
        <w:rPr>
          <w:rFonts w:ascii="Times New Roman" w:hAnsi="Times New Roman" w:cs="Times New Roman"/>
          <w:sz w:val="26"/>
          <w:szCs w:val="26"/>
        </w:rPr>
        <w:t>медиаресурсов</w:t>
      </w:r>
      <w:proofErr w:type="spellEnd"/>
      <w:r w:rsidRPr="00590F19">
        <w:rPr>
          <w:rFonts w:ascii="Times New Roman" w:hAnsi="Times New Roman" w:cs="Times New Roman"/>
          <w:sz w:val="26"/>
          <w:szCs w:val="26"/>
        </w:rPr>
        <w:t xml:space="preserve"> (специализированные информационные ресурсы, официальные сайты участников Стратегии в информационно-телекоммуникационной сети "Интернет", социальные сети, мессенджеры и др.), распространение информационно-просветительского контента через различные каналы в форматах, удобных разным целевым аудиториям;</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обеспечение информирования о важности роли общественных финансов в жизни граждан, о доступных мерах социальной поддержки, а также о взаимосвязи официальной заработной платы и будущего уровня пенсионного обеспечения.</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Title"/>
        <w:jc w:val="center"/>
        <w:outlineLvl w:val="2"/>
        <w:rPr>
          <w:rFonts w:ascii="Times New Roman" w:hAnsi="Times New Roman" w:cs="Times New Roman"/>
          <w:sz w:val="26"/>
          <w:szCs w:val="26"/>
        </w:rPr>
      </w:pPr>
      <w:r w:rsidRPr="00590F19">
        <w:rPr>
          <w:rFonts w:ascii="Times New Roman" w:hAnsi="Times New Roman" w:cs="Times New Roman"/>
          <w:sz w:val="26"/>
          <w:szCs w:val="26"/>
        </w:rPr>
        <w:t>2. Образовательная деятельность</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ind w:firstLine="540"/>
        <w:jc w:val="both"/>
        <w:rPr>
          <w:rFonts w:ascii="Times New Roman" w:hAnsi="Times New Roman" w:cs="Times New Roman"/>
          <w:sz w:val="26"/>
          <w:szCs w:val="26"/>
        </w:rPr>
      </w:pPr>
      <w:r w:rsidRPr="00590F19">
        <w:rPr>
          <w:rFonts w:ascii="Times New Roman" w:hAnsi="Times New Roman" w:cs="Times New Roman"/>
          <w:sz w:val="26"/>
          <w:szCs w:val="26"/>
        </w:rPr>
        <w:t>Целью образовательной деятельности являются распространение и систематизация знаний по финансовой грамотности и создание предпосылок для формирования финансовой культуры.</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 задачи образовательной деятельности в области повышения финансовой грамотности и формирования финансовой культуры входят:</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обеспечение системного подхода к повышению финансовой грамотности и формированию финансовой культуры граждан, повышению уровня финансовой безопасности, в том числе финансовой кибербезопасности;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lastRenderedPageBreak/>
        <w:t>разработка и утверждение критериев и требований к образовательным программам, направленных на повышение уровня финансовой грамотности и финансовой культуры, проведение мониторинга качества реализуемых программ;</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внедрение образовательных программ, учебных и методических материалов, обеспечивающих формирование финансовой культуры, в систему образования Российской Федерации на всех уровнях, их своевременная актуализация;</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содействие разработке цифровых образовательных продуктов в области повышения финансовой грамотности и формирования финансовой культуры, в том числе в игровых форматах;</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проведение школьных олимпиад по финансовой грамотности, в том числе тех, победителям и призерам которых предоставляются особые права при приеме на обучение в соответствии с законодательством Российской Федерации об образовании, проведение студенческих олимпиад по финансовой грамотности;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подготовка и регулярное повышение квалификации педагогических работников дошкольных образовательных, общеобразовательных и профессиональных образовательных организаций, преподавателей образовательных организаций высшего образования;</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выявление и продвижение лучших педагогических практик при преподавании финансовой грамотности посредством проведения конкурсов профессионального мастерства для педагогических работников, преподающих образовательные программы, содержащие элементы финансовой грамотности;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проведение оценки образовательных достижений учащихся общеобразовательных организаций по направлению финансовой грамотности и финансовой культуры;</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развитие институциональной инфраструктуры и учебно-методических ресурсов образовательного сообщества;</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обеспечение доступности обучения и самообучения в области повышения финансовой грамотности и формирования финансовой культуры;</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анализ общественного мнения по вопросам финансовой грамотности и финансовой культуры, изучение потребностей общества в получении знаний в области финансовой грамотности и финансовой культуры и обеспечение своевременной реакции на соответствующие запросы;</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адаптация образовательных программ с учетом распространенных когнитивных искажений, специфики социокультурных характеристик, в том числе в субъектах Российской Федерации.</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Title"/>
        <w:jc w:val="center"/>
        <w:outlineLvl w:val="2"/>
        <w:rPr>
          <w:rFonts w:ascii="Times New Roman" w:hAnsi="Times New Roman" w:cs="Times New Roman"/>
          <w:sz w:val="26"/>
          <w:szCs w:val="26"/>
        </w:rPr>
      </w:pPr>
      <w:r w:rsidRPr="00590F19">
        <w:rPr>
          <w:rFonts w:ascii="Times New Roman" w:hAnsi="Times New Roman" w:cs="Times New Roman"/>
          <w:sz w:val="26"/>
          <w:szCs w:val="26"/>
        </w:rPr>
        <w:t>3. Подготовка кадров в сфере финансовой грамотности</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Целью подготовки кадров в сфере финансовой грамотности является развитие кадрового потенциала учителей, преподавателей, администраторов образовательных организаций, государственных служащих, сотрудников органов </w:t>
      </w:r>
      <w:r w:rsidRPr="00590F19">
        <w:rPr>
          <w:rFonts w:ascii="Times New Roman" w:hAnsi="Times New Roman" w:cs="Times New Roman"/>
          <w:sz w:val="26"/>
          <w:szCs w:val="26"/>
        </w:rPr>
        <w:lastRenderedPageBreak/>
        <w:t>социальной защиты населения, финансовых организаций, некоммерческих организаций, граждан, вовлеченных в добровольческую (волонтерскую) деятельность в области финансового просвещения, способствующих распространению знаний в области повышения финансовой грамотности и формирования финансовой культуры.</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 задачи подготовки кадров в сфере финансовой грамотности входят:</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создание и функционирование многоуровневой каскадной системы обучения и повышения квалификации для всех целевых групп, при которой специалисты, прошедшие обучение в федеральных методических центрах повышения финансовой грамотности населения, в дальнейшем осуществляют подготовку специалистов на региональном уровне, а те, в свою очередь, взаимодействуют с гражданами;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создание и поддержка эффективной инфраструктуры по поддержке деятельности квалифицированных специалистов разных уровней по распространению знаний в области повышения финансовой грамотности и формирования финансовой культуры;</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подготовка специалистов в области финансового просвещения.</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Title"/>
        <w:jc w:val="center"/>
        <w:outlineLvl w:val="2"/>
        <w:rPr>
          <w:rFonts w:ascii="Times New Roman" w:hAnsi="Times New Roman" w:cs="Times New Roman"/>
          <w:sz w:val="26"/>
          <w:szCs w:val="26"/>
        </w:rPr>
      </w:pPr>
      <w:r w:rsidRPr="00590F19">
        <w:rPr>
          <w:rFonts w:ascii="Times New Roman" w:hAnsi="Times New Roman" w:cs="Times New Roman"/>
          <w:sz w:val="26"/>
          <w:szCs w:val="26"/>
        </w:rPr>
        <w:t>4. Взаимодействие с финансовыми организациями</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К реализации мероприятий Стратегии необходимо привлечь широкий круг участников финансового рынка и саморегулируемые организации в сфере финансового рынка. Необходимо пропагандировать культуру добросовестного предоставления финансовыми организациями финансовых услуг потребителям, стимулировать их ответственное и этичное поведение в отношении клиентов, уделять внимание вопросам </w:t>
      </w:r>
      <w:proofErr w:type="gramStart"/>
      <w:r w:rsidRPr="00590F19">
        <w:rPr>
          <w:rFonts w:ascii="Times New Roman" w:hAnsi="Times New Roman" w:cs="Times New Roman"/>
          <w:sz w:val="26"/>
          <w:szCs w:val="26"/>
        </w:rPr>
        <w:t>верификации</w:t>
      </w:r>
      <w:proofErr w:type="gramEnd"/>
      <w:r w:rsidRPr="00590F19">
        <w:rPr>
          <w:rFonts w:ascii="Times New Roman" w:hAnsi="Times New Roman" w:cs="Times New Roman"/>
          <w:sz w:val="26"/>
          <w:szCs w:val="26"/>
        </w:rPr>
        <w:t xml:space="preserve"> распространяемой ими информации в сфере финансовой грамотности.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Взаимодействие государства с финансовыми организациями при реализации мероприятий Стратегии должно быть основано на принципах стратегического партнерства, недопущения конфликта интересов, обеспечения повышения доверия граждан к финансовому рынку.</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Title"/>
        <w:jc w:val="center"/>
        <w:outlineLvl w:val="2"/>
        <w:rPr>
          <w:rFonts w:ascii="Times New Roman" w:hAnsi="Times New Roman" w:cs="Times New Roman"/>
          <w:sz w:val="26"/>
          <w:szCs w:val="26"/>
        </w:rPr>
      </w:pPr>
      <w:r w:rsidRPr="00590F19">
        <w:rPr>
          <w:rFonts w:ascii="Times New Roman" w:hAnsi="Times New Roman" w:cs="Times New Roman"/>
          <w:sz w:val="26"/>
          <w:szCs w:val="26"/>
        </w:rPr>
        <w:t>5. Взаимодействие с бизнесом</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ind w:firstLine="540"/>
        <w:jc w:val="both"/>
        <w:rPr>
          <w:rFonts w:ascii="Times New Roman" w:hAnsi="Times New Roman" w:cs="Times New Roman"/>
          <w:sz w:val="26"/>
          <w:szCs w:val="26"/>
        </w:rPr>
      </w:pPr>
      <w:r w:rsidRPr="00590F19">
        <w:rPr>
          <w:rFonts w:ascii="Times New Roman" w:hAnsi="Times New Roman" w:cs="Times New Roman"/>
          <w:sz w:val="26"/>
          <w:szCs w:val="26"/>
        </w:rPr>
        <w:t>Взаимодействие с бизнесом в рамках реализации Стратегии включает следующие направления:</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поддержка инициатив со стороны организаций (как финансового, так и нефинансового сектора) по разработке и реализации программ, направленных на повышение уровня финансовой грамотности и финансовой культуры собственных работников в рамках внутреннего корпоративного образования;</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создание в организациях центров финансового просвещения, работающих на постоянной основе, продвижение финансовой грамотности и финансовой культуры сотрудников как части ESG-повестки компаний;</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lastRenderedPageBreak/>
        <w:t>обучение представителей микро- и малого бизнеса, индивидуальных предпринимателей и плательщиков налога на профессиональный доход навыкам правильного отношения к финансам в рамках предпринимательской деятельности;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взаимодействие с объединениями, представляющими бизнес, и бизнес-сообществами по вопросам финансовой грамотности и финансовой культуры;</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вовлечение бизнеса в добровольческую (волонтерскую) деятельность в области финансового просвещения.</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Последующее развитие корпоративных программ долгосрочного накопления позволит максимально увеличить охват работающих граждан, у которых при участии работодателей будет формироваться дополнительный доход к будущей пенсии независимо от уровня финансового обеспечения.</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Title"/>
        <w:jc w:val="center"/>
        <w:outlineLvl w:val="2"/>
        <w:rPr>
          <w:rFonts w:ascii="Times New Roman" w:hAnsi="Times New Roman" w:cs="Times New Roman"/>
          <w:sz w:val="26"/>
          <w:szCs w:val="26"/>
        </w:rPr>
      </w:pPr>
      <w:r w:rsidRPr="00590F19">
        <w:rPr>
          <w:rFonts w:ascii="Times New Roman" w:hAnsi="Times New Roman" w:cs="Times New Roman"/>
          <w:sz w:val="26"/>
          <w:szCs w:val="26"/>
        </w:rPr>
        <w:t>6. Взаимодействие с гражданским обществом</w:t>
      </w:r>
    </w:p>
    <w:p w:rsidR="00590F19" w:rsidRPr="00590F19" w:rsidRDefault="00590F19">
      <w:pPr>
        <w:pStyle w:val="ConsPlusTitle"/>
        <w:jc w:val="center"/>
        <w:rPr>
          <w:rFonts w:ascii="Times New Roman" w:hAnsi="Times New Roman" w:cs="Times New Roman"/>
          <w:sz w:val="26"/>
          <w:szCs w:val="26"/>
        </w:rPr>
      </w:pPr>
      <w:r w:rsidRPr="00590F19">
        <w:rPr>
          <w:rFonts w:ascii="Times New Roman" w:hAnsi="Times New Roman" w:cs="Times New Roman"/>
          <w:sz w:val="26"/>
          <w:szCs w:val="26"/>
        </w:rPr>
        <w:t>и некоммерческими организациями</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ind w:firstLine="540"/>
        <w:jc w:val="both"/>
        <w:rPr>
          <w:rFonts w:ascii="Times New Roman" w:hAnsi="Times New Roman" w:cs="Times New Roman"/>
          <w:sz w:val="26"/>
          <w:szCs w:val="26"/>
        </w:rPr>
      </w:pPr>
      <w:r w:rsidRPr="00590F19">
        <w:rPr>
          <w:rFonts w:ascii="Times New Roman" w:hAnsi="Times New Roman" w:cs="Times New Roman"/>
          <w:sz w:val="26"/>
          <w:szCs w:val="26"/>
        </w:rPr>
        <w:t>К реализации мероприятий Стратегии необходимо на постоянной основе привлекать широкий круг участников, включая образовательные и научные организации, общественные объединения потребителей, объединения работодателей, иные некоммерческие организации, экспертное сообщество и активных граждан.</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Развитие взаимодействия с гражданским обществом в сфере повышения финансовой грамотности и формирования финансовой культуры должно сопровождаться формированием этических правил поведения участников такого взаимодействия.</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Участники реализации Стратегии и некоммерческие организации поддерживают и способствуют развитию добровольчества (волонтерства) в сфере финансовой грамотности и финансовой культуры.</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Title"/>
        <w:jc w:val="center"/>
        <w:outlineLvl w:val="2"/>
        <w:rPr>
          <w:rFonts w:ascii="Times New Roman" w:hAnsi="Times New Roman" w:cs="Times New Roman"/>
          <w:sz w:val="26"/>
          <w:szCs w:val="26"/>
        </w:rPr>
      </w:pPr>
      <w:r w:rsidRPr="00590F19">
        <w:rPr>
          <w:rFonts w:ascii="Times New Roman" w:hAnsi="Times New Roman" w:cs="Times New Roman"/>
          <w:sz w:val="26"/>
          <w:szCs w:val="26"/>
        </w:rPr>
        <w:t>7. Развитие международного сотрудничества</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ind w:firstLine="540"/>
        <w:jc w:val="both"/>
        <w:rPr>
          <w:rFonts w:ascii="Times New Roman" w:hAnsi="Times New Roman" w:cs="Times New Roman"/>
          <w:sz w:val="26"/>
          <w:szCs w:val="26"/>
        </w:rPr>
      </w:pPr>
      <w:r w:rsidRPr="00590F19">
        <w:rPr>
          <w:rFonts w:ascii="Times New Roman" w:hAnsi="Times New Roman" w:cs="Times New Roman"/>
          <w:sz w:val="26"/>
          <w:szCs w:val="26"/>
        </w:rPr>
        <w:t>Международное сотрудничество будет направлено на продвижение результатов и расширение обмена опытом в сфере повышения финансовой грамотности и формирования финансовой культуры с зарубежными странами, в том числе со странами - членами Содружества Независимых Государств, Евразийского экономического союза, БРИКС, Шанхайской организации сотрудничества, странами - членами Альянса за финансовую доступность и других объединений.</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 рамках реализации Стратегии будет продолжена работа по следующим направлениям:</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участие в работе международных организаций и объединений для внесения предложений по улучшению действующих и разработке новых руководящих документов Евразийского экономического союза, форума "Группа двадцати", форума "Азиатско-тихоокеанское экономическое сотрудничество" и других документов;</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lastRenderedPageBreak/>
        <w:t>участие в международных конференциях для обмена опытом и представления информации о ходе и результатах реализации Стратегии в Российской Федерации;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анализ лучших зарубежных практик по реализации национальных стратегий повышения финансовой грамотности и формирования финансовой культуры, в том числе в странах - членах Содружества Независимых Государств, и оценка возможностей их использования;</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предоставление информации о российском опыте в области повышения финансовой грамотности и формирования финансовой культуры, обмен опытом с заинтересованными странами;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масштабирование возможностей трансграничных финансовых операций для граждан;</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формирование эффективной системы защиты прав потребителей и инвесторов при трансграничном оказании финансовых услуг, в том числе путем расширения регуляторного и надзорного взаимодействия Центрального банка Российской Федерации с иностранными регуляторами финансового рынка в дружественных юрисдикциях.</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Title"/>
        <w:jc w:val="center"/>
        <w:outlineLvl w:val="2"/>
        <w:rPr>
          <w:rFonts w:ascii="Times New Roman" w:hAnsi="Times New Roman" w:cs="Times New Roman"/>
          <w:sz w:val="26"/>
          <w:szCs w:val="26"/>
        </w:rPr>
      </w:pPr>
      <w:r w:rsidRPr="00590F19">
        <w:rPr>
          <w:rFonts w:ascii="Times New Roman" w:hAnsi="Times New Roman" w:cs="Times New Roman"/>
          <w:sz w:val="26"/>
          <w:szCs w:val="26"/>
        </w:rPr>
        <w:t>8. Развитие практик инициативного бюджетирования, иных</w:t>
      </w:r>
    </w:p>
    <w:p w:rsidR="00590F19" w:rsidRPr="00590F19" w:rsidRDefault="00590F19">
      <w:pPr>
        <w:pStyle w:val="ConsPlusTitle"/>
        <w:jc w:val="center"/>
        <w:rPr>
          <w:rFonts w:ascii="Times New Roman" w:hAnsi="Times New Roman" w:cs="Times New Roman"/>
          <w:sz w:val="26"/>
          <w:szCs w:val="26"/>
        </w:rPr>
      </w:pPr>
      <w:r w:rsidRPr="00590F19">
        <w:rPr>
          <w:rFonts w:ascii="Times New Roman" w:hAnsi="Times New Roman" w:cs="Times New Roman"/>
          <w:sz w:val="26"/>
          <w:szCs w:val="26"/>
        </w:rPr>
        <w:t>практик, а также обеспечение открытости бюджетной информации</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ind w:firstLine="540"/>
        <w:jc w:val="both"/>
        <w:rPr>
          <w:rFonts w:ascii="Times New Roman" w:hAnsi="Times New Roman" w:cs="Times New Roman"/>
          <w:sz w:val="26"/>
          <w:szCs w:val="26"/>
        </w:rPr>
      </w:pPr>
      <w:r w:rsidRPr="00590F19">
        <w:rPr>
          <w:rFonts w:ascii="Times New Roman" w:hAnsi="Times New Roman" w:cs="Times New Roman"/>
          <w:sz w:val="26"/>
          <w:szCs w:val="26"/>
        </w:rPr>
        <w:t>Федеральные органы исполнительной власти, исполнительные органы субъектов Российской Федерации и органы местного самоуправления поддерживают и способствуют развитию инструментов участия граждан в бюджетном процессе, практик инициативного бюджетирования и иных практик, а также в сфере своего ведения обеспечивают размещение актуальной информации о бюджетной системе Российской Федерации в открытом и понятном формате для широкого круга лиц.</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Title"/>
        <w:jc w:val="center"/>
        <w:outlineLvl w:val="1"/>
        <w:rPr>
          <w:rFonts w:ascii="Times New Roman" w:hAnsi="Times New Roman" w:cs="Times New Roman"/>
          <w:sz w:val="26"/>
          <w:szCs w:val="26"/>
        </w:rPr>
      </w:pPr>
      <w:r w:rsidRPr="00590F19">
        <w:rPr>
          <w:rFonts w:ascii="Times New Roman" w:hAnsi="Times New Roman" w:cs="Times New Roman"/>
          <w:sz w:val="26"/>
          <w:szCs w:val="26"/>
        </w:rPr>
        <w:t>VI. Механизмы реализации, индикаторы (показатели),</w:t>
      </w:r>
    </w:p>
    <w:p w:rsidR="00590F19" w:rsidRPr="00590F19" w:rsidRDefault="00590F19">
      <w:pPr>
        <w:pStyle w:val="ConsPlusTitle"/>
        <w:jc w:val="center"/>
        <w:rPr>
          <w:rFonts w:ascii="Times New Roman" w:hAnsi="Times New Roman" w:cs="Times New Roman"/>
          <w:sz w:val="26"/>
          <w:szCs w:val="26"/>
        </w:rPr>
      </w:pPr>
      <w:r w:rsidRPr="00590F19">
        <w:rPr>
          <w:rFonts w:ascii="Times New Roman" w:hAnsi="Times New Roman" w:cs="Times New Roman"/>
          <w:sz w:val="26"/>
          <w:szCs w:val="26"/>
        </w:rPr>
        <w:t>мониторинг и риски реализации Стратегии</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ind w:firstLine="540"/>
        <w:jc w:val="both"/>
        <w:rPr>
          <w:rFonts w:ascii="Times New Roman" w:hAnsi="Times New Roman" w:cs="Times New Roman"/>
          <w:sz w:val="26"/>
          <w:szCs w:val="26"/>
        </w:rPr>
      </w:pPr>
      <w:r w:rsidRPr="00590F19">
        <w:rPr>
          <w:rFonts w:ascii="Times New Roman" w:hAnsi="Times New Roman" w:cs="Times New Roman"/>
          <w:sz w:val="26"/>
          <w:szCs w:val="26"/>
        </w:rPr>
        <w:t>Участниками реализации Стратегии являются федеральные органы исполнительной власти, исполнительные органы субъектов Российской Федерации, органы местного самоуправления, Центральный банк Российской Федерации и другие организации.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Практическое достижение целей и задач Стратегии будет осуществляться в соответствии с планом мероприятий ("дорожной картой") по реализации Стратегии (далее - дорожная карта), утверждаемым Министерством финансов Российской Федерации совместно с Центральным банком Российской Федерации.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Для достижения целей и решения задач Стратегии, обеспечения координации действий участников Стратегии, а также реализации мероприятий дорожной карты создается межведомственная координационная комиссия (далее - комиссия).</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Полномочия, компетенция и порядок работы комиссии определяются </w:t>
      </w:r>
      <w:r w:rsidRPr="00590F19">
        <w:rPr>
          <w:rFonts w:ascii="Times New Roman" w:hAnsi="Times New Roman" w:cs="Times New Roman"/>
          <w:sz w:val="26"/>
          <w:szCs w:val="26"/>
        </w:rPr>
        <w:lastRenderedPageBreak/>
        <w:t>положением, утверждаемым Правительством Российской Федерации.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Министерство финансов Российской Федерации и Центральный банк Российской Федерации участвуют в управлении реализацией Стратегии на условиях системного партнерства и паритета.</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Деятельность комиссии обеспечивается на принципах </w:t>
      </w:r>
      <w:proofErr w:type="spellStart"/>
      <w:r w:rsidRPr="00590F19">
        <w:rPr>
          <w:rFonts w:ascii="Times New Roman" w:hAnsi="Times New Roman" w:cs="Times New Roman"/>
          <w:sz w:val="26"/>
          <w:szCs w:val="26"/>
        </w:rPr>
        <w:t>сопредседательства</w:t>
      </w:r>
      <w:proofErr w:type="spellEnd"/>
      <w:r w:rsidRPr="00590F19">
        <w:rPr>
          <w:rFonts w:ascii="Times New Roman" w:hAnsi="Times New Roman" w:cs="Times New Roman"/>
          <w:sz w:val="26"/>
          <w:szCs w:val="26"/>
        </w:rPr>
        <w:t xml:space="preserve"> Министра финансов Российской Федерации (заместителя Министра финансов Российской Федерации) и Председателя Центрального банка Российской Федерации (заместителя Председателя Центрального банка Российской Федерации).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Состав комиссии утверждается совместным решением Министерства финансов Российской Федерации и Центрального банка Российской Федерации.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В состав комиссии входят представители федеральных органов исполнительной власти, исполнительных органов власти субъектов Российской Федерации, Центрального банка Российской Федерации, а также представители заинтересованных организаций.</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Представители экспертного и научного сообщества оказывают аналитическую и консультационную поддержку комиссии.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Инструментом достижения целей Стратегии в субъектах Российской Федерации являются государственные программы субъектов Российской Федерации (структурные элементы государственных программ субъектов Российской Федерации) и региональные программы, направленные на повышение финансовой грамотности и формирование финансовой культуры граждан.</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Для оценки достижения целей реализации Стратегии и мероприятий дорожной карты предусмотрены индикаторы (показатели) реализации Стратегии, которые приведены в </w:t>
      </w:r>
      <w:hyperlink w:anchor="P310">
        <w:r w:rsidRPr="00590F19">
          <w:rPr>
            <w:rFonts w:ascii="Times New Roman" w:hAnsi="Times New Roman" w:cs="Times New Roman"/>
            <w:color w:val="0000FF"/>
            <w:sz w:val="26"/>
            <w:szCs w:val="26"/>
          </w:rPr>
          <w:t>приложении</w:t>
        </w:r>
      </w:hyperlink>
      <w:r w:rsidRPr="00590F19">
        <w:rPr>
          <w:rFonts w:ascii="Times New Roman" w:hAnsi="Times New Roman" w:cs="Times New Roman"/>
          <w:sz w:val="26"/>
          <w:szCs w:val="26"/>
        </w:rPr>
        <w:t>.</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Порядок проведения мониторинга реализации Стратегии устанавливается комиссией.</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Центральный банк Российской Федерации и Министерство финансов Российской Федерации совместно с участниками Стратегии осуществляют мониторинг динамики изменения </w:t>
      </w:r>
      <w:hyperlink w:anchor="P310">
        <w:r w:rsidRPr="00590F19">
          <w:rPr>
            <w:rFonts w:ascii="Times New Roman" w:hAnsi="Times New Roman" w:cs="Times New Roman"/>
            <w:color w:val="0000FF"/>
            <w:sz w:val="26"/>
            <w:szCs w:val="26"/>
          </w:rPr>
          <w:t>индикаторов</w:t>
        </w:r>
      </w:hyperlink>
      <w:r w:rsidRPr="00590F19">
        <w:rPr>
          <w:rFonts w:ascii="Times New Roman" w:hAnsi="Times New Roman" w:cs="Times New Roman"/>
          <w:sz w:val="26"/>
          <w:szCs w:val="26"/>
        </w:rPr>
        <w:t xml:space="preserve"> (показателей) реализации Стратегии. При оценке уровня финансовой культуры необходимо учитывать региональную специфику и использовать единую методологию исследований с обеспечением </w:t>
      </w:r>
      <w:proofErr w:type="spellStart"/>
      <w:r w:rsidRPr="00590F19">
        <w:rPr>
          <w:rFonts w:ascii="Times New Roman" w:hAnsi="Times New Roman" w:cs="Times New Roman"/>
          <w:sz w:val="26"/>
          <w:szCs w:val="26"/>
        </w:rPr>
        <w:t>взаимоувязанности</w:t>
      </w:r>
      <w:proofErr w:type="spellEnd"/>
      <w:r w:rsidRPr="00590F19">
        <w:rPr>
          <w:rFonts w:ascii="Times New Roman" w:hAnsi="Times New Roman" w:cs="Times New Roman"/>
          <w:sz w:val="26"/>
          <w:szCs w:val="26"/>
        </w:rPr>
        <w:t xml:space="preserve"> с проведенными исследованиями.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Мониторинг реализации Стратегии осуществляется посредством комплексного анализа результатов мероприятий дорожной карты и достигнутых </w:t>
      </w:r>
      <w:hyperlink w:anchor="P310">
        <w:r w:rsidRPr="00590F19">
          <w:rPr>
            <w:rFonts w:ascii="Times New Roman" w:hAnsi="Times New Roman" w:cs="Times New Roman"/>
            <w:color w:val="0000FF"/>
            <w:sz w:val="26"/>
            <w:szCs w:val="26"/>
          </w:rPr>
          <w:t>индикаторов</w:t>
        </w:r>
      </w:hyperlink>
      <w:r w:rsidRPr="00590F19">
        <w:rPr>
          <w:rFonts w:ascii="Times New Roman" w:hAnsi="Times New Roman" w:cs="Times New Roman"/>
          <w:sz w:val="26"/>
          <w:szCs w:val="26"/>
        </w:rPr>
        <w:t xml:space="preserve"> (показателей) реализации Стратегии.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Данные мониторинга реализации Стратегии являются основой для принятия управленческих решений по корректировке дорожной карты, а также по внесению в Правительство Российской Федерации предложений о корректировке Стратегии.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 xml:space="preserve">Комиссия обеспечивает представление в Правительство Российской Федерации </w:t>
      </w:r>
      <w:r w:rsidRPr="00590F19">
        <w:rPr>
          <w:rFonts w:ascii="Times New Roman" w:hAnsi="Times New Roman" w:cs="Times New Roman"/>
          <w:sz w:val="26"/>
          <w:szCs w:val="26"/>
        </w:rPr>
        <w:lastRenderedPageBreak/>
        <w:t>ежегодного аналитического доклада о ходе реализации в соответствующем году Стратегии.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Участники реализации Стратегии представляют в Комиссию информацию о достигнутых в ходе реализации Стратегии результатах по форме и в сроки, которые утверждаются комиссией.</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К основным рискам реализации Стратегии относятся:</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риски, связанные с изменением макроэкономической ситуации;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риски, связанные с нормативной базой;</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риски, связанные с развитием российского финансового рынка;</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риски, связанные с опережающим технологическим развитием финансовых услуг;</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риски, связанные с недостаточным ресурсным обеспечением реализации мероприятий Стратегии;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риски, связанные с работой системы управления реализацией Стратегии.</w:t>
      </w:r>
    </w:p>
    <w:p w:rsidR="00590F19" w:rsidRPr="00590F19" w:rsidRDefault="00590F19">
      <w:pPr>
        <w:pStyle w:val="ConsPlusNormal"/>
        <w:spacing w:before="220"/>
        <w:ind w:firstLine="540"/>
        <w:jc w:val="both"/>
        <w:rPr>
          <w:rFonts w:ascii="Times New Roman" w:hAnsi="Times New Roman" w:cs="Times New Roman"/>
          <w:sz w:val="26"/>
          <w:szCs w:val="26"/>
        </w:rPr>
      </w:pPr>
      <w:r w:rsidRPr="00590F19">
        <w:rPr>
          <w:rFonts w:ascii="Times New Roman" w:hAnsi="Times New Roman" w:cs="Times New Roman"/>
          <w:sz w:val="26"/>
          <w:szCs w:val="26"/>
        </w:rPr>
        <w:t>Комиссия на постоянной основе отслеживает и оценивает уровень рисков реализации Стратегии и принимает необходимые меры по управлению рисками.</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jc w:val="right"/>
        <w:outlineLvl w:val="1"/>
        <w:rPr>
          <w:rFonts w:ascii="Times New Roman" w:hAnsi="Times New Roman" w:cs="Times New Roman"/>
          <w:sz w:val="26"/>
          <w:szCs w:val="26"/>
        </w:rPr>
      </w:pPr>
      <w:r w:rsidRPr="00590F19">
        <w:rPr>
          <w:rFonts w:ascii="Times New Roman" w:hAnsi="Times New Roman" w:cs="Times New Roman"/>
          <w:sz w:val="26"/>
          <w:szCs w:val="26"/>
        </w:rPr>
        <w:t>Приложение</w:t>
      </w:r>
    </w:p>
    <w:p w:rsidR="00590F19" w:rsidRPr="00590F19" w:rsidRDefault="00590F19">
      <w:pPr>
        <w:pStyle w:val="ConsPlusNormal"/>
        <w:jc w:val="right"/>
        <w:rPr>
          <w:rFonts w:ascii="Times New Roman" w:hAnsi="Times New Roman" w:cs="Times New Roman"/>
          <w:sz w:val="26"/>
          <w:szCs w:val="26"/>
        </w:rPr>
      </w:pPr>
      <w:r w:rsidRPr="00590F19">
        <w:rPr>
          <w:rFonts w:ascii="Times New Roman" w:hAnsi="Times New Roman" w:cs="Times New Roman"/>
          <w:sz w:val="26"/>
          <w:szCs w:val="26"/>
        </w:rPr>
        <w:t>к Стратегии повышения финансовой</w:t>
      </w:r>
    </w:p>
    <w:p w:rsidR="00590F19" w:rsidRPr="00590F19" w:rsidRDefault="00590F19">
      <w:pPr>
        <w:pStyle w:val="ConsPlusNormal"/>
        <w:jc w:val="right"/>
        <w:rPr>
          <w:rFonts w:ascii="Times New Roman" w:hAnsi="Times New Roman" w:cs="Times New Roman"/>
          <w:sz w:val="26"/>
          <w:szCs w:val="26"/>
        </w:rPr>
      </w:pPr>
      <w:r w:rsidRPr="00590F19">
        <w:rPr>
          <w:rFonts w:ascii="Times New Roman" w:hAnsi="Times New Roman" w:cs="Times New Roman"/>
          <w:sz w:val="26"/>
          <w:szCs w:val="26"/>
        </w:rPr>
        <w:t>грамотности и формирования финансовой</w:t>
      </w:r>
    </w:p>
    <w:p w:rsidR="00590F19" w:rsidRPr="00590F19" w:rsidRDefault="00590F19">
      <w:pPr>
        <w:pStyle w:val="ConsPlusNormal"/>
        <w:jc w:val="right"/>
        <w:rPr>
          <w:rFonts w:ascii="Times New Roman" w:hAnsi="Times New Roman" w:cs="Times New Roman"/>
          <w:sz w:val="26"/>
          <w:szCs w:val="26"/>
        </w:rPr>
      </w:pPr>
      <w:r w:rsidRPr="00590F19">
        <w:rPr>
          <w:rFonts w:ascii="Times New Roman" w:hAnsi="Times New Roman" w:cs="Times New Roman"/>
          <w:sz w:val="26"/>
          <w:szCs w:val="26"/>
        </w:rPr>
        <w:t>культуры до 2030 года</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Title"/>
        <w:jc w:val="center"/>
        <w:rPr>
          <w:rFonts w:ascii="Times New Roman" w:hAnsi="Times New Roman" w:cs="Times New Roman"/>
          <w:sz w:val="26"/>
          <w:szCs w:val="26"/>
        </w:rPr>
      </w:pPr>
      <w:bookmarkStart w:id="2" w:name="P310"/>
      <w:bookmarkEnd w:id="2"/>
      <w:r w:rsidRPr="00590F19">
        <w:rPr>
          <w:rFonts w:ascii="Times New Roman" w:hAnsi="Times New Roman" w:cs="Times New Roman"/>
          <w:sz w:val="26"/>
          <w:szCs w:val="26"/>
        </w:rPr>
        <w:t>ИНДИКАТОРЫ (ПОКАЗАТЕЛИ)</w:t>
      </w:r>
    </w:p>
    <w:p w:rsidR="00590F19" w:rsidRPr="00590F19" w:rsidRDefault="00590F19">
      <w:pPr>
        <w:pStyle w:val="ConsPlusTitle"/>
        <w:jc w:val="center"/>
        <w:rPr>
          <w:rFonts w:ascii="Times New Roman" w:hAnsi="Times New Roman" w:cs="Times New Roman"/>
          <w:sz w:val="26"/>
          <w:szCs w:val="26"/>
        </w:rPr>
      </w:pPr>
      <w:r w:rsidRPr="00590F19">
        <w:rPr>
          <w:rFonts w:ascii="Times New Roman" w:hAnsi="Times New Roman" w:cs="Times New Roman"/>
          <w:sz w:val="26"/>
          <w:szCs w:val="26"/>
        </w:rPr>
        <w:t>РЕАЛИЗАЦИИ СТРАТЕГИИ ПОВЫШЕНИЯ ФИНАНСОВОЙ ГРАМОТНОСТИ</w:t>
      </w:r>
    </w:p>
    <w:p w:rsidR="00590F19" w:rsidRPr="00590F19" w:rsidRDefault="00590F19">
      <w:pPr>
        <w:pStyle w:val="ConsPlusTitle"/>
        <w:jc w:val="center"/>
        <w:rPr>
          <w:rFonts w:ascii="Times New Roman" w:hAnsi="Times New Roman" w:cs="Times New Roman"/>
          <w:sz w:val="26"/>
          <w:szCs w:val="26"/>
        </w:rPr>
      </w:pPr>
      <w:r w:rsidRPr="00590F19">
        <w:rPr>
          <w:rFonts w:ascii="Times New Roman" w:hAnsi="Times New Roman" w:cs="Times New Roman"/>
          <w:sz w:val="26"/>
          <w:szCs w:val="26"/>
        </w:rPr>
        <w:t>И ФОРМИРОВАНИЯ ФИНАНСОВОЙ КУЛЬТУРЫ ДО 2030 ГОДА</w:t>
      </w:r>
    </w:p>
    <w:p w:rsidR="00590F19" w:rsidRPr="00590F19" w:rsidRDefault="00590F19">
      <w:pPr>
        <w:pStyle w:val="ConsPlusNormal"/>
        <w:spacing w:after="1"/>
        <w:rPr>
          <w:rFonts w:ascii="Times New Roman" w:hAnsi="Times New Roman" w:cs="Times New Roman"/>
          <w:sz w:val="26"/>
          <w:szCs w:val="26"/>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90F19" w:rsidRPr="00590F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0F19" w:rsidRPr="00590F19" w:rsidRDefault="00590F19">
            <w:pPr>
              <w:pStyle w:val="ConsPlusNormal"/>
              <w:rPr>
                <w:rFonts w:ascii="Times New Roman" w:hAnsi="Times New Roman" w:cs="Times New Roman"/>
                <w:sz w:val="26"/>
                <w:szCs w:val="26"/>
              </w:rPr>
            </w:pPr>
          </w:p>
        </w:tc>
        <w:tc>
          <w:tcPr>
            <w:tcW w:w="113" w:type="dxa"/>
            <w:tcBorders>
              <w:top w:val="nil"/>
              <w:left w:val="nil"/>
              <w:bottom w:val="nil"/>
              <w:right w:val="nil"/>
            </w:tcBorders>
            <w:shd w:val="clear" w:color="auto" w:fill="F4F3F8"/>
            <w:tcMar>
              <w:top w:w="0" w:type="dxa"/>
              <w:left w:w="0" w:type="dxa"/>
              <w:bottom w:w="0" w:type="dxa"/>
              <w:right w:w="0" w:type="dxa"/>
            </w:tcMar>
          </w:tcPr>
          <w:p w:rsidR="00590F19" w:rsidRPr="00590F19" w:rsidRDefault="00590F19">
            <w:pPr>
              <w:pStyle w:val="ConsPlusNormal"/>
              <w:rPr>
                <w:rFonts w:ascii="Times New Roman" w:hAnsi="Times New Roman" w:cs="Times New Roman"/>
                <w:sz w:val="26"/>
                <w:szCs w:val="26"/>
              </w:rPr>
            </w:pPr>
          </w:p>
        </w:tc>
        <w:tc>
          <w:tcPr>
            <w:tcW w:w="0" w:type="auto"/>
            <w:tcBorders>
              <w:top w:val="nil"/>
              <w:left w:val="nil"/>
              <w:bottom w:val="nil"/>
              <w:right w:val="nil"/>
            </w:tcBorders>
            <w:shd w:val="clear" w:color="auto" w:fill="F4F3F8"/>
            <w:tcMar>
              <w:top w:w="113" w:type="dxa"/>
              <w:left w:w="0" w:type="dxa"/>
              <w:bottom w:w="113" w:type="dxa"/>
              <w:right w:w="0" w:type="dxa"/>
            </w:tcMar>
          </w:tcPr>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color w:val="392C69"/>
                <w:sz w:val="26"/>
                <w:szCs w:val="26"/>
              </w:rPr>
              <w:t>Список изменяющих документов</w:t>
            </w:r>
          </w:p>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color w:val="392C69"/>
                <w:sz w:val="26"/>
                <w:szCs w:val="26"/>
              </w:rPr>
              <w:t xml:space="preserve">(в ред. </w:t>
            </w:r>
            <w:hyperlink r:id="rId30">
              <w:r w:rsidRPr="00590F19">
                <w:rPr>
                  <w:rFonts w:ascii="Times New Roman" w:hAnsi="Times New Roman" w:cs="Times New Roman"/>
                  <w:color w:val="0000FF"/>
                  <w:sz w:val="26"/>
                  <w:szCs w:val="26"/>
                </w:rPr>
                <w:t>распоряжения</w:t>
              </w:r>
            </w:hyperlink>
            <w:r w:rsidRPr="00590F19">
              <w:rPr>
                <w:rFonts w:ascii="Times New Roman" w:hAnsi="Times New Roman" w:cs="Times New Roman"/>
                <w:color w:val="392C69"/>
                <w:sz w:val="26"/>
                <w:szCs w:val="26"/>
              </w:rPr>
              <w:t xml:space="preserve"> Правительства РФ от 15.10.2025 N 2868-р)</w:t>
            </w:r>
          </w:p>
        </w:tc>
        <w:tc>
          <w:tcPr>
            <w:tcW w:w="113" w:type="dxa"/>
            <w:tcBorders>
              <w:top w:val="nil"/>
              <w:left w:val="nil"/>
              <w:bottom w:val="nil"/>
              <w:right w:val="nil"/>
            </w:tcBorders>
            <w:shd w:val="clear" w:color="auto" w:fill="F4F3F8"/>
            <w:tcMar>
              <w:top w:w="0" w:type="dxa"/>
              <w:left w:w="0" w:type="dxa"/>
              <w:bottom w:w="0" w:type="dxa"/>
              <w:right w:w="0" w:type="dxa"/>
            </w:tcMar>
          </w:tcPr>
          <w:p w:rsidR="00590F19" w:rsidRPr="00590F19" w:rsidRDefault="00590F19">
            <w:pPr>
              <w:pStyle w:val="ConsPlusNormal"/>
              <w:rPr>
                <w:rFonts w:ascii="Times New Roman" w:hAnsi="Times New Roman" w:cs="Times New Roman"/>
                <w:sz w:val="26"/>
                <w:szCs w:val="26"/>
              </w:rPr>
            </w:pPr>
          </w:p>
        </w:tc>
      </w:tr>
    </w:tbl>
    <w:p w:rsidR="00590F19" w:rsidRPr="00590F19" w:rsidRDefault="00590F19">
      <w:pPr>
        <w:pStyle w:val="ConsPlusNormal"/>
        <w:jc w:val="both"/>
        <w:rPr>
          <w:rFonts w:ascii="Times New Roman" w:hAnsi="Times New Roman" w:cs="Times New Roman"/>
          <w:sz w:val="26"/>
          <w:szCs w:val="26"/>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27"/>
        <w:gridCol w:w="2214"/>
        <w:gridCol w:w="2214"/>
      </w:tblGrid>
      <w:tr w:rsidR="00590F19" w:rsidRPr="00590F19">
        <w:tc>
          <w:tcPr>
            <w:tcW w:w="4627" w:type="dxa"/>
            <w:tcBorders>
              <w:top w:val="single" w:sz="4" w:space="0" w:color="auto"/>
              <w:left w:val="nil"/>
              <w:bottom w:val="single" w:sz="4" w:space="0" w:color="auto"/>
            </w:tcBorders>
          </w:tcPr>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sz w:val="26"/>
                <w:szCs w:val="26"/>
              </w:rPr>
              <w:t>Наименование индикатора (показателя)</w:t>
            </w:r>
          </w:p>
        </w:tc>
        <w:tc>
          <w:tcPr>
            <w:tcW w:w="2214" w:type="dxa"/>
            <w:tcBorders>
              <w:top w:val="single" w:sz="4" w:space="0" w:color="auto"/>
              <w:bottom w:val="single" w:sz="4" w:space="0" w:color="auto"/>
            </w:tcBorders>
          </w:tcPr>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sz w:val="26"/>
                <w:szCs w:val="26"/>
              </w:rPr>
              <w:t>Базовое значение (2023 год)</w:t>
            </w:r>
          </w:p>
        </w:tc>
        <w:tc>
          <w:tcPr>
            <w:tcW w:w="2214" w:type="dxa"/>
            <w:tcBorders>
              <w:top w:val="single" w:sz="4" w:space="0" w:color="auto"/>
              <w:bottom w:val="single" w:sz="4" w:space="0" w:color="auto"/>
              <w:right w:val="nil"/>
            </w:tcBorders>
          </w:tcPr>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sz w:val="26"/>
                <w:szCs w:val="26"/>
              </w:rPr>
              <w:t>Прогнозный диапазон (2030 год)</w:t>
            </w:r>
          </w:p>
        </w:tc>
      </w:tr>
      <w:tr w:rsidR="00590F19" w:rsidRPr="00590F19">
        <w:tblPrEx>
          <w:tblBorders>
            <w:insideH w:val="none" w:sz="0" w:space="0" w:color="auto"/>
            <w:insideV w:val="none" w:sz="0" w:space="0" w:color="auto"/>
          </w:tblBorders>
        </w:tblPrEx>
        <w:tc>
          <w:tcPr>
            <w:tcW w:w="4627" w:type="dxa"/>
            <w:tcBorders>
              <w:top w:val="single" w:sz="4" w:space="0" w:color="auto"/>
              <w:left w:val="nil"/>
              <w:bottom w:val="nil"/>
              <w:right w:val="nil"/>
            </w:tcBorders>
          </w:tcPr>
          <w:p w:rsidR="00590F19" w:rsidRPr="00590F19" w:rsidRDefault="00590F19">
            <w:pPr>
              <w:pStyle w:val="ConsPlusNormal"/>
              <w:rPr>
                <w:rFonts w:ascii="Times New Roman" w:hAnsi="Times New Roman" w:cs="Times New Roman"/>
                <w:sz w:val="26"/>
                <w:szCs w:val="26"/>
              </w:rPr>
            </w:pPr>
            <w:r w:rsidRPr="00590F19">
              <w:rPr>
                <w:rFonts w:ascii="Times New Roman" w:hAnsi="Times New Roman" w:cs="Times New Roman"/>
                <w:sz w:val="26"/>
                <w:szCs w:val="26"/>
              </w:rPr>
              <w:t xml:space="preserve">Индекс уровня финансовой грамотности населения Российской </w:t>
            </w:r>
            <w:r w:rsidRPr="00590F19">
              <w:rPr>
                <w:rFonts w:ascii="Times New Roman" w:hAnsi="Times New Roman" w:cs="Times New Roman"/>
                <w:sz w:val="26"/>
                <w:szCs w:val="26"/>
              </w:rPr>
              <w:lastRenderedPageBreak/>
              <w:t>Федерации, опрос</w:t>
            </w:r>
          </w:p>
        </w:tc>
        <w:tc>
          <w:tcPr>
            <w:tcW w:w="2214" w:type="dxa"/>
            <w:tcBorders>
              <w:top w:val="single" w:sz="4" w:space="0" w:color="auto"/>
              <w:left w:val="nil"/>
              <w:bottom w:val="nil"/>
              <w:right w:val="nil"/>
            </w:tcBorders>
          </w:tcPr>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sz w:val="26"/>
                <w:szCs w:val="26"/>
              </w:rPr>
              <w:lastRenderedPageBreak/>
              <w:t xml:space="preserve">54 балла </w:t>
            </w:r>
            <w:hyperlink w:anchor="P350">
              <w:r w:rsidRPr="00590F19">
                <w:rPr>
                  <w:rFonts w:ascii="Times New Roman" w:hAnsi="Times New Roman" w:cs="Times New Roman"/>
                  <w:color w:val="0000FF"/>
                  <w:sz w:val="26"/>
                  <w:szCs w:val="26"/>
                </w:rPr>
                <w:t>&lt;1&gt;</w:t>
              </w:r>
            </w:hyperlink>
          </w:p>
        </w:tc>
        <w:tc>
          <w:tcPr>
            <w:tcW w:w="2214" w:type="dxa"/>
            <w:tcBorders>
              <w:top w:val="single" w:sz="4" w:space="0" w:color="auto"/>
              <w:left w:val="nil"/>
              <w:bottom w:val="nil"/>
              <w:right w:val="nil"/>
            </w:tcBorders>
          </w:tcPr>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sz w:val="26"/>
                <w:szCs w:val="26"/>
              </w:rPr>
              <w:t xml:space="preserve">56 - 62 балла </w:t>
            </w:r>
            <w:hyperlink w:anchor="P352">
              <w:r w:rsidRPr="00590F19">
                <w:rPr>
                  <w:rFonts w:ascii="Times New Roman" w:hAnsi="Times New Roman" w:cs="Times New Roman"/>
                  <w:color w:val="0000FF"/>
                  <w:sz w:val="26"/>
                  <w:szCs w:val="26"/>
                </w:rPr>
                <w:t>&lt;1-1&gt;</w:t>
              </w:r>
            </w:hyperlink>
          </w:p>
        </w:tc>
      </w:tr>
      <w:tr w:rsidR="00590F19" w:rsidRPr="00590F19">
        <w:tblPrEx>
          <w:tblBorders>
            <w:insideH w:val="none" w:sz="0" w:space="0" w:color="auto"/>
            <w:insideV w:val="none" w:sz="0" w:space="0" w:color="auto"/>
          </w:tblBorders>
        </w:tblPrEx>
        <w:tc>
          <w:tcPr>
            <w:tcW w:w="9055" w:type="dxa"/>
            <w:gridSpan w:val="3"/>
            <w:tcBorders>
              <w:top w:val="nil"/>
              <w:left w:val="nil"/>
              <w:bottom w:val="nil"/>
              <w:right w:val="nil"/>
            </w:tcBorders>
          </w:tcPr>
          <w:p w:rsidR="00590F19" w:rsidRPr="00590F19" w:rsidRDefault="00590F19">
            <w:pPr>
              <w:pStyle w:val="ConsPlusNormal"/>
              <w:jc w:val="both"/>
              <w:rPr>
                <w:rFonts w:ascii="Times New Roman" w:hAnsi="Times New Roman" w:cs="Times New Roman"/>
                <w:sz w:val="26"/>
                <w:szCs w:val="26"/>
              </w:rPr>
            </w:pPr>
            <w:r w:rsidRPr="00590F19">
              <w:rPr>
                <w:rFonts w:ascii="Times New Roman" w:hAnsi="Times New Roman" w:cs="Times New Roman"/>
                <w:sz w:val="26"/>
                <w:szCs w:val="26"/>
              </w:rPr>
              <w:t xml:space="preserve">(в ред. </w:t>
            </w:r>
            <w:hyperlink r:id="rId31">
              <w:r w:rsidRPr="00590F19">
                <w:rPr>
                  <w:rFonts w:ascii="Times New Roman" w:hAnsi="Times New Roman" w:cs="Times New Roman"/>
                  <w:color w:val="0000FF"/>
                  <w:sz w:val="26"/>
                  <w:szCs w:val="26"/>
                </w:rPr>
                <w:t>распоряжения</w:t>
              </w:r>
            </w:hyperlink>
            <w:r w:rsidRPr="00590F19">
              <w:rPr>
                <w:rFonts w:ascii="Times New Roman" w:hAnsi="Times New Roman" w:cs="Times New Roman"/>
                <w:sz w:val="26"/>
                <w:szCs w:val="26"/>
              </w:rPr>
              <w:t xml:space="preserve"> Правительства РФ от 15.10.2025 N 2868-р)</w:t>
            </w:r>
          </w:p>
        </w:tc>
      </w:tr>
      <w:tr w:rsidR="00590F19" w:rsidRPr="00590F19">
        <w:tblPrEx>
          <w:tblBorders>
            <w:insideH w:val="none" w:sz="0" w:space="0" w:color="auto"/>
            <w:insideV w:val="none" w:sz="0" w:space="0" w:color="auto"/>
          </w:tblBorders>
        </w:tblPrEx>
        <w:tc>
          <w:tcPr>
            <w:tcW w:w="4627" w:type="dxa"/>
            <w:tcBorders>
              <w:top w:val="nil"/>
              <w:left w:val="nil"/>
              <w:bottom w:val="nil"/>
              <w:right w:val="nil"/>
            </w:tcBorders>
          </w:tcPr>
          <w:p w:rsidR="00590F19" w:rsidRPr="00590F19" w:rsidRDefault="00590F19">
            <w:pPr>
              <w:pStyle w:val="ConsPlusNormal"/>
              <w:rPr>
                <w:rFonts w:ascii="Times New Roman" w:hAnsi="Times New Roman" w:cs="Times New Roman"/>
                <w:sz w:val="26"/>
                <w:szCs w:val="26"/>
              </w:rPr>
            </w:pPr>
            <w:r w:rsidRPr="00590F19">
              <w:rPr>
                <w:rFonts w:ascii="Times New Roman" w:hAnsi="Times New Roman" w:cs="Times New Roman"/>
                <w:sz w:val="26"/>
                <w:szCs w:val="26"/>
              </w:rPr>
              <w:t>Уровень внедрения финансовой грамотности в систему образования на уровне субъектов Российской Федерации, процентов:</w:t>
            </w:r>
          </w:p>
        </w:tc>
        <w:tc>
          <w:tcPr>
            <w:tcW w:w="2214" w:type="dxa"/>
            <w:tcBorders>
              <w:top w:val="nil"/>
              <w:left w:val="nil"/>
              <w:bottom w:val="nil"/>
              <w:right w:val="nil"/>
            </w:tcBorders>
          </w:tcPr>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sz w:val="26"/>
                <w:szCs w:val="26"/>
              </w:rPr>
              <w:t>38 процентов</w:t>
            </w:r>
          </w:p>
        </w:tc>
        <w:tc>
          <w:tcPr>
            <w:tcW w:w="2214" w:type="dxa"/>
            <w:tcBorders>
              <w:top w:val="nil"/>
              <w:left w:val="nil"/>
              <w:bottom w:val="nil"/>
              <w:right w:val="nil"/>
            </w:tcBorders>
          </w:tcPr>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sz w:val="26"/>
                <w:szCs w:val="26"/>
              </w:rPr>
              <w:t>60 процентов</w:t>
            </w:r>
          </w:p>
        </w:tc>
      </w:tr>
      <w:tr w:rsidR="00590F19" w:rsidRPr="00590F19">
        <w:tblPrEx>
          <w:tblBorders>
            <w:insideH w:val="none" w:sz="0" w:space="0" w:color="auto"/>
            <w:insideV w:val="none" w:sz="0" w:space="0" w:color="auto"/>
          </w:tblBorders>
        </w:tblPrEx>
        <w:tc>
          <w:tcPr>
            <w:tcW w:w="4627" w:type="dxa"/>
            <w:tcBorders>
              <w:top w:val="nil"/>
              <w:left w:val="nil"/>
              <w:bottom w:val="nil"/>
              <w:right w:val="nil"/>
            </w:tcBorders>
          </w:tcPr>
          <w:p w:rsidR="00590F19" w:rsidRPr="00590F19" w:rsidRDefault="00590F19">
            <w:pPr>
              <w:pStyle w:val="ConsPlusNormal"/>
              <w:rPr>
                <w:rFonts w:ascii="Times New Roman" w:hAnsi="Times New Roman" w:cs="Times New Roman"/>
                <w:sz w:val="26"/>
                <w:szCs w:val="26"/>
              </w:rPr>
            </w:pPr>
            <w:r w:rsidRPr="00590F19">
              <w:rPr>
                <w:rFonts w:ascii="Times New Roman" w:hAnsi="Times New Roman" w:cs="Times New Roman"/>
                <w:sz w:val="26"/>
                <w:szCs w:val="26"/>
              </w:rPr>
              <w:t xml:space="preserve">отношение количества обучающихся общеобразовательных организаций и профессиональных образовательных организаций, охваченных образовательными программами по финансовой грамотности, к общему количеству обучающихся общеобразовательных организаций и профессиональных образовательных организаций </w:t>
            </w:r>
            <w:hyperlink w:anchor="P354">
              <w:r w:rsidRPr="00590F19">
                <w:rPr>
                  <w:rFonts w:ascii="Times New Roman" w:hAnsi="Times New Roman" w:cs="Times New Roman"/>
                  <w:color w:val="0000FF"/>
                  <w:sz w:val="26"/>
                  <w:szCs w:val="26"/>
                </w:rPr>
                <w:t>&lt;2&gt;</w:t>
              </w:r>
            </w:hyperlink>
            <w:r w:rsidRPr="00590F19">
              <w:rPr>
                <w:rFonts w:ascii="Times New Roman" w:hAnsi="Times New Roman" w:cs="Times New Roman"/>
                <w:sz w:val="26"/>
                <w:szCs w:val="26"/>
              </w:rPr>
              <w:t>, процентов;</w:t>
            </w:r>
          </w:p>
        </w:tc>
        <w:tc>
          <w:tcPr>
            <w:tcW w:w="2214" w:type="dxa"/>
            <w:tcBorders>
              <w:top w:val="nil"/>
              <w:left w:val="nil"/>
              <w:bottom w:val="nil"/>
              <w:right w:val="nil"/>
            </w:tcBorders>
          </w:tcPr>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sz w:val="26"/>
                <w:szCs w:val="26"/>
              </w:rPr>
              <w:t>67 процентов</w:t>
            </w:r>
          </w:p>
        </w:tc>
        <w:tc>
          <w:tcPr>
            <w:tcW w:w="2214" w:type="dxa"/>
            <w:tcBorders>
              <w:top w:val="nil"/>
              <w:left w:val="nil"/>
              <w:bottom w:val="nil"/>
              <w:right w:val="nil"/>
            </w:tcBorders>
          </w:tcPr>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sz w:val="26"/>
                <w:szCs w:val="26"/>
              </w:rPr>
              <w:t>100 процентов</w:t>
            </w:r>
          </w:p>
        </w:tc>
      </w:tr>
      <w:tr w:rsidR="00590F19" w:rsidRPr="00590F19">
        <w:tblPrEx>
          <w:tblBorders>
            <w:insideH w:val="none" w:sz="0" w:space="0" w:color="auto"/>
            <w:insideV w:val="none" w:sz="0" w:space="0" w:color="auto"/>
          </w:tblBorders>
        </w:tblPrEx>
        <w:tc>
          <w:tcPr>
            <w:tcW w:w="4627" w:type="dxa"/>
            <w:tcBorders>
              <w:top w:val="nil"/>
              <w:left w:val="nil"/>
              <w:bottom w:val="nil"/>
              <w:right w:val="nil"/>
            </w:tcBorders>
          </w:tcPr>
          <w:p w:rsidR="00590F19" w:rsidRPr="00590F19" w:rsidRDefault="00590F19">
            <w:pPr>
              <w:pStyle w:val="ConsPlusNormal"/>
              <w:rPr>
                <w:rFonts w:ascii="Times New Roman" w:hAnsi="Times New Roman" w:cs="Times New Roman"/>
                <w:sz w:val="26"/>
                <w:szCs w:val="26"/>
              </w:rPr>
            </w:pPr>
            <w:r w:rsidRPr="00590F19">
              <w:rPr>
                <w:rFonts w:ascii="Times New Roman" w:hAnsi="Times New Roman" w:cs="Times New Roman"/>
                <w:sz w:val="26"/>
                <w:szCs w:val="26"/>
              </w:rPr>
              <w:t>отношение количества педагогических работников общеобразовательных организаций и профессиональных образовательных организаций, прошедших повышение квалификации и (или) профессиональную переподготовку по образовательным программам, включающим элементы финансовой грамотности, к общему количеству педагогических работников общеобразовательных организаций и профессиональных образовательных организаций, процентов</w:t>
            </w:r>
          </w:p>
        </w:tc>
        <w:tc>
          <w:tcPr>
            <w:tcW w:w="2214" w:type="dxa"/>
            <w:tcBorders>
              <w:top w:val="nil"/>
              <w:left w:val="nil"/>
              <w:bottom w:val="nil"/>
              <w:right w:val="nil"/>
            </w:tcBorders>
          </w:tcPr>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sz w:val="26"/>
                <w:szCs w:val="26"/>
              </w:rPr>
              <w:t>9 процентов</w:t>
            </w:r>
          </w:p>
        </w:tc>
        <w:tc>
          <w:tcPr>
            <w:tcW w:w="2214" w:type="dxa"/>
            <w:tcBorders>
              <w:top w:val="nil"/>
              <w:left w:val="nil"/>
              <w:bottom w:val="nil"/>
              <w:right w:val="nil"/>
            </w:tcBorders>
          </w:tcPr>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sz w:val="26"/>
                <w:szCs w:val="26"/>
              </w:rPr>
              <w:t>20 процентов</w:t>
            </w:r>
          </w:p>
        </w:tc>
      </w:tr>
      <w:tr w:rsidR="00590F19" w:rsidRPr="00590F19">
        <w:tblPrEx>
          <w:tblBorders>
            <w:insideH w:val="none" w:sz="0" w:space="0" w:color="auto"/>
            <w:insideV w:val="none" w:sz="0" w:space="0" w:color="auto"/>
          </w:tblBorders>
        </w:tblPrEx>
        <w:tc>
          <w:tcPr>
            <w:tcW w:w="4627" w:type="dxa"/>
            <w:tcBorders>
              <w:top w:val="nil"/>
              <w:left w:val="nil"/>
              <w:bottom w:val="nil"/>
              <w:right w:val="nil"/>
            </w:tcBorders>
          </w:tcPr>
          <w:p w:rsidR="00590F19" w:rsidRPr="00590F19" w:rsidRDefault="00590F19">
            <w:pPr>
              <w:pStyle w:val="ConsPlusNormal"/>
              <w:rPr>
                <w:rFonts w:ascii="Times New Roman" w:hAnsi="Times New Roman" w:cs="Times New Roman"/>
                <w:sz w:val="26"/>
                <w:szCs w:val="26"/>
              </w:rPr>
            </w:pPr>
            <w:r w:rsidRPr="00590F19">
              <w:rPr>
                <w:rFonts w:ascii="Times New Roman" w:hAnsi="Times New Roman" w:cs="Times New Roman"/>
                <w:sz w:val="26"/>
                <w:szCs w:val="26"/>
              </w:rPr>
              <w:t>Уровень инфраструктурного развития субъектов Российской Федерации, способствующего повышению финансовой грамотности в субъектах Российской Федерации, процентов:</w:t>
            </w:r>
          </w:p>
        </w:tc>
        <w:tc>
          <w:tcPr>
            <w:tcW w:w="2214" w:type="dxa"/>
            <w:tcBorders>
              <w:top w:val="nil"/>
              <w:left w:val="nil"/>
              <w:bottom w:val="nil"/>
              <w:right w:val="nil"/>
            </w:tcBorders>
          </w:tcPr>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sz w:val="26"/>
                <w:szCs w:val="26"/>
              </w:rPr>
              <w:t>75 процентов</w:t>
            </w:r>
          </w:p>
        </w:tc>
        <w:tc>
          <w:tcPr>
            <w:tcW w:w="2214" w:type="dxa"/>
            <w:tcBorders>
              <w:top w:val="nil"/>
              <w:left w:val="nil"/>
              <w:bottom w:val="nil"/>
              <w:right w:val="nil"/>
            </w:tcBorders>
          </w:tcPr>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sz w:val="26"/>
                <w:szCs w:val="26"/>
              </w:rPr>
              <w:t>100 процентов</w:t>
            </w:r>
          </w:p>
        </w:tc>
      </w:tr>
      <w:tr w:rsidR="00590F19" w:rsidRPr="00590F19">
        <w:tblPrEx>
          <w:tblBorders>
            <w:insideH w:val="none" w:sz="0" w:space="0" w:color="auto"/>
            <w:insideV w:val="none" w:sz="0" w:space="0" w:color="auto"/>
          </w:tblBorders>
        </w:tblPrEx>
        <w:tc>
          <w:tcPr>
            <w:tcW w:w="4627" w:type="dxa"/>
            <w:tcBorders>
              <w:top w:val="nil"/>
              <w:left w:val="nil"/>
              <w:bottom w:val="nil"/>
              <w:right w:val="nil"/>
            </w:tcBorders>
          </w:tcPr>
          <w:p w:rsidR="00590F19" w:rsidRPr="00590F19" w:rsidRDefault="00590F19">
            <w:pPr>
              <w:pStyle w:val="ConsPlusNormal"/>
              <w:rPr>
                <w:rFonts w:ascii="Times New Roman" w:hAnsi="Times New Roman" w:cs="Times New Roman"/>
                <w:sz w:val="26"/>
                <w:szCs w:val="26"/>
              </w:rPr>
            </w:pPr>
            <w:r w:rsidRPr="00590F19">
              <w:rPr>
                <w:rFonts w:ascii="Times New Roman" w:hAnsi="Times New Roman" w:cs="Times New Roman"/>
                <w:sz w:val="26"/>
                <w:szCs w:val="26"/>
              </w:rPr>
              <w:t>отношение количества субъектов Российской Федерации, имеющих региональный центр финансовой грамотности, к общему количеству субъектов Российской Федерации, процентов;</w:t>
            </w:r>
          </w:p>
        </w:tc>
        <w:tc>
          <w:tcPr>
            <w:tcW w:w="2214" w:type="dxa"/>
            <w:tcBorders>
              <w:top w:val="nil"/>
              <w:left w:val="nil"/>
              <w:bottom w:val="nil"/>
              <w:right w:val="nil"/>
            </w:tcBorders>
          </w:tcPr>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sz w:val="26"/>
                <w:szCs w:val="26"/>
              </w:rPr>
              <w:t>62 процента</w:t>
            </w:r>
          </w:p>
        </w:tc>
        <w:tc>
          <w:tcPr>
            <w:tcW w:w="2214" w:type="dxa"/>
            <w:tcBorders>
              <w:top w:val="nil"/>
              <w:left w:val="nil"/>
              <w:bottom w:val="nil"/>
              <w:right w:val="nil"/>
            </w:tcBorders>
          </w:tcPr>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sz w:val="26"/>
                <w:szCs w:val="26"/>
              </w:rPr>
              <w:t>100 процентов</w:t>
            </w:r>
          </w:p>
        </w:tc>
      </w:tr>
      <w:tr w:rsidR="00590F19" w:rsidRPr="00590F19">
        <w:tblPrEx>
          <w:tblBorders>
            <w:insideH w:val="none" w:sz="0" w:space="0" w:color="auto"/>
            <w:insideV w:val="none" w:sz="0" w:space="0" w:color="auto"/>
          </w:tblBorders>
        </w:tblPrEx>
        <w:tc>
          <w:tcPr>
            <w:tcW w:w="4627" w:type="dxa"/>
            <w:tcBorders>
              <w:top w:val="nil"/>
              <w:left w:val="nil"/>
              <w:bottom w:val="nil"/>
              <w:right w:val="nil"/>
            </w:tcBorders>
          </w:tcPr>
          <w:p w:rsidR="00590F19" w:rsidRPr="00590F19" w:rsidRDefault="00590F19">
            <w:pPr>
              <w:pStyle w:val="ConsPlusNormal"/>
              <w:rPr>
                <w:rFonts w:ascii="Times New Roman" w:hAnsi="Times New Roman" w:cs="Times New Roman"/>
                <w:sz w:val="26"/>
                <w:szCs w:val="26"/>
              </w:rPr>
            </w:pPr>
            <w:r w:rsidRPr="00590F19">
              <w:rPr>
                <w:rFonts w:ascii="Times New Roman" w:hAnsi="Times New Roman" w:cs="Times New Roman"/>
                <w:sz w:val="26"/>
                <w:szCs w:val="26"/>
              </w:rPr>
              <w:t xml:space="preserve">отношение количества субъектов Российской Федерации, имеющих информационный ресурс, </w:t>
            </w:r>
            <w:r w:rsidRPr="00590F19">
              <w:rPr>
                <w:rFonts w:ascii="Times New Roman" w:hAnsi="Times New Roman" w:cs="Times New Roman"/>
                <w:sz w:val="26"/>
                <w:szCs w:val="26"/>
              </w:rPr>
              <w:lastRenderedPageBreak/>
              <w:t>способствующий повышению финансовой грамотности, к общему количеству субъектов Российской Федерации, процентов;</w:t>
            </w:r>
          </w:p>
        </w:tc>
        <w:tc>
          <w:tcPr>
            <w:tcW w:w="2214" w:type="dxa"/>
            <w:tcBorders>
              <w:top w:val="nil"/>
              <w:left w:val="nil"/>
              <w:bottom w:val="nil"/>
              <w:right w:val="nil"/>
            </w:tcBorders>
          </w:tcPr>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sz w:val="26"/>
                <w:szCs w:val="26"/>
              </w:rPr>
              <w:lastRenderedPageBreak/>
              <w:t>73 процента</w:t>
            </w:r>
          </w:p>
        </w:tc>
        <w:tc>
          <w:tcPr>
            <w:tcW w:w="2214" w:type="dxa"/>
            <w:tcBorders>
              <w:top w:val="nil"/>
              <w:left w:val="nil"/>
              <w:bottom w:val="nil"/>
              <w:right w:val="nil"/>
            </w:tcBorders>
          </w:tcPr>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sz w:val="26"/>
                <w:szCs w:val="26"/>
              </w:rPr>
              <w:t>100 процентов</w:t>
            </w:r>
          </w:p>
        </w:tc>
      </w:tr>
      <w:tr w:rsidR="00590F19" w:rsidRPr="00590F19">
        <w:tblPrEx>
          <w:tblBorders>
            <w:insideH w:val="none" w:sz="0" w:space="0" w:color="auto"/>
            <w:insideV w:val="none" w:sz="0" w:space="0" w:color="auto"/>
          </w:tblBorders>
        </w:tblPrEx>
        <w:tc>
          <w:tcPr>
            <w:tcW w:w="4627" w:type="dxa"/>
            <w:tcBorders>
              <w:top w:val="nil"/>
              <w:left w:val="nil"/>
              <w:bottom w:val="nil"/>
              <w:right w:val="nil"/>
            </w:tcBorders>
          </w:tcPr>
          <w:p w:rsidR="00590F19" w:rsidRPr="00590F19" w:rsidRDefault="00590F19">
            <w:pPr>
              <w:pStyle w:val="ConsPlusNormal"/>
              <w:rPr>
                <w:rFonts w:ascii="Times New Roman" w:hAnsi="Times New Roman" w:cs="Times New Roman"/>
                <w:sz w:val="26"/>
                <w:szCs w:val="26"/>
              </w:rPr>
            </w:pPr>
            <w:r w:rsidRPr="00590F19">
              <w:rPr>
                <w:rFonts w:ascii="Times New Roman" w:hAnsi="Times New Roman" w:cs="Times New Roman"/>
                <w:sz w:val="26"/>
                <w:szCs w:val="26"/>
              </w:rPr>
              <w:t>отношение количества субъектов Российской Федерации, реализующих практики инициативного бюджетирования, иные практики, к общему количеству субъектов Российской Федерации, процентов</w:t>
            </w:r>
          </w:p>
        </w:tc>
        <w:tc>
          <w:tcPr>
            <w:tcW w:w="2214" w:type="dxa"/>
            <w:tcBorders>
              <w:top w:val="nil"/>
              <w:left w:val="nil"/>
              <w:bottom w:val="nil"/>
              <w:right w:val="nil"/>
            </w:tcBorders>
          </w:tcPr>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sz w:val="26"/>
                <w:szCs w:val="26"/>
              </w:rPr>
              <w:t>90 процентов</w:t>
            </w:r>
          </w:p>
        </w:tc>
        <w:tc>
          <w:tcPr>
            <w:tcW w:w="2214" w:type="dxa"/>
            <w:tcBorders>
              <w:top w:val="nil"/>
              <w:left w:val="nil"/>
              <w:bottom w:val="nil"/>
              <w:right w:val="nil"/>
            </w:tcBorders>
          </w:tcPr>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sz w:val="26"/>
                <w:szCs w:val="26"/>
              </w:rPr>
              <w:t>100 процентов</w:t>
            </w:r>
          </w:p>
        </w:tc>
      </w:tr>
      <w:tr w:rsidR="00590F19" w:rsidRPr="00590F19">
        <w:tblPrEx>
          <w:tblBorders>
            <w:insideH w:val="none" w:sz="0" w:space="0" w:color="auto"/>
            <w:insideV w:val="none" w:sz="0" w:space="0" w:color="auto"/>
          </w:tblBorders>
        </w:tblPrEx>
        <w:tc>
          <w:tcPr>
            <w:tcW w:w="4627" w:type="dxa"/>
            <w:tcBorders>
              <w:top w:val="nil"/>
              <w:left w:val="nil"/>
              <w:bottom w:val="nil"/>
              <w:right w:val="nil"/>
            </w:tcBorders>
          </w:tcPr>
          <w:p w:rsidR="00590F19" w:rsidRPr="00590F19" w:rsidRDefault="00590F19">
            <w:pPr>
              <w:pStyle w:val="ConsPlusNormal"/>
              <w:rPr>
                <w:rFonts w:ascii="Times New Roman" w:hAnsi="Times New Roman" w:cs="Times New Roman"/>
                <w:sz w:val="26"/>
                <w:szCs w:val="26"/>
              </w:rPr>
            </w:pPr>
            <w:r w:rsidRPr="00590F19">
              <w:rPr>
                <w:rFonts w:ascii="Times New Roman" w:hAnsi="Times New Roman" w:cs="Times New Roman"/>
                <w:sz w:val="26"/>
                <w:szCs w:val="26"/>
              </w:rPr>
              <w:t>Индекс развития финансовой культуры</w:t>
            </w:r>
          </w:p>
        </w:tc>
        <w:tc>
          <w:tcPr>
            <w:tcW w:w="2214" w:type="dxa"/>
            <w:tcBorders>
              <w:top w:val="nil"/>
              <w:left w:val="nil"/>
              <w:bottom w:val="nil"/>
              <w:right w:val="nil"/>
            </w:tcBorders>
          </w:tcPr>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sz w:val="26"/>
                <w:szCs w:val="26"/>
              </w:rPr>
              <w:t xml:space="preserve">39,5 балла </w:t>
            </w:r>
            <w:hyperlink w:anchor="P355">
              <w:r w:rsidRPr="00590F19">
                <w:rPr>
                  <w:rFonts w:ascii="Times New Roman" w:hAnsi="Times New Roman" w:cs="Times New Roman"/>
                  <w:color w:val="0000FF"/>
                  <w:sz w:val="26"/>
                  <w:szCs w:val="26"/>
                </w:rPr>
                <w:t>&lt;3&gt;</w:t>
              </w:r>
            </w:hyperlink>
          </w:p>
        </w:tc>
        <w:tc>
          <w:tcPr>
            <w:tcW w:w="2214" w:type="dxa"/>
            <w:tcBorders>
              <w:top w:val="nil"/>
              <w:left w:val="nil"/>
              <w:bottom w:val="nil"/>
              <w:right w:val="nil"/>
            </w:tcBorders>
          </w:tcPr>
          <w:p w:rsidR="00590F19" w:rsidRPr="00590F19" w:rsidRDefault="00590F19">
            <w:pPr>
              <w:pStyle w:val="ConsPlusNormal"/>
              <w:jc w:val="center"/>
              <w:rPr>
                <w:rFonts w:ascii="Times New Roman" w:hAnsi="Times New Roman" w:cs="Times New Roman"/>
                <w:sz w:val="26"/>
                <w:szCs w:val="26"/>
              </w:rPr>
            </w:pPr>
            <w:r w:rsidRPr="00590F19">
              <w:rPr>
                <w:rFonts w:ascii="Times New Roman" w:hAnsi="Times New Roman" w:cs="Times New Roman"/>
                <w:sz w:val="26"/>
                <w:szCs w:val="26"/>
              </w:rPr>
              <w:t xml:space="preserve">48 - 54 балла </w:t>
            </w:r>
            <w:hyperlink w:anchor="P357">
              <w:r w:rsidRPr="00590F19">
                <w:rPr>
                  <w:rFonts w:ascii="Times New Roman" w:hAnsi="Times New Roman" w:cs="Times New Roman"/>
                  <w:color w:val="0000FF"/>
                  <w:sz w:val="26"/>
                  <w:szCs w:val="26"/>
                </w:rPr>
                <w:t>&lt;4&gt;</w:t>
              </w:r>
            </w:hyperlink>
          </w:p>
        </w:tc>
      </w:tr>
      <w:tr w:rsidR="00590F19" w:rsidRPr="00590F19">
        <w:tblPrEx>
          <w:tblBorders>
            <w:insideH w:val="none" w:sz="0" w:space="0" w:color="auto"/>
            <w:insideV w:val="none" w:sz="0" w:space="0" w:color="auto"/>
          </w:tblBorders>
        </w:tblPrEx>
        <w:tc>
          <w:tcPr>
            <w:tcW w:w="9055" w:type="dxa"/>
            <w:gridSpan w:val="3"/>
            <w:tcBorders>
              <w:top w:val="nil"/>
              <w:left w:val="nil"/>
              <w:bottom w:val="single" w:sz="4" w:space="0" w:color="auto"/>
              <w:right w:val="nil"/>
            </w:tcBorders>
          </w:tcPr>
          <w:p w:rsidR="00590F19" w:rsidRPr="00590F19" w:rsidRDefault="00590F19">
            <w:pPr>
              <w:pStyle w:val="ConsPlusNormal"/>
              <w:jc w:val="both"/>
              <w:rPr>
                <w:rFonts w:ascii="Times New Roman" w:hAnsi="Times New Roman" w:cs="Times New Roman"/>
                <w:sz w:val="26"/>
                <w:szCs w:val="26"/>
              </w:rPr>
            </w:pPr>
            <w:r w:rsidRPr="00590F19">
              <w:rPr>
                <w:rFonts w:ascii="Times New Roman" w:hAnsi="Times New Roman" w:cs="Times New Roman"/>
                <w:sz w:val="26"/>
                <w:szCs w:val="26"/>
              </w:rPr>
              <w:t xml:space="preserve">(в ред. </w:t>
            </w:r>
            <w:hyperlink r:id="rId32">
              <w:r w:rsidRPr="00590F19">
                <w:rPr>
                  <w:rFonts w:ascii="Times New Roman" w:hAnsi="Times New Roman" w:cs="Times New Roman"/>
                  <w:color w:val="0000FF"/>
                  <w:sz w:val="26"/>
                  <w:szCs w:val="26"/>
                </w:rPr>
                <w:t>распоряжения</w:t>
              </w:r>
            </w:hyperlink>
            <w:r w:rsidRPr="00590F19">
              <w:rPr>
                <w:rFonts w:ascii="Times New Roman" w:hAnsi="Times New Roman" w:cs="Times New Roman"/>
                <w:sz w:val="26"/>
                <w:szCs w:val="26"/>
              </w:rPr>
              <w:t xml:space="preserve"> Правительства РФ от 15.10.2025 N 2868-р)</w:t>
            </w:r>
          </w:p>
        </w:tc>
      </w:tr>
    </w:tbl>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ind w:firstLine="540"/>
        <w:jc w:val="both"/>
        <w:rPr>
          <w:rFonts w:ascii="Times New Roman" w:hAnsi="Times New Roman" w:cs="Times New Roman"/>
          <w:sz w:val="26"/>
          <w:szCs w:val="26"/>
        </w:rPr>
      </w:pPr>
      <w:r w:rsidRPr="00590F19">
        <w:rPr>
          <w:rFonts w:ascii="Times New Roman" w:hAnsi="Times New Roman" w:cs="Times New Roman"/>
          <w:sz w:val="26"/>
          <w:szCs w:val="26"/>
        </w:rPr>
        <w:t>--------------------------------</w:t>
      </w:r>
    </w:p>
    <w:p w:rsidR="00590F19" w:rsidRPr="00590F19" w:rsidRDefault="00590F19">
      <w:pPr>
        <w:pStyle w:val="ConsPlusNormal"/>
        <w:spacing w:before="220"/>
        <w:ind w:firstLine="540"/>
        <w:jc w:val="both"/>
        <w:rPr>
          <w:rFonts w:ascii="Times New Roman" w:hAnsi="Times New Roman" w:cs="Times New Roman"/>
          <w:sz w:val="26"/>
          <w:szCs w:val="26"/>
        </w:rPr>
      </w:pPr>
      <w:bookmarkStart w:id="3" w:name="P350"/>
      <w:bookmarkEnd w:id="3"/>
      <w:r w:rsidRPr="00590F19">
        <w:rPr>
          <w:rFonts w:ascii="Times New Roman" w:hAnsi="Times New Roman" w:cs="Times New Roman"/>
          <w:sz w:val="26"/>
          <w:szCs w:val="26"/>
        </w:rPr>
        <w:t>&lt;1&gt; Определено с учетом результатов социологического исследования, проведенного в 2022 году по заказу Банка России.</w:t>
      </w:r>
    </w:p>
    <w:p w:rsidR="00590F19" w:rsidRPr="00590F19" w:rsidRDefault="00590F19">
      <w:pPr>
        <w:pStyle w:val="ConsPlusNormal"/>
        <w:jc w:val="both"/>
        <w:rPr>
          <w:rFonts w:ascii="Times New Roman" w:hAnsi="Times New Roman" w:cs="Times New Roman"/>
          <w:sz w:val="26"/>
          <w:szCs w:val="26"/>
        </w:rPr>
      </w:pPr>
      <w:r w:rsidRPr="00590F19">
        <w:rPr>
          <w:rFonts w:ascii="Times New Roman" w:hAnsi="Times New Roman" w:cs="Times New Roman"/>
          <w:sz w:val="26"/>
          <w:szCs w:val="26"/>
        </w:rPr>
        <w:t xml:space="preserve">(сноска в ред. </w:t>
      </w:r>
      <w:hyperlink r:id="rId33">
        <w:r w:rsidRPr="00590F19">
          <w:rPr>
            <w:rFonts w:ascii="Times New Roman" w:hAnsi="Times New Roman" w:cs="Times New Roman"/>
            <w:color w:val="0000FF"/>
            <w:sz w:val="26"/>
            <w:szCs w:val="26"/>
          </w:rPr>
          <w:t>распоряжения</w:t>
        </w:r>
      </w:hyperlink>
      <w:r w:rsidRPr="00590F19">
        <w:rPr>
          <w:rFonts w:ascii="Times New Roman" w:hAnsi="Times New Roman" w:cs="Times New Roman"/>
          <w:sz w:val="26"/>
          <w:szCs w:val="26"/>
        </w:rPr>
        <w:t xml:space="preserve"> Правительства РФ от 15.10.2025 N 2868-р)</w:t>
      </w:r>
    </w:p>
    <w:p w:rsidR="00590F19" w:rsidRPr="00590F19" w:rsidRDefault="00590F19">
      <w:pPr>
        <w:pStyle w:val="ConsPlusNormal"/>
        <w:spacing w:before="220"/>
        <w:ind w:firstLine="540"/>
        <w:jc w:val="both"/>
        <w:rPr>
          <w:rFonts w:ascii="Times New Roman" w:hAnsi="Times New Roman" w:cs="Times New Roman"/>
          <w:sz w:val="26"/>
          <w:szCs w:val="26"/>
        </w:rPr>
      </w:pPr>
      <w:bookmarkStart w:id="4" w:name="P352"/>
      <w:bookmarkEnd w:id="4"/>
      <w:r w:rsidRPr="00590F19">
        <w:rPr>
          <w:rFonts w:ascii="Times New Roman" w:hAnsi="Times New Roman" w:cs="Times New Roman"/>
          <w:sz w:val="26"/>
          <w:szCs w:val="26"/>
        </w:rPr>
        <w:t>&lt;1-1&gt; Может быть уточнен по итогам проведения социологического исследования по оценке уровня финансовой грамотности населения Российской Федерации, запланированного к проведению Банком России в последующие периоды.</w:t>
      </w:r>
    </w:p>
    <w:p w:rsidR="00590F19" w:rsidRPr="00590F19" w:rsidRDefault="00590F19">
      <w:pPr>
        <w:pStyle w:val="ConsPlusNormal"/>
        <w:jc w:val="both"/>
        <w:rPr>
          <w:rFonts w:ascii="Times New Roman" w:hAnsi="Times New Roman" w:cs="Times New Roman"/>
          <w:sz w:val="26"/>
          <w:szCs w:val="26"/>
        </w:rPr>
      </w:pPr>
      <w:r w:rsidRPr="00590F19">
        <w:rPr>
          <w:rFonts w:ascii="Times New Roman" w:hAnsi="Times New Roman" w:cs="Times New Roman"/>
          <w:sz w:val="26"/>
          <w:szCs w:val="26"/>
        </w:rPr>
        <w:t xml:space="preserve">(сноска введена </w:t>
      </w:r>
      <w:hyperlink r:id="rId34">
        <w:r w:rsidRPr="00590F19">
          <w:rPr>
            <w:rFonts w:ascii="Times New Roman" w:hAnsi="Times New Roman" w:cs="Times New Roman"/>
            <w:color w:val="0000FF"/>
            <w:sz w:val="26"/>
            <w:szCs w:val="26"/>
          </w:rPr>
          <w:t>распоряжением</w:t>
        </w:r>
      </w:hyperlink>
      <w:r w:rsidRPr="00590F19">
        <w:rPr>
          <w:rFonts w:ascii="Times New Roman" w:hAnsi="Times New Roman" w:cs="Times New Roman"/>
          <w:sz w:val="26"/>
          <w:szCs w:val="26"/>
        </w:rPr>
        <w:t xml:space="preserve"> Правительства РФ от 15.10.2025 N 2868-р)</w:t>
      </w:r>
    </w:p>
    <w:p w:rsidR="00590F19" w:rsidRPr="00590F19" w:rsidRDefault="00590F19">
      <w:pPr>
        <w:pStyle w:val="ConsPlusNormal"/>
        <w:spacing w:before="220"/>
        <w:ind w:firstLine="540"/>
        <w:jc w:val="both"/>
        <w:rPr>
          <w:rFonts w:ascii="Times New Roman" w:hAnsi="Times New Roman" w:cs="Times New Roman"/>
          <w:sz w:val="26"/>
          <w:szCs w:val="26"/>
        </w:rPr>
      </w:pPr>
      <w:bookmarkStart w:id="5" w:name="P354"/>
      <w:bookmarkEnd w:id="5"/>
      <w:r w:rsidRPr="00590F19">
        <w:rPr>
          <w:rFonts w:ascii="Times New Roman" w:hAnsi="Times New Roman" w:cs="Times New Roman"/>
          <w:sz w:val="26"/>
          <w:szCs w:val="26"/>
        </w:rPr>
        <w:t xml:space="preserve">&lt;2&gt; Рассчитывается на основании данных, представленных по соответствующим </w:t>
      </w:r>
      <w:hyperlink r:id="rId35">
        <w:r w:rsidRPr="00590F19">
          <w:rPr>
            <w:rFonts w:ascii="Times New Roman" w:hAnsi="Times New Roman" w:cs="Times New Roman"/>
            <w:color w:val="0000FF"/>
            <w:sz w:val="26"/>
            <w:szCs w:val="26"/>
          </w:rPr>
          <w:t>индикаторам</w:t>
        </w:r>
      </w:hyperlink>
      <w:r w:rsidRPr="00590F19">
        <w:rPr>
          <w:rFonts w:ascii="Times New Roman" w:hAnsi="Times New Roman" w:cs="Times New Roman"/>
          <w:sz w:val="26"/>
          <w:szCs w:val="26"/>
        </w:rPr>
        <w:t xml:space="preserve"> качества управления региональными финансами в субъектах Российской Федерации, включенным в приказ Минфина России от 3 декабря 2010 г. N 552 "О порядке осуществления мониторинга и оценки качества управления региональными финансами".</w:t>
      </w:r>
    </w:p>
    <w:p w:rsidR="00590F19" w:rsidRPr="00590F19" w:rsidRDefault="00590F19">
      <w:pPr>
        <w:pStyle w:val="ConsPlusNormal"/>
        <w:spacing w:before="220"/>
        <w:ind w:firstLine="540"/>
        <w:jc w:val="both"/>
        <w:rPr>
          <w:rFonts w:ascii="Times New Roman" w:hAnsi="Times New Roman" w:cs="Times New Roman"/>
          <w:sz w:val="26"/>
          <w:szCs w:val="26"/>
        </w:rPr>
      </w:pPr>
      <w:bookmarkStart w:id="6" w:name="P355"/>
      <w:bookmarkEnd w:id="6"/>
      <w:r w:rsidRPr="00590F19">
        <w:rPr>
          <w:rFonts w:ascii="Times New Roman" w:hAnsi="Times New Roman" w:cs="Times New Roman"/>
          <w:sz w:val="26"/>
          <w:szCs w:val="26"/>
        </w:rPr>
        <w:t>&lt;3&gt; Рассчитано на основании результатов проведенного в 2024 году социологического исследования, характеризующего ценности, установки и поведенческие практики граждан в сфере финансов, а также на основании полученных по итогам 2023 года статистических данных, отражающих фактическое поведение и активность граждан, в том числе на отдельных сегментах финансового рынка.</w:t>
      </w:r>
    </w:p>
    <w:p w:rsidR="00590F19" w:rsidRPr="00590F19" w:rsidRDefault="00590F19">
      <w:pPr>
        <w:pStyle w:val="ConsPlusNormal"/>
        <w:jc w:val="both"/>
        <w:rPr>
          <w:rFonts w:ascii="Times New Roman" w:hAnsi="Times New Roman" w:cs="Times New Roman"/>
          <w:sz w:val="26"/>
          <w:szCs w:val="26"/>
        </w:rPr>
      </w:pPr>
      <w:r w:rsidRPr="00590F19">
        <w:rPr>
          <w:rFonts w:ascii="Times New Roman" w:hAnsi="Times New Roman" w:cs="Times New Roman"/>
          <w:sz w:val="26"/>
          <w:szCs w:val="26"/>
        </w:rPr>
        <w:t xml:space="preserve">(сноска введена </w:t>
      </w:r>
      <w:hyperlink r:id="rId36">
        <w:r w:rsidRPr="00590F19">
          <w:rPr>
            <w:rFonts w:ascii="Times New Roman" w:hAnsi="Times New Roman" w:cs="Times New Roman"/>
            <w:color w:val="0000FF"/>
            <w:sz w:val="26"/>
            <w:szCs w:val="26"/>
          </w:rPr>
          <w:t>распоряжением</w:t>
        </w:r>
      </w:hyperlink>
      <w:r w:rsidRPr="00590F19">
        <w:rPr>
          <w:rFonts w:ascii="Times New Roman" w:hAnsi="Times New Roman" w:cs="Times New Roman"/>
          <w:sz w:val="26"/>
          <w:szCs w:val="26"/>
        </w:rPr>
        <w:t xml:space="preserve"> Правительства РФ от 15.10.2025 N 2868-р)</w:t>
      </w:r>
    </w:p>
    <w:p w:rsidR="00590F19" w:rsidRPr="00590F19" w:rsidRDefault="00590F19">
      <w:pPr>
        <w:pStyle w:val="ConsPlusNormal"/>
        <w:spacing w:before="220"/>
        <w:ind w:firstLine="540"/>
        <w:jc w:val="both"/>
        <w:rPr>
          <w:rFonts w:ascii="Times New Roman" w:hAnsi="Times New Roman" w:cs="Times New Roman"/>
          <w:sz w:val="26"/>
          <w:szCs w:val="26"/>
        </w:rPr>
      </w:pPr>
      <w:bookmarkStart w:id="7" w:name="P357"/>
      <w:bookmarkEnd w:id="7"/>
      <w:r w:rsidRPr="00590F19">
        <w:rPr>
          <w:rFonts w:ascii="Times New Roman" w:hAnsi="Times New Roman" w:cs="Times New Roman"/>
          <w:sz w:val="26"/>
          <w:szCs w:val="26"/>
        </w:rPr>
        <w:t>&lt;4&gt; Определен с учетом результатов проведенного в 2024 году социологического исследования, характеризующего ценности, установки и поведенческие практики граждан в сфере финансов, а также на основании полученных по итогам 2023 года статистических данных, отражающих фактическое поведение и активность граждан, в том числе на отдельных сегментах финансового рынка. Может быть уточнен по итогам осуществления расчета индикатора (показателя), запланированного к проведению Минфином России и Банком России в последующие периоды.</w:t>
      </w:r>
    </w:p>
    <w:p w:rsidR="00590F19" w:rsidRPr="00590F19" w:rsidRDefault="00590F19">
      <w:pPr>
        <w:pStyle w:val="ConsPlusNormal"/>
        <w:jc w:val="both"/>
        <w:rPr>
          <w:rFonts w:ascii="Times New Roman" w:hAnsi="Times New Roman" w:cs="Times New Roman"/>
          <w:sz w:val="26"/>
          <w:szCs w:val="26"/>
        </w:rPr>
      </w:pPr>
      <w:r w:rsidRPr="00590F19">
        <w:rPr>
          <w:rFonts w:ascii="Times New Roman" w:hAnsi="Times New Roman" w:cs="Times New Roman"/>
          <w:sz w:val="26"/>
          <w:szCs w:val="26"/>
        </w:rPr>
        <w:lastRenderedPageBreak/>
        <w:t xml:space="preserve">(сноска введена </w:t>
      </w:r>
      <w:hyperlink r:id="rId37">
        <w:r w:rsidRPr="00590F19">
          <w:rPr>
            <w:rFonts w:ascii="Times New Roman" w:hAnsi="Times New Roman" w:cs="Times New Roman"/>
            <w:color w:val="0000FF"/>
            <w:sz w:val="26"/>
            <w:szCs w:val="26"/>
          </w:rPr>
          <w:t>распоряжением</w:t>
        </w:r>
      </w:hyperlink>
      <w:r w:rsidRPr="00590F19">
        <w:rPr>
          <w:rFonts w:ascii="Times New Roman" w:hAnsi="Times New Roman" w:cs="Times New Roman"/>
          <w:sz w:val="26"/>
          <w:szCs w:val="26"/>
        </w:rPr>
        <w:t xml:space="preserve"> Правительства РФ от 15.10.2025 N 2868-р)</w:t>
      </w: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jc w:val="both"/>
        <w:rPr>
          <w:rFonts w:ascii="Times New Roman" w:hAnsi="Times New Roman" w:cs="Times New Roman"/>
          <w:sz w:val="26"/>
          <w:szCs w:val="26"/>
        </w:rPr>
      </w:pPr>
    </w:p>
    <w:p w:rsidR="00590F19" w:rsidRPr="00590F19" w:rsidRDefault="00590F19">
      <w:pPr>
        <w:pStyle w:val="ConsPlusNormal"/>
        <w:pBdr>
          <w:bottom w:val="single" w:sz="6" w:space="0" w:color="auto"/>
        </w:pBdr>
        <w:spacing w:before="100" w:after="100"/>
        <w:jc w:val="both"/>
        <w:rPr>
          <w:rFonts w:ascii="Times New Roman" w:hAnsi="Times New Roman" w:cs="Times New Roman"/>
          <w:sz w:val="26"/>
          <w:szCs w:val="26"/>
        </w:rPr>
      </w:pPr>
    </w:p>
    <w:p w:rsidR="00AE678F" w:rsidRPr="00590F19" w:rsidRDefault="00AE678F">
      <w:pPr>
        <w:rPr>
          <w:rFonts w:ascii="Times New Roman" w:hAnsi="Times New Roman" w:cs="Times New Roman"/>
          <w:sz w:val="26"/>
          <w:szCs w:val="26"/>
        </w:rPr>
      </w:pPr>
    </w:p>
    <w:sectPr w:rsidR="00AE678F" w:rsidRPr="00590F19" w:rsidSect="004C51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F19"/>
    <w:rsid w:val="00590F19"/>
    <w:rsid w:val="00893F92"/>
    <w:rsid w:val="00995044"/>
    <w:rsid w:val="00AE67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78A568-C0D7-4887-BBC0-3FF89AB6D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0F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90F1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90F1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32901&amp;dst=100093" TargetMode="External"/><Relationship Id="rId18" Type="http://schemas.openxmlformats.org/officeDocument/2006/relationships/hyperlink" Target="https://login.consultant.ru/link/?req=doc&amp;base=LAW&amp;n=516685&amp;dst=100010" TargetMode="External"/><Relationship Id="rId26" Type="http://schemas.openxmlformats.org/officeDocument/2006/relationships/hyperlink" Target="https://login.consultant.ru/link/?req=doc&amp;base=LAW&amp;n=278903&amp;dst=100011" TargetMode="External"/><Relationship Id="rId39" Type="http://schemas.openxmlformats.org/officeDocument/2006/relationships/theme" Target="theme/theme1.xml"/><Relationship Id="rId21" Type="http://schemas.openxmlformats.org/officeDocument/2006/relationships/hyperlink" Target="https://login.consultant.ru/link/?req=doc&amp;base=LAW&amp;n=465377&amp;dst=100176" TargetMode="External"/><Relationship Id="rId34" Type="http://schemas.openxmlformats.org/officeDocument/2006/relationships/hyperlink" Target="https://login.consultant.ru/link/?req=doc&amp;base=LAW&amp;n=516685&amp;dst=100022" TargetMode="External"/><Relationship Id="rId7" Type="http://schemas.openxmlformats.org/officeDocument/2006/relationships/hyperlink" Target="https://login.consultant.ru/link/?req=doc&amp;base=LAW&amp;n=278903&amp;dst=100011" TargetMode="External"/><Relationship Id="rId12" Type="http://schemas.openxmlformats.org/officeDocument/2006/relationships/hyperlink" Target="https://login.consultant.ru/link/?req=doc&amp;base=LAW&amp;n=515330&amp;dst=100022" TargetMode="External"/><Relationship Id="rId17" Type="http://schemas.openxmlformats.org/officeDocument/2006/relationships/hyperlink" Target="https://login.consultant.ru/link/?req=doc&amp;base=LAW&amp;n=495719" TargetMode="External"/><Relationship Id="rId25" Type="http://schemas.openxmlformats.org/officeDocument/2006/relationships/hyperlink" Target="https://login.consultant.ru/link/?req=doc&amp;base=LAW&amp;n=278903&amp;dst=100011" TargetMode="External"/><Relationship Id="rId33" Type="http://schemas.openxmlformats.org/officeDocument/2006/relationships/hyperlink" Target="https://login.consultant.ru/link/?req=doc&amp;base=LAW&amp;n=516685&amp;dst=100020"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180402&amp;dst=100009" TargetMode="External"/><Relationship Id="rId20" Type="http://schemas.openxmlformats.org/officeDocument/2006/relationships/hyperlink" Target="https://login.consultant.ru/link/?req=doc&amp;base=LAW&amp;n=435331&amp;dst=100009" TargetMode="External"/><Relationship Id="rId29" Type="http://schemas.openxmlformats.org/officeDocument/2006/relationships/hyperlink" Target="https://login.consultant.ru/link/?req=doc&amp;base=LAW&amp;n=465377&amp;dst=100010" TargetMode="External"/><Relationship Id="rId1" Type="http://schemas.openxmlformats.org/officeDocument/2006/relationships/styles" Target="styles.xml"/><Relationship Id="rId6" Type="http://schemas.openxmlformats.org/officeDocument/2006/relationships/hyperlink" Target="https://login.consultant.ru/link/?req=doc&amp;base=LAW&amp;n=516685&amp;dst=100003" TargetMode="External"/><Relationship Id="rId11" Type="http://schemas.openxmlformats.org/officeDocument/2006/relationships/hyperlink" Target="https://login.consultant.ru/link/?req=doc&amp;base=LAW&amp;n=480785&amp;dst=1" TargetMode="External"/><Relationship Id="rId24" Type="http://schemas.openxmlformats.org/officeDocument/2006/relationships/hyperlink" Target="https://login.consultant.ru/link/?req=doc&amp;base=LAW&amp;n=278903&amp;dst=100011" TargetMode="External"/><Relationship Id="rId32" Type="http://schemas.openxmlformats.org/officeDocument/2006/relationships/hyperlink" Target="https://login.consultant.ru/link/?req=doc&amp;base=LAW&amp;n=516685&amp;dst=100016" TargetMode="External"/><Relationship Id="rId37" Type="http://schemas.openxmlformats.org/officeDocument/2006/relationships/hyperlink" Target="https://login.consultant.ru/link/?req=doc&amp;base=LAW&amp;n=516685&amp;dst=100026" TargetMode="External"/><Relationship Id="rId5" Type="http://schemas.openxmlformats.org/officeDocument/2006/relationships/hyperlink" Target="https://login.consultant.ru/link/?req=doc&amp;base=LAW&amp;n=530215&amp;dst=100004" TargetMode="External"/><Relationship Id="rId15" Type="http://schemas.openxmlformats.org/officeDocument/2006/relationships/hyperlink" Target="https://login.consultant.ru/link/?req=doc&amp;base=LAW&amp;n=522570&amp;dst=100019" TargetMode="External"/><Relationship Id="rId23" Type="http://schemas.openxmlformats.org/officeDocument/2006/relationships/hyperlink" Target="https://login.consultant.ru/link/?req=doc&amp;base=LAW&amp;n=516685&amp;dst=100012" TargetMode="External"/><Relationship Id="rId28" Type="http://schemas.openxmlformats.org/officeDocument/2006/relationships/hyperlink" Target="https://login.consultant.ru/link/?req=doc&amp;base=LAW&amp;n=278903&amp;dst=100011" TargetMode="External"/><Relationship Id="rId36" Type="http://schemas.openxmlformats.org/officeDocument/2006/relationships/hyperlink" Target="https://login.consultant.ru/link/?req=doc&amp;base=LAW&amp;n=516685&amp;dst=100024" TargetMode="External"/><Relationship Id="rId10" Type="http://schemas.openxmlformats.org/officeDocument/2006/relationships/hyperlink" Target="https://login.consultant.ru/link/?req=doc&amp;base=LAW&amp;n=2875" TargetMode="External"/><Relationship Id="rId19" Type="http://schemas.openxmlformats.org/officeDocument/2006/relationships/hyperlink" Target="https://login.consultant.ru/link/?req=doc&amp;base=LAW&amp;n=420869&amp;dst=100009" TargetMode="External"/><Relationship Id="rId31" Type="http://schemas.openxmlformats.org/officeDocument/2006/relationships/hyperlink" Target="https://login.consultant.ru/link/?req=doc&amp;base=LAW&amp;n=516685&amp;dst=100015" TargetMode="External"/><Relationship Id="rId4" Type="http://schemas.openxmlformats.org/officeDocument/2006/relationships/hyperlink" Target="https://login.consultant.ru/link/?req=doc&amp;base=LAW&amp;n=516685&amp;dst=100003" TargetMode="External"/><Relationship Id="rId9" Type="http://schemas.openxmlformats.org/officeDocument/2006/relationships/hyperlink" Target="https://login.consultant.ru/link/?req=doc&amp;base=LAW&amp;n=516685&amp;dst=100008" TargetMode="External"/><Relationship Id="rId14" Type="http://schemas.openxmlformats.org/officeDocument/2006/relationships/hyperlink" Target="https://login.consultant.ru/link/?req=doc&amp;base=LAW&amp;n=527194&amp;dst=20190" TargetMode="External"/><Relationship Id="rId22" Type="http://schemas.openxmlformats.org/officeDocument/2006/relationships/hyperlink" Target="https://login.consultant.ru/link/?req=doc&amp;base=LAW&amp;n=494681" TargetMode="External"/><Relationship Id="rId27" Type="http://schemas.openxmlformats.org/officeDocument/2006/relationships/hyperlink" Target="https://login.consultant.ru/link/?req=doc&amp;base=LAW&amp;n=278903&amp;dst=100011" TargetMode="External"/><Relationship Id="rId30" Type="http://schemas.openxmlformats.org/officeDocument/2006/relationships/hyperlink" Target="https://login.consultant.ru/link/?req=doc&amp;base=LAW&amp;n=516685&amp;dst=100014" TargetMode="External"/><Relationship Id="rId35" Type="http://schemas.openxmlformats.org/officeDocument/2006/relationships/hyperlink" Target="https://login.consultant.ru/link/?req=doc&amp;base=LAW&amp;n=512721&amp;dst=100165" TargetMode="External"/><Relationship Id="rId8" Type="http://schemas.openxmlformats.org/officeDocument/2006/relationships/hyperlink" Target="https://login.consultant.ru/link/?req=doc&amp;base=LAW&amp;n=475991"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25</Pages>
  <Words>8826</Words>
  <Characters>50310</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Фатхиева</dc:creator>
  <cp:keywords/>
  <dc:description/>
  <cp:lastModifiedBy>Людмила Фатхиева</cp:lastModifiedBy>
  <cp:revision>2</cp:revision>
  <dcterms:created xsi:type="dcterms:W3CDTF">2026-07-31T11:05:00Z</dcterms:created>
  <dcterms:modified xsi:type="dcterms:W3CDTF">2026-07-31T11:08:00Z</dcterms:modified>
</cp:coreProperties>
</file>