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3960"/>
        </w:tabs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>
        <w:rPr>
          <w:rFonts w:ascii="Times New Roman" w:hAnsi="Times New Roman" w:cs="Times New Roman"/>
          <w:sz w:val="28"/>
          <w:szCs w:val="28"/>
        </w:rPr>
        <w:br/>
        <w:t xml:space="preserve">к письму Депфинансов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Минсельхоза России </w:t>
      </w:r>
      <w:r>
        <w:rPr>
          <w:rFonts w:ascii="Times New Roman" w:hAnsi="Times New Roman" w:cs="Times New Roman"/>
          <w:sz w:val="28"/>
          <w:szCs w:val="28"/>
        </w:rPr>
        <w:br/>
      </w:r>
    </w:p>
    <w:p>
      <w:pPr>
        <w:tabs>
          <w:tab w:val="left" w:pos="3960"/>
        </w:tabs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ТЕСТЫ</w:t>
      </w:r>
    </w:p>
    <w:p>
      <w:pPr>
        <w:pStyle w:val="a3"/>
        <w:ind w:left="9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тура конкурса «Лучший бухгалтер»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Какая информация должна быть раскрыта в пояснениях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 бухгалтерской отчётности по запасам: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способы оценки, движение, резервы под обесценение, сверка остатков;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остатки на начало и конец года;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только стоимость списанных запасов.</w:t>
      </w:r>
    </w:p>
    <w:p>
      <w:pPr>
        <w:spacing w:after="0" w:line="271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 передала товары комиссионеру для продажи. Организация признает выручку от продажи товаров: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передаче товара комиссионеру и его оприходовании у комиссионера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счет 004 «Товары, принятые на комиссию»;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момент перечисления комиссионного вознаграждения комиссионеру;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 даты продажи товаров покупателям, указанные в отчете комиссионера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Какие доходы учитываются по отдельным стандартам, а не по ФСБУ 9/2025 «Доходы»: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все доходы;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</w:t>
      </w:r>
      <w:r>
        <w:rPr>
          <w:rFonts w:ascii="Times New Roman" w:hAnsi="Times New Roman" w:cs="Times New Roman"/>
          <w:sz w:val="28"/>
          <w:szCs w:val="28"/>
        </w:rPr>
        <w:t xml:space="preserve">оходы от аренды и страхования;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только доходы от продажи товаров.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 установила в бухгалтерском учете лимит нематериальных активов – 100 000 руб. В середине года приобрела товарный знак стоимостью 75 000 руб. Как отразить в бухгалтерском учете затраты на его приобретение: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учесть актив на счете 97 как расходы будущих периодов и списывать постепенно;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сразу учесть в расходах и обеспечить контроль за таким товарн</w:t>
      </w:r>
      <w:r>
        <w:rPr>
          <w:rFonts w:ascii="Times New Roman" w:hAnsi="Times New Roman" w:cs="Times New Roman"/>
          <w:sz w:val="28"/>
          <w:szCs w:val="28"/>
        </w:rPr>
        <w:t xml:space="preserve">ым знаком;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учесть</w:t>
      </w:r>
      <w:r>
        <w:rPr>
          <w:rFonts w:ascii="Times New Roman" w:hAnsi="Times New Roman" w:cs="Times New Roman"/>
          <w:sz w:val="28"/>
          <w:szCs w:val="28"/>
        </w:rPr>
        <w:t xml:space="preserve"> как особый актив и в дальнейшем амортизировать.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Организация, являющаяся сельскохозяйственным товаропроизводителем, планирует перейти на уплату ЕСХН с 202</w:t>
      </w:r>
      <w:r>
        <w:rPr>
          <w:rFonts w:ascii="Times New Roman" w:hAnsi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 В каком порядке и в какой срок она должна уведомить налоговый орган о переходе: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одать заявление о переходе на ЕСХН не позднее 31 декабря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произвольной форме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аправить уведомление о переходе на ЕСХН не позднее 15 янв</w:t>
      </w:r>
      <w:r>
        <w:rPr>
          <w:rFonts w:ascii="Times New Roman" w:hAnsi="Times New Roman" w:cs="Times New Roman"/>
          <w:sz w:val="28"/>
          <w:szCs w:val="28"/>
        </w:rPr>
        <w:t xml:space="preserve">аря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свободной форме;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одать уведомление о переходе на ЕСХН не позднее 31 декабря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фо</w:t>
      </w:r>
      <w:r>
        <w:rPr>
          <w:rFonts w:ascii="Times New Roman" w:hAnsi="Times New Roman" w:cs="Times New Roman"/>
          <w:sz w:val="28"/>
          <w:szCs w:val="28"/>
        </w:rPr>
        <w:t xml:space="preserve">рме №</w:t>
      </w:r>
      <w:r>
        <w:rPr>
          <w:rFonts w:ascii="Times New Roman" w:hAnsi="Times New Roman" w:cs="Times New Roman"/>
          <w:sz w:val="28"/>
          <w:szCs w:val="28"/>
        </w:rPr>
        <w:t xml:space="preserve"> 26.1-1 (КНД 1150007).</w:t>
      </w: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организация, применяющая ЕСХН, реализовала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2025 году собственное сель</w:t>
      </w:r>
      <w:r>
        <w:rPr>
          <w:rFonts w:ascii="Times New Roman" w:hAnsi="Times New Roman" w:cs="Times New Roman"/>
          <w:b/>
          <w:sz w:val="28"/>
          <w:szCs w:val="28"/>
        </w:rPr>
        <w:t xml:space="preserve">ско</w:t>
      </w:r>
      <w:r>
        <w:rPr>
          <w:rFonts w:ascii="Times New Roman" w:hAnsi="Times New Roman" w:cs="Times New Roman"/>
          <w:b/>
          <w:sz w:val="28"/>
          <w:szCs w:val="28"/>
        </w:rPr>
        <w:t xml:space="preserve">хоз</w:t>
      </w:r>
      <w:r>
        <w:rPr>
          <w:rFonts w:ascii="Times New Roman" w:hAnsi="Times New Roman" w:cs="Times New Roman"/>
          <w:b/>
          <w:sz w:val="28"/>
          <w:szCs w:val="28"/>
        </w:rPr>
        <w:t xml:space="preserve">яйственное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автомобиль, ранее использовавшиеся в производственной деятельности. Как данная выручка учитывается для целей подтверждения статуса сель</w:t>
      </w:r>
      <w:r>
        <w:rPr>
          <w:rFonts w:ascii="Times New Roman" w:hAnsi="Times New Roman" w:cs="Times New Roman"/>
          <w:b/>
          <w:sz w:val="28"/>
          <w:szCs w:val="28"/>
        </w:rPr>
        <w:t xml:space="preserve">ско</w:t>
      </w:r>
      <w:r>
        <w:rPr>
          <w:rFonts w:ascii="Times New Roman" w:hAnsi="Times New Roman" w:cs="Times New Roman"/>
          <w:b/>
          <w:sz w:val="28"/>
          <w:szCs w:val="28"/>
        </w:rPr>
        <w:t xml:space="preserve">хоз</w:t>
      </w:r>
      <w:r>
        <w:rPr>
          <w:rFonts w:ascii="Times New Roman" w:hAnsi="Times New Roman" w:cs="Times New Roman"/>
          <w:b/>
          <w:sz w:val="28"/>
          <w:szCs w:val="28"/>
        </w:rPr>
        <w:t xml:space="preserve">яйственного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товаропроизводителя: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выручка от реализации сельскохозяйственного оборудования и автомобиля включается в общий доход от реализации, но не учитывается в составе дохода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реализации сельскохозяйственной продукции;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выручка от реализации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сельскохозяйственного оборудования и автомобиля</w:t>
      </w:r>
      <w:r>
        <w:rPr>
          <w:rFonts w:ascii="Times New Roman" w:hAnsi="Times New Roman" w:cs="Times New Roman"/>
          <w:sz w:val="28"/>
          <w:szCs w:val="28"/>
        </w:rPr>
        <w:t xml:space="preserve"> полностью исключается из расчета доли </w:t>
      </w:r>
      <w:r>
        <w:rPr>
          <w:rFonts w:ascii="Times New Roman" w:hAnsi="Times New Roman" w:cs="Times New Roman"/>
          <w:sz w:val="28"/>
          <w:szCs w:val="28"/>
        </w:rPr>
        <w:t xml:space="preserve">дохода от реализации сельскохозяйственной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и общего дохода от реализации;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выручка от реализации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</w:t>
      </w:r>
      <w:r>
        <w:rPr>
          <w:rFonts w:ascii="Times New Roman" w:hAnsi="Times New Roman" w:cs="Times New Roman"/>
          <w:sz w:val="28"/>
          <w:szCs w:val="28"/>
        </w:rPr>
        <w:t xml:space="preserve"> оборудования и автомобиля включается в доход от реализации сельскохозяйственной продукции, поскольку активы использовались в сельхозпроизводстве.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</w:t>
      </w:r>
      <w:r>
        <w:rPr>
          <w:rFonts w:ascii="Times New Roman" w:hAnsi="Times New Roman" w:cs="Times New Roman"/>
          <w:b/>
          <w:sz w:val="28"/>
          <w:szCs w:val="28"/>
        </w:rPr>
        <w:t xml:space="preserve"> Индивидуальный предприниматель — глава КФХ, применяющий ЕСХН, получил в 2025 году субсидию из бюджета на возмещение части затрат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 уплату страховых премий по договорам сельскохозяйственного страхования. Как данная субсидия учитывается при исчислении ЕСХН: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субсидия не учитывается в доходах при исчислении ЕСХН, так как носит целевой компенсационный характер;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субсидия включается в состав доходов, учитываемых при исчислении налоговой</w:t>
      </w:r>
      <w:r>
        <w:rPr>
          <w:rFonts w:ascii="Times New Roman" w:hAnsi="Times New Roman" w:cs="Times New Roman"/>
          <w:sz w:val="28"/>
          <w:szCs w:val="28"/>
        </w:rPr>
        <w:t xml:space="preserve"> базы по ЕСХН, в полном объеме;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субсидия учитывается в доходах пропорционально сумме начисленной амортизации по застрахованным объектам.</w:t>
      </w: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sz w:val="28"/>
          <w:szCs w:val="28"/>
        </w:rPr>
        <w:t xml:space="preserve">. Сельскохозяйственная организация, применяющая ЕСХН, закупила минеральные удобрения, семена и ГСМ на сумму 5 млн руб. (включая НДС 22%). Организация имеет право на освобождение от НДС по статье 145 НК РФ. Может ли организация принять к вычету «входящий» НДС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приобретенным товарам: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а, может принять НДС к вычету в общем порядке при наличии счетов-фактур;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ет, не может, так как организация освобождена от уплаты НДС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не является плател</w:t>
      </w:r>
      <w:r>
        <w:rPr>
          <w:rFonts w:ascii="Times New Roman" w:hAnsi="Times New Roman" w:cs="Times New Roman"/>
          <w:sz w:val="28"/>
          <w:szCs w:val="28"/>
        </w:rPr>
        <w:t xml:space="preserve">ьщиком этого налога;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а, но только в пределах 50% от суммы НДС, предъявленного поставщиками.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 реализует очищенный (мытый) картофель, соответствующий коду ОКПД 2, приведенному в Перечне кодов видов продовольственных товаров, облагаемых НДС по ставке 10%. 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Какую ставку НДС следует применить: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</w:t>
      </w:r>
      <w:r>
        <w:rPr>
          <w:rFonts w:ascii="Times New Roman" w:hAnsi="Times New Roman" w:cs="Times New Roman"/>
          <w:sz w:val="28"/>
          <w:szCs w:val="28"/>
        </w:rPr>
        <w:t xml:space="preserve">тавку НДС 22</w:t>
      </w:r>
      <w:r>
        <w:rPr>
          <w:rFonts w:ascii="Times New Roman" w:hAnsi="Times New Roman" w:cs="Times New Roman"/>
          <w:sz w:val="28"/>
          <w:szCs w:val="28"/>
        </w:rPr>
        <w:t xml:space="preserve">%, так как очищенный картофель является продуктом переработки;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ставку НДС 10% при соответствии кода ОКПД 2 реализуемого тов</w:t>
      </w:r>
      <w:r>
        <w:rPr>
          <w:rFonts w:ascii="Times New Roman" w:hAnsi="Times New Roman" w:cs="Times New Roman"/>
          <w:sz w:val="28"/>
          <w:szCs w:val="28"/>
        </w:rPr>
        <w:t xml:space="preserve">ара коду, указанному в Перечне;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ставку НДС 0%, так как картофель является сельскохозяйственной продукцией.</w:t>
      </w: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0</w:t>
      </w:r>
      <w:r>
        <w:rPr>
          <w:rFonts w:ascii="Times New Roman" w:hAnsi="Times New Roman" w:cs="Times New Roman"/>
          <w:b/>
          <w:sz w:val="28"/>
          <w:szCs w:val="28"/>
        </w:rPr>
        <w:t xml:space="preserve">. С 1 января 2026 года вступили в силу изменения в Перечень продовольственных товаров, облагаемых НДС по ставке 10%.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Какие продукты были исключены из данного перечня: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молокосодержащие</w:t>
      </w:r>
      <w:r>
        <w:rPr>
          <w:rFonts w:ascii="Times New Roman" w:hAnsi="Times New Roman" w:cs="Times New Roman"/>
          <w:sz w:val="28"/>
          <w:szCs w:val="28"/>
        </w:rPr>
        <w:t xml:space="preserve"> продукты с заменителем молочного жира и сливоч</w:t>
      </w:r>
      <w:r>
        <w:rPr>
          <w:rFonts w:ascii="Times New Roman" w:hAnsi="Times New Roman" w:cs="Times New Roman"/>
          <w:sz w:val="28"/>
          <w:szCs w:val="28"/>
        </w:rPr>
        <w:t xml:space="preserve">но-растительные топленые смеси;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хлеб и хлебобулочные изделия;</w:t>
      </w:r>
    </w:p>
    <w:p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мясо и мясопродукты.</w:t>
      </w:r>
    </w:p>
    <w:sectPr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egoe UI">
    <w:panose1 w:val="020B0502040204020203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B1CA016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multiLevelType w:val="hybridMultilevel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entative="1" w:tplc="04190019">
      <w:start w:val="1"/>
      <w:numFmt w:val="lowerLetter"/>
      <w:lvlText w:val="%2."/>
      <w:lvlJc w:val="left"/>
      <w:pPr>
        <w:ind w:left="1800" w:hanging="360"/>
      </w:pPr>
    </w:lvl>
    <w:lvl w:ilvl="2" w:tentative="1" w:tplc="0419001B">
      <w:start w:val="1"/>
      <w:numFmt w:val="lowerRoman"/>
      <w:lvlText w:val="%3."/>
      <w:lvlJc w:val="right"/>
      <w:pPr>
        <w:ind w:left="2520" w:hanging="180"/>
      </w:pPr>
    </w:lvl>
    <w:lvl w:ilvl="3" w:tentative="1" w:tplc="0419000F">
      <w:start w:val="1"/>
      <w:numFmt w:val="decimal"/>
      <w:lvlText w:val="%4."/>
      <w:lvlJc w:val="left"/>
      <w:pPr>
        <w:ind w:left="3240" w:hanging="360"/>
      </w:pPr>
    </w:lvl>
    <w:lvl w:ilvl="4" w:tentative="1" w:tplc="04190019">
      <w:start w:val="1"/>
      <w:numFmt w:val="lowerLetter"/>
      <w:lvlText w:val="%5."/>
      <w:lvlJc w:val="left"/>
      <w:pPr>
        <w:ind w:left="3960" w:hanging="360"/>
      </w:pPr>
    </w:lvl>
    <w:lvl w:ilvl="5" w:tentative="1" w:tplc="0419001B">
      <w:start w:val="1"/>
      <w:numFmt w:val="lowerRoman"/>
      <w:lvlText w:val="%6."/>
      <w:lvlJc w:val="right"/>
      <w:pPr>
        <w:ind w:left="4680" w:hanging="180"/>
      </w:pPr>
    </w:lvl>
    <w:lvl w:ilvl="6" w:tentative="1" w:tplc="0419000F">
      <w:start w:val="1"/>
      <w:numFmt w:val="decimal"/>
      <w:lvlText w:val="%7."/>
      <w:lvlJc w:val="left"/>
      <w:pPr>
        <w:ind w:left="5400" w:hanging="360"/>
      </w:pPr>
    </w:lvl>
    <w:lvl w:ilvl="7" w:tentative="1" w:tplc="04190019">
      <w:start w:val="1"/>
      <w:numFmt w:val="lowerLetter"/>
      <w:lvlText w:val="%8."/>
      <w:lvlJc w:val="left"/>
      <w:pPr>
        <w:ind w:left="6120" w:hanging="360"/>
      </w:pPr>
    </w:lvl>
    <w:lvl w:ilvl="8" w:tentative="1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plc="041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multiLevelType w:val="hybridMultilevel"/>
    <w:lvl w:ilvl="0" w:tplc="3F946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plc="48E61A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plc="04190005">
      <w:start w:val="1"/>
      <w:numFmt w:val="bullet"/>
      <w:lvlText w:val=""/>
      <w:lvlJc w:val="left"/>
      <w:pPr>
        <w:ind w:left="752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72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92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912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 w:tplc="4FF0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 w:tplc="D6B6C636">
      <w:start w:val="1"/>
      <w:numFmt w:val="decimal"/>
      <w:lvlText w:val="%1."/>
      <w:lvlJc w:val="left"/>
      <w:pPr>
        <w:ind w:left="720" w:hanging="360"/>
      </w:pPr>
      <w:rPr>
        <w:rFonts w:hint="default" w:eastAsiaTheme="minorHAnsi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plc="34005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 w:tplc="0332D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plc="D1C4C8D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entative="1" w:tplc="04190019">
      <w:start w:val="1"/>
      <w:numFmt w:val="lowerLetter"/>
      <w:lvlText w:val="%2."/>
      <w:lvlJc w:val="left"/>
      <w:pPr>
        <w:ind w:left="1800" w:hanging="360"/>
      </w:pPr>
    </w:lvl>
    <w:lvl w:ilvl="2" w:tentative="1" w:tplc="0419001B">
      <w:start w:val="1"/>
      <w:numFmt w:val="lowerRoman"/>
      <w:lvlText w:val="%3."/>
      <w:lvlJc w:val="right"/>
      <w:pPr>
        <w:ind w:left="2520" w:hanging="180"/>
      </w:pPr>
    </w:lvl>
    <w:lvl w:ilvl="3" w:tentative="1" w:tplc="0419000F">
      <w:start w:val="1"/>
      <w:numFmt w:val="decimal"/>
      <w:lvlText w:val="%4."/>
      <w:lvlJc w:val="left"/>
      <w:pPr>
        <w:ind w:left="3240" w:hanging="360"/>
      </w:pPr>
    </w:lvl>
    <w:lvl w:ilvl="4" w:tentative="1" w:tplc="04190019">
      <w:start w:val="1"/>
      <w:numFmt w:val="lowerLetter"/>
      <w:lvlText w:val="%5."/>
      <w:lvlJc w:val="left"/>
      <w:pPr>
        <w:ind w:left="3960" w:hanging="360"/>
      </w:pPr>
    </w:lvl>
    <w:lvl w:ilvl="5" w:tentative="1" w:tplc="0419001B">
      <w:start w:val="1"/>
      <w:numFmt w:val="lowerRoman"/>
      <w:lvlText w:val="%6."/>
      <w:lvlJc w:val="right"/>
      <w:pPr>
        <w:ind w:left="4680" w:hanging="180"/>
      </w:pPr>
    </w:lvl>
    <w:lvl w:ilvl="6" w:tentative="1" w:tplc="0419000F">
      <w:start w:val="1"/>
      <w:numFmt w:val="decimal"/>
      <w:lvlText w:val="%7."/>
      <w:lvlJc w:val="left"/>
      <w:pPr>
        <w:ind w:left="5400" w:hanging="360"/>
      </w:pPr>
    </w:lvl>
    <w:lvl w:ilvl="7" w:tentative="1" w:tplc="04190019">
      <w:start w:val="1"/>
      <w:numFmt w:val="lowerLetter"/>
      <w:lvlText w:val="%8."/>
      <w:lvlJc w:val="left"/>
      <w:pPr>
        <w:ind w:left="6120" w:hanging="360"/>
      </w:pPr>
    </w:lvl>
    <w:lvl w:ilvl="8" w:tentative="1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 w:tplc="874AB5E4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620" w:hanging="360"/>
      </w:pPr>
    </w:lvl>
    <w:lvl w:ilvl="2" w:tentative="1" w:tplc="0419001B">
      <w:start w:val="1"/>
      <w:numFmt w:val="lowerRoman"/>
      <w:lvlText w:val="%3."/>
      <w:lvlJc w:val="right"/>
      <w:pPr>
        <w:ind w:left="2340" w:hanging="180"/>
      </w:pPr>
    </w:lvl>
    <w:lvl w:ilvl="3" w:tentative="1" w:tplc="0419000F">
      <w:start w:val="1"/>
      <w:numFmt w:val="decimal"/>
      <w:lvlText w:val="%4."/>
      <w:lvlJc w:val="left"/>
      <w:pPr>
        <w:ind w:left="3060" w:hanging="360"/>
      </w:pPr>
    </w:lvl>
    <w:lvl w:ilvl="4" w:tentative="1" w:tplc="04190019">
      <w:start w:val="1"/>
      <w:numFmt w:val="lowerLetter"/>
      <w:lvlText w:val="%5."/>
      <w:lvlJc w:val="left"/>
      <w:pPr>
        <w:ind w:left="3780" w:hanging="360"/>
      </w:pPr>
    </w:lvl>
    <w:lvl w:ilvl="5" w:tentative="1" w:tplc="0419001B">
      <w:start w:val="1"/>
      <w:numFmt w:val="lowerRoman"/>
      <w:lvlText w:val="%6."/>
      <w:lvlJc w:val="right"/>
      <w:pPr>
        <w:ind w:left="4500" w:hanging="180"/>
      </w:pPr>
    </w:lvl>
    <w:lvl w:ilvl="6" w:tentative="1" w:tplc="0419000F">
      <w:start w:val="1"/>
      <w:numFmt w:val="decimal"/>
      <w:lvlText w:val="%7."/>
      <w:lvlJc w:val="left"/>
      <w:pPr>
        <w:ind w:left="5220" w:hanging="360"/>
      </w:pPr>
    </w:lvl>
    <w:lvl w:ilvl="7" w:tentative="1" w:tplc="04190019">
      <w:start w:val="1"/>
      <w:numFmt w:val="lowerLetter"/>
      <w:lvlText w:val="%8."/>
      <w:lvlJc w:val="left"/>
      <w:pPr>
        <w:ind w:left="5940" w:hanging="360"/>
      </w:pPr>
    </w:lvl>
    <w:lvl w:ilvl="8" w:tentative="1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 w:tplc="5F188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plc="92CC3EF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28"/>
  </w:num>
  <w:num w:numId="5">
    <w:abstractNumId w:val="10"/>
  </w:num>
  <w:num w:numId="6">
    <w:abstractNumId w:val="25"/>
  </w:num>
  <w:num w:numId="7">
    <w:abstractNumId w:val="4"/>
  </w:num>
  <w:num w:numId="8">
    <w:abstractNumId w:val="23"/>
  </w:num>
  <w:num w:numId="9">
    <w:abstractNumId w:val="14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0"/>
  </w:num>
  <w:num w:numId="18">
    <w:abstractNumId w:val="2"/>
  </w:num>
  <w:num w:numId="19">
    <w:abstractNumId w:val="13"/>
  </w:num>
  <w:num w:numId="20">
    <w:abstractNumId w:val="6"/>
  </w:num>
  <w:num w:numId="21">
    <w:abstractNumId w:val="15"/>
  </w:num>
  <w:num w:numId="22">
    <w:abstractNumId w:val="21"/>
  </w:num>
  <w:num w:numId="23">
    <w:abstractNumId w:val="8"/>
  </w:num>
  <w:num w:numId="24">
    <w:abstractNumId w:val="9"/>
  </w:num>
  <w:num w:numId="25">
    <w:abstractNumId w:val="29"/>
  </w:num>
  <w:num w:numId="26">
    <w:abstractNumId w:val="19"/>
  </w:num>
  <w:num w:numId="27">
    <w:abstractNumId w:val="24"/>
  </w:num>
  <w:num w:numId="28">
    <w:abstractNumId w:val="16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ConsPlusNormal" w:customStyle="1">
    <w:name w:val="ConsPlusNormal"/>
    <w:pPr>
      <w:widowControl w:val="off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pPr>
      <w:widowControl w:val="off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character" w:styleId="blk" w:customStyle="1">
    <w:name w:val="blk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7469B-4BBD-4B92-A282-404E26AE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3965</Characters>
  <CharactersWithSpaces>4651</CharactersWithSpaces>
  <Company/>
  <DocSecurity>0</DocSecurity>
  <HyperlinksChanged>false</HyperlinksChanged>
  <Lines>33</Lines>
  <LinksUpToDate>false</LinksUpToDate>
  <Pages>3</Pages>
  <Paragraphs>9</Paragraphs>
  <ScaleCrop>false</ScaleCrop>
  <SharedDoc>false</SharedDoc>
  <Template>Normal</Template>
  <TotalTime>16</TotalTime>
  <Words>695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Клыпина Татьяна Владимировна</dc:creator>
  <cp:lastModifiedBy>BehterevaOU</cp:lastModifiedBy>
  <cp:revision>15</cp:revision>
  <cp:lastPrinted>2026-06-30T08:55:00Z</cp:lastPrinted>
  <dcterms:created xsi:type="dcterms:W3CDTF">2026-07-09T07:49:00Z</dcterms:created>
  <dcterms:modified xsi:type="dcterms:W3CDTF">2026-07-09T08:22:00Z</dcterms:modified>
</cp:coreProperties>
</file>