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center"/>
        <w:rPr>
          <w:rStyle w:val="874"/>
          <w:b/>
          <w:bCs/>
        </w:rPr>
      </w:pPr>
      <w:r>
        <w:rPr>
          <w:b/>
          <w:bCs/>
        </w:rPr>
      </w:r>
      <w:r>
        <w:rPr>
          <w:rStyle w:val="874"/>
          <w:b/>
          <w:bCs/>
        </w:rPr>
      </w:r>
      <w:r>
        <w:rPr>
          <w:rStyle w:val="874"/>
          <w:b/>
          <w:bCs/>
        </w:rPr>
      </w:r>
    </w:p>
    <w:p>
      <w:pPr>
        <w:spacing w:line="276" w:lineRule="auto"/>
        <w:jc w:val="center"/>
        <w:rPr>
          <w:rStyle w:val="874"/>
          <w:b/>
          <w:bCs/>
          <w:sz w:val="28"/>
          <w:szCs w:val="28"/>
        </w:rPr>
      </w:pPr>
      <w:bookmarkStart w:id="0" w:name="_GoBack"/>
      <w:r>
        <w:rPr>
          <w:rStyle w:val="874"/>
          <w:b/>
          <w:sz w:val="28"/>
          <w:szCs w:val="28"/>
        </w:rPr>
        <w:t xml:space="preserve">Информация</w:t>
      </w:r>
      <w:r>
        <w:rPr>
          <w:rStyle w:val="874"/>
          <w:b/>
          <w:bCs/>
          <w:sz w:val="28"/>
          <w:szCs w:val="28"/>
        </w:rPr>
      </w:r>
      <w:r>
        <w:rPr>
          <w:rStyle w:val="874"/>
          <w:b/>
          <w:bCs/>
          <w:sz w:val="28"/>
          <w:szCs w:val="28"/>
        </w:rPr>
      </w:r>
    </w:p>
    <w:p>
      <w:pPr>
        <w:spacing w:line="276" w:lineRule="auto"/>
        <w:jc w:val="center"/>
        <w:rPr>
          <w:rStyle w:val="874"/>
          <w:b/>
          <w:sz w:val="28"/>
          <w:szCs w:val="28"/>
        </w:rPr>
      </w:pPr>
      <w:r>
        <w:rPr>
          <w:rStyle w:val="874"/>
          <w:b/>
          <w:sz w:val="28"/>
          <w:szCs w:val="28"/>
        </w:rPr>
        <w:t xml:space="preserve">по вопросам ценообразования, формирования тарифов и</w:t>
      </w:r>
      <w:r>
        <w:rPr>
          <w:rStyle w:val="874"/>
          <w:b/>
          <w:sz w:val="28"/>
          <w:szCs w:val="28"/>
        </w:rPr>
      </w:r>
      <w:r>
        <w:rPr>
          <w:rStyle w:val="874"/>
          <w:b/>
          <w:sz w:val="28"/>
          <w:szCs w:val="28"/>
        </w:rPr>
      </w:r>
    </w:p>
    <w:p>
      <w:pPr>
        <w:spacing w:line="276" w:lineRule="auto"/>
        <w:jc w:val="center"/>
        <w:rPr>
          <w:rStyle w:val="874"/>
          <w:b/>
          <w:sz w:val="28"/>
          <w:szCs w:val="28"/>
        </w:rPr>
      </w:pPr>
      <w:r>
        <w:rPr>
          <w:rStyle w:val="874"/>
          <w:b/>
          <w:sz w:val="28"/>
          <w:szCs w:val="28"/>
        </w:rPr>
        <w:t xml:space="preserve"> порядка расчета платы за коммунальные услуги и услуги, касающиеся обслуживания жилищного фонда и причинах ее роста в 2025 году</w:t>
      </w:r>
      <w:r>
        <w:rPr>
          <w:rStyle w:val="874"/>
          <w:b/>
          <w:sz w:val="28"/>
          <w:szCs w:val="28"/>
        </w:rPr>
      </w:r>
      <w:r>
        <w:rPr>
          <w:rStyle w:val="874"/>
          <w:b/>
          <w:sz w:val="28"/>
          <w:szCs w:val="28"/>
        </w:rPr>
      </w:r>
    </w:p>
    <w:p>
      <w:pPr>
        <w:spacing w:line="276" w:lineRule="auto"/>
        <w:ind w:firstLine="567"/>
        <w:jc w:val="both"/>
        <w:rPr>
          <w:rStyle w:val="874"/>
          <w:sz w:val="28"/>
          <w:szCs w:val="28"/>
        </w:rPr>
      </w:pPr>
      <w:r>
        <w:rPr>
          <w:sz w:val="28"/>
          <w:szCs w:val="28"/>
        </w:rPr>
      </w:r>
      <w:r>
        <w:rPr>
          <w:rStyle w:val="874"/>
          <w:sz w:val="28"/>
          <w:szCs w:val="28"/>
        </w:rPr>
      </w:r>
      <w:r>
        <w:rPr>
          <w:rStyle w:val="874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720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 Жилищным кодексом РФ: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720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размер платы за коммунальные услуги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включающей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(далее – пла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 за коммунальные услуги),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рассчитывается исходя из объема потребляемых коммунальных услуг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и тарифов на коммунальные услуги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утверждаемых органами государственной власти субъектов РФ в порядке, установленном Правительством РФ;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720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ата за содержание жилого помещения, включает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доме.</w:t>
      </w:r>
      <w:r>
        <w:rPr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Плата за содержание жилого помещения не регулируется государством, её размер определяется собственниками жилых помещений при выборе способа управления многоквартирным домом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(непосредственный способ управления, ТСЖ, ЖКС, либо с привлечением управляющих компаний), либо в договоре управления домом. Размер платы за содержание жилого помещения следует уточнять в своей Управляющей компании;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72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капитальный ремонт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общего имущества в многоквартирном доме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проводится за счет собственника жилищного фонда,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плата за жилое помещение и коммунальные услуги для собственника помещения в многоквартирном доме включает в себя, в том числе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взнос на капитальный ремонт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Установление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минимального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размера взноса на капитальный ремонт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относится к полномочиям органов государственной власти субъекта РФ в области жилищных отношений.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Контроль за правильность</w:t>
      </w:r>
      <w:r>
        <w:rPr>
          <w:rFonts w:eastAsia="Calibri"/>
          <w:sz w:val="28"/>
          <w:szCs w:val="28"/>
        </w:rPr>
        <w:t xml:space="preserve">ю установления размера платы за содержание и ремонт жилого помещения, определения размера и внесения платы за коммунальные услуги граждан осуществляет Служба жилищного и с</w:t>
      </w:r>
      <w:r>
        <w:rPr>
          <w:rFonts w:eastAsia="Calibri"/>
          <w:sz w:val="28"/>
          <w:szCs w:val="28"/>
        </w:rPr>
        <w:t xml:space="preserve">троительного надзора Ханты-Мансийского автономного округа – Югры, сайт: </w:t>
      </w:r>
      <w:hyperlink r:id="rId10" w:tooltip="http://www.jsn.admhmao.ru" w:history="1">
        <w:r>
          <w:rPr>
            <w:rStyle w:val="873"/>
            <w:rFonts w:eastAsia="Calibri"/>
            <w:sz w:val="28"/>
            <w:szCs w:val="28"/>
          </w:rPr>
        </w:r>
        <w:r>
          <w:rPr>
            <w:sz w:val="28"/>
            <w:szCs w:val="28"/>
          </w:rPr>
        </w:r>
        <w:r>
          <w:rPr>
            <w:rStyle w:val="873"/>
            <w:rFonts w:eastAsia="Calibri"/>
            <w:sz w:val="28"/>
            <w:szCs w:val="28"/>
          </w:rPr>
          <w:t xml:space="preserve">https://jsn.admhma</w:t>
        </w:r>
        <w:r>
          <w:rPr>
            <w:sz w:val="28"/>
            <w:szCs w:val="28"/>
          </w:rPr>
        </w:r>
        <w:r>
          <w:rPr>
            <w:rStyle w:val="873"/>
            <w:rFonts w:eastAsia="Calibri"/>
            <w:sz w:val="28"/>
            <w:szCs w:val="28"/>
          </w:rPr>
          <w:t xml:space="preserve">o.ru/</w:t>
        </w:r>
        <w:r>
          <w:rPr>
            <w:rStyle w:val="873"/>
            <w:rFonts w:eastAsia="Calibri"/>
            <w:sz w:val="28"/>
            <w:szCs w:val="28"/>
          </w:rPr>
        </w:r>
      </w:hyperlink>
      <w:r>
        <w:rPr>
          <w:rFonts w:eastAsia="Calibri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none"/>
        </w:rPr>
        <w:t xml:space="preserve">Установление и контроль применения тарифов на тепловую энергию, холодное и горячее водоснабжение, водоотведение, газоснабжение, по обращению с ТКО осуществляет </w:t>
      </w:r>
      <w:r>
        <w:rPr>
          <w:rStyle w:val="874"/>
          <w:sz w:val="28"/>
          <w:szCs w:val="28"/>
          <w:highlight w:val="none"/>
        </w:rPr>
        <w:t xml:space="preserve">Региональная служба п</w:t>
      </w:r>
      <w:r>
        <w:rPr>
          <w:rStyle w:val="874"/>
          <w:sz w:val="28"/>
          <w:szCs w:val="28"/>
          <w:highlight w:val="none"/>
        </w:rPr>
        <w:t xml:space="preserve">о тарифам Ханты-Мансийского автономного округа – Югры (далее – РСТ Югры). Информация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</w:rPr>
        <w:t xml:space="preserve">размещена на сайте РСТ Югры (</w:t>
      </w:r>
      <w:r>
        <w:rPr>
          <w:rStyle w:val="874"/>
          <w:sz w:val="28"/>
          <w:szCs w:val="28"/>
        </w:rPr>
        <w:t xml:space="preserve">https://rst.a</w:t>
      </w:r>
      <w:r>
        <w:rPr>
          <w:rStyle w:val="874"/>
          <w:sz w:val="28"/>
          <w:szCs w:val="28"/>
        </w:rPr>
        <w:t xml:space="preserve">dmhmao.ru/</w:t>
      </w:r>
      <w:r>
        <w:rPr>
          <w:rFonts w:eastAsia="Calibri"/>
          <w:sz w:val="28"/>
          <w:szCs w:val="28"/>
        </w:rPr>
        <w:t xml:space="preserve">), баннер «База тарифных решений РСТ Югры» (расположен в нижней части главной страницы сайта, переход осуществляется по стрелке) и в разделе «Документы» в подразделе «Приказы службы» / «Теплоэнергетика» </w:t>
      </w:r>
      <w:r>
        <w:rPr>
          <w:rFonts w:eastAsia="Calibri"/>
          <w:sz w:val="28"/>
          <w:szCs w:val="28"/>
        </w:rPr>
        <w:t xml:space="preserve">/ «</w:t>
      </w:r>
      <w:r>
        <w:rPr>
          <w:rFonts w:eastAsia="Calibri"/>
          <w:sz w:val="28"/>
          <w:szCs w:val="28"/>
        </w:rPr>
        <w:t xml:space="preserve">Водоснабжение и водоотведение» / </w:t>
      </w:r>
      <w:r>
        <w:rPr>
          <w:rFonts w:eastAsia="Calibri"/>
          <w:sz w:val="28"/>
          <w:szCs w:val="28"/>
          <w:highlight w:val="none"/>
        </w:rPr>
        <w:t xml:space="preserve">«Газовая отрасль»</w:t>
      </w:r>
      <w:r>
        <w:rPr>
          <w:rFonts w:eastAsia="Calibri"/>
          <w:sz w:val="28"/>
          <w:szCs w:val="28"/>
        </w:rPr>
        <w:t xml:space="preserve"> / «Обращени</w:t>
      </w:r>
      <w:r>
        <w:rPr>
          <w:rFonts w:eastAsia="Calibri"/>
          <w:sz w:val="28"/>
          <w:szCs w:val="28"/>
        </w:rPr>
        <w:t xml:space="preserve">е с твердыми коммунальными отходами».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Установление нормативов потребления на холодную, горячую воду, водоотведение, отопление, подогрев воды, минимального размера взноса на капитальный ремонт общего имущества в многоквартирном доме осуществляет  </w:t>
      </w:r>
      <w:r>
        <w:rPr>
          <w:rFonts w:eastAsia="Calibri"/>
          <w:sz w:val="28"/>
          <w:szCs w:val="28"/>
        </w:rPr>
        <w:t xml:space="preserve">ДепЖКК</w:t>
      </w:r>
      <w:r>
        <w:rPr>
          <w:rFonts w:eastAsia="Calibri"/>
          <w:sz w:val="28"/>
          <w:szCs w:val="28"/>
        </w:rPr>
        <w:t xml:space="preserve"> и э</w:t>
      </w:r>
      <w:r>
        <w:rPr>
          <w:rFonts w:eastAsia="Calibri"/>
          <w:sz w:val="28"/>
          <w:szCs w:val="28"/>
        </w:rPr>
        <w:t xml:space="preserve">нергетики Югры, сайт:</w:t>
      </w:r>
      <w:hyperlink r:id="rId11" w:tooltip="https://ds.admhmao.ru/deyatelnost/" w:history="1">
        <w:r>
          <w:rPr>
            <w:sz w:val="28"/>
            <w:szCs w:val="28"/>
          </w:rPr>
          <w:t xml:space="preserve"> </w:t>
        </w:r>
        <w:r>
          <w:rPr>
            <w:rStyle w:val="884"/>
            <w:sz w:val="28"/>
            <w:szCs w:val="28"/>
          </w:rPr>
          <w:t xml:space="preserve">https://ds.admhmao.</w:t>
        </w:r>
        <w:r>
          <w:rPr>
            <w:rStyle w:val="884"/>
            <w:sz w:val="28"/>
            <w:szCs w:val="28"/>
          </w:rPr>
          <w:t xml:space="preserve">r</w:t>
        </w:r>
        <w:r>
          <w:rPr>
            <w:rStyle w:val="884"/>
            <w:sz w:val="28"/>
            <w:szCs w:val="28"/>
          </w:rPr>
          <w:t xml:space="preserve">u/de</w:t>
        </w:r>
        <w:bookmarkStart w:id="0" w:name="undefined"/>
        <w:r>
          <w:rPr>
            <w:rStyle w:val="884"/>
            <w:sz w:val="28"/>
            <w:szCs w:val="28"/>
          </w:rPr>
          <w:t xml:space="preserve">y</w:t>
        </w:r>
        <w:bookmarkEnd w:id="0"/>
        <w:r>
          <w:rPr>
            <w:rStyle w:val="884"/>
            <w:sz w:val="28"/>
            <w:szCs w:val="28"/>
          </w:rPr>
          <w:t xml:space="preserve">atelnost/</w:t>
        </w:r>
      </w:hyperlink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76" w:lineRule="auto"/>
        <w:ind w:firstLine="567"/>
        <w:jc w:val="both"/>
        <w:rPr>
          <w:rFonts w:eastAsia="Calibri"/>
          <w:color w:val="c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Установление нормативов накопления ТКО относится к компетенции Департамента промышленности Ханты-Мансийског</w:t>
      </w:r>
      <w:r>
        <w:rPr>
          <w:rFonts w:eastAsia="Calibri"/>
          <w:sz w:val="28"/>
          <w:szCs w:val="28"/>
        </w:rPr>
        <w:t xml:space="preserve">о автономного округа – Югры, сайт: </w:t>
      </w:r>
      <w:hyperlink r:id="rId12" w:tooltip="https://depprom.admhmao.ru/" w:history="1">
        <w:r>
          <w:rPr>
            <w:rStyle w:val="873"/>
            <w:rFonts w:eastAsia="Calibri"/>
            <w:sz w:val="28"/>
            <w:szCs w:val="28"/>
          </w:rPr>
          <w:t xml:space="preserve">https://depprom</w:t>
        </w:r>
        <w:r>
          <w:rPr>
            <w:rStyle w:val="873"/>
            <w:rFonts w:eastAsia="Calibri"/>
            <w:sz w:val="28"/>
            <w:szCs w:val="28"/>
          </w:rPr>
          <w:t xml:space="preserve">.</w:t>
        </w:r>
        <w:r>
          <w:rPr>
            <w:rStyle w:val="873"/>
            <w:rFonts w:eastAsia="Calibri"/>
            <w:sz w:val="28"/>
            <w:szCs w:val="28"/>
          </w:rPr>
          <w:t xml:space="preserve">admhmao.ru/</w:t>
        </w:r>
      </w:hyperlink>
      <w:r>
        <w:rPr>
          <w:rFonts w:eastAsia="Calibri"/>
          <w:sz w:val="28"/>
          <w:szCs w:val="28"/>
        </w:rPr>
        <w:t xml:space="preserve">. </w:t>
      </w:r>
      <w:r>
        <w:rPr>
          <w:rFonts w:eastAsia="Calibri"/>
          <w:color w:val="c00000"/>
          <w:sz w:val="28"/>
          <w:szCs w:val="28"/>
        </w:rPr>
      </w:r>
      <w:r>
        <w:rPr>
          <w:rFonts w:eastAsia="Calibri"/>
          <w:color w:val="c00000"/>
          <w:sz w:val="28"/>
          <w:szCs w:val="28"/>
        </w:rPr>
      </w:r>
    </w:p>
    <w:p>
      <w:pPr>
        <w:spacing w:line="276" w:lineRule="auto"/>
        <w:ind w:firstLine="567"/>
        <w:jc w:val="both"/>
        <w:rPr>
          <w:rStyle w:val="874"/>
          <w:sz w:val="28"/>
          <w:szCs w:val="28"/>
          <w:highlight w:val="none"/>
        </w:rPr>
      </w:pPr>
      <w:r>
        <w:rPr>
          <w:rStyle w:val="874"/>
          <w:sz w:val="28"/>
          <w:szCs w:val="28"/>
        </w:rPr>
        <w:t xml:space="preserve">РСТ Югры в соответствии с полномочиями, утвержденными постановлением Правительства Ханты-Мансийского автономного округа – Югры от 14.04.2012 № 137-п, устанавливает тарифы на товары (услуги) в </w:t>
      </w:r>
      <w:r>
        <w:rPr>
          <w:rStyle w:val="874"/>
          <w:sz w:val="28"/>
          <w:szCs w:val="28"/>
        </w:rPr>
        <w:t xml:space="preserve">сферах теплоснабжения, водоснабжения, водоотведения, </w:t>
      </w:r>
      <w:r>
        <w:rPr>
          <w:rStyle w:val="874"/>
          <w:sz w:val="28"/>
          <w:szCs w:val="28"/>
          <w:highlight w:val="none"/>
        </w:rPr>
        <w:t xml:space="preserve">газоснабжения</w:t>
      </w:r>
      <w:r>
        <w:rPr>
          <w:rStyle w:val="874"/>
          <w:sz w:val="28"/>
          <w:szCs w:val="28"/>
          <w:highlight w:val="none"/>
        </w:rPr>
        <w:t xml:space="preserve">, </w:t>
      </w:r>
      <w:r>
        <w:rPr>
          <w:rStyle w:val="874"/>
          <w:sz w:val="28"/>
          <w:szCs w:val="28"/>
        </w:rPr>
        <w:t xml:space="preserve">обращения с твердыми коммунальными отходами (далее – ТКО).</w:t>
      </w:r>
      <w:r>
        <w:rPr>
          <w:rStyle w:val="874"/>
          <w:sz w:val="28"/>
          <w:szCs w:val="28"/>
          <w:highlight w:val="none"/>
        </w:rPr>
      </w:r>
      <w:r>
        <w:rPr>
          <w:rStyle w:val="874"/>
          <w:sz w:val="28"/>
          <w:szCs w:val="28"/>
          <w:highlight w:val="none"/>
        </w:rPr>
      </w:r>
    </w:p>
    <w:p>
      <w:pPr>
        <w:spacing w:line="276" w:lineRule="auto"/>
        <w:ind w:firstLine="567"/>
        <w:jc w:val="both"/>
        <w:rPr>
          <w:rStyle w:val="874"/>
          <w:sz w:val="28"/>
          <w:szCs w:val="28"/>
        </w:rPr>
      </w:pPr>
      <w:r>
        <w:rPr>
          <w:rStyle w:val="874"/>
          <w:sz w:val="28"/>
          <w:szCs w:val="28"/>
        </w:rPr>
        <w:t xml:space="preserve">Формирование тарифов на коммунальные услуги, по которым потребители рассчитываются с поставщиками коммунальных услуг, производится РСТ Югры исхо</w:t>
      </w:r>
      <w:r>
        <w:rPr>
          <w:rStyle w:val="874"/>
          <w:sz w:val="28"/>
          <w:szCs w:val="28"/>
        </w:rPr>
        <w:t xml:space="preserve">дя из необходимых экономически обоснованных в соответствии с требованиями законодательства расходов на топливо, материалы, электроэнергию, амортизацию, ремонт и техническое обслуживание производственного оборудования, оплату труда работников, и прочие цели</w:t>
      </w:r>
      <w:r>
        <w:rPr>
          <w:rStyle w:val="874"/>
          <w:sz w:val="28"/>
          <w:szCs w:val="28"/>
        </w:rPr>
        <w:t xml:space="preserve">, отнесенные на соответствующий полезный отпуск услуги. </w:t>
      </w:r>
      <w:r>
        <w:rPr>
          <w:rStyle w:val="874"/>
          <w:sz w:val="28"/>
          <w:szCs w:val="28"/>
        </w:rPr>
      </w:r>
      <w:r>
        <w:rPr>
          <w:rStyle w:val="874"/>
          <w:sz w:val="28"/>
          <w:szCs w:val="28"/>
        </w:rPr>
      </w:r>
    </w:p>
    <w:p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Величина тарифов определяется с учетом технико-экономических показателей систем коммунальной инфраструктуры, созданных в муниципальных образованиях, которые зависят от КПД эксплуатируемого оборудован</w:t>
      </w:r>
      <w:r>
        <w:rPr>
          <w:sz w:val="28"/>
          <w:szCs w:val="28"/>
        </w:rPr>
        <w:t xml:space="preserve">ия, вида топлива, уровня автоматизации технологического процесса, протяженности инженерных сетей, загрузки основных производственных фондов, объема реализации коммунальных ресурсов, а также наличия утвержденной в установленном порядке инвестиционной програ</w:t>
      </w:r>
      <w:r>
        <w:rPr>
          <w:sz w:val="28"/>
          <w:szCs w:val="28"/>
        </w:rPr>
        <w:t xml:space="preserve">ммы модернизации и реконструкции коммунальных систем.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Ежегодное увеличение тарифов на коммунальные услуги обусловлено ростом цен на продукцию естественных монополий (газ, электроэнергию), уровнем прогнозной инфляции в соответствии с прогнозом социально-эк</w:t>
      </w:r>
      <w:r>
        <w:rPr>
          <w:sz w:val="28"/>
          <w:szCs w:val="28"/>
        </w:rPr>
        <w:t xml:space="preserve">ономического развития РФ, поэтапным доведением заработной платы до уровня, предусмотренного отраслевым тарифным соглашением в жилищно-коммунальном хозяйстве РФ, а также (в некоторых случаях) снижением объемов реализации коммунальных услуг, связанным с пого</w:t>
      </w:r>
      <w:r>
        <w:rPr>
          <w:sz w:val="28"/>
          <w:szCs w:val="28"/>
        </w:rPr>
        <w:t xml:space="preserve">дными условиями и энергосбережением потребителей.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принципов тарифного регулирование является достижение и соблюдение баланса экономических интересов поставщиков и потребителей коммунальных ресурсов. Данный принцип достигается путем установления </w:t>
      </w:r>
      <w:r>
        <w:rPr>
          <w:sz w:val="28"/>
          <w:szCs w:val="28"/>
        </w:rPr>
        <w:t xml:space="preserve">та</w:t>
      </w:r>
      <w:r>
        <w:rPr>
          <w:sz w:val="28"/>
          <w:szCs w:val="28"/>
        </w:rPr>
        <w:t xml:space="preserve">рифов на уровне, обеспечивающем регулируемой организации получение планируемого объема выручки от поставки ресурсов в размере, необходимом для возмещения экономически обоснованных расходов, включающих налоговые и иные обязательные платежи, с одной стороны,</w:t>
      </w:r>
      <w:r>
        <w:rPr>
          <w:sz w:val="28"/>
          <w:szCs w:val="28"/>
        </w:rPr>
        <w:t xml:space="preserve"> и обеспечения доступности коммунальных ресурсов для потребителей, с другой стороны.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РСТ Юг</w:t>
      </w:r>
      <w:bookmarkStart w:id="1" w:name="_GoBack1"/>
      <w:bookmarkEnd w:id="1"/>
      <w:r>
        <w:rPr>
          <w:sz w:val="28"/>
          <w:szCs w:val="28"/>
        </w:rPr>
        <w:t xml:space="preserve">ры экономически обоснованных расходов производится согласно норм и нормативов, предусмотренных законодательством РФ о бухгалтерском и налоговом учете и з</w:t>
      </w:r>
      <w:r>
        <w:rPr>
          <w:sz w:val="28"/>
          <w:szCs w:val="28"/>
        </w:rPr>
        <w:t xml:space="preserve">аконодательством в регулируемых сферах деятельности.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709"/>
        <w:contextualSpacing w:val="0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Необходимо отметить, что значение совокупной платы за услуги </w:t>
      </w:r>
      <w:r>
        <w:rPr>
          <w:rFonts w:eastAsia="Calibri"/>
          <w:sz w:val="28"/>
          <w:szCs w:val="28"/>
          <w:highlight w:val="white"/>
        </w:rPr>
        <w:t xml:space="preserve">    </w:t>
      </w:r>
      <w:r>
        <w:rPr>
          <w:rFonts w:eastAsia="Calibri"/>
          <w:sz w:val="28"/>
          <w:szCs w:val="28"/>
          <w:highlight w:val="white"/>
        </w:rPr>
        <w:t xml:space="preserve">тепло-</w:t>
      </w:r>
      <w:r>
        <w:rPr>
          <w:rFonts w:eastAsia="Calibri"/>
          <w:sz w:val="28"/>
          <w:szCs w:val="28"/>
          <w:highlight w:val="white"/>
        </w:rPr>
        <w:t xml:space="preserve">, </w:t>
      </w:r>
      <w:r>
        <w:rPr>
          <w:rFonts w:eastAsia="Calibri"/>
          <w:sz w:val="28"/>
          <w:szCs w:val="28"/>
          <w:highlight w:val="white"/>
        </w:rPr>
        <w:t xml:space="preserve">водоснабжения и водоотведения, рассчитанное исходя </w:t>
      </w:r>
      <w:r>
        <w:rPr>
          <w:rFonts w:eastAsia="Calibri"/>
          <w:sz w:val="28"/>
          <w:szCs w:val="28"/>
          <w:highlight w:val="white"/>
        </w:rPr>
        <w:t xml:space="preserve">из установленных тарифов в каждом субъекта</w:t>
      </w:r>
      <w:r>
        <w:rPr>
          <w:rFonts w:eastAsia="Calibri"/>
          <w:sz w:val="28"/>
          <w:szCs w:val="28"/>
          <w:highlight w:val="white"/>
        </w:rPr>
        <w:t xml:space="preserve"> РФ, отнесенным к территории Крайнего </w:t>
      </w:r>
      <w:r>
        <w:rPr>
          <w:rFonts w:eastAsia="Calibri"/>
          <w:sz w:val="28"/>
          <w:szCs w:val="28"/>
          <w:highlight w:val="white"/>
        </w:rPr>
        <w:t xml:space="preserve">Севера, по</w:t>
      </w:r>
      <w:r>
        <w:rPr>
          <w:rFonts w:eastAsia="Calibri"/>
          <w:sz w:val="28"/>
          <w:szCs w:val="28"/>
          <w:highlight w:val="white"/>
        </w:rPr>
        <w:t xml:space="preserve"> ХМАО–Югре сложилось на 20% ниже относительно среднего уровня субъектов РФ, находящихся в соответствующих природно-климат</w:t>
      </w:r>
      <w:r>
        <w:rPr>
          <w:rFonts w:eastAsia="Calibri"/>
          <w:sz w:val="28"/>
          <w:szCs w:val="28"/>
          <w:highlight w:val="white"/>
        </w:rPr>
        <w:t xml:space="preserve">ических условиях. </w:t>
      </w:r>
      <w:r>
        <w:rPr>
          <w:sz w:val="28"/>
          <w:szCs w:val="28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76" w:lineRule="auto"/>
        <w:ind w:firstLine="567"/>
        <w:jc w:val="both"/>
        <w:rPr>
          <w:rStyle w:val="874"/>
          <w:sz w:val="28"/>
          <w:szCs w:val="28"/>
        </w:rPr>
      </w:pPr>
      <w:r>
        <w:rPr>
          <w:rStyle w:val="874"/>
          <w:sz w:val="28"/>
          <w:szCs w:val="28"/>
          <w:highlight w:val="white"/>
        </w:rPr>
        <w:t xml:space="preserve">Для информирования граждан </w:t>
      </w:r>
      <w:r>
        <w:rPr>
          <w:rStyle w:val="874"/>
          <w:sz w:val="28"/>
          <w:szCs w:val="28"/>
        </w:rPr>
        <w:t xml:space="preserve">на официальном сайте РСТ Югры – </w:t>
      </w:r>
      <w:r>
        <w:rPr>
          <w:sz w:val="28"/>
          <w:szCs w:val="28"/>
        </w:rPr>
      </w:r>
      <w:hyperlink r:id="rId13" w:tooltip="https://jsn.admhmao.ru/" w:history="1">
        <w:r>
          <w:rPr>
            <w:rStyle w:val="873"/>
            <w:rFonts w:eastAsia="Calibri"/>
            <w:sz w:val="28"/>
            <w:szCs w:val="28"/>
          </w:rPr>
        </w:r>
        <w:r>
          <w:rPr>
            <w:sz w:val="28"/>
            <w:szCs w:val="28"/>
          </w:rPr>
        </w:r>
        <w:r>
          <w:rPr>
            <w:rStyle w:val="873"/>
            <w:sz w:val="28"/>
            <w:szCs w:val="28"/>
          </w:rPr>
        </w:r>
        <w:r>
          <w:rPr>
            <w:sz w:val="28"/>
            <w:szCs w:val="28"/>
          </w:rPr>
        </w:r>
        <w:r>
          <w:rPr>
            <w:rStyle w:val="873"/>
            <w:sz w:val="28"/>
            <w:szCs w:val="28"/>
          </w:rPr>
          <w:t xml:space="preserve">https://rst.admhmao.ru/</w:t>
        </w:r>
        <w:r>
          <w:rPr>
            <w:rStyle w:val="873"/>
            <w:sz w:val="28"/>
            <w:szCs w:val="28"/>
          </w:rPr>
        </w:r>
        <w:r>
          <w:rPr>
            <w:rStyle w:val="873"/>
            <w:rFonts w:eastAsia="Calibri"/>
            <w:sz w:val="28"/>
            <w:szCs w:val="28"/>
          </w:rPr>
        </w:r>
      </w:hyperlink>
      <w:r>
        <w:rPr>
          <w:rStyle w:val="874"/>
          <w:sz w:val="28"/>
          <w:szCs w:val="28"/>
        </w:rPr>
        <w:t xml:space="preserve"> размещена информация:</w:t>
      </w:r>
      <w:r>
        <w:rPr>
          <w:sz w:val="28"/>
          <w:szCs w:val="28"/>
        </w:rPr>
      </w:r>
      <w:r>
        <w:rPr>
          <w:rStyle w:val="874"/>
          <w:sz w:val="28"/>
          <w:szCs w:val="28"/>
        </w:rPr>
      </w:r>
    </w:p>
    <w:p>
      <w:pPr>
        <w:spacing w:line="276" w:lineRule="auto"/>
        <w:ind w:firstLine="567"/>
        <w:jc w:val="both"/>
        <w:rPr>
          <w:rStyle w:val="874"/>
          <w:sz w:val="28"/>
          <w:szCs w:val="28"/>
        </w:rPr>
      </w:pPr>
      <w:r>
        <w:rPr>
          <w:rStyle w:val="874"/>
          <w:sz w:val="28"/>
          <w:szCs w:val="28"/>
        </w:rPr>
        <w:t xml:space="preserve">об</w:t>
      </w:r>
      <w:r>
        <w:rPr>
          <w:rStyle w:val="874"/>
          <w:sz w:val="28"/>
          <w:szCs w:val="28"/>
        </w:rPr>
        <w:t xml:space="preserve"> установленных РСТ Югры тарифах на коммунальные услуги: баннер «База тарифных решений РСТ Югры» (расположен в нижней части главной страницы сайта, переход осуществляется по стрелке), раздел «Документы» подраздел «Цены, тарифы» (</w:t>
      </w:r>
      <w:hyperlink r:id="rId14" w:tooltip="http://bptr.eias.admhmao.ru/?reg=RU.5.86" w:history="1">
        <w:r>
          <w:rPr>
            <w:rStyle w:val="873"/>
            <w:sz w:val="28"/>
            <w:szCs w:val="28"/>
          </w:rPr>
          <w:t xml:space="preserve">http://bptr.ei</w:t>
        </w:r>
        <w:r>
          <w:rPr>
            <w:rStyle w:val="873"/>
            <w:sz w:val="28"/>
            <w:szCs w:val="28"/>
          </w:rPr>
          <w:t xml:space="preserve">a</w:t>
        </w:r>
        <w:r>
          <w:rPr>
            <w:rStyle w:val="873"/>
            <w:sz w:val="28"/>
            <w:szCs w:val="28"/>
          </w:rPr>
          <w:t xml:space="preserve">s.a</w:t>
        </w:r>
        <w:r>
          <w:rPr>
            <w:rStyle w:val="873"/>
            <w:sz w:val="28"/>
            <w:szCs w:val="28"/>
          </w:rPr>
          <w:t xml:space="preserve">d</w:t>
        </w:r>
        <w:r>
          <w:rPr>
            <w:rStyle w:val="873"/>
            <w:sz w:val="28"/>
            <w:szCs w:val="28"/>
          </w:rPr>
          <w:t xml:space="preserve">mhmao.ru/?reg=RU.5.86</w:t>
        </w:r>
      </w:hyperlink>
      <w:r>
        <w:rPr>
          <w:rStyle w:val="874"/>
          <w:sz w:val="28"/>
          <w:szCs w:val="28"/>
        </w:rPr>
        <w:t xml:space="preserve">);</w:t>
      </w:r>
      <w:r>
        <w:rPr>
          <w:rStyle w:val="874"/>
          <w:sz w:val="28"/>
          <w:szCs w:val="28"/>
        </w:rPr>
      </w:r>
      <w:r>
        <w:rPr>
          <w:rStyle w:val="874"/>
          <w:sz w:val="28"/>
          <w:szCs w:val="28"/>
        </w:rPr>
      </w:r>
    </w:p>
    <w:p>
      <w:pPr>
        <w:spacing w:line="276" w:lineRule="auto"/>
        <w:ind w:firstLine="567"/>
        <w:jc w:val="both"/>
        <w:rPr>
          <w:rStyle w:val="874"/>
          <w:sz w:val="28"/>
          <w:szCs w:val="28"/>
        </w:rPr>
      </w:pPr>
      <w:r>
        <w:rPr>
          <w:rStyle w:val="874"/>
          <w:sz w:val="28"/>
          <w:szCs w:val="28"/>
        </w:rPr>
        <w:t xml:space="preserve">о принятых РСТ Югры приказах: раздел «Документы» подраздел «Приказы службы» (</w:t>
      </w:r>
      <w:hyperlink r:id="rId15" w:tooltip="https://rst.admhmao.ru/dokumenty/" w:history="1">
        <w:r>
          <w:rPr>
            <w:rStyle w:val="873"/>
            <w:sz w:val="28"/>
            <w:szCs w:val="28"/>
          </w:rPr>
          <w:t xml:space="preserve">https://rst.admhmao.ru/dokumenty/</w:t>
        </w:r>
      </w:hyperlink>
      <w:r>
        <w:rPr>
          <w:rStyle w:val="874"/>
          <w:sz w:val="28"/>
          <w:szCs w:val="28"/>
        </w:rPr>
        <w:t xml:space="preserve">);</w:t>
      </w:r>
      <w:r>
        <w:rPr>
          <w:rStyle w:val="874"/>
          <w:sz w:val="28"/>
          <w:szCs w:val="28"/>
        </w:rPr>
      </w:r>
      <w:r>
        <w:rPr>
          <w:rStyle w:val="874"/>
          <w:sz w:val="28"/>
          <w:szCs w:val="28"/>
        </w:rPr>
      </w:r>
    </w:p>
    <w:p>
      <w:pPr>
        <w:spacing w:line="276" w:lineRule="auto"/>
        <w:ind w:firstLine="567"/>
        <w:jc w:val="both"/>
        <w:rPr>
          <w:rStyle w:val="874"/>
          <w:sz w:val="28"/>
          <w:szCs w:val="28"/>
        </w:rPr>
      </w:pPr>
      <w:r>
        <w:rPr>
          <w:rStyle w:val="874"/>
          <w:sz w:val="28"/>
          <w:szCs w:val="28"/>
        </w:rPr>
        <w:t xml:space="preserve">о законодательстве, которым руководствуется РСТ Югры при регулировании тарифов:</w:t>
      </w:r>
      <w:r>
        <w:rPr>
          <w:sz w:val="28"/>
          <w:szCs w:val="28"/>
        </w:rPr>
        <w:t xml:space="preserve"> </w:t>
      </w:r>
      <w:r>
        <w:rPr>
          <w:rStyle w:val="874"/>
          <w:sz w:val="28"/>
          <w:szCs w:val="28"/>
        </w:rPr>
        <w:t xml:space="preserve">раздел «Документы» подраздел «Законодательство»</w:t>
      </w:r>
      <w:r>
        <w:rPr>
          <w:sz w:val="28"/>
          <w:szCs w:val="28"/>
        </w:rPr>
        <w:t xml:space="preserve"> (</w:t>
      </w:r>
      <w:hyperlink r:id="rId16" w:tooltip="https://rst.admhmao.ru/dokumenty/" w:history="1">
        <w:r>
          <w:rPr>
            <w:rStyle w:val="873"/>
            <w:sz w:val="28"/>
            <w:szCs w:val="28"/>
          </w:rPr>
          <w:t xml:space="preserve">https://rst.admhmao.ru/dokumenty/</w:t>
        </w:r>
      </w:hyperlink>
      <w:r>
        <w:rPr>
          <w:sz w:val="28"/>
          <w:szCs w:val="28"/>
        </w:rPr>
        <w:t xml:space="preserve">)</w:t>
      </w:r>
      <w:r>
        <w:rPr>
          <w:rStyle w:val="874"/>
          <w:sz w:val="28"/>
          <w:szCs w:val="28"/>
        </w:rPr>
        <w:t xml:space="preserve">;</w:t>
      </w:r>
      <w:r>
        <w:rPr>
          <w:rStyle w:val="874"/>
          <w:sz w:val="28"/>
          <w:szCs w:val="28"/>
        </w:rPr>
      </w:r>
      <w:r>
        <w:rPr>
          <w:rStyle w:val="874"/>
          <w:sz w:val="28"/>
          <w:szCs w:val="28"/>
        </w:rPr>
      </w:r>
    </w:p>
    <w:p>
      <w:pPr>
        <w:spacing w:line="276" w:lineRule="auto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 расходах и производственных показателях, принятых в тарифах, отраженных в протоколах заседаний правления (</w:t>
      </w:r>
      <w:hyperlink r:id="rId17" w:tooltip="https://rst.admhmao.ru/raskrytie-informatsii/" w:history="1">
        <w:r>
          <w:rPr>
            <w:rStyle w:val="873"/>
            <w:sz w:val="28"/>
            <w:szCs w:val="28"/>
          </w:rPr>
          <w:t xml:space="preserve">https://rst.admhmao.ru/raskrytie-informatsii/</w:t>
        </w:r>
      </w:hyperlink>
      <w:r>
        <w:rPr>
          <w:sz w:val="28"/>
          <w:szCs w:val="28"/>
          <w:u w:val="single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2014 года увеличение тарифов происходит 1 раз в год с 1 июля в рамках предельных уровней роста платы граждан за коммунальные услуги, утверждаемых Правительством Российской Федерации и Губернатором Ханты-Мансийского автономного округа – Югры.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Тарифы на ко</w:t>
      </w:r>
      <w:r>
        <w:rPr>
          <w:sz w:val="28"/>
          <w:szCs w:val="28"/>
          <w:lang w:eastAsia="en-US"/>
        </w:rPr>
        <w:t xml:space="preserve">ммунальные услуги на текущий год </w:t>
      </w:r>
      <w:r>
        <w:rPr>
          <w:sz w:val="28"/>
          <w:szCs w:val="28"/>
          <w:lang w:val="en-US" w:eastAsia="en-US"/>
        </w:rPr>
        <w:t xml:space="preserve">c</w:t>
      </w:r>
      <w:r>
        <w:rPr>
          <w:sz w:val="28"/>
          <w:szCs w:val="28"/>
          <w:lang w:eastAsia="en-US"/>
        </w:rPr>
        <w:t xml:space="preserve">формированы с учетом предельных индексов изменения размера вносимой гражданами платы за коммунальные услуги по муниципальным образованиям автономного округа, установленных постановлением Губернатора автономного округа от 1</w:t>
      </w:r>
      <w:r>
        <w:rPr>
          <w:sz w:val="28"/>
          <w:szCs w:val="28"/>
          <w:lang w:eastAsia="en-US"/>
        </w:rPr>
        <w:t xml:space="preserve">1.12.2023 № 185 (в ред. от 11.12.2024) «</w:t>
      </w:r>
      <w:r>
        <w:rPr>
          <w:sz w:val="28"/>
          <w:szCs w:val="28"/>
        </w:rPr>
        <w:t xml:space="preserve">О предельных (максимальных) индексах изменения размера вносимой гражданами платы за коммунальные услуги в муниципальных  образованиях  Ханты-Мансийского автономного округа – Югры на 2024 – 2028 годы</w:t>
      </w:r>
      <w:r>
        <w:rPr>
          <w:sz w:val="28"/>
          <w:szCs w:val="28"/>
          <w:lang w:eastAsia="en-US"/>
        </w:rPr>
        <w:t xml:space="preserve">» (далее – постано</w:t>
      </w:r>
      <w:r>
        <w:rPr>
          <w:sz w:val="28"/>
          <w:szCs w:val="28"/>
          <w:lang w:eastAsia="en-US"/>
        </w:rPr>
        <w:t xml:space="preserve">вление </w:t>
      </w:r>
      <w:r>
        <w:rPr>
          <w:sz w:val="28"/>
          <w:szCs w:val="28"/>
          <w:lang w:eastAsia="en-US"/>
        </w:rPr>
        <w:t xml:space="preserve">               </w:t>
      </w:r>
      <w:r>
        <w:rPr>
          <w:sz w:val="28"/>
          <w:szCs w:val="28"/>
          <w:lang w:eastAsia="en-US"/>
        </w:rPr>
        <w:t xml:space="preserve">Губернатора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Югры № 185)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</w:t>
      </w:r>
      <w:hyperlink r:id="rId18" w:tooltip="https://admhmao.ru/documents/pravovye-akty/postanovleniya-gubernatora/10877131/" w:history="1">
        <w:r>
          <w:rPr>
            <w:rStyle w:val="873"/>
            <w:rFonts w:eastAsia="Calibri"/>
            <w:sz w:val="28"/>
            <w:szCs w:val="28"/>
            <w:lang w:eastAsia="en-US"/>
          </w:rPr>
          <w:t xml:space="preserve">https:</w:t>
        </w:r>
        <w:r>
          <w:rPr>
            <w:rStyle w:val="873"/>
            <w:rFonts w:eastAsia="Calibri"/>
            <w:sz w:val="28"/>
            <w:szCs w:val="28"/>
            <w:lang w:eastAsia="en-US"/>
          </w:rPr>
          <w:t xml:space="preserve">/</w:t>
        </w:r>
        <w:r>
          <w:rPr>
            <w:rStyle w:val="873"/>
            <w:rFonts w:eastAsia="Calibri"/>
            <w:sz w:val="28"/>
            <w:szCs w:val="28"/>
            <w:lang w:eastAsia="en-US"/>
          </w:rPr>
          <w:t xml:space="preserve">/admhmao.ru/documents/pravovye-akty/postanovleniya-gubernatora/10877131/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параметров, определенных прогнозом социально-экономического развития Российской Федерации и предельных уровней цен (тарифов) на услуги компаний инфраструктурного сектора на 2025 год и на плановый период 2026 и 2027 годов, р</w:t>
      </w:r>
      <w:r>
        <w:rPr>
          <w:rFonts w:eastAsia="Calibri"/>
          <w:sz w:val="28"/>
          <w:szCs w:val="28"/>
          <w:lang w:eastAsia="en-US"/>
        </w:rPr>
        <w:t xml:space="preserve">азработанного Минэкономразвития России и одобренного Правительством Российской Федерации 24.09.2024.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На 2025 год распоряжением Правительства Российской Федерации от 15.11.2024 № 3287-р утверждены: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индексы изменения размера вносимой гражданами платы за коммунальные услуги в среднем по Югре к декабрю 2024 года: с 1 января – 0 %, с 1 июля – 9,0 %;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предельно допустимое отклонение по отдельным муниципальным образованиям от величины среднего индекса по Юг</w:t>
      </w:r>
      <w:r>
        <w:rPr>
          <w:rFonts w:eastAsia="Calibri"/>
          <w:bCs/>
          <w:sz w:val="28"/>
          <w:szCs w:val="28"/>
          <w:lang w:eastAsia="en-US"/>
        </w:rPr>
        <w:t xml:space="preserve">ре к декабрю 2024 года: с 1 января – 0 %, с 1 июля – 2,1 %.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С учетом предельно допустимого отклонения размер предельного (максимального) индекса изменения размера платы граждан за коммунальные услуги в муниципальных образованиях автономного округа (далее –</w:t>
      </w:r>
      <w:r>
        <w:rPr>
          <w:rFonts w:eastAsia="Calibri"/>
          <w:bCs/>
          <w:sz w:val="28"/>
          <w:szCs w:val="28"/>
          <w:lang w:eastAsia="en-US"/>
        </w:rPr>
        <w:t xml:space="preserve"> предельные индексы) с 1 июля 2025 года не должен превышать 11,1 % (к декабрю 2024 года).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76" w:lineRule="auto"/>
        <w:ind w:firstLine="567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Следует отметить, что для Югры установлен один из самых низких индексов, ниже только для Амурской области (8,6 %) и Республики Алтай (8,8 %). Максимальный индекс уста</w:t>
      </w:r>
      <w:r>
        <w:rPr>
          <w:sz w:val="28"/>
          <w:szCs w:val="28"/>
          <w:highlight w:val="white"/>
        </w:rPr>
        <w:t xml:space="preserve">новлен для Пермского края 21,1 %.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указанным решением, принятым на федеральном уровне, постановлением Губернатора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Югры № 185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ма</w:t>
      </w:r>
      <w:r>
        <w:rPr>
          <w:rFonts w:eastAsia="Calibri"/>
          <w:sz w:val="28"/>
          <w:szCs w:val="28"/>
          <w:lang w:eastAsia="en-US"/>
        </w:rPr>
        <w:t xml:space="preserve">ксимальный рост платы коммунальные услуги с 1 июля 2025 года по всем муниципальным образованиям автономного округа утве</w:t>
      </w:r>
      <w:r>
        <w:rPr>
          <w:rFonts w:eastAsia="Calibri"/>
          <w:sz w:val="28"/>
          <w:szCs w:val="28"/>
          <w:lang w:eastAsia="en-US"/>
        </w:rPr>
        <w:t xml:space="preserve">ржден в </w:t>
      </w:r>
      <w:r>
        <w:rPr>
          <w:rFonts w:eastAsia="Calibri"/>
          <w:sz w:val="28"/>
          <w:szCs w:val="28"/>
          <w:lang w:eastAsia="en-US"/>
        </w:rPr>
        <w:t xml:space="preserve">размере 9</w:t>
      </w:r>
      <w:r>
        <w:rPr>
          <w:rFonts w:eastAsia="Calibri"/>
          <w:sz w:val="28"/>
          <w:szCs w:val="28"/>
          <w:lang w:eastAsia="en-US"/>
        </w:rPr>
        <w:t xml:space="preserve">,0%.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76" w:lineRule="auto"/>
        <w:ind w:firstLine="567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white"/>
        </w:rPr>
        <w:t xml:space="preserve">Увеличение платы за коммунальные услуги с 1 июля 2025 года согласно оценке, проведенной на основании приказа </w:t>
      </w:r>
      <w:r>
        <w:rPr>
          <w:rFonts w:eastAsia="Calibri"/>
          <w:sz w:val="28"/>
          <w:szCs w:val="28"/>
          <w:highlight w:val="white"/>
        </w:rPr>
        <w:t xml:space="preserve">Минрегиона</w:t>
      </w:r>
      <w:r>
        <w:rPr>
          <w:rFonts w:eastAsia="Calibri"/>
          <w:sz w:val="28"/>
          <w:szCs w:val="28"/>
          <w:highlight w:val="white"/>
        </w:rPr>
        <w:t xml:space="preserve"> России от 23.08.2010 № 378 «Об утверждении методических указаний по расчету предельных индексов изменения размер</w:t>
      </w:r>
      <w:r>
        <w:rPr>
          <w:rFonts w:eastAsia="Calibri"/>
          <w:sz w:val="28"/>
          <w:szCs w:val="28"/>
          <w:highlight w:val="white"/>
        </w:rPr>
        <w:t xml:space="preserve">а платы граждан за коммунальные услуги», является доступным для населения Ханты-Мансийского автономного округа – Югры. В среднем по округу показатель отношения стоимости коммунальных услуг к среднедушевому доходу с июля 2025 года прогнозируется в размере 4</w:t>
      </w:r>
      <w:r>
        <w:rPr>
          <w:rFonts w:eastAsia="Calibri"/>
          <w:sz w:val="28"/>
          <w:szCs w:val="28"/>
          <w:highlight w:val="white"/>
        </w:rPr>
        <w:t xml:space="preserve">,8%, не превышающем значение критерия доступности 8,6%.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spacing w:line="276" w:lineRule="auto"/>
        <w:ind w:firstLine="567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sz w:val="28"/>
          <w:szCs w:val="28"/>
        </w:rPr>
        <w:t xml:space="preserve">Региональной э</w:t>
      </w:r>
      <w:r>
        <w:rPr>
          <w:sz w:val="28"/>
          <w:szCs w:val="28"/>
        </w:rPr>
        <w:t xml:space="preserve">нергетической комиссией Тюменской области, Ханты-Мансийского автономного округа – Югры, Ямало-Ненецкого автономного округа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распоряжением от 28.11.2024 № 27 установлены тарифы на электрическую энергию для населения и приравненных к нему категорий потребителей по Тюменской области,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Ханты-Мансийскому автономному округу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 Югре и Ямало-Ненецкому автономному округу с ростом с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 июля 2025 года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размере 12,5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%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(минимальный уровень)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рамках предельных уровней тарифов на электрическую энергию, поставляемую населению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приравненных к нему категорий потребителей, утвержденных приказом ФАС России от 11.10.2024 № 718/24 на 2025 год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720"/>
        <w:contextualSpacing w:val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</w:rPr>
        <w:t xml:space="preserve">В Югре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</w:rPr>
        <w:t xml:space="preserve">, в целях соблюдения установленных предельных индексов с 01.07.2025,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</w:rPr>
        <w:t xml:space="preserve">принято решение о дополнительной мере социальной поддержки потребителей коммунальной услуги по электроснабжению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</w:rPr>
        <w:t xml:space="preserve">на территории централизованной зоны электроснабжения автономного округа.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720"/>
        <w:contextualSpacing w:val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</w:rPr>
        <w:t xml:space="preserve">Население будет оплачивать электрическую энергию с учетом мер социальной поддержки.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r>
    </w:p>
    <w:p>
      <w:pPr>
        <w:spacing w:after="0" w:afterAutospacing="0" w:line="276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получения меры социальной поддержки оформление и (или) представление гражданами документов не потребуется.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720"/>
        <w:contextualSpacing w:val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</w:rPr>
        <w:t xml:space="preserve">Фактический размер платы за электроснабжение, предъявляемый гражданам к оплате за июль – декабрь 2025 года, подлежит снижению исполнителями коммунальных услуг на величину предоставляемой меры социальной поддержки.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Мера социальной поддержи будет распространятся на граждан, потребляющих электрическую энергию  в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первом диапазоне объемов потребления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, для которых плата за коммунальную услугу начисляется по одноставочному тарифу: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без дифференциации по зонам суток;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 дифференциацией по зонам суток, в случае если объем потребления электрической энергии в ночной зоне превышает 40 % от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ежемесячного объема потребления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firstLine="709"/>
        <w:contextualSpacing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В децентрализованной зоне электроснабжения тарифы установлены с 01.07.2025 с ростом не выше 9,0%.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p>
      <w:pPr>
        <w:suppressLineNumbers w:val="0"/>
        <w:spacing w:line="276" w:lineRule="auto"/>
        <w:ind w:firstLine="567"/>
        <w:contextualSpacing w:val="0"/>
        <w:jc w:val="both"/>
        <w:rPr>
          <w:sz w:val="28"/>
          <w:szCs w:val="28"/>
          <w:highlight w:val="none"/>
        </w:rPr>
      </w:pPr>
      <w:r>
        <w:rPr>
          <w:rFonts w:eastAsia="Calibri"/>
          <w:sz w:val="28"/>
          <w:szCs w:val="28"/>
          <w:lang w:eastAsia="en-US"/>
        </w:rPr>
        <w:t xml:space="preserve">Та</w:t>
      </w:r>
      <w:r>
        <w:rPr>
          <w:rFonts w:eastAsia="Calibri"/>
          <w:sz w:val="28"/>
          <w:szCs w:val="28"/>
          <w:lang w:eastAsia="en-US"/>
        </w:rPr>
        <w:t xml:space="preserve">ким образом, в платеж</w:t>
      </w:r>
      <w:r>
        <w:rPr>
          <w:sz w:val="28"/>
          <w:szCs w:val="28"/>
        </w:rPr>
        <w:t xml:space="preserve">ках с июля 2025 года рост совокупной платы за коммунальные услуги в сопоставимых условиях по сравнению с декабрем 2024 года не должен быть выше предельного индекса, установленно</w:t>
      </w:r>
      <w:r>
        <w:rPr>
          <w:sz w:val="28"/>
          <w:szCs w:val="28"/>
        </w:rPr>
        <w:t xml:space="preserve">го Постановлением </w:t>
      </w:r>
      <w:r>
        <w:rPr>
          <w:sz w:val="28"/>
          <w:szCs w:val="28"/>
          <w:highlight w:val="none"/>
        </w:rPr>
        <w:t xml:space="preserve">Губерна</w:t>
      </w:r>
      <w:r>
        <w:rPr>
          <w:sz w:val="28"/>
          <w:szCs w:val="28"/>
          <w:highlight w:val="none"/>
        </w:rPr>
        <w:t xml:space="preserve">тора Югры № 185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76" w:lineRule="auto"/>
        <w:ind w:firstLine="567"/>
        <w:jc w:val="both"/>
        <w:rPr>
          <w:rStyle w:val="874"/>
          <w:sz w:val="28"/>
          <w:szCs w:val="28"/>
        </w:rPr>
      </w:pPr>
      <w:r>
        <w:rPr>
          <w:sz w:val="28"/>
          <w:szCs w:val="28"/>
          <w:highlight w:val="none"/>
        </w:rPr>
        <w:t xml:space="preserve">Величина платы за коммунальные услуги рассчитывается по следующей формуле:</w:t>
      </w:r>
      <w:r>
        <w:rPr>
          <w:rStyle w:val="874"/>
          <w:sz w:val="28"/>
          <w:szCs w:val="28"/>
        </w:rPr>
      </w:r>
      <w:r>
        <w:rPr>
          <w:rStyle w:val="874"/>
          <w:sz w:val="28"/>
          <w:szCs w:val="28"/>
        </w:rPr>
      </w:r>
    </w:p>
    <w:p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45280</wp:posOffset>
                </wp:positionH>
                <wp:positionV relativeFrom="paragraph">
                  <wp:posOffset>73995</wp:posOffset>
                </wp:positionV>
                <wp:extent cx="5606896" cy="2076740"/>
                <wp:effectExtent l="0" t="0" r="0" b="0"/>
                <wp:wrapNone/>
                <wp:docPr id="1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606895" cy="2076739"/>
                          <a:chOff x="0" y="0"/>
                          <a:chExt cx="5606895" cy="2076739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683060"/>
                            <a:ext cx="4186163" cy="693886"/>
                            <a:chOff x="0" y="0"/>
                            <a:chExt cx="4186163" cy="693886"/>
                          </a:xfrm>
                        </wpg:grpSpPr>
                        <wps:wsp>
                          <wps:cNvPr id="0" name="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58953" cy="693886"/>
                            </a:xfrm>
                            <a:prstGeom prst="rect">
                              <a:avLst/>
                            </a:prstGeom>
                            <a:solidFill>
                              <a:srgbClr val="E5DFEC"/>
                            </a:solidFill>
                            <a:ln w="63500" cmpd="thickThin" algn="ctr">
                              <a:solidFill>
                                <a:srgbClr val="8064A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r>
                                <w:r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r>
                                <w:r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  <w:t xml:space="preserve">Совокупный платеж за ком</w:t>
                                </w:r>
                                <w:r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  <w:t xml:space="preserve">мунальные услуги</w:t>
                                </w:r>
                                <w:r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r>
                                <w:r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" name="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8159" y="80707"/>
                              <a:ext cx="918540" cy="597431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31750">
                              <a:solidFill>
                                <a:srgbClr val="C0504D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</w:rPr>
                                  <w:t xml:space="preserve">Т</w:t>
                                </w:r>
                                <w:r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</w:rPr>
                                </w:r>
                                <w:r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</w:rPr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 xml:space="preserve">(тариф)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" name=""/>
                          <wps:cNvSpPr>
                            <a:spLocks noChangeArrowheads="1"/>
                          </wps:cNvSpPr>
                          <wps:spPr bwMode="auto">
                            <a:xfrm rot="2635143">
                              <a:off x="3888430" y="249995"/>
                              <a:ext cx="297733" cy="275586"/>
                            </a:xfrm>
                            <a:prstGeom prst="plus">
                              <a:avLst>
                                <a:gd name="adj" fmla="val 40519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79646"/>
                                </a:gs>
                                <a:gs pos="100000">
                                  <a:srgbClr val="DF6A09"/>
                                </a:gs>
                              </a:gsLst>
                              <a:path path="shape"/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974706"/>
                              </a:outerShdw>
                            </a:effectLst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GrpSpPr/>
                          <wpg:grpSpPr bwMode="auto">
                            <a:xfrm>
                              <a:off x="1843416" y="315939"/>
                              <a:ext cx="374806" cy="179130"/>
                              <a:chOff x="0" y="0"/>
                              <a:chExt cx="374806" cy="179130"/>
                            </a:xfrm>
                          </wpg:grpSpPr>
                          <wps:wsp>
                            <wps:cNvPr id="3" name="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74806" cy="45541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/>
                              </a:gradFill>
                              <a:ln>
                                <a:noFill/>
                                <a:miter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119420"/>
                                <a:ext cx="374806" cy="597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/>
                              </a:gradFill>
                              <a:ln>
                                <a:noFill/>
                                <a:bevel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GrpSpPr/>
                        <wpg:grpSpPr bwMode="auto">
                          <a:xfrm>
                            <a:off x="2886541" y="0"/>
                            <a:ext cx="2720354" cy="2076739"/>
                            <a:chOff x="0" y="0"/>
                            <a:chExt cx="2720354" cy="2076739"/>
                          </a:xfrm>
                        </wpg:grpSpPr>
                        <wps:wsp>
                          <wps:cNvPr id="5" name="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19125" cy="533456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  <w:t xml:space="preserve">N</w:t>
                                </w: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 xml:space="preserve">(норматив потребления КУ, норматив накопления ТКО)</w:t>
                                </w:r>
                                <w: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r>
                                <w: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t xml:space="preserve"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448795"/>
                              <a:ext cx="2539185" cy="627942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  <w:t xml:space="preserve">V</w:t>
                                </w: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 xml:space="preserve">(объем потребления коммунального ресурса по приборам учета)</w:t>
                                </w: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</w: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"/>
                          <wps:cNvSpPr>
                            <a:spLocks noChangeArrowheads="1"/>
                          </wps:cNvSpPr>
                          <wps:spPr bwMode="auto">
                            <a:xfrm flipH="0" flipV="0">
                              <a:off x="1386854" y="758120"/>
                              <a:ext cx="1333499" cy="468496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highlight w:val="none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  <w:sz w:val="22"/>
                                    <w:szCs w:val="22"/>
                                    <w:highlight w:val="none"/>
                                  </w:rPr>
                                  <w:t xml:space="preserve">Объем потребления КУ</w:t>
                                </w:r>
                                <w:r>
                                  <w:rPr>
                                    <w:b/>
                                    <w:color w:val="000000" w:themeColor="text1"/>
                                    <w:sz w:val="22"/>
                                    <w:szCs w:val="22"/>
                                    <w:highlight w:val="none"/>
                                  </w:rPr>
                                </w: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highlight w:val="none"/>
                                  </w:rPr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5467" y="514755"/>
                              <a:ext cx="143587" cy="249011"/>
                            </a:xfrm>
                            <a:prstGeom prst="upArrow">
                              <a:avLst>
                                <a:gd name="adj1" fmla="val 50000"/>
                                <a:gd name="adj2" fmla="val 6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8197" y="1232264"/>
                              <a:ext cx="141476" cy="216532"/>
                            </a:xfrm>
                            <a:prstGeom prst="downArrow">
                              <a:avLst>
                                <a:gd name="adj1" fmla="val 50000"/>
                                <a:gd name="adj2" fmla="val 55088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3120;o:allowoverlap:true;o:allowincell:true;mso-position-horizontal-relative:margin;margin-left:3.6pt;mso-position-horizontal:absolute;mso-position-vertical-relative:text;margin-top:5.8pt;mso-position-vertical:absolute;width:441.5pt;height:163.5pt;mso-wrap-distance-left:9.0pt;mso-wrap-distance-top:0.0pt;mso-wrap-distance-right:9.0pt;mso-wrap-distance-bottom:0.0pt;" coordorigin="0,0" coordsize="56068,20767">
                <v:group id="group 1" o:spid="_x0000_s0000" style="position:absolute;left:0;top:6830;width:41861;height:6938;" coordorigin="0,0" coordsize="41861,6938">
                  <v:shape id="shape 2" o:spid="_x0000_s2" o:spt="1" type="#_x0000_t1" style="position:absolute;left:0;top:0;width:17589;height:6938;v-text-anchor:top;visibility:visible;" fillcolor="#E5DFEC" strokecolor="#8064A2" strokeweight="5.00pt">
                    <v:textbox inset="0,0,0,0">
                      <w:txbxContent>
                        <w:p>
                          <w:pPr>
                            <w:jc w:val="center"/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r>
                          <w:r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r>
                          <w:r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  <w:t xml:space="preserve">Совокупный платеж за ком</w:t>
                          </w:r>
                          <w:r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  <w:t xml:space="preserve">мунальные услуги</w:t>
                          </w:r>
                          <w:r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r>
                          <w:r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r>
                        </w:p>
                      </w:txbxContent>
                    </v:textbox>
                  </v:shape>
                  <v:shape id="shape 3" o:spid="_x0000_s3" o:spt="1" type="#_x0000_t1" style="position:absolute;left:27781;top:807;width:9185;height:5974;v-text-anchor:top;visibility:visible;" fillcolor="#F2DBDB" strokecolor="#C0504D" strokeweight="2.50pt">
                    <v:textbox inset="0,0,0,0">
                      <w:txbxContent>
                        <w:p>
                          <w:pPr>
                            <w:jc w:val="center"/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  <w:t xml:space="preserve">Т</w:t>
                          </w:r>
                          <w:r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</w:r>
                          <w:r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(тариф)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</w:r>
                        </w:p>
                      </w:txbxContent>
                    </v:textbox>
                  </v:shape>
                  <v:shape id="shape 4" o:spid="_x0000_s4" o:spt="11" type="#_x0000_t11" style="position:absolute;left:38884;top:2499;width:2977;height:2755;rotation:43;visibility:visible;" fillcolor="#F79646" stroked="f"/>
                  <v:group id="group 5" o:spid="_x0000_s0000" style="position:absolute;left:18434;top:3159;width:3748;height:1791;" coordorigin="0,0" coordsize="3748,1791">
                    <v:shape id="shape 6" o:spid="_x0000_s6" o:spt="1" type="#_x0000_t1" style="position:absolute;left:0;top:0;width:3748;height:455;flip:y;visibility:visible;" fillcolor="#F79646" stroked="f"/>
                    <v:shape id="shape 7" o:spid="_x0000_s7" o:spt="1" type="#_x0000_t1" style="position:absolute;left:0;top:1194;width:3748;height:597;flip:y;visibility:visible;" fillcolor="#F79646" stroked="f"/>
                  </v:group>
                </v:group>
                <v:group id="group 8" o:spid="_x0000_s0000" style="position:absolute;left:28865;top:0;width:27203;height:20767;" coordorigin="0,0" coordsize="27203,20767">
                  <v:shape id="shape 9" o:spid="_x0000_s9" o:spt="1" type="#_x0000_t1" style="position:absolute;left:0;top:0;width:25191;height:5334;v-text-anchor:top;visibility:visible;" fillcolor="#C6D9F1" strokecolor="#4F81BD" strokeweight="1.00pt">
                    <v:stroke dashstyle="dash"/>
                    <v:textbox inset="0,0,0,0">
                      <w:txbxContent>
                        <w:p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 xml:space="preserve">N</w:t>
                          </w: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(норматив потребления КУ, норматив накопления ТКО)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  <w:r>
                            <w:t xml:space="preserve">)</w:t>
                          </w:r>
                        </w:p>
                      </w:txbxContent>
                    </v:textbox>
                  </v:shape>
                  <v:shape id="shape 10" o:spid="_x0000_s10" o:spt="1" type="#_x0000_t1" style="position:absolute;left:0;top:14487;width:25391;height:6279;v-text-anchor:top;visibility:visible;" fillcolor="#C6D9F1" strokecolor="#4F81BD" strokeweight="1.00pt">
                    <v:stroke dashstyle="dash"/>
                    <v:textbox inset="0,0,0,0">
                      <w:txbxContent>
                        <w:p>
                          <w:pPr>
                            <w:jc w:val="center"/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 xml:space="preserve">V</w:t>
                          </w: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(объем потребления коммунального ресурса по приборам учета)</w:t>
                          </w: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</w: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</w:r>
                        </w:p>
                      </w:txbxContent>
                    </v:textbox>
                  </v:shape>
                  <v:shape id="shape 11" o:spid="_x0000_s11" o:spt="1" type="#_x0000_t1" style="position:absolute;left:13868;top:7581;width:13334;height:4684;v-text-anchor:top;visibility:visible;" fillcolor="#FFFFFF" strokecolor="#95B3D7" strokeweight="1.00pt">
                    <v:textbox inset="0,0,0,0">
                      <w:txbxContent>
                        <w:p>
                          <w:pPr>
                            <w:jc w:val="center"/>
                            <w:rPr>
                              <w:b/>
                              <w:color w:val="1f497d"/>
                              <w:sz w:val="22"/>
                              <w:szCs w:val="22"/>
                              <w:highlight w:val="none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2"/>
                              <w:szCs w:val="22"/>
                              <w:highlight w:val="none"/>
                            </w:rPr>
                            <w:t xml:space="preserve">Объем потребления КУ</w:t>
                          </w:r>
                          <w:r>
                            <w:rPr>
                              <w:b/>
                              <w:color w:val="000000" w:themeColor="text1"/>
                              <w:sz w:val="22"/>
                              <w:szCs w:val="22"/>
                              <w:highlight w:val="none"/>
                            </w:rPr>
                          </w: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  <w:highlight w:val="none"/>
                            </w:rPr>
                          </w:r>
                        </w:p>
                      </w:txbxContent>
                    </v:textbox>
                  </v:shape>
                  <v:shape id="shape 12" o:spid="_x0000_s12" o:spt="68" type="#_x0000_t68" style="position:absolute;left:18254;top:5147;width:1435;height:2490;visibility:visible;" fillcolor="#4F81BD" strokecolor="#F2F2F2" strokeweight="1.00pt"/>
                  <v:shape id="shape 13" o:spid="_x0000_s13" o:spt="67" type="#_x0000_t67" style="position:absolute;left:18581;top:12322;width:1414;height:2165;visibility:visible;" fillcolor="#4F81BD" strokecolor="#F2F2F2" strokeweight="1.00pt"/>
                </v:group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2768383</wp:posOffset>
                </wp:positionH>
                <wp:positionV relativeFrom="paragraph">
                  <wp:posOffset>115082</wp:posOffset>
                </wp:positionV>
                <wp:extent cx="110113" cy="1748155"/>
                <wp:effectExtent l="0" t="0" r="23495" b="23495"/>
                <wp:wrapNone/>
                <wp:docPr id="2" name="Левая кругл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0113" cy="1748155"/>
                        </a:xfrm>
                        <a:prstGeom prst="leftBracket">
                          <a:avLst>
                            <a:gd name="adj" fmla="val 833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4" o:spid="_x0000_s14" o:spt="85" type="#_x0000_t85" style="position:absolute;z-index:251660288;o:allowoverlap:true;o:allowincell:true;mso-position-horizontal-relative:text;margin-left:218.0pt;mso-position-horizontal:absolute;mso-position-vertical-relative:text;margin-top:9.1pt;mso-position-vertical:absolute;width:8.7pt;height:137.7pt;mso-wrap-distance-left:9.0pt;mso-wrap-distance-top:0.0pt;mso-wrap-distance-right:9.0pt;mso-wrap-distance-bottom:0.0pt;visibility:visible;" filled="f" strokecolor="#5B9BD5" strokeweight="0.50pt">
                <v:stroke dashstyle="solid"/>
              </v:shape>
            </w:pict>
          </mc:Fallback>
        </mc:AlternateContent>
      </w:r>
      <w:r>
        <w:rPr>
          <w:b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5521548</wp:posOffset>
                </wp:positionH>
                <wp:positionV relativeFrom="paragraph">
                  <wp:posOffset>64204</wp:posOffset>
                </wp:positionV>
                <wp:extent cx="130628" cy="1738288"/>
                <wp:effectExtent l="0" t="0" r="22225" b="14604"/>
                <wp:wrapNone/>
                <wp:docPr id="3" name="Правая круглая скоб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0628" cy="1738288"/>
                        </a:xfrm>
                        <a:prstGeom prst="rightBracket">
                          <a:avLst>
                            <a:gd name="adj" fmla="val 833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" o:spid="_x0000_s15" o:spt="86" type="#_x0000_t86" style="position:absolute;z-index:251661312;o:allowoverlap:true;o:allowincell:true;mso-position-horizontal-relative:text;margin-left:434.8pt;mso-position-horizontal:absolute;mso-position-vertical-relative:text;margin-top:5.1pt;mso-position-vertical:absolute;width:10.3pt;height:136.9pt;mso-wrap-distance-left:9.0pt;mso-wrap-distance-top:0.0pt;mso-wrap-distance-right:9.0pt;mso-wrap-distance-bottom:0.0pt;visibility:visible;" filled="f" strokecolor="#5B9BD5" strokeweight="0.50pt">
                <v:stroke dashstyle="solid"/>
              </v:shape>
            </w:pict>
          </mc:Fallback>
        </mc:AlternateContent>
      </w:r>
    </w:p>
    <w:p>
      <w:pPr>
        <w:tabs>
          <w:tab w:val="right" w:pos="9355" w:leader="none"/>
        </w:tabs>
      </w:pPr>
      <w:r>
        <w:tab/>
      </w:r>
    </w:p>
    <w:tbl>
      <w:tblPr>
        <w:tblpPr w:horzAnchor="page" w:tblpX="4993" w:vertAnchor="text" w:tblpY="130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99"/>
      </w:tblGrid>
      <w:tr>
        <w:trPr>
          <w:trHeight w:val="1053"/>
        </w:trPr>
        <w:tc>
          <w:tcPr>
            <w:tcW w:w="179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tabs>
                <w:tab w:val="left" w:pos="3795" w:leader="none"/>
              </w:tabs>
              <w:rPr>
                <w:rStyle w:val="875"/>
                <w:rFonts w:ascii="Calibri" w:hAnsi="Calibri" w:eastAsia="Calibri"/>
                <w:i w:val="0"/>
                <w:sz w:val="56"/>
                <w:szCs w:val="56"/>
                <w:lang w:eastAsia="en-US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67121</wp:posOffset>
                      </wp:positionH>
                      <wp:positionV relativeFrom="paragraph">
                        <wp:posOffset>409450</wp:posOffset>
                      </wp:positionV>
                      <wp:extent cx="361950" cy="612775"/>
                      <wp:effectExtent l="0" t="0" r="0" b="0"/>
                      <wp:wrapSquare wrapText="bothSides"/>
                      <wp:docPr id="4" name="Надпись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361950" cy="61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3795" w:leader="none"/>
                                    </w:tabs>
                                    <w:jc w:val="center"/>
                                    <w:rPr>
                                      <w:b/>
                                      <w:iCs/>
                                      <w:color w:val="1f497d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Style w:val="875"/>
                                      <w:rFonts w:ascii="Arial Black" w:hAnsi="Arial Black" w:cs="Calibri"/>
                                      <w:b/>
                                      <w:color w:val="1f497d"/>
                                      <w:sz w:val="52"/>
                                      <w:szCs w:val="52"/>
                                    </w:rPr>
                                    <w:t xml:space="preserve">∑</w:t>
                                  </w:r>
                                  <w:r>
                                    <w:rPr>
                                      <w:rStyle w:val="875"/>
                                      <w:b/>
                                      <w:color w:val="1f497d"/>
                                      <w:szCs w:val="28"/>
                                    </w:rPr>
                                    <w:t xml:space="preserve">ку</w:t>
                                  </w:r>
                                  <w:r>
                                    <w:rPr>
                                      <w:b/>
                                      <w:iCs/>
                                      <w:color w:val="1f497d"/>
                                      <w:sz w:val="52"/>
                                      <w:szCs w:val="52"/>
                                    </w:rPr>
                                  </w:r>
                                  <w:r>
                                    <w:rPr>
                                      <w:b/>
                                      <w:iCs/>
                                      <w:color w:val="1f497d"/>
                                      <w:sz w:val="52"/>
                                      <w:szCs w:val="52"/>
                                    </w:rPr>
                                  </w:r>
                                </w:p>
                                <w:p>
                                  <w:pPr>
                                    <w:rPr>
                                      <w:rFonts w:ascii="Arial Black" w:hAnsi="Arial Black"/>
                                      <w:b/>
                                      <w:color w:val="1f497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color w:val="1f497d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color w:val="1f497d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color w:val="1f497d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6" o:spid="_x0000_s16" o:spt="202" type="#_x0000_t202" style="position:absolute;z-index:251654144;o:allowoverlap:true;o:allowincell:true;mso-position-horizontal-relative:text;margin-left:5.3pt;mso-position-horizontal:absolute;mso-position-vertical-relative:text;margin-top:32.2pt;mso-position-vertical:absolute;width:28.5pt;height:48.2pt;mso-wrap-distance-left:9.0pt;mso-wrap-distance-top:0.0pt;mso-wrap-distance-right:9.0pt;mso-wrap-distance-bottom:0.0pt;v-text-anchor:top;visibility:visible;" filled="f" stroked="f">
                      <w10:wrap type="square"/>
                      <v:textbox inset="0,0,0,0">
                        <w:txbxContent>
                          <w:p>
                            <w:pPr>
                              <w:tabs>
                                <w:tab w:val="left" w:pos="3795" w:leader="none"/>
                              </w:tabs>
                              <w:jc w:val="center"/>
                              <w:rPr>
                                <w:b/>
                                <w:iCs/>
                                <w:color w:val="1f497d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Style w:val="875"/>
                                <w:rFonts w:ascii="Arial Black" w:hAnsi="Arial Black" w:cs="Calibri"/>
                                <w:b/>
                                <w:color w:val="1f497d"/>
                                <w:sz w:val="52"/>
                                <w:szCs w:val="52"/>
                              </w:rPr>
                              <w:t xml:space="preserve">∑</w:t>
                            </w:r>
                            <w:r>
                              <w:rPr>
                                <w:rStyle w:val="875"/>
                                <w:b/>
                                <w:color w:val="1f497d"/>
                                <w:szCs w:val="28"/>
                              </w:rPr>
                              <w:t xml:space="preserve">ку</w:t>
                            </w:r>
                            <w:r>
                              <w:rPr>
                                <w:b/>
                                <w:iCs/>
                                <w:color w:val="1f497d"/>
                                <w:sz w:val="52"/>
                                <w:szCs w:val="52"/>
                              </w:rPr>
                            </w:r>
                            <w:r>
                              <w:rPr>
                                <w:b/>
                                <w:iCs/>
                                <w:color w:val="1f497d"/>
                                <w:sz w:val="52"/>
                                <w:szCs w:val="52"/>
                              </w:rPr>
                            </w:r>
                          </w:p>
                          <w:p>
                            <w:pPr>
                              <w:rPr>
                                <w:rFonts w:ascii="Arial Black" w:hAnsi="Arial Black"/>
                                <w:b/>
                                <w:color w:val="1f497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1f497d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1f497d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1f497d"/>
                                <w:sz w:val="22"/>
                                <w:szCs w:val="22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875"/>
                <w:rFonts w:ascii="Calibri" w:hAnsi="Calibri" w:eastAsia="Calibri"/>
                <w:i w:val="0"/>
                <w:sz w:val="56"/>
                <w:szCs w:val="56"/>
                <w:lang w:eastAsia="en-US"/>
              </w:rPr>
            </w:r>
            <w:r>
              <w:rPr>
                <w:rStyle w:val="875"/>
                <w:rFonts w:ascii="Calibri" w:hAnsi="Calibri" w:eastAsia="Calibri"/>
                <w:i w:val="0"/>
                <w:sz w:val="56"/>
                <w:szCs w:val="56"/>
                <w:lang w:eastAsia="en-US"/>
              </w:rPr>
            </w:r>
          </w:p>
        </w:tc>
      </w:tr>
    </w:tbl>
    <w:p>
      <w:pPr>
        <w:tabs>
          <w:tab w:val="left" w:pos="3795" w:leader="none"/>
        </w:tabs>
        <w:rPr>
          <w:b/>
          <w:sz w:val="22"/>
          <w:szCs w:val="22"/>
          <w:lang w:eastAsia="en-US"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  <w:sz w:val="22"/>
          <w:szCs w:val="22"/>
          <w:lang w:eastAsia="en-US"/>
        </w:rPr>
      </w:r>
      <w:r>
        <w:rPr>
          <w:b/>
          <w:sz w:val="22"/>
          <w:szCs w:val="22"/>
          <w:lang w:eastAsia="en-US"/>
        </w:rPr>
      </w:r>
    </w:p>
    <w:p>
      <w:pPr>
        <w:tabs>
          <w:tab w:val="left" w:pos="3795" w:leader="none"/>
        </w:tabs>
        <w:rPr>
          <w:b/>
        </w:rPr>
      </w:pPr>
      <w:r>
        <w:rPr>
          <w:b/>
        </w:rPr>
        <w:tab/>
      </w:r>
      <w:r>
        <w:rPr>
          <w:b/>
        </w:rPr>
      </w:r>
      <w:r>
        <w:rPr>
          <w:b/>
        </w:rPr>
      </w:r>
    </w:p>
    <w:p>
      <w:pPr>
        <w:tabs>
          <w:tab w:val="left" w:pos="3795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tabs>
          <w:tab w:val="left" w:pos="3795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spacing w:line="276" w:lineRule="auto"/>
        <w:ind w:firstLine="567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</w:p>
    <w:p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line="276" w:lineRule="auto"/>
        <w:ind w:firstLine="567"/>
        <w:jc w:val="both"/>
      </w:pPr>
    </w:p>
    <w:p>
      <w:pPr>
        <w:spacing w:line="276" w:lineRule="auto"/>
        <w:ind w:firstLine="567"/>
        <w:jc w:val="both"/>
      </w:pPr>
    </w:p>
    <w:p>
      <w:pPr>
        <w:spacing w:line="276" w:lineRule="auto"/>
        <w:ind w:firstLine="567"/>
        <w:jc w:val="both"/>
      </w:pPr>
    </w:p>
    <w:p>
      <w:pPr>
        <w:spacing w:line="276" w:lineRule="auto"/>
        <w:ind w:firstLine="567"/>
        <w:jc w:val="both"/>
      </w:pPr>
    </w:p>
    <w:p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Информационный инструмент «Калькулят</w:t>
      </w:r>
      <w:r>
        <w:rPr>
          <w:sz w:val="28"/>
          <w:szCs w:val="28"/>
        </w:rPr>
        <w:t xml:space="preserve">ор коммунальных платежей для граждан», позволяющий самостоятельно произвести примерный расчет платы за коммунальные услуги и оценить соответствие роста размера платы за коммунальные услуги установленным ограничениям размещен на официальном сайте РСТ Югры (</w:t>
      </w:r>
      <w:hyperlink r:id="rId19" w:tooltip="http://eias.fas.gov.ru/calc_ku/map/" w:history="1">
        <w:r>
          <w:rPr>
            <w:rStyle w:val="873"/>
            <w:sz w:val="28"/>
            <w:szCs w:val="28"/>
          </w:rPr>
          <w:t xml:space="preserve">http://eias.fas.gov.ru/calc_ku/map/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Style w:val="874"/>
          <w:sz w:val="28"/>
          <w:szCs w:val="28"/>
        </w:rPr>
        <w:t xml:space="preserve">Так как очередное изменение тарифов и платы граждан за коммунальные услуги на территории автономного округа произойдет </w:t>
      </w:r>
      <w:r>
        <w:rPr>
          <w:rStyle w:val="874"/>
          <w:b/>
          <w:sz w:val="28"/>
          <w:szCs w:val="28"/>
        </w:rPr>
        <w:t xml:space="preserve">с 1 июля 2025 года</w:t>
      </w:r>
      <w:r>
        <w:rPr>
          <w:rStyle w:val="874"/>
          <w:sz w:val="28"/>
          <w:szCs w:val="28"/>
        </w:rPr>
        <w:t xml:space="preserve">, новые значения в платёжных документах мы увидим </w:t>
      </w:r>
      <w:r>
        <w:rPr>
          <w:rStyle w:val="874"/>
          <w:b/>
          <w:sz w:val="28"/>
          <w:szCs w:val="28"/>
        </w:rPr>
        <w:t xml:space="preserve">в августе</w:t>
      </w:r>
      <w:r>
        <w:rPr>
          <w:rStyle w:val="874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Для того, чтобы самост</w:t>
      </w:r>
      <w:r>
        <w:rPr>
          <w:rFonts w:eastAsia="Calibri"/>
          <w:sz w:val="28"/>
          <w:szCs w:val="28"/>
        </w:rPr>
        <w:t xml:space="preserve">оятельно сравнить рост платы за коммунальные услуги   с 1 июля 2025 года по 31 декабря 2025 года с установленным пределом, необходимо: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сложить плату за коммунальные услуги (холодная вода, горячая вода, водоотведение, газ, тепло, электричество, обращение</w:t>
      </w:r>
      <w:r>
        <w:rPr>
          <w:rFonts w:eastAsia="Calibri"/>
          <w:sz w:val="28"/>
          <w:szCs w:val="28"/>
        </w:rPr>
        <w:t xml:space="preserve"> с ТКО) из платежки за декабрь 2024 года;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2) определить плату за коммунальные услуги в сравниваемом месяце, например, июль 2025 года (с 1 июля 2025 года по 31 июля 2025 года) в сопоставимых условиях: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найти используемый в расчете объем коммунальной услу</w:t>
      </w:r>
      <w:r>
        <w:rPr>
          <w:rFonts w:eastAsia="Calibri"/>
          <w:sz w:val="28"/>
          <w:szCs w:val="28"/>
        </w:rPr>
        <w:t xml:space="preserve">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если плата за услугу рассчитывается по нормативу, то перемножить норматив на показатель, к которому применяется норматив (например, если плата за холодную воду рассчитывается по нормативу 3,0 м3 на 1 человека в месяц, то при 3-х проживающих объем холод</w:t>
      </w:r>
      <w:r>
        <w:rPr>
          <w:rFonts w:eastAsia="Calibri"/>
          <w:sz w:val="28"/>
          <w:szCs w:val="28"/>
        </w:rPr>
        <w:t xml:space="preserve">ной воды = 3,0 * 3 = 9,0 м3);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если плата за услугу рассчитывается по прибору учета, то в расчете необходимо применять объем декабря 2024 года;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найти плату за каждую коммунальную услугу перемножив найденный объем (см. пункт «а») на тариф из платежки за и</w:t>
      </w:r>
      <w:r>
        <w:rPr>
          <w:rFonts w:eastAsia="Calibri"/>
          <w:sz w:val="28"/>
          <w:szCs w:val="28"/>
        </w:rPr>
        <w:t xml:space="preserve">юль 2025 года (с 1 июля 2025 года по 31 июля 2025 года);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найти совокупный платеж за коммунальные услуги (холодная вода, горячая вода, водоотведение, газ, тепло, электричество, обращение с ТКО), рассчитанные согласно пункту «б»);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рассчитать изменение с</w:t>
      </w:r>
      <w:r>
        <w:rPr>
          <w:rFonts w:eastAsia="Calibri"/>
          <w:sz w:val="28"/>
          <w:szCs w:val="28"/>
        </w:rPr>
        <w:t xml:space="preserve">овокупной платы за коммунальные услуги в процентах, поделив получившуюся плату за сравниваемый месяц июль 2025 года (с 1 июля 2025 года по 31 июля 2025 года) на аналогичный показатель за декабрь 2024 года, далее умножить на 100 и вычесть 100.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Получившийся </w:t>
      </w:r>
      <w:r>
        <w:rPr>
          <w:rFonts w:eastAsia="Calibri"/>
          <w:sz w:val="28"/>
          <w:szCs w:val="28"/>
        </w:rPr>
        <w:t xml:space="preserve">показатель и будет фактическим изменением платы за коммунальные услуги по конкретной квартире, который сравнивается с установленным постановлением </w:t>
      </w:r>
      <w:r>
        <w:rPr>
          <w:rFonts w:eastAsia="Calibri"/>
          <w:sz w:val="28"/>
          <w:szCs w:val="28"/>
          <w:highlight w:val="none"/>
        </w:rPr>
        <w:t xml:space="preserve">Губернатора Югры № 185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</w:rPr>
        <w:t xml:space="preserve">предельным индексом по соответствующему муниципальному образованию.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этом, если гражданин</w:t>
      </w:r>
      <w:r>
        <w:rPr>
          <w:rFonts w:eastAsia="Calibri"/>
          <w:sz w:val="28"/>
          <w:szCs w:val="28"/>
        </w:rPr>
        <w:t xml:space="preserve"> проживает в многоквартирном доме, в котором выбран способ управления непосредственное управление или способ управления не выбран или не реализован, в соответствии со статьей 154 раздела </w:t>
      </w:r>
      <w:r>
        <w:rPr>
          <w:rFonts w:eastAsia="Calibri"/>
          <w:sz w:val="28"/>
          <w:szCs w:val="28"/>
          <w:lang w:val="en-US"/>
        </w:rPr>
        <w:t xml:space="preserve">VII</w:t>
      </w:r>
      <w:r>
        <w:rPr>
          <w:rFonts w:eastAsia="Calibri"/>
          <w:sz w:val="28"/>
          <w:szCs w:val="28"/>
        </w:rPr>
        <w:t xml:space="preserve"> Жилищного кодекса Российской Федерации от 29.12.2004 № 188-ФЗ в р</w:t>
      </w:r>
      <w:r>
        <w:rPr>
          <w:rFonts w:eastAsia="Calibri"/>
          <w:sz w:val="28"/>
          <w:szCs w:val="28"/>
        </w:rPr>
        <w:t xml:space="preserve">асчете индекса роста платы за коммунальные ресурсы учитывается плата за холодную воду, горячую воду, электрическую энергию, водоотведение, потребляемые при использовании и содержании общего имущества в многоквартирном доме (далее – ОДН), в остальных случая</w:t>
      </w:r>
      <w:r>
        <w:rPr>
          <w:rFonts w:eastAsia="Calibri"/>
          <w:sz w:val="28"/>
          <w:szCs w:val="28"/>
        </w:rPr>
        <w:t xml:space="preserve">х в расчет платы указанные затраты не включаются.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567"/>
        <w:jc w:val="center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</w:r>
      <w:r>
        <w:rPr>
          <w:rFonts w:eastAsia="Calibri"/>
          <w:b/>
          <w:bCs/>
          <w:sz w:val="20"/>
          <w:szCs w:val="20"/>
        </w:rPr>
      </w:r>
      <w:r>
        <w:rPr>
          <w:rFonts w:eastAsia="Calibri"/>
          <w:b/>
          <w:bCs/>
          <w:sz w:val="20"/>
          <w:szCs w:val="20"/>
        </w:rPr>
      </w:r>
    </w:p>
    <w:p>
      <w:pPr>
        <w:ind w:firstLine="567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  <w:r>
        <w:rPr>
          <w:rFonts w:eastAsia="Calibri"/>
          <w:b/>
          <w:bCs/>
        </w:rPr>
      </w:r>
      <w:r>
        <w:rPr>
          <w:rFonts w:eastAsia="Calibri"/>
          <w:b/>
          <w:bCs/>
        </w:rPr>
      </w:r>
    </w:p>
    <w:p>
      <w:pPr>
        <w:ind w:firstLine="567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sz w:val="22"/>
          <w:szCs w:val="22"/>
          <w:highlight w:val="none"/>
        </w:rPr>
      </w:r>
      <w:r>
        <w:rPr>
          <w:rFonts w:eastAsia="Calibri"/>
          <w:b/>
          <w:bCs/>
          <w:sz w:val="22"/>
          <w:szCs w:val="22"/>
        </w:rPr>
      </w:r>
      <w:r>
        <w:rPr>
          <w:rFonts w:eastAsia="Calibri"/>
          <w:b/>
          <w:bCs/>
          <w:sz w:val="22"/>
          <w:szCs w:val="22"/>
        </w:rPr>
      </w:r>
    </w:p>
    <w:p>
      <w:pPr>
        <w:ind w:firstLine="567"/>
        <w:jc w:val="center"/>
        <w:rPr>
          <w:rFonts w:eastAsia="Calibri"/>
          <w:b/>
          <w:bCs/>
          <w:sz w:val="22"/>
          <w:szCs w:val="22"/>
          <w:highlight w:val="none"/>
        </w:rPr>
      </w:pPr>
      <w:r>
        <w:rPr>
          <w:rFonts w:eastAsia="Calibri"/>
          <w:b/>
          <w:sz w:val="22"/>
          <w:szCs w:val="22"/>
          <w:highlight w:val="none"/>
        </w:rPr>
      </w:r>
      <w:r>
        <w:rPr>
          <w:rFonts w:eastAsia="Calibri"/>
          <w:b/>
          <w:bCs/>
          <w:sz w:val="22"/>
          <w:szCs w:val="22"/>
          <w:highlight w:val="none"/>
        </w:rPr>
      </w:r>
      <w:r>
        <w:rPr>
          <w:rFonts w:eastAsia="Calibri"/>
          <w:b/>
          <w:bCs/>
          <w:sz w:val="22"/>
          <w:szCs w:val="22"/>
          <w:highlight w:val="none"/>
        </w:rPr>
      </w:r>
    </w:p>
    <w:p>
      <w:pPr>
        <w:ind w:firstLine="567"/>
        <w:jc w:val="center"/>
        <w:rPr>
          <w:rFonts w:eastAsia="Calibri"/>
          <w:b/>
          <w:bCs/>
          <w:sz w:val="22"/>
          <w:szCs w:val="22"/>
          <w:highlight w:val="none"/>
        </w:rPr>
      </w:pPr>
      <w:r>
        <w:rPr>
          <w:rFonts w:eastAsia="Calibri"/>
          <w:b/>
          <w:sz w:val="22"/>
          <w:szCs w:val="22"/>
        </w:rPr>
        <w:t xml:space="preserve">Пример расчета изменения размера платы</w:t>
      </w:r>
      <w:r>
        <w:rPr>
          <w:rFonts w:eastAsia="Calibri"/>
          <w:b/>
          <w:bCs/>
          <w:sz w:val="22"/>
          <w:szCs w:val="22"/>
          <w:highlight w:val="none"/>
        </w:rPr>
      </w:r>
      <w:r>
        <w:rPr>
          <w:rFonts w:eastAsia="Calibri"/>
          <w:b/>
          <w:bCs/>
          <w:sz w:val="22"/>
          <w:szCs w:val="22"/>
          <w:highlight w:val="none"/>
        </w:rPr>
      </w:r>
    </w:p>
    <w:p>
      <w:pPr>
        <w:ind w:firstLine="567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за коммунальные услуги (при наличии приборов учета) </w:t>
      </w:r>
      <w:r>
        <w:rPr>
          <w:rFonts w:eastAsia="Calibri"/>
          <w:b/>
          <w:sz w:val="22"/>
          <w:szCs w:val="22"/>
        </w:rPr>
      </w:r>
      <w:r>
        <w:rPr>
          <w:rFonts w:eastAsia="Calibri"/>
          <w:b/>
          <w:sz w:val="22"/>
          <w:szCs w:val="22"/>
        </w:rPr>
      </w:r>
    </w:p>
    <w:p>
      <w:pPr>
        <w:ind w:firstLine="567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в случае, когда выбран способ управления управляющей организацией, ТСЖ, жилищным или иным специализированным кооперативом</w:t>
      </w:r>
      <w:r>
        <w:rPr>
          <w:rFonts w:eastAsia="Calibri"/>
          <w:b/>
          <w:sz w:val="22"/>
          <w:szCs w:val="22"/>
        </w:rPr>
      </w:r>
      <w:r>
        <w:rPr>
          <w:rFonts w:eastAsia="Calibri"/>
          <w:b/>
          <w:sz w:val="22"/>
          <w:szCs w:val="22"/>
        </w:rPr>
      </w:r>
    </w:p>
    <w:p>
      <w:pPr>
        <w:tabs>
          <w:tab w:val="left" w:pos="8100" w:leader="none"/>
        </w:tabs>
        <w:rPr>
          <w:rFonts w:eastAsia="Calibri"/>
          <w:b/>
          <w:sz w:val="20"/>
          <w:szCs w:val="18"/>
          <w:lang w:eastAsia="en-US"/>
        </w:rPr>
      </w:pPr>
      <w:r>
        <w:rPr>
          <w:rFonts w:eastAsia="Calibri"/>
          <w:b/>
          <w:sz w:val="20"/>
          <w:szCs w:val="18"/>
          <w:lang w:eastAsia="en-US"/>
        </w:rPr>
      </w:r>
      <w:r>
        <w:rPr>
          <w:rFonts w:eastAsia="Calibri"/>
          <w:b/>
          <w:sz w:val="20"/>
          <w:szCs w:val="18"/>
          <w:lang w:eastAsia="en-US"/>
        </w:rPr>
      </w:r>
      <w:r>
        <w:rPr>
          <w:rFonts w:eastAsia="Calibri"/>
          <w:b/>
          <w:sz w:val="20"/>
          <w:szCs w:val="18"/>
          <w:lang w:eastAsia="en-US"/>
        </w:rPr>
      </w:r>
    </w:p>
    <w:p>
      <w:pPr>
        <w:tabs>
          <w:tab w:val="left" w:pos="8100" w:leader="none"/>
        </w:tabs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sz w:val="20"/>
          <w:szCs w:val="18"/>
          <w:lang w:eastAsia="en-US"/>
        </w:rPr>
        <w:t xml:space="preserve">Платежный документ за декабрь 2024 года</w:t>
      </w:r>
      <w:r>
        <w:rPr>
          <w:rFonts w:eastAsia="Calibri"/>
          <w:b/>
          <w:sz w:val="20"/>
          <w:szCs w:val="18"/>
          <w:lang w:eastAsia="en-US"/>
        </w:rPr>
        <w:tab/>
      </w:r>
      <w:r>
        <w:rPr>
          <w:rFonts w:eastAsia="Calibri"/>
          <w:b/>
          <w:bCs/>
          <w:sz w:val="20"/>
          <w:szCs w:val="20"/>
          <w:lang w:eastAsia="en-US"/>
        </w:rPr>
      </w:r>
      <w:r>
        <w:rPr>
          <w:rFonts w:eastAsia="Calibri"/>
          <w:b/>
          <w:bCs/>
          <w:sz w:val="20"/>
          <w:szCs w:val="20"/>
          <w:lang w:eastAsia="en-US"/>
        </w:rPr>
      </w:r>
    </w:p>
    <w:p>
      <w:r>
        <w:rPr>
          <w:rFonts w:eastAsia="Calibri"/>
          <w:sz w:val="20"/>
          <w:szCs w:val="18"/>
          <w:lang w:eastAsia="en-US"/>
        </w:rPr>
        <w:t xml:space="preserve">ФИО плательщика: Иванов Иван Иванович</w:t>
      </w:r>
    </w:p>
    <w:p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18"/>
          <w:lang w:eastAsia="en-US"/>
        </w:rPr>
        <w:t xml:space="preserve">Площадь: 54 м</w:t>
      </w:r>
      <w:r>
        <w:rPr>
          <w:rFonts w:eastAsia="Calibri"/>
          <w:sz w:val="20"/>
          <w:szCs w:val="18"/>
          <w:vertAlign w:val="superscript"/>
          <w:lang w:eastAsia="en-US"/>
        </w:rPr>
        <w:t xml:space="preserve">2</w:t>
      </w:r>
      <w:r>
        <w:rPr>
          <w:rFonts w:eastAsia="Calibri"/>
          <w:sz w:val="20"/>
          <w:szCs w:val="18"/>
          <w:lang w:eastAsia="en-US"/>
        </w:rPr>
        <w:t xml:space="preserve">. Кол-во проживающих: 3 чел. Доля МОП 5м</w:t>
      </w:r>
      <w:r>
        <w:rPr>
          <w:rFonts w:eastAsia="Calibri"/>
          <w:sz w:val="20"/>
          <w:szCs w:val="18"/>
          <w:vertAlign w:val="superscript"/>
          <w:lang w:eastAsia="en-US"/>
        </w:rPr>
        <w:t xml:space="preserve">2</w:t>
      </w:r>
      <w:r>
        <w:rPr>
          <w:rFonts w:eastAsia="Calibri"/>
          <w:sz w:val="20"/>
          <w:szCs w:val="18"/>
          <w:lang w:eastAsia="en-US"/>
        </w:rPr>
        <w:t xml:space="preserve">           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tbl>
      <w:tblPr>
        <w:tblpPr w:horzAnchor="text" w:tblpXSpec="left" w:vertAnchor="text" w:tblpY="1" w:leftFromText="180" w:topFromText="0" w:rightFromText="180" w:bottomFromText="0"/>
        <w:tblW w:w="73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551"/>
        <w:gridCol w:w="803"/>
        <w:gridCol w:w="899"/>
        <w:gridCol w:w="979"/>
        <w:gridCol w:w="1134"/>
      </w:tblGrid>
      <w:tr>
        <w:trPr>
          <w:trHeight w:val="416"/>
        </w:trPr>
        <w:tc>
          <w:tcPr>
            <w:tcW w:w="355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      <wp:simplePos x="0" y="0"/>
                      <wp:positionH relativeFrom="margin">
                        <wp:posOffset>5371386</wp:posOffset>
                      </wp:positionH>
                      <wp:positionV relativeFrom="paragraph">
                        <wp:posOffset>1651138</wp:posOffset>
                      </wp:positionV>
                      <wp:extent cx="782320" cy="1047115"/>
                      <wp:effectExtent l="0" t="0" r="17780" b="19685"/>
                      <wp:wrapNone/>
                      <wp:docPr id="5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2318" cy="10471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DBDB"/>
                              </a:solidFill>
                              <a:ln w="12700">
                                <a:solidFill>
                                  <a:srgbClr val="C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7 306,64 </w:t>
                                  </w:r>
                                  <w:r>
                                    <w:rPr>
                                      <w:rFonts w:eastAsia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eastAsia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  <w:r>
                                    <w:rPr>
                                      <w:rFonts w:eastAsia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sz w:val="18"/>
                                      <w:szCs w:val="18"/>
                                      <w:shd w:val="clear" w:color="auto" w:fill="fbe4d5"/>
                                    </w:rPr>
                                    <w:t xml:space="preserve">плата за</w:t>
                                  </w:r>
                                  <w:r>
                                    <w:rPr>
                                      <w:rFonts w:eastAsia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коммунальные услуги в декабре 2024 года</w:t>
                                  </w: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7" o:spid="_x0000_s17" o:spt="1" type="#_x0000_t1" style="position:absolute;z-index:251656192;o:allowoverlap:true;o:allowincell:true;mso-position-horizontal-relative:margin;margin-left:422.9pt;mso-position-horizontal:absolute;mso-position-vertical-relative:text;margin-top:130.0pt;mso-position-vertical:absolute;width:61.6pt;height:82.5pt;mso-wrap-distance-left:9.0pt;mso-wrap-distance-top:0.0pt;mso-wrap-distance-right:9.0pt;mso-wrap-distance-bottom:0.0pt;v-text-anchor:top;visibility:visible;" fillcolor="#F2DBDB" strokecolor="#C00000" strokeweight="1.00pt">
                      <v:stroke dashstyle="longdash"/>
                      <v:textbox inset="0,0,0,0">
                        <w:txbxContent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7 306,64 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  <w:shd w:val="clear" w:color="auto" w:fill="fbe4d5"/>
                              </w:rPr>
                              <w:t xml:space="preserve">плата за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коммунальные услуги в декабре 2024 года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ff0000"/>
                <w:sz w:val="16"/>
                <w:szCs w:val="16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4986360</wp:posOffset>
                      </wp:positionH>
                      <wp:positionV relativeFrom="paragraph">
                        <wp:posOffset>673794</wp:posOffset>
                      </wp:positionV>
                      <wp:extent cx="235005" cy="2095309"/>
                      <wp:effectExtent l="3175" t="3175" r="3175" b="3175"/>
                      <wp:wrapNone/>
                      <wp:docPr id="6" name="Правая фигурная скобк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235004" cy="2095309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7878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8" o:spid="_x0000_s18" o:spt="88" type="#_x0000_t88" style="position:absolute;z-index:251662336;o:allowoverlap:true;o:allowincell:true;mso-position-horizontal-relative:text;margin-left:392.6pt;mso-position-horizontal:absolute;mso-position-vertical-relative:text;margin-top:53.1pt;mso-position-vertical:absolute;width:18.5pt;height:165.0pt;mso-wrap-distance-left:9.0pt;mso-wrap-distance-top:0.0pt;mso-wrap-distance-right:9.0pt;mso-wrap-distance-bottom:0.0pt;v-text-anchor:middle;visibility:visible;" filled="f" strokecolor="#5B9BD5" strokeweight="0.50pt">
                      <v:stroke dashstyle="solid"/>
                      <v:textbox inset="0,0,0,0"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Расчет размера платы за жилищные и коммунальные 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услуги</w:t>
            </w:r>
            <w:r>
              <w:rPr>
                <w:color w:val="000000"/>
                <w:sz w:val="16"/>
                <w:szCs w:val="16"/>
              </w:rPr>
              <w:t xml:space="preserve">д</w:t>
            </w:r>
            <w:r>
              <w:rPr>
                <w:color w:val="000000"/>
                <w:sz w:val="16"/>
                <w:szCs w:val="16"/>
              </w:rPr>
              <w:t xml:space="preserve"> платы*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Ед.изм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9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Объем*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7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Тариф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Итого*, руб.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267"/>
        </w:trPr>
        <w:tc>
          <w:tcPr>
            <w:tcW w:w="355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Содержание и тек. ремонт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9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7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36,81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1987,58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/>
        </w:trPr>
        <w:tc>
          <w:tcPr>
            <w:tcW w:w="355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Капитальный ремонт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9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7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16,06</w:t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tcW w:w="113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867,24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261"/>
        </w:trPr>
        <w:tc>
          <w:tcPr>
            <w:tcW w:w="3551" w:type="dxa"/>
            <w:shd w:val="clear" w:color="ffffff" w:fill="deeaf6" w:themeFill="accent1" w:themeFillTint="33"/>
            <w:noWrap w:val="false"/>
            <w:textDirection w:val="lrTb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Горячее водоснабжение  (ОДН)**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shd w:val="clear" w:color="ffffff" w:fill="deeaf6" w:themeFill="accent1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9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7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4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14"/>
        </w:trPr>
        <w:tc>
          <w:tcPr>
            <w:tcW w:w="3551" w:type="dxa"/>
            <w:shd w:val="clear" w:color="ffffff" w:fill="deeaf6" w:themeFill="accent1" w:themeFillTint="33"/>
            <w:noWrap w:val="false"/>
            <w:textDirection w:val="lrTb"/>
            <w:vAlign w:val="center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тепловая энергия на подогрев ХВС (ОДН)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shd w:val="clear" w:color="ffffff" w:fill="deeaf6" w:themeFill="accent1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Гкал.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9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0,0295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7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2075,56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4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61,23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214"/>
        </w:trPr>
        <w:tc>
          <w:tcPr>
            <w:tcW w:w="3551" w:type="dxa"/>
            <w:shd w:val="clear" w:color="ffffff" w:fill="deeaf6" w:themeFill="accent1" w:themeFillTint="33"/>
            <w:noWrap w:val="false"/>
            <w:textDirection w:val="lrTb"/>
            <w:vAlign w:val="center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холодная вода для ГВС (ОДН)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shd w:val="clear" w:color="ffffff" w:fill="deeaf6" w:themeFill="accent1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9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0,50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7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37,19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4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18,60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247"/>
        </w:trPr>
        <w:tc>
          <w:tcPr>
            <w:tcW w:w="3551" w:type="dxa"/>
            <w:shd w:val="clear" w:color="ffffff" w:fill="deeaf6" w:themeFill="accent1" w:themeFillTint="33"/>
            <w:noWrap w:val="false"/>
            <w:textDirection w:val="lrTb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Холодное водоснабжение  (ОДН)**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shd w:val="clear" w:color="ffffff" w:fill="deeaf6" w:themeFill="accent1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9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0,50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7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74,39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4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37,19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166"/>
        </w:trPr>
        <w:tc>
          <w:tcPr>
            <w:tcW w:w="3551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Холодное водоснабжение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W w:w="803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9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7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74,39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4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669,47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210"/>
        </w:trPr>
        <w:tc>
          <w:tcPr>
            <w:tcW w:w="3551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Электроснабжение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W w:w="803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кВтч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9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7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3,78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4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1 134,36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273"/>
        </w:trPr>
        <w:tc>
          <w:tcPr>
            <w:tcW w:w="3551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Газоснабжение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W w:w="803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9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20,68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7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7,94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4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164,15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253"/>
        </w:trPr>
        <w:tc>
          <w:tcPr>
            <w:tcW w:w="3551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Горячее водоснабжение, в </w:t>
            </w:r>
            <w:r>
              <w:rPr>
                <w:b/>
                <w:sz w:val="16"/>
                <w:szCs w:val="16"/>
              </w:rPr>
              <w:t xml:space="preserve">т.ч</w:t>
            </w:r>
            <w:r>
              <w:rPr>
                <w:b/>
                <w:sz w:val="16"/>
                <w:szCs w:val="16"/>
              </w:rPr>
              <w:t xml:space="preserve">.: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W w:w="803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9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 </w:t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tcW w:w="97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4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 </w:t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</w:tr>
      <w:tr>
        <w:trPr>
          <w:trHeight w:val="273"/>
        </w:trPr>
        <w:tc>
          <w:tcPr>
            <w:tcW w:w="3551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тепловая энергия на подогрев ХВС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W w:w="803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Гкал.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9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0,354</w:t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tcW w:w="97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2 075,56</w:t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tcW w:w="1134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734,75</w:t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</w:tr>
      <w:tr>
        <w:trPr>
          <w:trHeight w:val="300"/>
        </w:trPr>
        <w:tc>
          <w:tcPr>
            <w:tcW w:w="3551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холодная вода для ГВС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W w:w="803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9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3</w:t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tcW w:w="97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74,39</w:t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tcW w:w="1134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223,16</w:t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</w:tr>
      <w:tr>
        <w:trPr>
          <w:trHeight w:val="247"/>
        </w:trPr>
        <w:tc>
          <w:tcPr>
            <w:tcW w:w="3551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Водоотведение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W w:w="803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9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7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86,81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4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1 041,77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273"/>
        </w:trPr>
        <w:tc>
          <w:tcPr>
            <w:tcW w:w="3551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Отопление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W w:w="803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Гкал.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9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1,377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7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2 075,56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4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2 858,05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132"/>
        </w:trPr>
        <w:tc>
          <w:tcPr>
            <w:tcW w:w="3551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Обращение с ТКО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W w:w="803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9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0,399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79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912,08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4" w:type="dxa"/>
            <w:shd w:val="clear" w:color="000000" w:fill="dce6f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363,92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175"/>
        </w:trPr>
        <w:tc>
          <w:tcPr>
            <w:tcW w:w="355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Домофон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9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7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78,70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78,70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219"/>
        </w:trPr>
        <w:tc>
          <w:tcPr>
            <w:tcW w:w="355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Прочие расходы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9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7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262"/>
        </w:trPr>
        <w:tc>
          <w:tcPr>
            <w:tcW w:w="355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Итого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9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7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10 240,16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</w:tbl>
    <w:p>
      <w:pPr>
        <w:ind w:firstLine="567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/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t xml:space="preserve">Расчет платы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6"/>
        <w:jc w:val="center"/>
        <w:rPr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t xml:space="preserve">за июль 2025 года в сопоставимых условиях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6"/>
        <w:jc w:val="center"/>
        <w:rPr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t xml:space="preserve">(объемы декабрь 2024 года, тарифы с 1 июля 2025 года)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tabs>
          <w:tab w:val="left" w:pos="8100" w:leader="none"/>
        </w:tabs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tabs>
          <w:tab w:val="left" w:pos="8100" w:leader="none"/>
        </w:tabs>
      </w:pPr>
      <w:r>
        <w:rPr>
          <w:rFonts w:eastAsia="Calibri"/>
          <w:b/>
          <w:sz w:val="20"/>
          <w:szCs w:val="18"/>
          <w:lang w:eastAsia="en-US"/>
        </w:rPr>
        <w:t xml:space="preserve">Платежный документ за июль</w:t>
      </w:r>
      <w:r>
        <w:rPr>
          <w:rFonts w:eastAsia="Calibri"/>
          <w:sz w:val="20"/>
          <w:szCs w:val="18"/>
          <w:lang w:eastAsia="en-US"/>
        </w:rPr>
        <w:t xml:space="preserve"> 2025 года</w:t>
      </w:r>
    </w:p>
    <w:p>
      <w:r>
        <w:rPr>
          <w:rFonts w:eastAsia="Calibri"/>
          <w:sz w:val="20"/>
          <w:szCs w:val="18"/>
          <w:lang w:eastAsia="en-US"/>
        </w:rPr>
        <w:t xml:space="preserve">ФИО плательщика: Иванов Иван Иванович</w:t>
      </w:r>
    </w:p>
    <w:p>
      <w:r>
        <w:rPr>
          <w:rFonts w:eastAsia="Calibri"/>
          <w:sz w:val="20"/>
          <w:szCs w:val="18"/>
          <w:lang w:eastAsia="en-US"/>
        </w:rPr>
        <w:t xml:space="preserve">Площадь: 54 м</w:t>
      </w:r>
      <w:r>
        <w:rPr>
          <w:rFonts w:eastAsia="Calibri"/>
          <w:sz w:val="20"/>
          <w:szCs w:val="18"/>
          <w:vertAlign w:val="superscript"/>
          <w:lang w:eastAsia="en-US"/>
        </w:rPr>
        <w:t xml:space="preserve">2</w:t>
      </w:r>
      <w:r>
        <w:rPr>
          <w:rFonts w:eastAsia="Calibri"/>
          <w:sz w:val="20"/>
          <w:szCs w:val="18"/>
          <w:lang w:eastAsia="en-US"/>
        </w:rPr>
        <w:t xml:space="preserve">. Кол-во проживающих: 3 чел. Доля МОП 5м</w:t>
      </w:r>
      <w:r>
        <w:rPr>
          <w:rFonts w:eastAsia="Calibri"/>
          <w:sz w:val="20"/>
          <w:szCs w:val="18"/>
          <w:vertAlign w:val="superscript"/>
          <w:lang w:eastAsia="en-US"/>
        </w:rPr>
        <w:t xml:space="preserve">2</w:t>
      </w:r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780114</wp:posOffset>
                </wp:positionV>
                <wp:extent cx="379379" cy="2264019"/>
                <wp:effectExtent l="3175" t="3175" r="3175" b="3175"/>
                <wp:wrapNone/>
                <wp:docPr id="7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79378" cy="2264019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o:spt="88" type="#_x0000_t88" style="position:absolute;z-index:251659264;o:allowoverlap:true;o:allowincell:true;mso-position-horizontal-relative:text;margin-left:377.0pt;mso-position-horizontal:absolute;mso-position-vertical-relative:text;margin-top:61.4pt;mso-position-vertical:absolute;width:29.9pt;height:178.3pt;mso-wrap-distance-left:9.0pt;mso-wrap-distance-top:0.0pt;mso-wrap-distance-right:9.0pt;mso-wrap-distance-bottom:0.0pt;visibility:visible;" filled="f" strokecolor="#5B9BD5" strokeweight="0.50pt">
                <v:stroke dashstyle="solid"/>
              </v:shape>
            </w:pict>
          </mc:Fallback>
        </mc:AlternateContent>
      </w:r>
      <w:r>
        <w:rPr>
          <w:rFonts w:eastAsia="Calibri"/>
          <w:sz w:val="20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5250950</wp:posOffset>
                </wp:positionH>
                <wp:positionV relativeFrom="paragraph">
                  <wp:posOffset>1627505</wp:posOffset>
                </wp:positionV>
                <wp:extent cx="743578" cy="1014883"/>
                <wp:effectExtent l="0" t="0" r="1905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76" cy="1014882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7 964,24 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–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плата за коммунальные услуги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в июле 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2025 года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0" o:spid="_x0000_s20" o:spt="1" type="#_x0000_t1" style="position:absolute;z-index:251657216;o:allowoverlap:true;o:allowincell:true;mso-position-horizontal-relative:margin;margin-left:413.5pt;mso-position-horizontal:absolute;mso-position-vertical-relative:text;margin-top:128.2pt;mso-position-vertical:absolute;width:58.5pt;height:79.9pt;mso-wrap-distance-left:9.0pt;mso-wrap-distance-top:0.0pt;mso-wrap-distance-right:9.0pt;mso-wrap-distance-bottom:0.0pt;v-text-anchor:top;visibility:visible;" fillcolor="#F2DBDB" strokecolor="#C00000" strokeweight="1.00pt">
                <v:stroke dashstyle="longdash"/>
                <v:textbox inset="0,0,0,0">
                  <w:txbxContent>
                    <w:p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7 964,24 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–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</w:r>
                    </w:p>
                    <w:p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плата за коммунальные услуги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</w:r>
                    </w:p>
                    <w:p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в июле 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</w:r>
                    </w:p>
                    <w:p>
                      <w:pPr>
                        <w:jc w:val="center"/>
                        <w:rPr>
                          <w:rFonts w:eastAsia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2025 года</w:t>
                      </w:r>
                      <w:r>
                        <w:rPr>
                          <w:rFonts w:eastAsia="Calibri"/>
                          <w:b/>
                          <w:bCs/>
                          <w:sz w:val="18"/>
                          <w:szCs w:val="18"/>
                        </w:rPr>
                      </w:r>
                      <w:r>
                        <w:rPr>
                          <w:rFonts w:eastAsia="Calibri"/>
                          <w:b/>
                          <w:bCs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sz w:val="20"/>
          <w:szCs w:val="18"/>
          <w:lang w:eastAsia="en-US"/>
        </w:rPr>
        <w:t xml:space="preserve">Расчет размера платы за жилищные и коммунальные услуги</w:t>
      </w:r>
    </w:p>
    <w:tbl>
      <w:tblPr>
        <w:tblpPr w:horzAnchor="text" w:tblpXSpec="left" w:vertAnchor="text" w:tblpY="1" w:leftFromText="180" w:topFromText="0" w:rightFromText="180" w:bottomFromText="0"/>
        <w:tblW w:w="73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460"/>
        <w:gridCol w:w="840"/>
        <w:gridCol w:w="881"/>
        <w:gridCol w:w="1051"/>
        <w:gridCol w:w="1134"/>
      </w:tblGrid>
      <w:tr>
        <w:trPr>
          <w:trHeight w:val="376"/>
        </w:trPr>
        <w:tc>
          <w:tcPr>
            <w:tcW w:w="3460" w:type="dxa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Вид платы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40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Ед. </w:t>
            </w:r>
            <w:r>
              <w:rPr>
                <w:color w:val="000000"/>
                <w:sz w:val="16"/>
                <w:szCs w:val="16"/>
              </w:rPr>
              <w:t xml:space="preserve">изм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8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Объем*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05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Тариф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Итого*, руб.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278"/>
        </w:trPr>
        <w:tc>
          <w:tcPr>
            <w:tcW w:w="3460" w:type="dxa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Содержание и тек. ремонт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40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38,94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2102,86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300"/>
        </w:trPr>
        <w:tc>
          <w:tcPr>
            <w:tcW w:w="3460" w:type="dxa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Капитальный ремонт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40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17,</w:t>
            </w:r>
            <w:r>
              <w:rPr>
                <w:color w:val="ff0000"/>
                <w:sz w:val="16"/>
                <w:szCs w:val="16"/>
              </w:rPr>
              <w:t xml:space="preserve">5</w:t>
            </w:r>
            <w:r>
              <w:rPr>
                <w:color w:val="ff0000"/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</w:t>
            </w:r>
            <w:r>
              <w:rPr>
                <w:color w:val="000000"/>
                <w:sz w:val="16"/>
                <w:szCs w:val="16"/>
              </w:rPr>
              <w:t xml:space="preserve">4</w:t>
            </w: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  <w:t xml:space="preserve">,</w:t>
            </w: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244"/>
        </w:trPr>
        <w:tc>
          <w:tcPr>
            <w:tcW w:w="3460" w:type="dxa"/>
            <w:shd w:val="clear" w:color="ffffff" w:fill="deeaf6" w:themeFill="accent1" w:themeFillTint="33"/>
            <w:noWrap w:val="false"/>
            <w:textDirection w:val="lrTb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Горячее водоснабжение  (ОДН)**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40" w:type="dxa"/>
            <w:shd w:val="clear" w:color="ffffff" w:fill="deeaf6" w:themeFill="accent1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310"/>
        </w:trPr>
        <w:tc>
          <w:tcPr>
            <w:tcW w:w="3460" w:type="dxa"/>
            <w:shd w:val="clear" w:color="ffffff" w:fill="deeaf6" w:themeFill="accent1" w:themeFillTint="33"/>
            <w:noWrap w:val="false"/>
            <w:textDirection w:val="lrTb"/>
            <w:vAlign w:val="center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тепловая энергия на подогрев ХВС (ОДН)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40" w:type="dxa"/>
            <w:shd w:val="clear" w:color="ffffff" w:fill="deeaf6" w:themeFill="accent1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Гкал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0,0295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2262,36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66,74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238"/>
        </w:trPr>
        <w:tc>
          <w:tcPr>
            <w:tcW w:w="3460" w:type="dxa"/>
            <w:shd w:val="clear" w:color="ffffff" w:fill="deeaf6" w:themeFill="accent1" w:themeFillTint="33"/>
            <w:noWrap w:val="false"/>
            <w:textDirection w:val="lrTb"/>
            <w:vAlign w:val="center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холодная вода для ГВС (ОДН)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40" w:type="dxa"/>
            <w:shd w:val="clear" w:color="ffffff" w:fill="deeaf6" w:themeFill="accent1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0,50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40,54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20,27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271"/>
        </w:trPr>
        <w:tc>
          <w:tcPr>
            <w:tcW w:w="3460" w:type="dxa"/>
            <w:shd w:val="clear" w:color="ffffff" w:fill="deeaf6" w:themeFill="accent1" w:themeFillTint="33"/>
            <w:noWrap w:val="false"/>
            <w:textDirection w:val="lrTb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Холодное водоснабжение  (ОДН)**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40" w:type="dxa"/>
            <w:shd w:val="clear" w:color="ffffff" w:fill="deeaf6" w:themeFill="accent1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0,50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81,08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40,54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174"/>
        </w:trPr>
        <w:tc>
          <w:tcPr>
            <w:tcW w:w="3460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Холодное водоснабжение 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W w:w="840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81,08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729,72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218"/>
        </w:trPr>
        <w:tc>
          <w:tcPr>
            <w:tcW w:w="3460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Электроснабжение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W w:w="840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кВтч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4,12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1236,45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261"/>
        </w:trPr>
        <w:tc>
          <w:tcPr>
            <w:tcW w:w="3460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Газоснабжение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W w:w="840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20,68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8,65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178,92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273"/>
        </w:trPr>
        <w:tc>
          <w:tcPr>
            <w:tcW w:w="3460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Горячее водоснабжение, в </w:t>
            </w:r>
            <w:r>
              <w:rPr>
                <w:b/>
                <w:sz w:val="16"/>
                <w:szCs w:val="16"/>
              </w:rPr>
              <w:t xml:space="preserve">т.ч</w:t>
            </w:r>
            <w:r>
              <w:rPr>
                <w:b/>
                <w:sz w:val="16"/>
                <w:szCs w:val="16"/>
              </w:rPr>
              <w:t xml:space="preserve">.: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W w:w="840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259"/>
        </w:trPr>
        <w:tc>
          <w:tcPr>
            <w:tcW w:w="3460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тепловая энергия на подогрев ХВС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W w:w="840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Гкал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0,354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2262,36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800,88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300"/>
        </w:trPr>
        <w:tc>
          <w:tcPr>
            <w:tcW w:w="3460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холодная вода для ГВС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W w:w="840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81,08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243,24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260"/>
        </w:trPr>
        <w:tc>
          <w:tcPr>
            <w:tcW w:w="3460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Водоотведение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W w:w="840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94,63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1135,53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300"/>
        </w:trPr>
        <w:tc>
          <w:tcPr>
            <w:tcW w:w="3460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Отопление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W w:w="840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Гкал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1,377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2262,36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3115,27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271"/>
        </w:trPr>
        <w:tc>
          <w:tcPr>
            <w:tcW w:w="3460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Обращение с ТКО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W w:w="840" w:type="dxa"/>
            <w:shd w:val="clear" w:color="ffffff" w:fill="d9e2f3" w:themeFill="accent5" w:themeFillTint="33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0,399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994,17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396,67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251"/>
        </w:trPr>
        <w:tc>
          <w:tcPr>
            <w:tcW w:w="3460" w:type="dxa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Домофон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40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85,79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85,79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203"/>
        </w:trPr>
        <w:tc>
          <w:tcPr>
            <w:tcW w:w="3460" w:type="dxa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Прочие расходы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40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273"/>
        </w:trPr>
        <w:tc>
          <w:tcPr>
            <w:tcW w:w="3460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Итого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40" w:type="dxa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57" w:lineRule="atLeas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57" w:lineRule="atLeas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11098,9</w:t>
            </w:r>
            <w:r>
              <w:rPr>
                <w:b/>
                <w:color w:val="000000"/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</w:pPr>
    </w:p>
    <w:p>
      <w:pPr>
        <w:jc w:val="both"/>
      </w:pP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Расчет производится при неизменном наборе и объеме коммунальных услуг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**При наличии прямых договоров с </w:t>
      </w:r>
      <w:r>
        <w:rPr>
          <w:sz w:val="16"/>
          <w:szCs w:val="16"/>
        </w:rPr>
        <w:t xml:space="preserve">ресурсоснабжающей</w:t>
      </w:r>
      <w:r>
        <w:rPr>
          <w:sz w:val="16"/>
          <w:szCs w:val="16"/>
        </w:rPr>
        <w:t xml:space="preserve"> организацией, услуга относится к коммунальной услуге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eastAsia="Calibri"/>
          <w:b/>
          <w:bCs/>
          <w:sz w:val="18"/>
          <w:szCs w:val="18"/>
        </w:rPr>
      </w:pPr>
      <w:r>
        <w:rPr>
          <w:rFonts w:eastAsia="Calibri"/>
          <w:b/>
          <w:bCs/>
          <w:sz w:val="18"/>
          <w:szCs w:val="18"/>
        </w:rPr>
      </w:r>
      <w:r>
        <w:rPr>
          <w:rFonts w:eastAsia="Calibri"/>
          <w:b/>
          <w:bCs/>
          <w:sz w:val="18"/>
          <w:szCs w:val="18"/>
        </w:rPr>
      </w:r>
      <w:r>
        <w:rPr>
          <w:rFonts w:eastAsia="Calibri"/>
          <w:b/>
          <w:bCs/>
          <w:sz w:val="18"/>
          <w:szCs w:val="18"/>
        </w:rPr>
      </w:r>
    </w:p>
    <w:p>
      <w:r>
        <w:rPr>
          <w:color w:val="ff0000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892437" cy="654754"/>
                <wp:effectExtent l="0" t="0" r="32384" b="50165"/>
                <wp:wrapNone/>
                <wp:docPr id="9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437" cy="65475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2DBDB"/>
                            </a:gs>
                            <a:gs pos="100000">
                              <a:srgbClr val="F2DBDB"/>
                            </a:gs>
                          </a:gsLst>
                          <a:path path="shape"/>
                        </a:gradFill>
                        <a:ln w="12700">
                          <a:solidFill>
                            <a:srgbClr val="622423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Индекс роста платы граждан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 за коммунальные услуги за июль 2025 года к декабрю 2024 года:</w:t>
                            </w:r>
                          </w:p>
                          <w:p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7 964,24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 xml:space="preserve">/</w:t>
                            </w: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7 306,64</w:t>
                            </w:r>
                            <w:r>
                              <w:rPr>
                                <w:rFonts w:eastAsia="Calibri"/>
                                <w:b/>
                                <w:color w:val="6324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 xml:space="preserve">х 100 - 100 = 9,0 %</w:t>
                            </w:r>
                            <w:r>
                              <w:rPr>
                                <w:rFonts w:eastAsia="Calibri"/>
                                <w:bCs/>
                                <w:color w:val="002060"/>
                              </w:rPr>
                            </w:r>
                            <w:r>
                              <w:rPr>
                                <w:rFonts w:eastAsia="Calibri"/>
                                <w:bCs/>
                                <w:color w:val="00206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21" o:spid="_x0000_s21" o:spt="1" type="#_x0000_t1" style="position:absolute;z-index:251655168;o:allowoverlap:true;o:allowincell:true;mso-position-horizontal-relative:margin;mso-position-horizontal:right;mso-position-vertical-relative:text;margin-top:0.9pt;mso-position-vertical:absolute;width:464.0pt;height:51.6pt;mso-wrap-distance-left:9.0pt;mso-wrap-distance-top:0.0pt;mso-wrap-distance-right:9.0pt;mso-wrap-distance-bottom:0.0pt;v-text-anchor:top;visibility:visible;" fillcolor="#F2DBDB" strokecolor="#622423" strokeweight="1.00pt">
                <v:stroke dashstyle="longdash"/>
                <v:textbox inset="0,0,0,0">
                  <w:txbxContent>
                    <w:p>
                      <w:pPr>
                        <w:jc w:val="center"/>
                      </w:pPr>
                      <w:r>
                        <w:rPr>
                          <w:b/>
                          <w:color w:val="002060"/>
                        </w:rPr>
                        <w:t xml:space="preserve">Индекс роста платы граждан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b/>
                          <w:color w:val="002060"/>
                        </w:rPr>
                        <w:t xml:space="preserve"> за коммунальные услуги за июль 2025 года к декабрю 2024 года:</w:t>
                      </w:r>
                    </w:p>
                    <w:p>
                      <w:pPr>
                        <w:spacing w:line="276" w:lineRule="auto"/>
                        <w:jc w:val="center"/>
                        <w:rPr>
                          <w:rFonts w:eastAsia="Calibri"/>
                          <w:bCs/>
                          <w:color w:val="002060"/>
                        </w:rPr>
                      </w:pPr>
                      <w:r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7 964,24</w:t>
                      </w:r>
                      <w:r>
                        <w:rPr>
                          <w:b/>
                          <w:color w:val="632423"/>
                        </w:rPr>
                        <w:t xml:space="preserve">/</w:t>
                      </w:r>
                      <w:r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7 306,64</w:t>
                      </w:r>
                      <w:r>
                        <w:rPr>
                          <w:rFonts w:eastAsia="Calibri"/>
                          <w:b/>
                          <w:color w:val="632423"/>
                        </w:rPr>
                        <w:t xml:space="preserve"> </w:t>
                      </w:r>
                      <w:r>
                        <w:rPr>
                          <w:b/>
                          <w:color w:val="632423"/>
                        </w:rPr>
                        <w:t xml:space="preserve">х 100 - 100 = 9,0 %</w:t>
                      </w:r>
                      <w:r>
                        <w:rPr>
                          <w:rFonts w:eastAsia="Calibri"/>
                          <w:bCs/>
                          <w:color w:val="002060"/>
                        </w:rPr>
                      </w:r>
                      <w:r>
                        <w:rPr>
                          <w:rFonts w:eastAsia="Calibri"/>
                          <w:bCs/>
                          <w:color w:val="002060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tabs>
          <w:tab w:val="left" w:pos="8931" w:leader="none"/>
        </w:tabs>
        <w:spacing w:line="276" w:lineRule="auto"/>
        <w:ind w:firstLine="567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Если при одинаковом наборе коммунальных услуг и сопоставимых объемах потребления, рост платы за коммунальные услуги превысит, установленное постановлением </w:t>
      </w:r>
      <w:r>
        <w:rPr>
          <w:rFonts w:eastAsia="Calibri"/>
          <w:sz w:val="28"/>
          <w:szCs w:val="28"/>
          <w:highlight w:val="none"/>
        </w:rPr>
        <w:t xml:space="preserve">Губернатора Югры № 185 </w:t>
      </w:r>
      <w:r>
        <w:rPr>
          <w:rFonts w:eastAsia="Calibri"/>
          <w:sz w:val="28"/>
          <w:szCs w:val="28"/>
          <w:highlight w:val="none"/>
        </w:rPr>
        <w:t xml:space="preserve">из</w:t>
      </w:r>
      <w:r>
        <w:rPr>
          <w:rFonts w:eastAsia="Calibri"/>
          <w:sz w:val="28"/>
          <w:szCs w:val="28"/>
        </w:rPr>
        <w:t xml:space="preserve">менение размера платы за коммунальные услуги, необходимо обратиться в свою Управля</w:t>
      </w:r>
      <w:r>
        <w:rPr>
          <w:rFonts w:eastAsia="Calibri"/>
          <w:sz w:val="28"/>
          <w:szCs w:val="28"/>
        </w:rPr>
        <w:t xml:space="preserve">ющую компанию, либо ТСЖ за разъяснениями. 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Повышение тарифов в автономном округе – Югре сопровождается социальной защитой граждан с низким у</w:t>
      </w:r>
      <w:r>
        <w:rPr>
          <w:rFonts w:eastAsia="Calibri"/>
          <w:sz w:val="28"/>
          <w:szCs w:val="28"/>
        </w:rPr>
        <w:t xml:space="preserve">ровнем доходов.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законом Ханты-Мансийского автономного округа – Югры от 06.07.2005 № 57-оз «О регулировании отдельных жилищных отношений в Ханты-Мансийском автономном округе - Югре» граждане, чьи расходы на оплату жилого помещения и коммуна</w:t>
      </w:r>
      <w:r>
        <w:rPr>
          <w:rFonts w:eastAsia="Calibri"/>
          <w:sz w:val="28"/>
          <w:szCs w:val="28"/>
        </w:rPr>
        <w:t xml:space="preserve">льных услуг превышают величину максимально допустимой доли расходов граждан на оплату жилого помещения и коммунальных услуг в совокупном доходе семьи, имеют право на получение субсидии.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Для получения разъяснений и предоставления субсидий по оплате за жилищ</w:t>
      </w:r>
      <w:r>
        <w:rPr>
          <w:rFonts w:eastAsia="Calibri"/>
          <w:sz w:val="28"/>
          <w:szCs w:val="28"/>
        </w:rPr>
        <w:t xml:space="preserve">ные и к</w:t>
      </w:r>
      <w:r>
        <w:rPr>
          <w:rFonts w:eastAsia="Calibri"/>
          <w:sz w:val="28"/>
          <w:szCs w:val="28"/>
        </w:rPr>
        <w:t xml:space="preserve">оммунальные услуги необходимо обращаться в Управления социальной защиты населения по месту жительства, контакты которых размещены </w:t>
      </w:r>
      <w:r>
        <w:rPr>
          <w:sz w:val="28"/>
          <w:szCs w:val="28"/>
        </w:rPr>
        <w:t xml:space="preserve">на официальном сайте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социального развития автономного округа </w:t>
      </w:r>
      <w:r>
        <w:rPr>
          <w:sz w:val="28"/>
          <w:szCs w:val="28"/>
        </w:rPr>
      </w:r>
      <w:hyperlink r:id="rId20" w:tooltip="http://www.depsr.admhmao.ru/" w:history="1">
        <w:r>
          <w:rPr>
            <w:rStyle w:val="873"/>
            <w:bCs/>
            <w:sz w:val="28"/>
            <w:szCs w:val="28"/>
          </w:rPr>
        </w:r>
        <w:r>
          <w:rPr>
            <w:rStyle w:val="873"/>
            <w:bCs/>
            <w:sz w:val="28"/>
            <w:szCs w:val="28"/>
          </w:rPr>
          <w:t xml:space="preserve">https://depsr.admhmao.ru/</w:t>
        </w:r>
        <w:r>
          <w:rPr>
            <w:rStyle w:val="873"/>
            <w:bCs/>
            <w:sz w:val="28"/>
            <w:szCs w:val="28"/>
          </w:rPr>
        </w:r>
      </w:hyperlink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нижней части страницы</w:t>
      </w:r>
      <w:r>
        <w:rPr>
          <w:sz w:val="28"/>
          <w:szCs w:val="28"/>
        </w:rPr>
        <w:t xml:space="preserve"> раздела «Контакты»</w:t>
      </w:r>
      <w:r>
        <w:rPr>
          <w:rFonts w:eastAsia="Calibri"/>
          <w:sz w:val="28"/>
          <w:szCs w:val="28"/>
        </w:rPr>
        <w:t xml:space="preserve"> (</w:t>
      </w:r>
      <w:hyperlink r:id="rId21" w:tooltip="https://depsr.admhmao.ru/kontakty/" w:history="1">
        <w:r>
          <w:rPr>
            <w:rStyle w:val="873"/>
            <w:rFonts w:eastAsia="Calibri"/>
            <w:sz w:val="28"/>
            <w:szCs w:val="28"/>
          </w:rPr>
          <w:t xml:space="preserve">https://depsr.admhmao.ru/kontakty/</w:t>
        </w:r>
      </w:hyperlink>
      <w:r>
        <w:rPr>
          <w:rFonts w:eastAsia="Calibri"/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uppressLineNumbers w:val="0"/>
        <w:spacing w:before="0" w:after="0" w:line="276" w:lineRule="auto"/>
        <w:ind w:firstLine="851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Информация о </w:t>
      </w:r>
      <w:r>
        <w:rPr>
          <w:rFonts w:eastAsia="Arial Unicode MS"/>
          <w:sz w:val="28"/>
          <w:szCs w:val="28"/>
        </w:rPr>
        <w:t xml:space="preserve"> тарифах и плате за коммунальные услуги на 2025 год и об особенностях установления единых тарифов на </w:t>
      </w:r>
      <w:r>
        <w:rPr>
          <w:rFonts w:eastAsia="Arial Unicode MS"/>
          <w:sz w:val="28"/>
          <w:szCs w:val="28"/>
        </w:rPr>
        <w:t xml:space="preserve">услугу по обращению с твердыми коммунальными отходами на 2025 год</w:t>
      </w:r>
      <w:r>
        <w:rPr>
          <w:rFonts w:eastAsia="Calibri"/>
          <w:sz w:val="28"/>
          <w:szCs w:val="28"/>
        </w:rPr>
        <w:t xml:space="preserve"> размещена на сайте РСТ Югры в разделе «Для граждан» </w:t>
      </w:r>
      <w:hyperlink r:id="rId22" w:tooltip="https://rst.admhmao.ru/dlya-grazhdan/" w:history="1">
        <w:r>
          <w:rPr>
            <w:rStyle w:val="873"/>
            <w:sz w:val="28"/>
            <w:szCs w:val="28"/>
          </w:rPr>
          <w:t xml:space="preserve">https://rst.</w:t>
        </w:r>
        <w:r>
          <w:rPr>
            <w:rStyle w:val="873"/>
            <w:sz w:val="28"/>
            <w:szCs w:val="28"/>
          </w:rPr>
          <w:t xml:space="preserve">a</w:t>
        </w:r>
        <w:r>
          <w:rPr>
            <w:rStyle w:val="873"/>
            <w:sz w:val="28"/>
            <w:szCs w:val="28"/>
          </w:rPr>
          <w:t xml:space="preserve">dmhmao.ru/dlya-grazhdan/</w:t>
        </w:r>
      </w:hyperlink>
      <w:r>
        <w:rPr>
          <w:sz w:val="28"/>
          <w:szCs w:val="28"/>
        </w:rPr>
        <w:t xml:space="preserve"> 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мониторинга изменения платы граждан за коммунальные услуги ежемесячно размещается </w:t>
      </w:r>
      <w:r>
        <w:rPr>
          <w:rFonts w:eastAsia="Calibri"/>
          <w:sz w:val="28"/>
          <w:szCs w:val="28"/>
        </w:rPr>
        <w:t xml:space="preserve">на сайте РСТ Югры  в разделе «Для граждан» в </w:t>
      </w:r>
      <w:r>
        <w:rPr>
          <w:rStyle w:val="874"/>
          <w:sz w:val="28"/>
          <w:szCs w:val="28"/>
        </w:rPr>
        <w:t xml:space="preserve">подразделе «Плата граждан за коммунальные услуги», блоке «Мониторинг изменения платы граждан за коммунал</w:t>
      </w:r>
      <w:r>
        <w:rPr>
          <w:rStyle w:val="874"/>
          <w:sz w:val="28"/>
          <w:szCs w:val="28"/>
        </w:rPr>
        <w:t xml:space="preserve">ьные услуги»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hyperlink r:id="rId23" w:tooltip="https://rst.admhmao.ru/dlya-grazhdan/" w:history="1">
        <w:r>
          <w:rPr>
            <w:rStyle w:val="873"/>
            <w:rFonts w:eastAsia="Calibri"/>
            <w:sz w:val="28"/>
            <w:szCs w:val="28"/>
          </w:rPr>
          <w:t xml:space="preserve">https://rst.ad</w:t>
        </w:r>
        <w:r>
          <w:rPr>
            <w:rStyle w:val="873"/>
            <w:rFonts w:eastAsia="Calibri"/>
            <w:sz w:val="28"/>
            <w:szCs w:val="28"/>
          </w:rPr>
          <w:t xml:space="preserve">m</w:t>
        </w:r>
        <w:r>
          <w:rPr>
            <w:rStyle w:val="873"/>
            <w:rFonts w:eastAsia="Calibri"/>
            <w:sz w:val="28"/>
            <w:szCs w:val="28"/>
          </w:rPr>
          <w:t xml:space="preserve">hmao.ru/</w:t>
        </w:r>
        <w:r>
          <w:rPr>
            <w:rStyle w:val="873"/>
            <w:rFonts w:eastAsia="Calibri"/>
            <w:sz w:val="28"/>
            <w:szCs w:val="28"/>
          </w:rPr>
          <w:t xml:space="preserve">d</w:t>
        </w:r>
        <w:r>
          <w:rPr>
            <w:rStyle w:val="873"/>
            <w:rFonts w:eastAsia="Calibri"/>
            <w:sz w:val="28"/>
            <w:szCs w:val="28"/>
          </w:rPr>
          <w:t xml:space="preserve">lya-grazhdan/</w:t>
        </w:r>
      </w:hyperlink>
      <w:r>
        <w:rPr>
          <w:rStyle w:val="873"/>
          <w:rFonts w:eastAsia="Calibri"/>
          <w:color w:val="000000" w:themeColor="text1"/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276" w:right="851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Segoe UI">
    <w:panose1 w:val="020B0502040204020203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2638807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PAGE   \* MERGEFORMAT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7</w:t>
        </w:r>
        <w:r>
          <w:rPr>
            <w:sz w:val="22"/>
            <w:szCs w:val="22"/>
          </w:rPr>
          <w:fldChar w:fldCharType="end"/>
        </w:r>
        <w:r>
          <w:rPr>
            <w:sz w:val="22"/>
            <w:szCs w:val="22"/>
          </w:rPr>
        </w:r>
        <w:r>
          <w:rPr>
            <w:sz w:val="22"/>
            <w:szCs w:val="22"/>
          </w:rPr>
        </w:r>
      </w:p>
    </w:sdtContent>
  </w:sdt>
  <w:p>
    <w:pPr>
      <w:pStyle w:val="87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9">
    <w:name w:val="Caption Char"/>
    <w:basedOn w:val="728"/>
    <w:link w:val="879"/>
    <w:uiPriority w:val="99"/>
  </w:style>
  <w:style w:type="paragraph" w:styleId="68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1">
    <w:name w:val="Heading 1"/>
    <w:basedOn w:val="680"/>
    <w:next w:val="680"/>
    <w:link w:val="70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link w:val="70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71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71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71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6">
    <w:name w:val="Heading 6"/>
    <w:basedOn w:val="680"/>
    <w:next w:val="680"/>
    <w:link w:val="71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71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1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16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1 Char"/>
    <w:basedOn w:val="690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Heading 2 Char"/>
    <w:basedOn w:val="690"/>
    <w:uiPriority w:val="9"/>
    <w:rPr>
      <w:rFonts w:ascii="Arial" w:hAnsi="Arial" w:eastAsia="Arial" w:cs="Arial"/>
      <w:sz w:val="34"/>
    </w:rPr>
  </w:style>
  <w:style w:type="character" w:styleId="695" w:customStyle="1">
    <w:name w:val="Heading 3 Char"/>
    <w:basedOn w:val="690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basedOn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basedOn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basedOn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7 Char"/>
    <w:basedOn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8 Char"/>
    <w:basedOn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Heading 9 Char"/>
    <w:basedOn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702" w:customStyle="1">
    <w:name w:val="Title Char"/>
    <w:basedOn w:val="690"/>
    <w:uiPriority w:val="10"/>
    <w:rPr>
      <w:sz w:val="48"/>
      <w:szCs w:val="48"/>
    </w:rPr>
  </w:style>
  <w:style w:type="character" w:styleId="703" w:customStyle="1">
    <w:name w:val="Subtitle Char"/>
    <w:basedOn w:val="690"/>
    <w:uiPriority w:val="11"/>
    <w:rPr>
      <w:sz w:val="24"/>
      <w:szCs w:val="24"/>
    </w:rPr>
  </w:style>
  <w:style w:type="character" w:styleId="704" w:customStyle="1">
    <w:name w:val="Quote Char"/>
    <w:uiPriority w:val="29"/>
    <w:rPr>
      <w:i/>
    </w:rPr>
  </w:style>
  <w:style w:type="character" w:styleId="705" w:customStyle="1">
    <w:name w:val="Intense Quote Char"/>
    <w:uiPriority w:val="30"/>
    <w:rPr>
      <w:i/>
    </w:rPr>
  </w:style>
  <w:style w:type="character" w:styleId="706" w:customStyle="1">
    <w:name w:val="Footnote Text Char"/>
    <w:uiPriority w:val="99"/>
    <w:rPr>
      <w:sz w:val="18"/>
    </w:rPr>
  </w:style>
  <w:style w:type="character" w:styleId="707" w:customStyle="1">
    <w:name w:val="Endnote Text Char"/>
    <w:uiPriority w:val="99"/>
    <w:rPr>
      <w:sz w:val="20"/>
    </w:rPr>
  </w:style>
  <w:style w:type="character" w:styleId="708" w:customStyle="1">
    <w:name w:val="Заголовок 1 Знак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basedOn w:val="690"/>
    <w:link w:val="682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680"/>
    <w:uiPriority w:val="34"/>
    <w:qFormat/>
    <w:pPr>
      <w:ind w:left="720"/>
      <w:contextualSpacing/>
    </w:pPr>
  </w:style>
  <w:style w:type="paragraph" w:styleId="718">
    <w:name w:val="Title"/>
    <w:basedOn w:val="680"/>
    <w:next w:val="680"/>
    <w:link w:val="71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9" w:customStyle="1">
    <w:name w:val="Заголовок Знак"/>
    <w:basedOn w:val="690"/>
    <w:link w:val="718"/>
    <w:uiPriority w:val="10"/>
    <w:rPr>
      <w:sz w:val="48"/>
      <w:szCs w:val="48"/>
    </w:rPr>
  </w:style>
  <w:style w:type="paragraph" w:styleId="720">
    <w:name w:val="Subtitle"/>
    <w:basedOn w:val="680"/>
    <w:next w:val="680"/>
    <w:link w:val="721"/>
    <w:uiPriority w:val="11"/>
    <w:qFormat/>
    <w:pPr>
      <w:spacing w:before="200" w:after="200"/>
    </w:pPr>
  </w:style>
  <w:style w:type="character" w:styleId="721" w:customStyle="1">
    <w:name w:val="Подзаголовок Знак"/>
    <w:basedOn w:val="690"/>
    <w:link w:val="720"/>
    <w:uiPriority w:val="11"/>
    <w:rPr>
      <w:sz w:val="24"/>
      <w:szCs w:val="24"/>
    </w:rPr>
  </w:style>
  <w:style w:type="paragraph" w:styleId="722">
    <w:name w:val="Quote"/>
    <w:basedOn w:val="680"/>
    <w:next w:val="680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80"/>
    <w:next w:val="680"/>
    <w:link w:val="72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Header Char"/>
    <w:basedOn w:val="690"/>
    <w:uiPriority w:val="99"/>
  </w:style>
  <w:style w:type="character" w:styleId="727" w:customStyle="1">
    <w:name w:val="Footer Char"/>
    <w:basedOn w:val="690"/>
    <w:uiPriority w:val="99"/>
  </w:style>
  <w:style w:type="paragraph" w:styleId="728">
    <w:name w:val="Caption"/>
    <w:basedOn w:val="680"/>
    <w:next w:val="680"/>
    <w:link w:val="72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9" w:customStyle="1">
    <w:name w:val="Название объекта Знак"/>
    <w:link w:val="728"/>
    <w:uiPriority w:val="99"/>
  </w:style>
  <w:style w:type="table" w:styleId="730">
    <w:name w:val="Table Grid"/>
    <w:basedOn w:val="69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1" w:customStyle="1">
    <w:name w:val="Table Grid Light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2">
    <w:name w:val="Plain Table 1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69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7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5" w:customStyle="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6" w:customStyle="1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7" w:customStyle="1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8" w:customStyle="1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9" w:customStyle="1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0" w:customStyle="1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2" w:customStyle="1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3" w:customStyle="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4" w:customStyle="1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 w:customStyle="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6" w:customStyle="1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7" w:customStyle="1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8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0" w:customStyle="1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1" w:customStyle="1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2" w:customStyle="1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3" w:customStyle="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4" w:customStyle="1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5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66" w:customStyle="1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767" w:customStyle="1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768" w:customStyle="1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769" w:customStyle="1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770" w:customStyle="1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771" w:customStyle="1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772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4" w:customStyle="1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5" w:customStyle="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6" w:customStyle="1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7" w:customStyle="1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 w:customStyle="1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9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 w:customStyle="1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 w:customStyle="1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 w:customStyle="1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 w:customStyle="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 w:customStyle="1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 w:customStyle="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3" w:customStyle="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 w:customStyle="1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5" w:customStyle="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 w:customStyle="1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7" w:customStyle="1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8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9" w:customStyle="1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0" w:customStyle="1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1" w:customStyle="1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2" w:customStyle="1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3" w:customStyle="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4" w:customStyle="1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5" w:customStyle="1">
    <w:name w:val="Lined - Accent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Lined - Accent 2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Lined - Accent 3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Lined - Accent 4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Lined - Accent 5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Lined - Accent 6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 &amp; Lined - Accent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4" w:customStyle="1">
    <w:name w:val="Bordered &amp; Lined - Accent 2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5" w:customStyle="1">
    <w:name w:val="Bordered &amp; Lined - Accent 3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6" w:customStyle="1">
    <w:name w:val="Bordered &amp; Lined - Accent 4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7" w:customStyle="1">
    <w:name w:val="Bordered &amp; Lined - Accent 5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8" w:customStyle="1">
    <w:name w:val="Bordered &amp; Lined - Accent 6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9" w:customStyle="1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1" w:customStyle="1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2" w:customStyle="1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3" w:customStyle="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4" w:customStyle="1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5" w:customStyle="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6">
    <w:name w:val="footnote text"/>
    <w:basedOn w:val="680"/>
    <w:link w:val="857"/>
    <w:uiPriority w:val="99"/>
    <w:semiHidden/>
    <w:unhideWhenUsed/>
    <w:pPr>
      <w:spacing w:after="40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basedOn w:val="690"/>
    <w:uiPriority w:val="99"/>
    <w:unhideWhenUsed/>
    <w:rPr>
      <w:vertAlign w:val="superscript"/>
    </w:rPr>
  </w:style>
  <w:style w:type="paragraph" w:styleId="859">
    <w:name w:val="endnote text"/>
    <w:basedOn w:val="680"/>
    <w:link w:val="860"/>
    <w:uiPriority w:val="99"/>
    <w:semiHidden/>
    <w:unhideWhenUsed/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basedOn w:val="690"/>
    <w:uiPriority w:val="99"/>
    <w:semiHidden/>
    <w:unhideWhenUsed/>
    <w:rPr>
      <w:vertAlign w:val="superscript"/>
    </w:rPr>
  </w:style>
  <w:style w:type="paragraph" w:styleId="862">
    <w:name w:val="toc 1"/>
    <w:basedOn w:val="680"/>
    <w:next w:val="680"/>
    <w:uiPriority w:val="39"/>
    <w:unhideWhenUsed/>
    <w:pPr>
      <w:spacing w:after="57"/>
    </w:pPr>
  </w:style>
  <w:style w:type="paragraph" w:styleId="863">
    <w:name w:val="toc 2"/>
    <w:basedOn w:val="680"/>
    <w:next w:val="680"/>
    <w:uiPriority w:val="39"/>
    <w:unhideWhenUsed/>
    <w:pPr>
      <w:spacing w:after="57"/>
      <w:ind w:left="283"/>
    </w:pPr>
  </w:style>
  <w:style w:type="paragraph" w:styleId="864">
    <w:name w:val="toc 3"/>
    <w:basedOn w:val="680"/>
    <w:next w:val="680"/>
    <w:uiPriority w:val="39"/>
    <w:unhideWhenUsed/>
    <w:pPr>
      <w:spacing w:after="57"/>
      <w:ind w:left="567"/>
    </w:pPr>
  </w:style>
  <w:style w:type="paragraph" w:styleId="865">
    <w:name w:val="toc 4"/>
    <w:basedOn w:val="680"/>
    <w:next w:val="680"/>
    <w:uiPriority w:val="39"/>
    <w:unhideWhenUsed/>
    <w:pPr>
      <w:spacing w:after="57"/>
      <w:ind w:left="850"/>
    </w:pPr>
  </w:style>
  <w:style w:type="paragraph" w:styleId="866">
    <w:name w:val="toc 5"/>
    <w:basedOn w:val="680"/>
    <w:next w:val="680"/>
    <w:uiPriority w:val="39"/>
    <w:unhideWhenUsed/>
    <w:pPr>
      <w:spacing w:after="57"/>
      <w:ind w:left="1134"/>
    </w:pPr>
  </w:style>
  <w:style w:type="paragraph" w:styleId="867">
    <w:name w:val="toc 6"/>
    <w:basedOn w:val="680"/>
    <w:next w:val="680"/>
    <w:uiPriority w:val="39"/>
    <w:unhideWhenUsed/>
    <w:pPr>
      <w:spacing w:after="57"/>
      <w:ind w:left="1417"/>
    </w:pPr>
  </w:style>
  <w:style w:type="paragraph" w:styleId="868">
    <w:name w:val="toc 7"/>
    <w:basedOn w:val="680"/>
    <w:next w:val="680"/>
    <w:uiPriority w:val="39"/>
    <w:unhideWhenUsed/>
    <w:pPr>
      <w:spacing w:after="57"/>
      <w:ind w:left="1701"/>
    </w:pPr>
  </w:style>
  <w:style w:type="paragraph" w:styleId="869">
    <w:name w:val="toc 8"/>
    <w:basedOn w:val="680"/>
    <w:next w:val="680"/>
    <w:uiPriority w:val="39"/>
    <w:unhideWhenUsed/>
    <w:pPr>
      <w:spacing w:after="57"/>
      <w:ind w:left="1984"/>
    </w:pPr>
  </w:style>
  <w:style w:type="paragraph" w:styleId="870">
    <w:name w:val="toc 9"/>
    <w:basedOn w:val="680"/>
    <w:next w:val="680"/>
    <w:uiPriority w:val="39"/>
    <w:unhideWhenUsed/>
    <w:pPr>
      <w:spacing w:after="57"/>
      <w:ind w:left="2268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80"/>
    <w:next w:val="680"/>
    <w:uiPriority w:val="99"/>
    <w:unhideWhenUsed/>
  </w:style>
  <w:style w:type="character" w:styleId="873">
    <w:name w:val="Hyperlink"/>
    <w:rPr>
      <w:color w:val="0000ff"/>
      <w:u w:val="single"/>
    </w:rPr>
  </w:style>
  <w:style w:type="character" w:styleId="874" w:customStyle="1">
    <w:name w:val="title_razdel"/>
  </w:style>
  <w:style w:type="character" w:styleId="875">
    <w:name w:val="Emphasis"/>
    <w:uiPriority w:val="20"/>
    <w:qFormat/>
    <w:rPr>
      <w:i/>
      <w:iCs/>
    </w:rPr>
  </w:style>
  <w:style w:type="paragraph" w:styleId="876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7">
    <w:name w:val="Header"/>
    <w:basedOn w:val="680"/>
    <w:link w:val="8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690"/>
    <w:link w:val="87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9">
    <w:name w:val="Footer"/>
    <w:basedOn w:val="680"/>
    <w:link w:val="8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690"/>
    <w:link w:val="87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FollowedHyperlink"/>
    <w:basedOn w:val="690"/>
    <w:uiPriority w:val="99"/>
    <w:semiHidden/>
    <w:unhideWhenUsed/>
    <w:rPr>
      <w:color w:val="954f72" w:themeColor="followedHyperlink"/>
      <w:u w:val="single"/>
    </w:rPr>
  </w:style>
  <w:style w:type="paragraph" w:styleId="882">
    <w:name w:val="Balloon Text"/>
    <w:basedOn w:val="680"/>
    <w:link w:val="88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690"/>
    <w:link w:val="88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84" w:customStyle="1">
    <w:name w:val="Гиперссылка1"/>
    <w:rPr>
      <w:color w:val="0000ff"/>
      <w:u w:val="single"/>
    </w:rPr>
  </w:style>
  <w:style w:type="paragraph" w:styleId="885" w:customStyle="1">
    <w:name w:val="Без интервала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jsn.admhmao.ru" TargetMode="External"/><Relationship Id="rId11" Type="http://schemas.openxmlformats.org/officeDocument/2006/relationships/hyperlink" Target="https://ds.admhmao.ru/deyatelnost/" TargetMode="External"/><Relationship Id="rId12" Type="http://schemas.openxmlformats.org/officeDocument/2006/relationships/hyperlink" Target="https://depprom.admhmao.ru/" TargetMode="External"/><Relationship Id="rId13" Type="http://schemas.openxmlformats.org/officeDocument/2006/relationships/hyperlink" Target="https://jsn.admhmao.ru/" TargetMode="External"/><Relationship Id="rId14" Type="http://schemas.openxmlformats.org/officeDocument/2006/relationships/hyperlink" Target="http://bptr.eias.admhmao.ru/?reg=RU.5.86" TargetMode="External"/><Relationship Id="rId15" Type="http://schemas.openxmlformats.org/officeDocument/2006/relationships/hyperlink" Target="https://rst.admhmao.ru/dokumenty/" TargetMode="External"/><Relationship Id="rId16" Type="http://schemas.openxmlformats.org/officeDocument/2006/relationships/hyperlink" Target="https://rst.admhmao.ru/dokumenty/" TargetMode="External"/><Relationship Id="rId17" Type="http://schemas.openxmlformats.org/officeDocument/2006/relationships/hyperlink" Target="https://rst.admhmao.ru/raskrytie-informatsii/" TargetMode="External"/><Relationship Id="rId18" Type="http://schemas.openxmlformats.org/officeDocument/2006/relationships/hyperlink" Target="https://admhmao.ru/documents/pravovye-akty/postanovleniya-gubernatora/10877131/" TargetMode="External"/><Relationship Id="rId19" Type="http://schemas.openxmlformats.org/officeDocument/2006/relationships/hyperlink" Target="http://eias.fas.gov.ru/calc_ku/map/" TargetMode="External"/><Relationship Id="rId20" Type="http://schemas.openxmlformats.org/officeDocument/2006/relationships/hyperlink" Target="http://www.depsr.admhmao.ru/" TargetMode="External"/><Relationship Id="rId21" Type="http://schemas.openxmlformats.org/officeDocument/2006/relationships/hyperlink" Target="https://depsr.admhmao.ru/kontakty/" TargetMode="External"/><Relationship Id="rId22" Type="http://schemas.openxmlformats.org/officeDocument/2006/relationships/hyperlink" Target="https://rst.admhmao.ru/dlya-grazhdan/" TargetMode="External"/><Relationship Id="rId23" Type="http://schemas.openxmlformats.org/officeDocument/2006/relationships/hyperlink" Target="https://rst.admhmao.ru/dlya-grazhdan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1222F-5C56-49C6-AC98-BC744CE3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Татьяна Викторовна</dc:creator>
  <cp:keywords/>
  <dc:description/>
  <cp:lastModifiedBy>CherkasovaAL</cp:lastModifiedBy>
  <cp:revision>70</cp:revision>
  <dcterms:created xsi:type="dcterms:W3CDTF">2022-04-14T07:40:00Z</dcterms:created>
  <dcterms:modified xsi:type="dcterms:W3CDTF">2025-06-23T12:52:48Z</dcterms:modified>
</cp:coreProperties>
</file>