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pan-1"/>
      </w:pPr>
      <w:r>
        <w:rPr>
          <w:rStyle w:val="span-2-c"/>
          <w:b/>
        </w:rPr>
        <w:t xml:space="preserve"> Извещение</w:t>
      </w:r>
      <w:r>
        <w:br/>
      </w:r>
      <w:r>
        <w:rPr>
          <w:rStyle w:val="span-4-c"/>
          <w:b/>
        </w:rPr>
        <w:t xml:space="preserve"> о проведении торгов №0173048 от 07.06.2025г.</w:t>
      </w:r>
    </w:p>
    <w:p>
      <w:pPr>
        <w:pStyle w:val="p-5"/>
      </w:pPr>
      <w:r>
        <w:rPr>
          <w:rStyle w:val="p-5-c"/>
        </w:rPr>
        <w:t xml:space="preserve">Я, Евченко Владимир Васильевич, публикую аукцион №0173048 "Лот № 1: Земельно-имущественный комплекс крестьянского фермерского хозяйства":</w:t>
      </w:r>
    </w:p>
    <w:p>
      <w:pPr>
        <w:pStyle w:val="h3-6"/>
      </w:pPr>
      <w:r>
        <w:rPr>
          <w:rStyle w:val="h3-6-c"/>
        </w:rPr>
        <w:t xml:space="preserve">Организатор торгов</w:t>
      </w:r>
    </w:p>
    <w:tbl>
      <w:tblPr>
        <w:tblW w:w="4940" w:type="pct"/>
        <w:tblLook w:val="04A0" w:firstRow="1" w:lastRow="0" w:firstColumn="1" w:lastColumn="0" w:noHBand="0" w:noVBand="1"/>
      </w:tblP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Сокращенное наименование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Евченко Владимир Васильевич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ИНН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744807153825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Почтовый адрес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Россия, Челябинская область, г. Челябинск, ул. Гагарина, д. 9, оф. 206</w:t>
            </w:r>
          </w:p>
        </w:tc>
      </w:tr>
    </w:tbl>
    <w:p>
      <w:pPr>
        <w:pStyle w:val="h3-6"/>
      </w:pPr>
      <w:r>
        <w:rPr>
          <w:rStyle w:val="h3-6-c"/>
        </w:rPr>
        <w:t xml:space="preserve">Информация об аукционе №0173048</w:t>
      </w:r>
    </w:p>
    <w:tbl>
      <w:tblPr>
        <w:tblW w:w="4940" w:type="pct"/>
        <w:tblLook w:val="04A0" w:firstRow="1" w:lastRow="0" w:firstColumn="1" w:lastColumn="0" w:noHBand="0" w:noVBand="1"/>
      </w:tblP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Форма торга по составу участников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открытая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Форма представления предложений о цене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открытая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Наименование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Лот № 1: Земельно-имущественный комплекс крестьянского фермерского хозяйства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Дополнительные сведения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Лот № 1: Земельно-имущественный комплекс крестьянского фермерского хозяйства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Порядок и критерии определения победителя торгов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Порядок представления заявок на участие в торгах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Заявки на участие в торгах подаются в электронной форме посредством системы электронного документооборота на сайте в сети Интернет по адресу: http://bankrupt.alfalot.ru/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Дата проведения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17.07.2025 09:00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Дата начала представления заявок на участие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09.06.2025 09:00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Дата окончания представления заявок на участие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16.07.2025 09:00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Дата публикации сообщения о проведении торгов в официальном издании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07.06.2025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Дата размещения сообщения в Едином федеральном реестре сведений о банкротстве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07.06.2025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Порядок ознакомления с имуществом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С предметом торгов можно ознакомиться по адресу: ХМАО-Югра, г. Югорск, ул. Малиновая, 4, с момента публикации сообщения о продаже имущества и до окончания приема заявок по предварительной записи по телефону: 89823267905 в рабочие дни, e-mail: abbcn@mail.ru. С перечнем имущества можно ознакомиться на сайте ЕФРСБ, сообщение 18320407.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Порядок и срок заключения договора купли-продажи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В течение пяти дней с даты утверждения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Сроки платежей, реквизиты счетов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Задаток вносится не позднее даты окончания срока приема заявок на участие в торгах на расчетный счет оператора ЭП Альфалот по следующим реквизитам: получатель: ООО «Аукционы Федерации» ИНН 0278184720/КПП 027801001, р/с 40702810729330000981 в Филиал «Нижегородский» АО «Альфа-Банк» г. Нижний Новгород, к/с 30101810200000000824, БИК 042202824. В назначении платежа необходимо указывать: Задаток по Код (номер) торгов, номер лота и наименование должника.
Победитель торгов перечисляет денежные средства в оплату приобретенного имущества не позднее тридцати дней со дня подписания договора купли-продажи имущества на счет по следующим реквизитам:
Банк получателя: ФИЛИАЛ "ЦЕНТРАЛЬНЫЙ" ПАО "СОВКОМБАНК" г. БЕРДСК
БИК банка: 045004763
ИНН банка: 4401116480
КПП банка: 544543001
Кор/счет банка: 30101810150040000763
Счет получателя: 40817810350201287740
Получатель: Беккер Александр Викторович.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0"/>
            </w:pPr>
            <w:r>
              <w:rPr>
                <w:rStyle w:val="td-10-c"/>
              </w:rPr>
              <w:t xml:space="preserve">Дополнительная информация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/>
        </w:tc>
      </w:tr>
    </w:tbl>
    <w:p>
      <w:pPr>
        <w:pStyle w:val="h3-6"/>
      </w:pPr>
      <w:r>
        <w:rPr>
          <w:rStyle w:val="h3-6-c"/>
        </w:rPr>
        <w:t xml:space="preserve">Информация о должнике</w:t>
      </w:r>
    </w:p>
    <w:tbl>
      <w:tblPr>
        <w:tblW w:w="4940" w:type="pct"/>
        <w:tblLook w:val="04A0" w:firstRow="1" w:lastRow="0" w:firstColumn="1" w:lastColumn="0" w:noHBand="0" w:noVBand="1"/>
      </w:tblP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Тип должника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Индивидуальный предприниматель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ФИО должника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Беккер Александр Викторович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ИНН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641700536866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СНИЛС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053-413-664 35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ОГРНИП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309862204400029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Основание для проведения торгов (реквизиты судебного акта арбитражного суда)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Положение о порядке продажи имущества Крестьянское фермерское хозяйство "Беккер Александр Викторович"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Регион должника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г. Ханты-Мансийск (Ханты-Мансийский Автономный округ - Югра АО.) [8600000100000]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Наименование арбитражного суда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Арбитражный суд Ханты-Мансийского автономного округа - Югры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Номер дела о банкротстве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А75-18727/2021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Арбитражный управляющий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Евченко Владимир Васильевич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Наименование организации арбитражных управляющих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Ассоциация "СРО АУ "Южный Урал" - Ассоциация "Саморегулируемая организация арбитражных управляющих "Южный Урал"</w:t>
            </w:r>
          </w:p>
        </w:tc>
      </w:tr>
    </w:tbl>
    <w:p>
      <w:pPr>
        <w:pStyle w:val="h3-6"/>
      </w:pPr>
      <w:r>
        <w:rPr>
          <w:rStyle w:val="h3-6-c"/>
        </w:rPr>
        <w:t xml:space="preserve">Контактное лицо</w:t>
      </w:r>
    </w:p>
    <w:tbl>
      <w:tblPr>
        <w:tblW w:w="4940" w:type="pct"/>
        <w:tblLook w:val="04A0" w:firstRow="1" w:lastRow="0" w:firstColumn="1" w:lastColumn="0" w:noHBand="0" w:noVBand="1"/>
      </w:tblP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Ф.И.О.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Евченко Владимир Васильевич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Телефон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89823013109</w:t>
            </w:r>
          </w:p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Факс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/>
        </w:tc>
      </w:tr>
      <w:tr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Адрес электронной почты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9"/>
            </w:pPr>
            <w:r>
              <w:rPr>
                <w:rStyle w:val="p-9-c"/>
              </w:rPr>
              <w:t xml:space="preserve">abbcn@mail.ru</w:t>
            </w:r>
          </w:p>
        </w:tc>
      </w:tr>
    </w:tbl>
    <w:p>
      <w:pPr>
        <w:pStyle w:val="h3-6"/>
      </w:pPr>
      <w:r>
        <w:rPr>
          <w:rStyle w:val="h3-6-c"/>
        </w:rPr>
        <w:t xml:space="preserve">Лоты</w:t>
      </w:r>
    </w:p>
    <w:tbl>
      <w:tblPr>
        <w:tblW w:w="4891" w:type="pct"/>
        <w:tblLook w:val="04A0" w:firstRow="1" w:lastRow="0" w:firstColumn="1" w:lastColumn="0" w:noHBand="0" w:noVBand="1"/>
      </w:tblPr>
      <w:tr>
        <w:tc>
          <w:tcPr>
            <w:tcW w:w="0" w:type="auto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p-13"/>
              <w:spacing w:before="0" w:after="0"/>
              <w:contextualSpacing/>
            </w:pPr>
            <w:r>
              <w:rPr>
                <w:rStyle w:val="p-13-c"/>
              </w:rPr>
              <w:t xml:space="preserve">1. Земельно-имущественный комплекс крестьянского фермерского хозяйства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Наименование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Земельно-имущественный комплекс крестьянского фермерского хозяйства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Порядок оформления участия в торгах, перечень представляемых заявителями документов и требования к их оформлению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Заявка на участие в торгах оформляется в форме электронного документа, составляется в произвольной форме на русском языке и должна содержать следующие сведения: 1) обязательство участника открытых торгов соблюдать требования, указанные в сообщении о проведении открытых торгов; 2)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 заявителя; 3) сведения о наличии или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управляющий; 4) номер контактного телефона, адрес электронной почты заявителя. К заявке должны прилагаться следующие документы: 1) выписка из ЕГРЮЛ или засвидетельствованная в нотариальном порядке копия такой выписки (для юридического лица); выписка из ЕГРИП или засвидетельствованная в нотариальном порядке копия такой выписки (для ИП); копии документов, удостоверяющих личность (для физического лица);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2) копия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 3) копии документов, подтверждающих полномочия руководителя (для юридических лиц). Документы, прилагаемые к заявке, представляются в форме электронных документов, подписанных электронной цифровой подписью. Также 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
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Начальная цена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322 366 000,00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Шаг, % от начальной цены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5,01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Шаг, руб.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16 161 830,00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Сведения об имуществе, его составе, характеристиках, описание, порядок ознакомления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7"/>
            </w:pPr>
            <w:r>
              <w:rPr>
                <w:rStyle w:val="td-17-c"/>
              </w:rPr>
              <w:t xml:space="preserve">Предмет торгов (наименование, описание, количество), начальная цена продажи, шаг аукциона - 16 161 830,00 рублей, размер задатка - 32 323 660,00 рублей:
Лот № 1: Земельно-имущественный комплекс крестьянского фермерского хозяйства
Начальная цена продажи: 322 366 000 (Триста двадцать два миллиона триста шестьдесят шесть тысяч) рублей 00 копеек.
С предметом торгов можно ознакомиться по адресу: ХМАО-Югра, г. Югорск, ул. Малиновая, 4, с момента публикации сообщения о продаже имущества и до окончания приема заявок по предварительной записи по телефону: 89823267905 в рабочие дни, e-mail: abbcn@mail.ru. С предметом торгов можно ознакомиться на сайте ЕФРСБ, сообщение 18320407</w:t>
            </w:r>
          </w:p>
        </w:tc>
      </w:tr>
      <w:tr>
        <w:tc>
          <w:tcPr>
            <w:tcW w:w="197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p>
            <w:pPr>
              <w:pStyle w:val="td-15"/>
            </w:pPr>
            <w:r>
              <w:rPr>
                <w:rStyle w:val="td-15-c"/>
              </w:rPr>
              <w:t xml:space="preserve">Обеспечение задатка</w:t>
            </w:r>
          </w:p>
        </w:tc>
        <w:tc>
          <w:tcPr>
            <w:tcW w:w="0" w:type="auto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cBorders>
            <w:noWrap w:val="false"/>
            <w:textDirection w:val="lrTb"/>
            <w:hideMark/>
          </w:tcPr>
          <w:tbl>
            <w:tblPr>
              <w:tblW w:w="4891" w:type="pct"/>
              <w:tblCellMar>
                <w:top w:w="30" w:type="dxa"/>
                <w:bottom w:w="30" w:type="dxa"/>
              </w:tblCellMar>
              <w:tblLook w:val="04A0" w:firstRow="1" w:lastRow="0" w:firstColumn="1" w:lastColumn="0" w:noHBand="0" w:noVBand="1"/>
            </w:tblP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Способ расчета задатка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Фиксированная сумма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Размер задатка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32 323 660,00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Дата внесения задатка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Задаток вносится не позднее даты окончания срока приема заявок на участие в торгах.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Дата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Порядок внесения и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Задаток вносится не позднее даты окончания срока приема заявок на участие в торгах на расчетный счет оператора ЭП Альфалот по следующим реквизитам: получатель: ООО «Аукционы Федерации» ИНН 0278184720/КПП 027801001, р/с 40702810729330000981 в Филиал «Нижегородский» АО «Альфа-Банк» г. Нижний Новгород, к/с 30101810200000000824, БИК 042202824. В назначении платежа необходимо указывать: Задаток по Код (номер) торгов, номер лота и наименование должника.
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Название банка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Филиал "Нижегородский" АО "Альфа-Банк" г. Нижний Новгород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Расчетный счет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40702810729330000981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Кор. счет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30101810200000000824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БИК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042202824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Получатель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ООО "Аукционы Федерации"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ИНН получателя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0278184720</w:t>
                  </w:r>
                </w:p>
              </w:tc>
            </w:tr>
            <w:tr>
              <w:tc>
                <w:tcPr>
                  <w:tcW w:w="1976" w:type="pct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19"/>
                  </w:pPr>
                  <w:r>
                    <w:rPr>
                      <w:rStyle w:val="td-19-c"/>
                    </w:rPr>
                    <w:t xml:space="preserve">КПП получателя</w:t>
                  </w:r>
                </w:p>
              </w:tc>
              <w:tc>
                <w:tcPr>
                  <w:tcW w:w="0" w:type="auto"/>
                  <w:tcBorders>
                    <w:top w:val="single" w:color="auto" w:sz="1" w:space="0"/>
                    <w:left w:val="single" w:color="auto" w:sz="1" w:space="0"/>
                    <w:bottom w:val="single" w:color="auto" w:sz="1" w:space="0"/>
                    <w:right w:val="single" w:color="auto" w:sz="1" w:space="0"/>
                    <w:insideH w:val="single" w:color="auto" w:sz="1" w:space="0"/>
                    <w:insideV w:val="single" w:color="auto" w:sz="1" w:space="0"/>
                  </w:tcBorders>
                  <w:noWrap w:val="false"/>
                  <w:textDirection w:val="lrTb"/>
                  <w:hideMark/>
                </w:tcPr>
                <w:p>
                  <w:pPr>
                    <w:pStyle w:val="td-20"/>
                  </w:pPr>
                  <w:r>
                    <w:rPr>
                      <w:rStyle w:val="td-20-c"/>
                    </w:rPr>
                    <w:t xml:space="preserve">027801001</w:t>
                  </w:r>
                </w:p>
              </w:tc>
            </w:tr>
          </w:tbl>
          <w:p/>
        </w:tc>
      </w:tr>
    </w:tbl>
    <w:p>
      <w:pPr>
        <w:pStyle w:val="p-21"/>
      </w:pPr>
      <w:r>
        <w:rPr>
          <w:rStyle w:val="p-21-c"/>
        </w:rPr>
        <w:t xml:space="preserve">Извещение подписано Организатором торгов 07.06.2025 13:01</w:t>
      </w:r>
      <w:r>
        <w:br/>
      </w:r>
      <w:r>
        <w:rPr>
          <w:rStyle w:val="p-21-c"/>
        </w:rPr>
        <w:t xml:space="preserve">(ID электронной подписи - 7A9B530004B2A1B9440DA9FBBDC588CE)</w:t>
      </w:r>
    </w:p>
    <w:p>
      <w:pPr>
        <w:pStyle w:val="p-23"/>
      </w:pPr>
      <w:r>
        <w:rPr>
          <w:rStyle w:val="p-23-c"/>
        </w:rPr>
        <w:t xml:space="preserve"> 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li">
    <w:name w:val="List Paragraph"/>
    <w:basedOn w:val="normal"/>
    <w:uiPriority w:val="34"/>
    <w:qFormat/>
    <w:pPr>
      <w:ind w:left="720"/>
      <w:contextualSpacing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styleId="table-based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">
    <w:name w:val="Table Grid"/>
    <w:basedOn w:val="table-base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pPr>
      <w:spacing w:after="40" w:line="240" w:lineRule="auto"/>
    </w:pPr>
    <w:rPr>
      <w:sz w:val="18"/>
    </w:rPr>
  </w:style>
  <w:style w:type="character" w:styleId="footnote-c" w:customStyle="1">
    <w:name w:val="footnote text character"/>
    <w:link w:val="footnote-p"/>
    <w:uiPriority w:val="99"/>
    <w:rPr>
      <w:sz w:val="18"/>
    </w:rPr>
  </w:style>
  <w:style w:type="paragraph" w:styleId="div" w:customStyle="1">
    <w:name w:val="Div paragraph"/>
    <w:basedOn w:val="normal"/>
    <w:link w:val="div-c"/>
  </w:style>
  <w:style w:type="paragraph" w:styleId="p" w:customStyle="1">
    <w:name w:val="Paragraph"/>
    <w:basedOn w:val="normal"/>
    <w:link w:val="p-c"/>
  </w:style>
  <w:style w:type="paragraph" w:styleId="(p+div)" w:customStyle="1">
    <w:name w:val="p+div"/>
    <w:basedOn w:val="normal"/>
    <w:link w:val="div-c"/>
    <w:qFormat/>
  </w:style>
  <w:style w:type="paragraph" w:styleId="span-1" w:customStyle="1">
    <w:name w:val="span-1"/>
    <w:basedOn w:val="(p+div)"/>
    <w:qFormat/>
    <w:pPr>
      <w:spacing w:before="240" w:beforeAutospacing="1" w:after="240" w:afterAutospacing="1" w:line="540" w:lineRule="auto"/>
      <w:ind w:firstLine="230"/>
      <w:contextualSpacing/>
      <w:jc w:val="center"/>
    </w:pPr>
  </w:style>
  <w:style w:type="character" w:styleId="div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p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(p-c+div-c)-c" w:customStyle="1">
    <w:name w:val="p-c+div-c"/>
    <w:link w:val="div"/>
    <w:rPr>
      <w:rFonts w:ascii="Times New Roman" w:hAnsi="Times New Roman" w:eastAsia="Times New Roman" w:cs="Times New Roman"/>
    </w:rPr>
  </w:style>
  <w:style w:type="character" w:styleId="span-2-c" w:customStyle="1">
    <w:name w:val="span-2-c"/>
    <w:basedOn w:val="(p-c+div-c)-c"/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span-4-c" w:customStyle="1">
    <w:name w:val="span-4-c"/>
    <w:basedOn w:val="(p-c+div-c)-c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p+(p+div)" w:customStyle="1">
    <w:name w:val="Paragraph"/>
    <w:basedOn w:val="normal"/>
    <w:link w:val="p-c"/>
    <w:qFormat/>
  </w:style>
  <w:style w:type="paragraph" w:styleId="p-5" w:customStyle="1">
    <w:name w:val="p-5"/>
    <w:basedOn w:val="p+(p+div)"/>
    <w:qFormat/>
    <w:pPr>
      <w:spacing w:before="0" w:after="0"/>
      <w:contextualSpacing/>
      <w:jc w:val="both"/>
    </w:pPr>
  </w:style>
  <w:style w:type="character" w:styleId="p-c+(p-c+div-c)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5-c" w:customStyle="1">
    <w:name w:val="p-5-c"/>
    <w:basedOn w:val="p-c+(p-c+div-c)-c"/>
    <w:rPr>
      <w:sz w:val="24"/>
      <w:szCs w:val="24"/>
    </w:rPr>
  </w:style>
  <w:style w:type="paragraph" w:styleId="h3">
    <w:name w:val="Heading 3"/>
    <w:basedOn w:val="normal"/>
    <w:link w:val="h3-c"/>
    <w:pPr>
      <w:spacing w:before="360" w:after="0"/>
      <w:outlineLvl w:val="2"/>
    </w:pPr>
  </w:style>
  <w:style w:type="paragraph" w:styleId="h3+(h3+div)" w:customStyle="1">
    <w:name w:val="Heading 3"/>
    <w:basedOn w:val="normal"/>
    <w:link w:val="h3-c"/>
    <w:qFormat/>
    <w:pPr>
      <w:spacing w:before="360" w:after="0"/>
      <w:outlineLvl w:val="2"/>
    </w:pPr>
  </w:style>
  <w:style w:type="paragraph" w:styleId="h3-6" w:customStyle="1">
    <w:name w:val="h3-6"/>
    <w:basedOn w:val="h3+(h3+div)"/>
    <w:qFormat/>
    <w:pPr>
      <w:spacing w:before="0" w:after="0"/>
      <w:contextualSpacing/>
      <w:jc w:val="both"/>
    </w:pPr>
  </w:style>
  <w:style w:type="character" w:styleId="h3-c" w:customStyle="1">
    <w:name w:val="Title 3 Sign"/>
    <w:link w:val="h3"/>
    <w:uiPriority w:val="9"/>
    <w:unhideWhenUsed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3-c+(h3-c+div-c)-c" w:customStyle="1">
    <w:name w:val="Title 3 Sign"/>
    <w:link w:val="h3"/>
    <w:uiPriority w:val="9"/>
    <w:unhideWhenUsed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3-6-c" w:customStyle="1">
    <w:name w:val="h3-6-c"/>
    <w:basedOn w:val="h3-c+(h3-c+div-c)-c"/>
    <w:rPr>
      <w:sz w:val="24"/>
      <w:szCs w:val="24"/>
    </w:rPr>
  </w:style>
  <w:style w:type="paragraph" w:styleId="p-9" w:customStyle="1">
    <w:name w:val="p-9"/>
    <w:basedOn w:val="p+(p+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p-9-c" w:customStyle="1">
    <w:name w:val="p-9-c"/>
    <w:basedOn w:val="p-c+(p-c+div-c)-c"/>
    <w:rPr>
      <w:sz w:val="24"/>
      <w:szCs w:val="24"/>
    </w:rPr>
  </w:style>
  <w:style w:type="paragraph" w:styleId="(div)" w:customStyle="1">
    <w:name w:val="div"/>
    <w:basedOn w:val="normal"/>
    <w:link w:val="div-c"/>
    <w:qFormat/>
  </w:style>
  <w:style w:type="paragraph" w:styleId="td-10" w:customStyle="1">
    <w:name w:val="td-10"/>
    <w:basedOn w:val="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(div-c)-c" w:customStyle="1">
    <w:name w:val="div-c"/>
    <w:link w:val="div"/>
    <w:rPr>
      <w:rFonts w:ascii="Times New Roman" w:hAnsi="Times New Roman" w:eastAsia="Times New Roman" w:cs="Times New Roman"/>
    </w:rPr>
  </w:style>
  <w:style w:type="character" w:styleId="td-10-c" w:customStyle="1">
    <w:name w:val="td-10-c"/>
    <w:basedOn w:val="(div-c)-c"/>
    <w:rPr>
      <w:sz w:val="24"/>
      <w:szCs w:val="24"/>
    </w:rPr>
  </w:style>
  <w:style w:type="paragraph" w:styleId="p-13" w:customStyle="1">
    <w:name w:val="p-13"/>
    <w:basedOn w:val="p+(p+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p-13-c" w:customStyle="1">
    <w:name w:val="p-13-c"/>
    <w:basedOn w:val="p-c+(p-c+div-c)-c"/>
    <w:rPr>
      <w:b/>
      <w:bCs/>
      <w:sz w:val="24"/>
      <w:szCs w:val="24"/>
    </w:rPr>
  </w:style>
  <w:style w:type="paragraph" w:styleId="td-15" w:customStyle="1">
    <w:name w:val="td-15"/>
    <w:basedOn w:val="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td-15-c" w:customStyle="1">
    <w:name w:val="td-15-c"/>
    <w:basedOn w:val="(div-c)-c"/>
    <w:rPr>
      <w:sz w:val="24"/>
      <w:szCs w:val="24"/>
    </w:rPr>
  </w:style>
  <w:style w:type="paragraph" w:styleId="td-17" w:customStyle="1">
    <w:name w:val="td-17"/>
    <w:basedOn w:val="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td-17-c" w:customStyle="1">
    <w:name w:val="td-17-c"/>
    <w:basedOn w:val="(div-c)-c"/>
    <w:rPr>
      <w:sz w:val="24"/>
      <w:szCs w:val="24"/>
    </w:rPr>
  </w:style>
  <w:style w:type="paragraph" w:styleId="td-19" w:customStyle="1">
    <w:name w:val="td-19"/>
    <w:basedOn w:val="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td-19-c" w:customStyle="1">
    <w:name w:val="td-19-c"/>
    <w:basedOn w:val="(div-c)-c"/>
    <w:rPr>
      <w:sz w:val="24"/>
      <w:szCs w:val="24"/>
    </w:rPr>
  </w:style>
  <w:style w:type="paragraph" w:styleId="td-20" w:customStyle="1">
    <w:name w:val="td-20"/>
    <w:basedOn w:val="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88" w:lineRule="auto"/>
      <w:contextualSpacing/>
      <w:jc w:val="both"/>
    </w:pPr>
  </w:style>
  <w:style w:type="character" w:styleId="td-20-c" w:customStyle="1">
    <w:name w:val="td-20-c"/>
    <w:basedOn w:val="(div-c)-c"/>
    <w:rPr>
      <w:sz w:val="24"/>
      <w:szCs w:val="24"/>
    </w:rPr>
  </w:style>
  <w:style w:type="paragraph" w:styleId="p-21" w:customStyle="1">
    <w:name w:val="p-21"/>
    <w:basedOn w:val="p+(p+div)"/>
    <w:qFormat/>
    <w:pPr>
      <w:spacing w:before="0" w:after="0"/>
      <w:contextualSpacing/>
      <w:jc w:val="left"/>
    </w:pPr>
  </w:style>
  <w:style w:type="character" w:styleId="p-21-c" w:customStyle="1">
    <w:name w:val="p-21-c"/>
    <w:basedOn w:val="p-c+(p-c+div-c)-c"/>
    <w:rPr>
      <w:sz w:val="24"/>
      <w:szCs w:val="24"/>
    </w:rPr>
  </w:style>
  <w:style w:type="paragraph" w:styleId="p+(p)" w:customStyle="1">
    <w:name w:val="Paragraph"/>
    <w:basedOn w:val="normal"/>
    <w:link w:val="p-c"/>
    <w:qFormat/>
  </w:style>
  <w:style w:type="paragraph" w:styleId="p-23" w:customStyle="1">
    <w:name w:val="p-23"/>
    <w:basedOn w:val="p+(p)"/>
    <w:qFormat/>
    <w:pPr>
      <w:spacing w:before="0" w:after="0"/>
      <w:contextualSpacing/>
    </w:pPr>
  </w:style>
  <w:style w:type="character" w:styleId="p-c+(p-c)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23-c" w:customStyle="1">
    <w:name w:val="p-23-c"/>
    <w:basedOn w:val="p-c+(p-c)-c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BalashovaEV</cp:lastModifiedBy>
</cp:coreProperties>
</file>