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</w:t>
      </w:r>
      <w:r w:rsidR="00F60E32">
        <w:rPr>
          <w:b/>
          <w:sz w:val="36"/>
          <w:szCs w:val="36"/>
        </w:rPr>
        <w:t>ого</w:t>
      </w:r>
      <w:r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661DA0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661DA0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661DA0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</w:t>
      </w:r>
      <w:r w:rsidRPr="00BC5F8C">
        <w:rPr>
          <w:sz w:val="28"/>
          <w:szCs w:val="28"/>
        </w:rPr>
        <w:t>а</w:t>
      </w:r>
      <w:r w:rsidR="00BC5F8C" w:rsidRPr="00BC5F8C">
        <w:rPr>
          <w:sz w:val="28"/>
          <w:szCs w:val="28"/>
        </w:rPr>
        <w:t xml:space="preserve"> </w:t>
      </w:r>
      <w:hyperlink r:id="rId6">
        <w:r w:rsidRPr="00BC5F8C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26.08.2022 </w:t>
      </w:r>
      <w:r w:rsidR="003B2412" w:rsidRPr="001C0E78">
        <w:rPr>
          <w:sz w:val="28"/>
          <w:szCs w:val="28"/>
        </w:rPr>
        <w:t xml:space="preserve">№ 392-па </w:t>
      </w:r>
    </w:p>
    <w:p w:rsidR="00661DA0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661DA0" w:rsidRDefault="00661DA0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661DA0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 xml:space="preserve">«Предоставление в собственность,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аренду, постоянное (бессрочное) пользование,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безвозмездное пользование земельного участка,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находящегося в государственной или муниципальной </w:t>
      </w:r>
    </w:p>
    <w:p w:rsidR="003E012A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собственности, </w:t>
      </w:r>
      <w:r w:rsidR="00180AFB" w:rsidRPr="001C0E78">
        <w:rPr>
          <w:sz w:val="28"/>
          <w:szCs w:val="28"/>
        </w:rPr>
        <w:t>б</w:t>
      </w:r>
      <w:r w:rsidRPr="001C0E78">
        <w:rPr>
          <w:sz w:val="28"/>
          <w:szCs w:val="28"/>
        </w:rPr>
        <w:t>ез проведения торгов»</w:t>
      </w:r>
    </w:p>
    <w:p w:rsidR="00D87335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(с изм. от 02.03.2023 № 63-па,</w:t>
      </w:r>
      <w:r w:rsidR="00D87335">
        <w:rPr>
          <w:sz w:val="28"/>
          <w:szCs w:val="28"/>
        </w:rPr>
        <w:t xml:space="preserve"> </w:t>
      </w:r>
      <w:r w:rsidRPr="00202C79">
        <w:rPr>
          <w:sz w:val="28"/>
          <w:szCs w:val="28"/>
        </w:rPr>
        <w:t xml:space="preserve">от 26.12.2023 № 364-па, </w:t>
      </w:r>
    </w:p>
    <w:p w:rsidR="00661DA0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от 25.03.2024 № 59-па</w:t>
      </w:r>
      <w:r w:rsidR="00D87335">
        <w:rPr>
          <w:sz w:val="28"/>
          <w:szCs w:val="28"/>
        </w:rPr>
        <w:t>, от 19.12.2024 № 278-па</w:t>
      </w:r>
      <w:r w:rsidR="00F60E32">
        <w:rPr>
          <w:sz w:val="28"/>
          <w:szCs w:val="28"/>
        </w:rPr>
        <w:t xml:space="preserve">, </w:t>
      </w:r>
    </w:p>
    <w:p w:rsidR="00202C79" w:rsidRPr="001C0E78" w:rsidRDefault="00F60E32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05.06.2025 № 157-па</w:t>
      </w:r>
      <w:r w:rsidR="00202C79"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60E32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rPr>
          <w:color w:val="1A1A1A"/>
          <w:lang w:eastAsia="ru-RU"/>
        </w:rPr>
        <w:t xml:space="preserve">В связи с вводом в эксплуатацию </w:t>
      </w:r>
      <w:r w:rsidR="002F42C2">
        <w:rPr>
          <w:color w:val="1A1A1A"/>
          <w:lang w:eastAsia="ru-RU"/>
        </w:rPr>
        <w:t xml:space="preserve">нового </w:t>
      </w:r>
      <w:bookmarkStart w:id="0" w:name="_GoBack"/>
      <w:bookmarkEnd w:id="0"/>
      <w:r>
        <w:rPr>
          <w:color w:val="1A1A1A"/>
          <w:lang w:eastAsia="ru-RU"/>
        </w:rPr>
        <w:t xml:space="preserve">официального сайта Администрации города </w:t>
      </w:r>
      <w:proofErr w:type="spellStart"/>
      <w:r>
        <w:rPr>
          <w:color w:val="1A1A1A"/>
          <w:lang w:eastAsia="ru-RU"/>
        </w:rPr>
        <w:t>Пыть-Яха</w:t>
      </w:r>
      <w:proofErr w:type="spellEnd"/>
      <w:r>
        <w:rPr>
          <w:color w:val="1A1A1A"/>
          <w:lang w:eastAsia="ru-RU"/>
        </w:rPr>
        <w:t xml:space="preserve"> </w:t>
      </w:r>
      <w:r w:rsidR="00661DA0" w:rsidRPr="00CA177A">
        <w:rPr>
          <w:color w:val="1A1A1A"/>
          <w:lang w:eastAsia="ru-RU"/>
        </w:rPr>
        <w:t xml:space="preserve">(https://adm.py86.ru/) </w:t>
      </w:r>
      <w:r w:rsidR="00F712E5" w:rsidRPr="00F712E5">
        <w:rPr>
          <w:color w:val="1A1A1A"/>
          <w:lang w:eastAsia="ru-RU"/>
        </w:rPr>
        <w:t>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>от 26.08.2022 № 392-па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263F2" w:rsidRDefault="000263F2" w:rsidP="00B25607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661DA0" w:rsidRDefault="00661DA0" w:rsidP="00661DA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</w:t>
      </w:r>
      <w:r>
        <w:lastRenderedPageBreak/>
        <w:t>словами (https://adm.py86.ru/).</w:t>
      </w:r>
    </w:p>
    <w:p w:rsidR="00202C79" w:rsidRPr="00304506" w:rsidRDefault="00955E6B" w:rsidP="00F4432E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252689" w:rsidRPr="00A61768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252689" w:rsidRPr="00A61768">
        <w:rPr>
          <w:sz w:val="28"/>
          <w:szCs w:val="28"/>
        </w:rPr>
        <w:t>Пыть-Яхинформ</w:t>
      </w:r>
      <w:proofErr w:type="spellEnd"/>
      <w:r w:rsidR="00252689" w:rsidRPr="00A61768">
        <w:rPr>
          <w:sz w:val="28"/>
          <w:szCs w:val="28"/>
        </w:rPr>
        <w:t>».</w:t>
      </w:r>
    </w:p>
    <w:p w:rsidR="00202C79" w:rsidRPr="00286940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473AB9" w:rsidRPr="00286940" w:rsidRDefault="00955E6B" w:rsidP="00B2560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202C79" w:rsidRDefault="00202C79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CB052D" w:rsidP="00CB052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032041">
      <w:pgSz w:w="11910" w:h="16840"/>
      <w:pgMar w:top="1040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32041"/>
    <w:rsid w:val="00055E93"/>
    <w:rsid w:val="00113D01"/>
    <w:rsid w:val="00177492"/>
    <w:rsid w:val="00180AFB"/>
    <w:rsid w:val="00186903"/>
    <w:rsid w:val="001C0E78"/>
    <w:rsid w:val="00202C79"/>
    <w:rsid w:val="00252689"/>
    <w:rsid w:val="00286940"/>
    <w:rsid w:val="002F42C2"/>
    <w:rsid w:val="00304506"/>
    <w:rsid w:val="00387688"/>
    <w:rsid w:val="003B2412"/>
    <w:rsid w:val="003C35C8"/>
    <w:rsid w:val="003E012A"/>
    <w:rsid w:val="00473AB9"/>
    <w:rsid w:val="004B62B4"/>
    <w:rsid w:val="00541485"/>
    <w:rsid w:val="00597F0B"/>
    <w:rsid w:val="00661DA0"/>
    <w:rsid w:val="006755CD"/>
    <w:rsid w:val="00691244"/>
    <w:rsid w:val="007073A5"/>
    <w:rsid w:val="007627D3"/>
    <w:rsid w:val="00776C5D"/>
    <w:rsid w:val="00782124"/>
    <w:rsid w:val="007C5F8A"/>
    <w:rsid w:val="007F2E03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AD4051"/>
    <w:rsid w:val="00B25607"/>
    <w:rsid w:val="00B2714A"/>
    <w:rsid w:val="00B76672"/>
    <w:rsid w:val="00B81621"/>
    <w:rsid w:val="00BC5F8C"/>
    <w:rsid w:val="00BE15BB"/>
    <w:rsid w:val="00BE6F0B"/>
    <w:rsid w:val="00BF6259"/>
    <w:rsid w:val="00C8343D"/>
    <w:rsid w:val="00CA72D0"/>
    <w:rsid w:val="00CB052D"/>
    <w:rsid w:val="00CB6F61"/>
    <w:rsid w:val="00D87335"/>
    <w:rsid w:val="00E07D22"/>
    <w:rsid w:val="00E242D0"/>
    <w:rsid w:val="00E47CBB"/>
    <w:rsid w:val="00EC34BA"/>
    <w:rsid w:val="00F02709"/>
    <w:rsid w:val="00F26D8F"/>
    <w:rsid w:val="00F4432E"/>
    <w:rsid w:val="00F60E32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61DA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6</cp:revision>
  <dcterms:created xsi:type="dcterms:W3CDTF">2025-05-21T11:29:00Z</dcterms:created>
  <dcterms:modified xsi:type="dcterms:W3CDTF">2025-07-01T07:18:00Z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