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88" w:rsidRPr="00EA50E9" w:rsidRDefault="00B97588" w:rsidP="00B97588">
      <w:pPr>
        <w:ind w:firstLine="709"/>
        <w:jc w:val="center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  <w:r w:rsidRPr="00EA50E9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Информация о финансово-экономическом состоянии субъектов малого и среднего предпринимательства за 202</w:t>
      </w:r>
      <w:r w:rsidR="0081583A" w:rsidRPr="006F4C82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>5</w:t>
      </w:r>
      <w:r w:rsidRPr="00EA50E9"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  <w:t xml:space="preserve"> год.</w:t>
      </w:r>
    </w:p>
    <w:p w:rsidR="00B97588" w:rsidRPr="006F4C82" w:rsidRDefault="00B97588" w:rsidP="00B97588">
      <w:pPr>
        <w:ind w:firstLine="709"/>
        <w:jc w:val="both"/>
        <w:rPr>
          <w:rStyle w:val="a3"/>
          <w:rFonts w:ascii="Helvetica" w:hAnsi="Helvetica"/>
          <w:color w:val="555555"/>
          <w:sz w:val="21"/>
          <w:szCs w:val="21"/>
          <w:shd w:val="clear" w:color="auto" w:fill="FFFFFF"/>
        </w:rPr>
      </w:pPr>
    </w:p>
    <w:p w:rsidR="00906BD8" w:rsidRPr="002335FF" w:rsidRDefault="00906BD8" w:rsidP="00906BD8">
      <w:pPr>
        <w:ind w:firstLine="567"/>
        <w:jc w:val="both"/>
        <w:rPr>
          <w:bCs/>
          <w:sz w:val="26"/>
          <w:szCs w:val="26"/>
        </w:rPr>
      </w:pPr>
      <w:r w:rsidRPr="002335FF">
        <w:rPr>
          <w:bCs/>
          <w:sz w:val="26"/>
          <w:szCs w:val="26"/>
        </w:rPr>
        <w:t xml:space="preserve">По данным Единого реестра субъектов малого и среднего предпринимательства на 31.12.2025 года на территории города осуществляют свою деятельность 1 574 субъекта малого и среднего предпринимательства, в том числе 298 юридических лиц, а также 1 276 индивидуальных предпринимателей. </w:t>
      </w:r>
    </w:p>
    <w:p w:rsidR="00906BD8" w:rsidRPr="002335FF" w:rsidRDefault="00906BD8" w:rsidP="00906BD8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2335FF">
        <w:rPr>
          <w:bCs/>
          <w:sz w:val="26"/>
          <w:szCs w:val="26"/>
        </w:rPr>
        <w:t xml:space="preserve">Кроме того, 3 723 налогоплательщика, применяющих специальный налоговый режим (налог на профессиональный доход), что на 41,5% больше по сравнению </w:t>
      </w:r>
      <w:r w:rsidR="009B070D">
        <w:rPr>
          <w:bCs/>
          <w:sz w:val="26"/>
          <w:szCs w:val="26"/>
        </w:rPr>
        <w:t xml:space="preserve">                    </w:t>
      </w:r>
      <w:r w:rsidRPr="002335FF">
        <w:rPr>
          <w:bCs/>
          <w:sz w:val="26"/>
          <w:szCs w:val="26"/>
        </w:rPr>
        <w:t>с показателем 2024 года (2 631).</w:t>
      </w:r>
    </w:p>
    <w:p w:rsidR="00906BD8" w:rsidRPr="002335FF" w:rsidRDefault="00906BD8" w:rsidP="00906BD8">
      <w:pPr>
        <w:ind w:firstLine="567"/>
        <w:jc w:val="both"/>
        <w:rPr>
          <w:bCs/>
          <w:sz w:val="26"/>
          <w:szCs w:val="26"/>
        </w:rPr>
      </w:pPr>
      <w:r w:rsidRPr="002335FF">
        <w:rPr>
          <w:bCs/>
          <w:sz w:val="26"/>
          <w:szCs w:val="26"/>
        </w:rPr>
        <w:t>Численность занятых в сфере малого и среднего пре</w:t>
      </w:r>
      <w:bookmarkStart w:id="0" w:name="_GoBack"/>
      <w:bookmarkEnd w:id="0"/>
      <w:r w:rsidRPr="002335FF">
        <w:rPr>
          <w:bCs/>
          <w:sz w:val="26"/>
          <w:szCs w:val="26"/>
        </w:rPr>
        <w:t xml:space="preserve">дпринимательства, включая индивидуальных предпринимателей и </w:t>
      </w:r>
      <w:proofErr w:type="spellStart"/>
      <w:r w:rsidRPr="002335FF">
        <w:rPr>
          <w:bCs/>
          <w:sz w:val="26"/>
          <w:szCs w:val="26"/>
        </w:rPr>
        <w:t>самозанятых</w:t>
      </w:r>
      <w:proofErr w:type="spellEnd"/>
      <w:r w:rsidRPr="002335FF">
        <w:rPr>
          <w:bCs/>
          <w:sz w:val="26"/>
          <w:szCs w:val="26"/>
        </w:rPr>
        <w:t xml:space="preserve"> граждан, составляет </w:t>
      </w:r>
      <w:r w:rsidR="009B070D">
        <w:rPr>
          <w:bCs/>
          <w:sz w:val="26"/>
          <w:szCs w:val="26"/>
        </w:rPr>
        <w:t xml:space="preserve">                  </w:t>
      </w:r>
      <w:r w:rsidRPr="002335FF">
        <w:rPr>
          <w:bCs/>
          <w:sz w:val="26"/>
          <w:szCs w:val="26"/>
        </w:rPr>
        <w:t>7 983 человека, что составляет 19,4 % населения города.</w:t>
      </w:r>
    </w:p>
    <w:p w:rsidR="00906BD8" w:rsidRPr="002335FF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>За 2025 год по оценочным данным оборот розничной торговли по полному кругу предприятий составил 7 874,</w:t>
      </w:r>
      <w:r>
        <w:rPr>
          <w:bCs/>
          <w:sz w:val="26"/>
          <w:szCs w:val="26"/>
        </w:rPr>
        <w:t>4</w:t>
      </w:r>
      <w:r w:rsidRPr="005B6887">
        <w:rPr>
          <w:bCs/>
          <w:sz w:val="26"/>
          <w:szCs w:val="26"/>
        </w:rPr>
        <w:t xml:space="preserve"> млн. руб., объем оказанных услуг – 1 062,1 млн. руб. В расчёте на одного жителя в отчётном периоде реализовано потребительских товаров, по предварительным данным, на сумму 19</w:t>
      </w:r>
      <w:r>
        <w:rPr>
          <w:bCs/>
          <w:sz w:val="26"/>
          <w:szCs w:val="26"/>
        </w:rPr>
        <w:t>1</w:t>
      </w:r>
      <w:r w:rsidRPr="005B6887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>0</w:t>
      </w:r>
      <w:r w:rsidRPr="005B6887">
        <w:rPr>
          <w:bCs/>
          <w:sz w:val="26"/>
          <w:szCs w:val="26"/>
        </w:rPr>
        <w:t xml:space="preserve"> тыс. руб. Объем реализации платных услуг по предварительным данным в расчете на одного жителя составил 25,</w:t>
      </w:r>
      <w:r>
        <w:rPr>
          <w:bCs/>
          <w:sz w:val="26"/>
          <w:szCs w:val="26"/>
        </w:rPr>
        <w:t>8</w:t>
      </w:r>
      <w:r w:rsidRPr="005B6887">
        <w:rPr>
          <w:bCs/>
          <w:sz w:val="26"/>
          <w:szCs w:val="26"/>
        </w:rPr>
        <w:t xml:space="preserve"> тыс. руб.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 xml:space="preserve">На 01.01.2026 инфраструктуру потребительского рынка в городе составляют 16 торговых центров площадью 17 624,4 </w:t>
      </w:r>
      <w:proofErr w:type="spellStart"/>
      <w:r w:rsidRPr="005B6887">
        <w:rPr>
          <w:bCs/>
          <w:sz w:val="26"/>
          <w:szCs w:val="26"/>
        </w:rPr>
        <w:t>кв.м</w:t>
      </w:r>
      <w:proofErr w:type="spellEnd"/>
      <w:r w:rsidRPr="005B6887">
        <w:rPr>
          <w:bCs/>
          <w:sz w:val="26"/>
          <w:szCs w:val="26"/>
        </w:rPr>
        <w:t xml:space="preserve">., 317 продовольственных, непродовольственных и универсальных магазинов площадью 44 632,0 </w:t>
      </w:r>
      <w:proofErr w:type="spellStart"/>
      <w:r w:rsidRPr="005B6887">
        <w:rPr>
          <w:bCs/>
          <w:sz w:val="26"/>
          <w:szCs w:val="26"/>
        </w:rPr>
        <w:t>кв.м</w:t>
      </w:r>
      <w:proofErr w:type="spellEnd"/>
      <w:r w:rsidRPr="005B6887">
        <w:rPr>
          <w:bCs/>
          <w:sz w:val="26"/>
          <w:szCs w:val="26"/>
        </w:rPr>
        <w:t>., а также 88 объектов нестационарной торговли (павильоны и киоски).</w:t>
      </w:r>
    </w:p>
    <w:p w:rsidR="00906BD8" w:rsidRDefault="00906BD8" w:rsidP="00906BD8">
      <w:pPr>
        <w:ind w:firstLine="709"/>
        <w:jc w:val="both"/>
        <w:rPr>
          <w:bCs/>
          <w:strike/>
          <w:sz w:val="26"/>
          <w:szCs w:val="26"/>
        </w:rPr>
      </w:pPr>
    </w:p>
    <w:p w:rsidR="00906BD8" w:rsidRPr="005B6887" w:rsidRDefault="00906BD8" w:rsidP="00906BD8">
      <w:pPr>
        <w:jc w:val="center"/>
        <w:rPr>
          <w:sz w:val="26"/>
        </w:rPr>
      </w:pPr>
      <w:r w:rsidRPr="005B6887">
        <w:rPr>
          <w:sz w:val="26"/>
        </w:rPr>
        <w:t>Структура предприятий торговли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3967"/>
        <w:gridCol w:w="1681"/>
        <w:gridCol w:w="1842"/>
        <w:gridCol w:w="1849"/>
      </w:tblGrid>
      <w:tr w:rsidR="00906BD8" w:rsidRPr="005B6887" w:rsidTr="00DA141B">
        <w:trPr>
          <w:trHeight w:val="31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both"/>
            </w:pPr>
            <w:r w:rsidRPr="005B6887">
              <w:t>Наименование объектов потребительского рынка</w:t>
            </w:r>
          </w:p>
        </w:tc>
        <w:tc>
          <w:tcPr>
            <w:tcW w:w="879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На 01.01.2025</w:t>
            </w:r>
          </w:p>
          <w:p w:rsidR="00906BD8" w:rsidRPr="005B6887" w:rsidRDefault="00906BD8" w:rsidP="00DA141B">
            <w:pPr>
              <w:spacing w:line="240" w:lineRule="atLeast"/>
              <w:jc w:val="center"/>
            </w:pPr>
          </w:p>
        </w:tc>
        <w:tc>
          <w:tcPr>
            <w:tcW w:w="965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На 01.01.2026</w:t>
            </w:r>
          </w:p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оценка</w:t>
            </w:r>
          </w:p>
        </w:tc>
        <w:tc>
          <w:tcPr>
            <w:tcW w:w="958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Темп роста%</w:t>
            </w:r>
          </w:p>
        </w:tc>
      </w:tr>
      <w:tr w:rsidR="00906BD8" w:rsidRPr="005B6887" w:rsidTr="00DA141B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both"/>
            </w:pPr>
            <w:r w:rsidRPr="005B6887">
              <w:t>Магазины</w:t>
            </w:r>
          </w:p>
        </w:tc>
        <w:tc>
          <w:tcPr>
            <w:tcW w:w="879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377</w:t>
            </w:r>
          </w:p>
        </w:tc>
        <w:tc>
          <w:tcPr>
            <w:tcW w:w="965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317</w:t>
            </w:r>
          </w:p>
        </w:tc>
        <w:tc>
          <w:tcPr>
            <w:tcW w:w="958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</w:t>
            </w:r>
          </w:p>
        </w:tc>
      </w:tr>
      <w:tr w:rsidR="00906BD8" w:rsidRPr="005B6887" w:rsidTr="00DA141B">
        <w:trPr>
          <w:trHeight w:val="215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5B6887">
              <w:rPr>
                <w:lang w:val="x-none" w:eastAsia="x-none"/>
              </w:rPr>
              <w:t>Торговые комплексы и центры</w:t>
            </w:r>
          </w:p>
        </w:tc>
        <w:tc>
          <w:tcPr>
            <w:tcW w:w="879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16</w:t>
            </w:r>
          </w:p>
        </w:tc>
        <w:tc>
          <w:tcPr>
            <w:tcW w:w="965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16</w:t>
            </w:r>
          </w:p>
        </w:tc>
        <w:tc>
          <w:tcPr>
            <w:tcW w:w="958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100</w:t>
            </w:r>
          </w:p>
        </w:tc>
      </w:tr>
      <w:tr w:rsidR="00906BD8" w:rsidRPr="005B6887" w:rsidTr="00DA141B">
        <w:trPr>
          <w:trHeight w:val="223"/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both"/>
              <w:outlineLvl w:val="6"/>
              <w:rPr>
                <w:lang w:val="x-none" w:eastAsia="x-none"/>
              </w:rPr>
            </w:pPr>
            <w:r w:rsidRPr="005B6887">
              <w:rPr>
                <w:lang w:val="x-none" w:eastAsia="x-none"/>
              </w:rPr>
              <w:t>Павильоны</w:t>
            </w:r>
          </w:p>
        </w:tc>
        <w:tc>
          <w:tcPr>
            <w:tcW w:w="879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67</w:t>
            </w:r>
          </w:p>
        </w:tc>
        <w:tc>
          <w:tcPr>
            <w:tcW w:w="965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958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131</w:t>
            </w:r>
          </w:p>
        </w:tc>
      </w:tr>
      <w:tr w:rsidR="00906BD8" w:rsidRPr="005B6887" w:rsidTr="00DA141B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both"/>
            </w:pPr>
            <w:r w:rsidRPr="005B6887">
              <w:t>Мелкорозничная сеть (киоски)</w:t>
            </w:r>
          </w:p>
        </w:tc>
        <w:tc>
          <w:tcPr>
            <w:tcW w:w="879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2</w:t>
            </w:r>
          </w:p>
        </w:tc>
        <w:tc>
          <w:tcPr>
            <w:tcW w:w="965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2</w:t>
            </w:r>
          </w:p>
        </w:tc>
        <w:tc>
          <w:tcPr>
            <w:tcW w:w="958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 w:rsidRPr="005B6887">
              <w:rPr>
                <w:color w:val="000000" w:themeColor="text1"/>
              </w:rPr>
              <w:t>100</w:t>
            </w:r>
          </w:p>
        </w:tc>
      </w:tr>
      <w:tr w:rsidR="00906BD8" w:rsidRPr="005B6887" w:rsidTr="00DA141B">
        <w:trPr>
          <w:tblCellSpacing w:w="20" w:type="dxa"/>
          <w:jc w:val="center"/>
        </w:trPr>
        <w:tc>
          <w:tcPr>
            <w:tcW w:w="2092" w:type="pct"/>
            <w:shd w:val="clear" w:color="auto" w:fill="auto"/>
          </w:tcPr>
          <w:p w:rsidR="00906BD8" w:rsidRPr="005B6887" w:rsidRDefault="00906BD8" w:rsidP="00DA141B">
            <w:pPr>
              <w:spacing w:line="240" w:lineRule="atLeast"/>
              <w:jc w:val="both"/>
            </w:pPr>
            <w:r w:rsidRPr="005B6887">
              <w:t>Всего</w:t>
            </w:r>
          </w:p>
        </w:tc>
        <w:tc>
          <w:tcPr>
            <w:tcW w:w="879" w:type="pct"/>
          </w:tcPr>
          <w:p w:rsidR="00906BD8" w:rsidRPr="005B6887" w:rsidRDefault="00906BD8" w:rsidP="00DA141B">
            <w:pPr>
              <w:spacing w:line="240" w:lineRule="atLeast"/>
              <w:jc w:val="center"/>
            </w:pPr>
            <w:r w:rsidRPr="005B6887">
              <w:t>462</w:t>
            </w:r>
          </w:p>
        </w:tc>
        <w:tc>
          <w:tcPr>
            <w:tcW w:w="965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  <w:tc>
          <w:tcPr>
            <w:tcW w:w="958" w:type="pct"/>
          </w:tcPr>
          <w:p w:rsidR="00906BD8" w:rsidRPr="005B6887" w:rsidRDefault="00906BD8" w:rsidP="00DA141B">
            <w:pPr>
              <w:spacing w:line="24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</w:t>
            </w:r>
          </w:p>
        </w:tc>
      </w:tr>
    </w:tbl>
    <w:p w:rsidR="00906BD8" w:rsidRDefault="00906BD8" w:rsidP="00906BD8">
      <w:pPr>
        <w:ind w:firstLine="709"/>
        <w:jc w:val="both"/>
        <w:rPr>
          <w:bCs/>
          <w:strike/>
          <w:sz w:val="26"/>
          <w:szCs w:val="26"/>
        </w:rPr>
      </w:pP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 xml:space="preserve">Количество стационарных и нестационарных торговых объектов в 2,5 раза выше норматива минимальной обеспеченности населения количеством торговых объектов,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стационарных торговых объектов, нестационарных торговых объектов, торговых мест, используемых для осуществления деятельности по продаже товаров на ярмарках и розничных рынках в Ханты-Мансийском автономном округе – Югре». 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>Также на территории города работают 21 аптечный магазин и 2 аптечных пункта, представленных 12 федеральными и региональными сетями, осуществляющие розничную торговлю лекарственными средствами.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>Реализация нефтепродуктов и газа населению осуществляется на 9 объектах, в том числе на 5 автомобильных заправочных станциях и 4 автомобильных газозаправочных станциях.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 xml:space="preserve">В схему размещения нестационарных торговых объектов на территории города Пыть-Яха, утвержденную постановлением администрации города Пыть-Яха </w:t>
      </w:r>
      <w:r w:rsidRPr="005B6887">
        <w:rPr>
          <w:bCs/>
          <w:sz w:val="26"/>
          <w:szCs w:val="26"/>
        </w:rPr>
        <w:lastRenderedPageBreak/>
        <w:t>от 20.05.2016 № 117-па (в ред. от 15.08.2024)</w:t>
      </w:r>
      <w:r>
        <w:rPr>
          <w:bCs/>
          <w:sz w:val="26"/>
          <w:szCs w:val="26"/>
        </w:rPr>
        <w:t>,</w:t>
      </w:r>
      <w:r w:rsidRPr="005B6887">
        <w:rPr>
          <w:bCs/>
          <w:sz w:val="26"/>
          <w:szCs w:val="26"/>
        </w:rPr>
        <w:t xml:space="preserve"> включено 71 место размещения нестационарных торговых объектов.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>Общественное питание на территории города осуществляют 9</w:t>
      </w:r>
      <w:r>
        <w:rPr>
          <w:bCs/>
          <w:sz w:val="26"/>
          <w:szCs w:val="26"/>
        </w:rPr>
        <w:t>5</w:t>
      </w:r>
      <w:r w:rsidRPr="005B6887">
        <w:rPr>
          <w:bCs/>
          <w:sz w:val="26"/>
          <w:szCs w:val="26"/>
        </w:rPr>
        <w:t xml:space="preserve"> предприятий на 4 171 посадочн</w:t>
      </w:r>
      <w:r>
        <w:rPr>
          <w:bCs/>
          <w:sz w:val="26"/>
          <w:szCs w:val="26"/>
        </w:rPr>
        <w:t>ое</w:t>
      </w:r>
      <w:r w:rsidRPr="005B6887">
        <w:rPr>
          <w:bCs/>
          <w:sz w:val="26"/>
          <w:szCs w:val="26"/>
        </w:rPr>
        <w:t xml:space="preserve"> мест</w:t>
      </w:r>
      <w:r>
        <w:rPr>
          <w:bCs/>
          <w:sz w:val="26"/>
          <w:szCs w:val="26"/>
        </w:rPr>
        <w:t>о</w:t>
      </w:r>
      <w:r w:rsidRPr="005B6887">
        <w:rPr>
          <w:bCs/>
          <w:sz w:val="26"/>
          <w:szCs w:val="26"/>
        </w:rPr>
        <w:t>, в том числе:</w:t>
      </w:r>
    </w:p>
    <w:p w:rsidR="00906BD8" w:rsidRPr="005B6887" w:rsidRDefault="00906BD8" w:rsidP="00906BD8">
      <w:pPr>
        <w:ind w:firstLine="709"/>
        <w:jc w:val="both"/>
        <w:rPr>
          <w:sz w:val="26"/>
        </w:rPr>
      </w:pPr>
      <w:r w:rsidRPr="005B6887">
        <w:rPr>
          <w:sz w:val="26"/>
        </w:rPr>
        <w:t>-</w:t>
      </w:r>
      <w:r w:rsidRPr="005B6887">
        <w:rPr>
          <w:sz w:val="26"/>
        </w:rPr>
        <w:tab/>
        <w:t>1 ресторан на 160 посадочных мест;</w:t>
      </w:r>
    </w:p>
    <w:p w:rsidR="00906BD8" w:rsidRPr="005B6887" w:rsidRDefault="00906BD8" w:rsidP="00906BD8">
      <w:pPr>
        <w:ind w:firstLine="709"/>
        <w:jc w:val="both"/>
        <w:rPr>
          <w:sz w:val="26"/>
        </w:rPr>
      </w:pPr>
      <w:r w:rsidRPr="005B6887">
        <w:rPr>
          <w:sz w:val="26"/>
        </w:rPr>
        <w:t>-</w:t>
      </w:r>
      <w:r w:rsidRPr="005B6887">
        <w:rPr>
          <w:sz w:val="26"/>
        </w:rPr>
        <w:tab/>
        <w:t>4 бара на 31 посадочное место;</w:t>
      </w:r>
    </w:p>
    <w:p w:rsidR="00906BD8" w:rsidRPr="005B6887" w:rsidRDefault="00906BD8" w:rsidP="00906BD8">
      <w:pPr>
        <w:ind w:firstLine="709"/>
        <w:jc w:val="both"/>
        <w:rPr>
          <w:sz w:val="26"/>
        </w:rPr>
      </w:pPr>
      <w:r w:rsidRPr="005B6887">
        <w:rPr>
          <w:sz w:val="26"/>
        </w:rPr>
        <w:t>-</w:t>
      </w:r>
      <w:r w:rsidRPr="005B6887">
        <w:rPr>
          <w:sz w:val="26"/>
        </w:rPr>
        <w:tab/>
        <w:t>35 кафе на 2 040 посадочных мест;</w:t>
      </w:r>
    </w:p>
    <w:p w:rsidR="00906BD8" w:rsidRPr="005B6887" w:rsidRDefault="00906BD8" w:rsidP="00906BD8">
      <w:pPr>
        <w:ind w:firstLine="709"/>
        <w:jc w:val="both"/>
        <w:rPr>
          <w:bCs/>
          <w:sz w:val="26"/>
        </w:rPr>
      </w:pPr>
      <w:r w:rsidRPr="005B6887">
        <w:rPr>
          <w:sz w:val="26"/>
        </w:rPr>
        <w:t>-</w:t>
      </w:r>
      <w:r w:rsidRPr="005B6887">
        <w:rPr>
          <w:sz w:val="26"/>
        </w:rPr>
        <w:tab/>
        <w:t>40</w:t>
      </w:r>
      <w:r w:rsidRPr="005B6887">
        <w:rPr>
          <w:bCs/>
          <w:sz w:val="26"/>
        </w:rPr>
        <w:t xml:space="preserve"> закусочных </w:t>
      </w:r>
      <w:r w:rsidRPr="005B6887">
        <w:rPr>
          <w:sz w:val="26"/>
        </w:rPr>
        <w:t xml:space="preserve">и прочих объектов общественного питания </w:t>
      </w:r>
      <w:r>
        <w:rPr>
          <w:bCs/>
          <w:sz w:val="26"/>
        </w:rPr>
        <w:t xml:space="preserve">на </w:t>
      </w:r>
      <w:r w:rsidRPr="005B6887">
        <w:rPr>
          <w:bCs/>
          <w:sz w:val="26"/>
        </w:rPr>
        <w:t xml:space="preserve">274 посадочных места; </w:t>
      </w:r>
    </w:p>
    <w:p w:rsidR="00906BD8" w:rsidRPr="005B6887" w:rsidRDefault="00906BD8" w:rsidP="00906BD8">
      <w:pPr>
        <w:ind w:firstLine="709"/>
        <w:jc w:val="both"/>
        <w:rPr>
          <w:sz w:val="26"/>
        </w:rPr>
      </w:pPr>
      <w:r w:rsidRPr="005B6887">
        <w:rPr>
          <w:bCs/>
          <w:sz w:val="26"/>
        </w:rPr>
        <w:t>-</w:t>
      </w:r>
      <w:r w:rsidRPr="005B6887">
        <w:rPr>
          <w:bCs/>
          <w:sz w:val="26"/>
        </w:rPr>
        <w:tab/>
        <w:t>15 столовых при учебных заведениях, организациях, промышленных предприятиях, а также общедоступных столовых на 1 686 посадочных мест.</w:t>
      </w:r>
    </w:p>
    <w:p w:rsidR="00906BD8" w:rsidRPr="005B6887" w:rsidRDefault="00906BD8" w:rsidP="00906BD8">
      <w:pPr>
        <w:shd w:val="clear" w:color="auto" w:fill="FFFFFF"/>
        <w:spacing w:before="120" w:after="120" w:line="240" w:lineRule="atLeast"/>
        <w:ind w:firstLine="709"/>
        <w:jc w:val="center"/>
        <w:rPr>
          <w:b/>
          <w:sz w:val="26"/>
          <w:szCs w:val="26"/>
        </w:rPr>
      </w:pPr>
      <w:r w:rsidRPr="005B6887">
        <w:rPr>
          <w:sz w:val="26"/>
          <w:szCs w:val="26"/>
        </w:rPr>
        <w:t>Структура предприятий общественного питания в динамике:</w:t>
      </w: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66"/>
        <w:gridCol w:w="2881"/>
        <w:gridCol w:w="1962"/>
        <w:gridCol w:w="1965"/>
        <w:gridCol w:w="1965"/>
      </w:tblGrid>
      <w:tr w:rsidR="00906BD8" w:rsidRPr="005B6887" w:rsidTr="00DA141B">
        <w:trPr>
          <w:trHeight w:val="348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№</w:t>
            </w: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Предприятия питания</w:t>
            </w:r>
          </w:p>
        </w:tc>
        <w:tc>
          <w:tcPr>
            <w:tcW w:w="1029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На 01.01.2025</w:t>
            </w:r>
          </w:p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На 01.01.2026</w:t>
            </w:r>
          </w:p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оценка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Темп роста%</w:t>
            </w:r>
          </w:p>
        </w:tc>
      </w:tr>
      <w:tr w:rsidR="00906BD8" w:rsidRPr="005B6887" w:rsidTr="00DA141B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</w:t>
            </w: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both"/>
            </w:pPr>
            <w:r w:rsidRPr="005B6887">
              <w:t>Рестораны</w:t>
            </w:r>
          </w:p>
        </w:tc>
        <w:tc>
          <w:tcPr>
            <w:tcW w:w="1029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</w:t>
            </w: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100</w:t>
            </w:r>
          </w:p>
        </w:tc>
      </w:tr>
      <w:tr w:rsidR="00906BD8" w:rsidRPr="005B6887" w:rsidTr="00DA141B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2</w:t>
            </w: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both"/>
            </w:pPr>
            <w:r w:rsidRPr="005B6887">
              <w:t>Бары</w:t>
            </w:r>
          </w:p>
        </w:tc>
        <w:tc>
          <w:tcPr>
            <w:tcW w:w="1029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6</w:t>
            </w: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4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83</w:t>
            </w:r>
          </w:p>
        </w:tc>
      </w:tr>
      <w:tr w:rsidR="00906BD8" w:rsidRPr="005B6887" w:rsidTr="00DA141B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3</w:t>
            </w: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both"/>
            </w:pPr>
            <w:r w:rsidRPr="005B6887">
              <w:t>Кафе</w:t>
            </w:r>
          </w:p>
        </w:tc>
        <w:tc>
          <w:tcPr>
            <w:tcW w:w="1029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33</w:t>
            </w: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35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103</w:t>
            </w:r>
          </w:p>
        </w:tc>
      </w:tr>
      <w:tr w:rsidR="00906BD8" w:rsidRPr="005B6887" w:rsidTr="00DA141B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4</w:t>
            </w: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both"/>
            </w:pPr>
            <w:r w:rsidRPr="005B6887">
              <w:t>Закусочные</w:t>
            </w:r>
          </w:p>
        </w:tc>
        <w:tc>
          <w:tcPr>
            <w:tcW w:w="1029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33</w:t>
            </w: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40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121</w:t>
            </w:r>
          </w:p>
        </w:tc>
      </w:tr>
      <w:tr w:rsidR="00906BD8" w:rsidRPr="005B6887" w:rsidTr="00DA141B">
        <w:trPr>
          <w:trHeight w:val="254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5</w:t>
            </w: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both"/>
            </w:pPr>
            <w:r w:rsidRPr="005B6887">
              <w:t>Столовые</w:t>
            </w:r>
          </w:p>
        </w:tc>
        <w:tc>
          <w:tcPr>
            <w:tcW w:w="1029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16</w:t>
            </w: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15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94</w:t>
            </w:r>
          </w:p>
        </w:tc>
      </w:tr>
      <w:tr w:rsidR="00906BD8" w:rsidRPr="005B6887" w:rsidTr="00DA141B">
        <w:trPr>
          <w:trHeight w:val="236"/>
          <w:tblCellSpacing w:w="20" w:type="dxa"/>
          <w:jc w:val="center"/>
        </w:trPr>
        <w:tc>
          <w:tcPr>
            <w:tcW w:w="27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</w:p>
        </w:tc>
        <w:tc>
          <w:tcPr>
            <w:tcW w:w="1521" w:type="pct"/>
            <w:shd w:val="clear" w:color="auto" w:fill="auto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both"/>
            </w:pPr>
            <w:r w:rsidRPr="005B6887">
              <w:t>Итого</w:t>
            </w:r>
          </w:p>
        </w:tc>
        <w:tc>
          <w:tcPr>
            <w:tcW w:w="1029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89</w:t>
            </w:r>
          </w:p>
        </w:tc>
        <w:tc>
          <w:tcPr>
            <w:tcW w:w="1031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95</w:t>
            </w:r>
          </w:p>
        </w:tc>
        <w:tc>
          <w:tcPr>
            <w:tcW w:w="1020" w:type="pct"/>
          </w:tcPr>
          <w:p w:rsidR="00906BD8" w:rsidRPr="005B6887" w:rsidRDefault="00906BD8" w:rsidP="00DA141B">
            <w:pPr>
              <w:shd w:val="clear" w:color="auto" w:fill="FFFFFF"/>
              <w:spacing w:line="240" w:lineRule="atLeast"/>
              <w:jc w:val="center"/>
            </w:pPr>
            <w:r w:rsidRPr="005B6887">
              <w:t>107</w:t>
            </w:r>
          </w:p>
        </w:tc>
      </w:tr>
    </w:tbl>
    <w:p w:rsidR="00906BD8" w:rsidRPr="005B6887" w:rsidRDefault="00906BD8" w:rsidP="00906BD8">
      <w:pPr>
        <w:ind w:firstLine="708"/>
        <w:jc w:val="both"/>
        <w:rPr>
          <w:bCs/>
          <w:sz w:val="26"/>
          <w:szCs w:val="26"/>
        </w:rPr>
      </w:pP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>В структуре предприятий общественного питания большую часть (75,8%) занимают кафе и закусочные, которые в современных условиях специализируются в том числе и на доставке еды на дом.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>Обеспеченность общедоступной сетью питания жителей города на 01.01.2026 составляет 101 место на 1 000 жителей (норматив на 1 000 жителей 40 мест) или 253% от норматива.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 xml:space="preserve">Распоряжением администрации города от 17.02.2022 № 230-ра «Об утверждении плана мероприятий («дорожной карты») по развитию конкуренции в городе </w:t>
      </w:r>
      <w:proofErr w:type="spellStart"/>
      <w:r w:rsidRPr="005B6887">
        <w:rPr>
          <w:bCs/>
          <w:sz w:val="26"/>
          <w:szCs w:val="26"/>
        </w:rPr>
        <w:t>Пыть-Яхе</w:t>
      </w:r>
      <w:proofErr w:type="spellEnd"/>
      <w:r w:rsidRPr="005B6887">
        <w:rPr>
          <w:bCs/>
          <w:sz w:val="26"/>
          <w:szCs w:val="26"/>
        </w:rPr>
        <w:t xml:space="preserve">» утвержден перечень из 33 товарных рынков для содействия и развития конкуренции в муниципальном образовании, с ключевыми показателями, а также 76 мероприятий по развитию таких рынков. 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 xml:space="preserve">За </w:t>
      </w:r>
      <w:r>
        <w:rPr>
          <w:bCs/>
          <w:sz w:val="26"/>
          <w:szCs w:val="26"/>
        </w:rPr>
        <w:t>2025 год</w:t>
      </w:r>
      <w:r w:rsidRPr="005B6887">
        <w:rPr>
          <w:bCs/>
          <w:sz w:val="26"/>
          <w:szCs w:val="26"/>
        </w:rPr>
        <w:t xml:space="preserve"> осуществлены закупки у субъектов малого предпринимательства и социально ориентированных некоммерческих организаций в соответствии с Федеральным законом от 05.04.2013 № 44-ФЗ на сумму 483,7 млн. руб. Объем таких закупок составил 50 % совокупного годового объема закупок.</w:t>
      </w:r>
    </w:p>
    <w:p w:rsidR="00906BD8" w:rsidRPr="005B6887" w:rsidRDefault="00906BD8" w:rsidP="00906BD8">
      <w:pPr>
        <w:ind w:firstLine="709"/>
        <w:jc w:val="both"/>
        <w:rPr>
          <w:bCs/>
          <w:sz w:val="26"/>
          <w:szCs w:val="26"/>
        </w:rPr>
      </w:pPr>
      <w:r w:rsidRPr="005B6887">
        <w:rPr>
          <w:bCs/>
          <w:sz w:val="26"/>
          <w:szCs w:val="26"/>
        </w:rPr>
        <w:t xml:space="preserve">В администрации город внедрен весь комплекс мер, направленных на организацию антимонопольного </w:t>
      </w:r>
      <w:proofErr w:type="spellStart"/>
      <w:r w:rsidRPr="005B6887">
        <w:rPr>
          <w:bCs/>
          <w:sz w:val="26"/>
          <w:szCs w:val="26"/>
        </w:rPr>
        <w:t>комплаенса</w:t>
      </w:r>
      <w:proofErr w:type="spellEnd"/>
      <w:r w:rsidRPr="005B6887">
        <w:rPr>
          <w:bCs/>
          <w:sz w:val="26"/>
          <w:szCs w:val="26"/>
        </w:rPr>
        <w:t>.</w:t>
      </w:r>
    </w:p>
    <w:p w:rsidR="002335FF" w:rsidRPr="005B6887" w:rsidRDefault="002335FF" w:rsidP="002335FF">
      <w:pPr>
        <w:ind w:firstLine="709"/>
        <w:jc w:val="both"/>
        <w:rPr>
          <w:color w:val="000000" w:themeColor="text1"/>
          <w:sz w:val="26"/>
          <w:szCs w:val="26"/>
        </w:rPr>
      </w:pPr>
      <w:r w:rsidRPr="005B6887">
        <w:rPr>
          <w:color w:val="000000" w:themeColor="text1"/>
          <w:sz w:val="26"/>
          <w:szCs w:val="26"/>
        </w:rPr>
        <w:t>По оценочным данным в 2025 году объем инвестиций в основной капитал по полному кругу предприятий</w:t>
      </w:r>
      <w:r>
        <w:rPr>
          <w:color w:val="000000" w:themeColor="text1"/>
          <w:sz w:val="26"/>
          <w:szCs w:val="26"/>
        </w:rPr>
        <w:t xml:space="preserve"> составил</w:t>
      </w:r>
      <w:r w:rsidRPr="005B6887">
        <w:rPr>
          <w:color w:val="000000" w:themeColor="text1"/>
          <w:sz w:val="26"/>
          <w:szCs w:val="26"/>
        </w:rPr>
        <w:t xml:space="preserve"> </w:t>
      </w:r>
      <w:r w:rsidRPr="005B6887">
        <w:rPr>
          <w:bCs/>
          <w:color w:val="000000" w:themeColor="text1"/>
          <w:sz w:val="26"/>
          <w:szCs w:val="26"/>
        </w:rPr>
        <w:t>6 520,98 млн. рублей. В сравнении с 2024 годом объем инвестиций увеличился на 9,6%</w:t>
      </w:r>
      <w:r w:rsidRPr="005B6887">
        <w:rPr>
          <w:color w:val="000000" w:themeColor="text1"/>
          <w:sz w:val="26"/>
          <w:szCs w:val="26"/>
        </w:rPr>
        <w:t xml:space="preserve"> (на 01.01.2025 – </w:t>
      </w:r>
      <w:r w:rsidRPr="005B6887">
        <w:rPr>
          <w:sz w:val="26"/>
          <w:szCs w:val="26"/>
        </w:rPr>
        <w:t>5 948,03</w:t>
      </w:r>
      <w:r w:rsidRPr="005B6887">
        <w:rPr>
          <w:color w:val="000000" w:themeColor="text1"/>
          <w:sz w:val="26"/>
          <w:szCs w:val="26"/>
        </w:rPr>
        <w:t xml:space="preserve"> млн. рублей).</w:t>
      </w:r>
    </w:p>
    <w:p w:rsidR="002335FF" w:rsidRPr="005B6887" w:rsidRDefault="002335FF" w:rsidP="002335F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B6887">
        <w:rPr>
          <w:color w:val="000000" w:themeColor="text1"/>
          <w:sz w:val="26"/>
          <w:szCs w:val="26"/>
        </w:rPr>
        <w:t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2024-2027 годы, за 5 лет в сферу энергосбережения города запланировано инвестировать 529,4 млн. рублей. За 2025 год объем инвестиций составил</w:t>
      </w:r>
      <w:r w:rsidRPr="005B6887">
        <w:rPr>
          <w:bCs/>
          <w:color w:val="000000" w:themeColor="text1"/>
          <w:sz w:val="26"/>
          <w:szCs w:val="26"/>
        </w:rPr>
        <w:t xml:space="preserve"> 69,13 млн. руб.</w:t>
      </w:r>
    </w:p>
    <w:p w:rsidR="002335FF" w:rsidRPr="005B6887" w:rsidRDefault="002335FF" w:rsidP="002335FF">
      <w:pPr>
        <w:ind w:firstLine="709"/>
        <w:jc w:val="both"/>
        <w:rPr>
          <w:color w:val="000000" w:themeColor="text1"/>
          <w:sz w:val="26"/>
          <w:szCs w:val="26"/>
        </w:rPr>
      </w:pPr>
      <w:r w:rsidRPr="005B6887">
        <w:rPr>
          <w:color w:val="000000" w:themeColor="text1"/>
          <w:sz w:val="26"/>
          <w:szCs w:val="26"/>
        </w:rPr>
        <w:lastRenderedPageBreak/>
        <w:t xml:space="preserve">В июне текущего года крупным предприятием ООО «ЭКОТОН» завершена реализация крупного инвестиционного проекта – строительство центральной трубной базы, база расположилась на площади свыше 12 000 </w:t>
      </w:r>
      <w:proofErr w:type="spellStart"/>
      <w:r w:rsidRPr="005B6887">
        <w:rPr>
          <w:color w:val="000000" w:themeColor="text1"/>
          <w:sz w:val="26"/>
          <w:szCs w:val="26"/>
        </w:rPr>
        <w:t>кв.м</w:t>
      </w:r>
      <w:proofErr w:type="spellEnd"/>
      <w:r w:rsidRPr="005B6887">
        <w:rPr>
          <w:color w:val="000000" w:themeColor="text1"/>
          <w:sz w:val="26"/>
          <w:szCs w:val="26"/>
        </w:rPr>
        <w:t>. Установлено новое, надёжное стеллажное хозяйство с помостами, отвечающее всем высоким стандартам. Парк техники пополнился современным автокраном в арктическом исполнении, обеспечивающим бесперебойную работу в любых условиях. Построены два новых, просторных административно-бытовых комплекса (АБК).</w:t>
      </w:r>
    </w:p>
    <w:p w:rsidR="002335FF" w:rsidRPr="005B6887" w:rsidRDefault="002335FF" w:rsidP="002335F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B6887">
        <w:rPr>
          <w:bCs/>
          <w:sz w:val="26"/>
          <w:szCs w:val="26"/>
        </w:rPr>
        <w:t xml:space="preserve">В 2025 году продолжается реализация инвестиционного проекта в сфере </w:t>
      </w:r>
      <w:proofErr w:type="spellStart"/>
      <w:r w:rsidRPr="005B6887">
        <w:rPr>
          <w:bCs/>
          <w:sz w:val="26"/>
          <w:szCs w:val="26"/>
        </w:rPr>
        <w:t>нефтесервиса</w:t>
      </w:r>
      <w:proofErr w:type="spellEnd"/>
      <w:r w:rsidRPr="005B6887">
        <w:rPr>
          <w:bCs/>
          <w:sz w:val="26"/>
          <w:szCs w:val="26"/>
        </w:rPr>
        <w:t xml:space="preserve"> - строительство цеха по выпуску бурильных труб крупным инвестором ООО «Технопарк». Инвестиционный портфель проекта составляет 847,0 </w:t>
      </w:r>
      <w:r w:rsidRPr="005B6887">
        <w:rPr>
          <w:bCs/>
          <w:color w:val="000000" w:themeColor="text1"/>
          <w:sz w:val="26"/>
          <w:szCs w:val="26"/>
        </w:rPr>
        <w:t>млн. рублей.</w:t>
      </w:r>
    </w:p>
    <w:p w:rsidR="002335FF" w:rsidRPr="005B6887" w:rsidRDefault="002335FF" w:rsidP="002335FF">
      <w:pPr>
        <w:ind w:firstLine="709"/>
        <w:jc w:val="both"/>
        <w:rPr>
          <w:bCs/>
          <w:color w:val="000000" w:themeColor="text1"/>
          <w:sz w:val="26"/>
          <w:szCs w:val="26"/>
        </w:rPr>
      </w:pPr>
      <w:r w:rsidRPr="005B6887">
        <w:rPr>
          <w:bCs/>
          <w:color w:val="000000" w:themeColor="text1"/>
          <w:sz w:val="26"/>
          <w:szCs w:val="26"/>
        </w:rPr>
        <w:t xml:space="preserve">На инвестиционном портале города и на инвестиционной карте Югры размещена информация об 1 свободном помещении площадью 310 квадратных метров. </w:t>
      </w:r>
    </w:p>
    <w:p w:rsidR="002335FF" w:rsidRPr="005B6887" w:rsidRDefault="002335FF" w:rsidP="002335FF">
      <w:pPr>
        <w:tabs>
          <w:tab w:val="left" w:pos="540"/>
        </w:tabs>
        <w:ind w:firstLine="709"/>
        <w:jc w:val="both"/>
        <w:rPr>
          <w:color w:val="000000" w:themeColor="text1"/>
          <w:sz w:val="26"/>
        </w:rPr>
      </w:pPr>
      <w:r w:rsidRPr="005B6887">
        <w:rPr>
          <w:color w:val="000000" w:themeColor="text1"/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инвестиционном портале города Пыть-Яха http://invest.gov86.org. </w:t>
      </w:r>
      <w:r w:rsidRPr="005B6887">
        <w:rPr>
          <w:color w:val="000000" w:themeColor="text1"/>
          <w:sz w:val="26"/>
        </w:rPr>
        <w:t xml:space="preserve"> </w:t>
      </w:r>
    </w:p>
    <w:sectPr w:rsidR="002335FF" w:rsidRPr="005B6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588"/>
    <w:rsid w:val="00002DDE"/>
    <w:rsid w:val="000A074B"/>
    <w:rsid w:val="000C490E"/>
    <w:rsid w:val="00114103"/>
    <w:rsid w:val="001345C6"/>
    <w:rsid w:val="001C3EAC"/>
    <w:rsid w:val="00230401"/>
    <w:rsid w:val="002335FF"/>
    <w:rsid w:val="002377C2"/>
    <w:rsid w:val="002458F2"/>
    <w:rsid w:val="00265DB0"/>
    <w:rsid w:val="00307311"/>
    <w:rsid w:val="003B227F"/>
    <w:rsid w:val="00461147"/>
    <w:rsid w:val="00490F1A"/>
    <w:rsid w:val="00490F9E"/>
    <w:rsid w:val="004947F0"/>
    <w:rsid w:val="005018D5"/>
    <w:rsid w:val="0059548F"/>
    <w:rsid w:val="00595A57"/>
    <w:rsid w:val="005A7F18"/>
    <w:rsid w:val="005E3A60"/>
    <w:rsid w:val="00632B31"/>
    <w:rsid w:val="00670B0E"/>
    <w:rsid w:val="006F4C82"/>
    <w:rsid w:val="006F6438"/>
    <w:rsid w:val="007047E4"/>
    <w:rsid w:val="00792C0E"/>
    <w:rsid w:val="00807821"/>
    <w:rsid w:val="0081583A"/>
    <w:rsid w:val="008506EC"/>
    <w:rsid w:val="00854AB4"/>
    <w:rsid w:val="00906BD8"/>
    <w:rsid w:val="00944F89"/>
    <w:rsid w:val="00964172"/>
    <w:rsid w:val="009B070D"/>
    <w:rsid w:val="009E32F7"/>
    <w:rsid w:val="00A03D73"/>
    <w:rsid w:val="00A32916"/>
    <w:rsid w:val="00A705C6"/>
    <w:rsid w:val="00A71B9F"/>
    <w:rsid w:val="00AC1EFD"/>
    <w:rsid w:val="00AD5067"/>
    <w:rsid w:val="00AF1FCC"/>
    <w:rsid w:val="00B01B02"/>
    <w:rsid w:val="00B16EFE"/>
    <w:rsid w:val="00B746E0"/>
    <w:rsid w:val="00B97588"/>
    <w:rsid w:val="00BB6DB9"/>
    <w:rsid w:val="00BF1404"/>
    <w:rsid w:val="00C15217"/>
    <w:rsid w:val="00D4755F"/>
    <w:rsid w:val="00D61AD3"/>
    <w:rsid w:val="00E42825"/>
    <w:rsid w:val="00EA50E9"/>
    <w:rsid w:val="00FC6D9A"/>
    <w:rsid w:val="00FC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E82B58-D57F-4332-BEAE-8B5F6C9E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588"/>
    <w:rPr>
      <w:b/>
      <w:bCs/>
    </w:rPr>
  </w:style>
  <w:style w:type="paragraph" w:styleId="a4">
    <w:name w:val="Body Text"/>
    <w:basedOn w:val="a"/>
    <w:link w:val="1"/>
    <w:rsid w:val="000A074B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0A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link w:val="a4"/>
    <w:locked/>
    <w:rsid w:val="000A07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32</cp:revision>
  <cp:lastPrinted>2025-02-18T09:07:00Z</cp:lastPrinted>
  <dcterms:created xsi:type="dcterms:W3CDTF">2024-10-21T12:24:00Z</dcterms:created>
  <dcterms:modified xsi:type="dcterms:W3CDTF">2026-02-13T05:26:00Z</dcterms:modified>
</cp:coreProperties>
</file>