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pPr>
      <w:r>
        <w:rPr>
          <w:sz w:val="20"/>
        </w:rPr>
      </w:r>
    </w:p>
    <w:p>
      <w:pPr>
        <w:pStyle w:val="2"/>
        <w:jc w:val="center"/>
      </w:pPr>
      <w:r>
        <w:rPr>
          <w:sz w:val="20"/>
        </w:rPr>
        <w:t xml:space="preserve">ДУМА ГОРОДА ПЫТЬ-ЯХА</w:t>
      </w:r>
    </w:p>
    <w:p>
      <w:pPr>
        <w:pStyle w:val="2"/>
        <w:jc w:val="center"/>
      </w:pPr>
      <w:r>
        <w:rPr>
          <w:sz w:val="20"/>
        </w:rPr>
        <w:t xml:space="preserve">СЕДЬМОГО СОЗЫВА</w:t>
      </w:r>
    </w:p>
    <w:p>
      <w:pPr>
        <w:pStyle w:val="2"/>
        <w:jc w:val="center"/>
      </w:pPr>
      <w:r>
        <w:rPr>
          <w:sz w:val="20"/>
        </w:rPr>
      </w:r>
    </w:p>
    <w:p>
      <w:pPr>
        <w:pStyle w:val="2"/>
        <w:jc w:val="center"/>
      </w:pPr>
      <w:r>
        <w:rPr>
          <w:sz w:val="20"/>
        </w:rPr>
        <w:t xml:space="preserve">РЕШЕНИЕ</w:t>
      </w:r>
    </w:p>
    <w:p>
      <w:pPr>
        <w:pStyle w:val="2"/>
        <w:jc w:val="center"/>
      </w:pPr>
      <w:r>
        <w:rPr>
          <w:sz w:val="20"/>
        </w:rPr>
        <w:t xml:space="preserve">от 18 октября 2023 г. N 198</w:t>
      </w:r>
    </w:p>
    <w:p>
      <w:pPr>
        <w:pStyle w:val="2"/>
        <w:jc w:val="center"/>
      </w:pPr>
      <w:r>
        <w:rPr>
          <w:sz w:val="20"/>
        </w:rPr>
      </w:r>
    </w:p>
    <w:p>
      <w:pPr>
        <w:pStyle w:val="2"/>
        <w:jc w:val="center"/>
      </w:pPr>
      <w:r>
        <w:rPr>
          <w:sz w:val="20"/>
        </w:rPr>
        <w:t xml:space="preserve">ОБ УСТАНОВЛЕНИИ ЗЕМЕЛЬНОГО НАЛОГА НА ТЕРРИТОРИИ ГОРОДА</w:t>
      </w:r>
    </w:p>
    <w:p>
      <w:pPr>
        <w:pStyle w:val="2"/>
        <w:jc w:val="center"/>
      </w:pPr>
      <w:r>
        <w:rPr>
          <w:sz w:val="20"/>
        </w:rPr>
        <w:t xml:space="preserve">ПЫТЬ-ЯХА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Решение Думы города Пыть-Яха от 07.10.2024 N 288 &quot;О внесении изменений в решение Думы города Пыть-Яха от 18.10.2023 N 198 &quot;Об установлении земельного налога на территории города Пыть-Яха&quot; {КонсультантПлюс}">
              <w:r>
                <w:rPr>
                  <w:sz w:val="20"/>
                  <w:color w:val="0000ff"/>
                </w:rPr>
                <w:t xml:space="preserve">решения</w:t>
              </w:r>
            </w:hyperlink>
            <w:r>
              <w:rPr>
                <w:sz w:val="20"/>
                <w:color w:val="392c69"/>
              </w:rPr>
              <w:t xml:space="preserve"> Думы города Пыть-Яха от 07.10.2024 N 288)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8" w:tooltip="&quot;Налоговый кодекс Российской Федерации (часть вторая)&quot; от 05.08.2000 N 117-ФЗ (ред. от 28.11.2025) {КонсультантПлюс}">
        <w:r>
          <w:rPr>
            <w:sz w:val="20"/>
            <w:color w:val="0000ff"/>
          </w:rPr>
          <w:t xml:space="preserve">главой 31</w:t>
        </w:r>
      </w:hyperlink>
      <w:r>
        <w:rPr>
          <w:sz w:val="20"/>
        </w:rPr>
        <w:t xml:space="preserve"> Налогового кодекса Российской Федерации, Федеральным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w:t>
      </w:r>
      <w:hyperlink w:history="0" r:id="rId10" w:tooltip="&quot;Устав города Пыть-Яха&quot; (принят решением Думы города Пыть-Яха от 25.06.2005 N 516) (ред. от 26.05.2025) (Зарегистрировано в Управлении по вопросам местного самоуправления Администрации Губернатора Ханты-Мансийского автономного округа - Югры 26.08.2005 N 205) {КонсультантПлюс}">
        <w:r>
          <w:rPr>
            <w:sz w:val="20"/>
            <w:color w:val="0000ff"/>
          </w:rPr>
          <w:t xml:space="preserve">Уставом</w:t>
        </w:r>
      </w:hyperlink>
      <w:r>
        <w:rPr>
          <w:sz w:val="20"/>
        </w:rPr>
        <w:t xml:space="preserve"> города Пыть-Яха, Дума города решила:</w:t>
      </w:r>
    </w:p>
    <w:p>
      <w:pPr>
        <w:pStyle w:val="0"/>
        <w:spacing w:before="200" w:lineRule="auto"/>
        <w:ind w:firstLine="540"/>
        <w:jc w:val="both"/>
      </w:pPr>
      <w:r>
        <w:rPr>
          <w:sz w:val="20"/>
        </w:rPr>
        <w:t xml:space="preserve">1. Установить земельный налог (далее - налог) на территории города Пыть-Яха.</w:t>
      </w:r>
    </w:p>
    <w:p>
      <w:pPr>
        <w:pStyle w:val="0"/>
        <w:jc w:val="both"/>
      </w:pPr>
      <w:r>
        <w:rPr>
          <w:sz w:val="20"/>
        </w:rPr>
        <w:t xml:space="preserve">(в ред. </w:t>
      </w:r>
      <w:hyperlink w:history="0" r:id="rId11" w:tooltip="Решение Думы города Пыть-Яха от 07.10.2024 N 288 &quot;О внесении изменений в решение Думы города Пыть-Яха от 18.10.2023 N 198 &quot;Об установлении земельного налога на территории города Пыть-Яха&quot; {КонсультантПлюс}">
        <w:r>
          <w:rPr>
            <w:sz w:val="20"/>
            <w:color w:val="0000ff"/>
          </w:rPr>
          <w:t xml:space="preserve">решения</w:t>
        </w:r>
      </w:hyperlink>
      <w:r>
        <w:rPr>
          <w:sz w:val="20"/>
        </w:rPr>
        <w:t xml:space="preserve"> Думы города Пыть-Яха от 07.10.2024 N 288)</w:t>
      </w:r>
    </w:p>
    <w:p>
      <w:pPr>
        <w:pStyle w:val="0"/>
        <w:spacing w:before="200" w:lineRule="auto"/>
        <w:ind w:firstLine="540"/>
        <w:jc w:val="both"/>
      </w:pPr>
      <w:r>
        <w:rPr>
          <w:sz w:val="20"/>
        </w:rPr>
        <w:t xml:space="preserve">2. Установить на территории города Пыть-Яха ставки налога в следующих размерах:</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6066"/>
        <w:gridCol w:w="1559"/>
      </w:tblGrid>
      <w:tr>
        <w:tc>
          <w:tcPr>
            <w:tcW w:w="624" w:type="dxa"/>
          </w:tcPr>
          <w:p>
            <w:pPr>
              <w:pStyle w:val="0"/>
              <w:jc w:val="center"/>
            </w:pPr>
            <w:r>
              <w:rPr>
                <w:sz w:val="20"/>
              </w:rPr>
              <w:t xml:space="preserve">N п/п</w:t>
            </w:r>
          </w:p>
        </w:tc>
        <w:tc>
          <w:tcPr>
            <w:tcW w:w="6066" w:type="dxa"/>
          </w:tcPr>
          <w:p>
            <w:pPr>
              <w:pStyle w:val="0"/>
              <w:jc w:val="center"/>
            </w:pPr>
            <w:r>
              <w:rPr>
                <w:sz w:val="20"/>
              </w:rPr>
              <w:t xml:space="preserve">Вид разрешенного использования</w:t>
            </w:r>
          </w:p>
        </w:tc>
        <w:tc>
          <w:tcPr>
            <w:tcW w:w="1559" w:type="dxa"/>
          </w:tcPr>
          <w:p>
            <w:pPr>
              <w:pStyle w:val="0"/>
              <w:jc w:val="center"/>
            </w:pPr>
            <w:r>
              <w:rPr>
                <w:sz w:val="20"/>
              </w:rPr>
              <w:t xml:space="preserve">Ставка налога</w:t>
            </w:r>
          </w:p>
          <w:p>
            <w:pPr>
              <w:pStyle w:val="0"/>
              <w:jc w:val="center"/>
            </w:pPr>
            <w:r>
              <w:rPr>
                <w:sz w:val="20"/>
              </w:rPr>
              <w:t xml:space="preserve">(проценты)</w:t>
            </w:r>
          </w:p>
        </w:tc>
      </w:tr>
      <w:tr>
        <w:tc>
          <w:tcPr>
            <w:tcW w:w="624" w:type="dxa"/>
          </w:tcPr>
          <w:p>
            <w:pPr>
              <w:pStyle w:val="0"/>
            </w:pPr>
            <w:r>
              <w:rPr>
                <w:sz w:val="20"/>
              </w:rPr>
              <w:t xml:space="preserve">1</w:t>
            </w:r>
          </w:p>
        </w:tc>
        <w:tc>
          <w:tcPr>
            <w:tcW w:w="6066" w:type="dxa"/>
          </w:tcPr>
          <w:p>
            <w:pPr>
              <w:pStyle w:val="0"/>
            </w:pPr>
            <w:r>
              <w:rPr>
                <w:sz w:val="20"/>
              </w:rPr>
              <w:t xml:space="preserve">Земельные участки, предназначенные для размещения домов индивидуальной жилой застройки</w:t>
            </w:r>
          </w:p>
        </w:tc>
        <w:tc>
          <w:tcPr>
            <w:tcW w:w="1559" w:type="dxa"/>
          </w:tcPr>
          <w:p>
            <w:pPr>
              <w:pStyle w:val="0"/>
            </w:pPr>
            <w:r>
              <w:rPr>
                <w:sz w:val="20"/>
              </w:rPr>
              <w:t xml:space="preserve">0,3</w:t>
            </w:r>
          </w:p>
        </w:tc>
      </w:tr>
      <w:tr>
        <w:tc>
          <w:tcPr>
            <w:tcW w:w="624" w:type="dxa"/>
          </w:tcPr>
          <w:p>
            <w:pPr>
              <w:pStyle w:val="0"/>
            </w:pPr>
            <w:r>
              <w:rPr>
                <w:sz w:val="20"/>
              </w:rPr>
              <w:t xml:space="preserve">2</w:t>
            </w:r>
          </w:p>
        </w:tc>
        <w:tc>
          <w:tcPr>
            <w:tcW w:w="6066" w:type="dxa"/>
          </w:tcPr>
          <w:p>
            <w:pPr>
              <w:pStyle w:val="0"/>
            </w:pPr>
            <w:r>
              <w:rPr>
                <w:sz w:val="20"/>
              </w:rPr>
              <w:t xml:space="preserve">Земельные участки, предназначенные для размещения гаражей и автостоянок</w:t>
            </w:r>
          </w:p>
        </w:tc>
        <w:tc>
          <w:tcPr>
            <w:tcW w:w="1559" w:type="dxa"/>
          </w:tcPr>
          <w:p>
            <w:pPr>
              <w:pStyle w:val="0"/>
            </w:pPr>
            <w:r>
              <w:rPr>
                <w:sz w:val="20"/>
              </w:rPr>
              <w:t xml:space="preserve">0,3</w:t>
            </w:r>
          </w:p>
        </w:tc>
      </w:tr>
      <w:tr>
        <w:tc>
          <w:tcPr>
            <w:tcW w:w="624" w:type="dxa"/>
          </w:tcPr>
          <w:p>
            <w:pPr>
              <w:pStyle w:val="0"/>
            </w:pPr>
            <w:r>
              <w:rPr>
                <w:sz w:val="20"/>
              </w:rPr>
              <w:t xml:space="preserve">3</w:t>
            </w:r>
          </w:p>
        </w:tc>
        <w:tc>
          <w:tcPr>
            <w:tcW w:w="6066" w:type="dxa"/>
          </w:tcPr>
          <w:p>
            <w:pPr>
              <w:pStyle w:val="0"/>
            </w:pPr>
            <w:r>
              <w:rPr>
                <w:sz w:val="20"/>
              </w:rPr>
              <w:t xml:space="preserve">Земельные участки, не используемые в предпринимательской деятельности, приобретенные (предоставленные) для ведения личного подсобного хозяйства, садоводства или огородничества, а также земельные участки общего назначения, предусмотренные Федеральным </w:t>
            </w:r>
            <w:hyperlink w:history="0" r:id="rId1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1559" w:type="dxa"/>
          </w:tcPr>
          <w:p>
            <w:pPr>
              <w:pStyle w:val="0"/>
            </w:pPr>
            <w:r>
              <w:rPr>
                <w:sz w:val="20"/>
              </w:rPr>
              <w:t xml:space="preserve">0,3</w:t>
            </w:r>
          </w:p>
        </w:tc>
      </w:tr>
      <w:tr>
        <w:tc>
          <w:tcPr>
            <w:tcW w:w="624" w:type="dxa"/>
          </w:tcPr>
          <w:p>
            <w:pPr>
              <w:pStyle w:val="0"/>
            </w:pPr>
            <w:r>
              <w:rPr>
                <w:sz w:val="20"/>
              </w:rPr>
              <w:t xml:space="preserve">4</w:t>
            </w:r>
          </w:p>
        </w:tc>
        <w:tc>
          <w:tcPr>
            <w:tcW w:w="6066" w:type="dxa"/>
          </w:tcPr>
          <w:p>
            <w:pPr>
              <w:pStyle w:val="0"/>
            </w:pPr>
            <w:r>
              <w:rPr>
                <w:sz w:val="20"/>
              </w:rPr>
              <w:t xml:space="preserve">Земельные участки, предназначенные для размещения коммунального хозяйства</w:t>
            </w:r>
          </w:p>
        </w:tc>
        <w:tc>
          <w:tcPr>
            <w:tcW w:w="1559" w:type="dxa"/>
          </w:tcPr>
          <w:p>
            <w:pPr>
              <w:pStyle w:val="0"/>
            </w:pPr>
            <w:r>
              <w:rPr>
                <w:sz w:val="20"/>
              </w:rPr>
              <w:t xml:space="preserve">0,3</w:t>
            </w:r>
          </w:p>
        </w:tc>
      </w:tr>
      <w:tr>
        <w:tc>
          <w:tcPr>
            <w:tcW w:w="624" w:type="dxa"/>
          </w:tcPr>
          <w:p>
            <w:pPr>
              <w:pStyle w:val="0"/>
            </w:pPr>
            <w:r>
              <w:rPr>
                <w:sz w:val="20"/>
              </w:rPr>
              <w:t xml:space="preserve">5</w:t>
            </w:r>
          </w:p>
        </w:tc>
        <w:tc>
          <w:tcPr>
            <w:tcW w:w="6066" w:type="dxa"/>
          </w:tcPr>
          <w:p>
            <w:pPr>
              <w:pStyle w:val="0"/>
            </w:pPr>
            <w:r>
              <w:rPr>
                <w:sz w:val="20"/>
              </w:rPr>
              <w:t xml:space="preserve">Земельные участки, предназначенные для сельскохозяйственного использования</w:t>
            </w:r>
          </w:p>
        </w:tc>
        <w:tc>
          <w:tcPr>
            <w:tcW w:w="1559" w:type="dxa"/>
          </w:tcPr>
          <w:p>
            <w:pPr>
              <w:pStyle w:val="0"/>
            </w:pPr>
            <w:r>
              <w:rPr>
                <w:sz w:val="20"/>
              </w:rPr>
              <w:t xml:space="preserve">0,1</w:t>
            </w:r>
          </w:p>
        </w:tc>
      </w:tr>
      <w:tr>
        <w:tc>
          <w:tcPr>
            <w:tcW w:w="624" w:type="dxa"/>
          </w:tcPr>
          <w:p>
            <w:pPr>
              <w:pStyle w:val="0"/>
            </w:pPr>
            <w:r>
              <w:rPr>
                <w:sz w:val="20"/>
              </w:rPr>
              <w:t xml:space="preserve">6</w:t>
            </w:r>
          </w:p>
        </w:tc>
        <w:tc>
          <w:tcPr>
            <w:tcW w:w="6066" w:type="dxa"/>
          </w:tcPr>
          <w:p>
            <w:pPr>
              <w:pStyle w:val="0"/>
            </w:pPr>
            <w:r>
              <w:rPr>
                <w:sz w:val="20"/>
              </w:rPr>
              <w:t xml:space="preserve">Земельные участки, предназначенные для размещения объектов образования</w:t>
            </w:r>
          </w:p>
        </w:tc>
        <w:tc>
          <w:tcPr>
            <w:tcW w:w="1559" w:type="dxa"/>
          </w:tcPr>
          <w:p>
            <w:pPr>
              <w:pStyle w:val="0"/>
            </w:pPr>
            <w:r>
              <w:rPr>
                <w:sz w:val="20"/>
              </w:rPr>
              <w:t xml:space="preserve">1,0</w:t>
            </w:r>
          </w:p>
        </w:tc>
      </w:tr>
      <w:tr>
        <w:tc>
          <w:tcPr>
            <w:tcW w:w="624" w:type="dxa"/>
          </w:tcPr>
          <w:p>
            <w:pPr>
              <w:pStyle w:val="0"/>
            </w:pPr>
            <w:r>
              <w:rPr>
                <w:sz w:val="20"/>
              </w:rPr>
              <w:t xml:space="preserve">7</w:t>
            </w:r>
          </w:p>
        </w:tc>
        <w:tc>
          <w:tcPr>
            <w:tcW w:w="6066" w:type="dxa"/>
          </w:tcPr>
          <w:p>
            <w:pPr>
              <w:pStyle w:val="0"/>
            </w:pPr>
            <w:r>
              <w:rPr>
                <w:sz w:val="20"/>
              </w:rPr>
              <w:t xml:space="preserve">Прочие земельные участки</w:t>
            </w:r>
          </w:p>
        </w:tc>
        <w:tc>
          <w:tcPr>
            <w:tcW w:w="1559" w:type="dxa"/>
          </w:tcPr>
          <w:p>
            <w:pPr>
              <w:pStyle w:val="0"/>
            </w:pPr>
            <w:r>
              <w:rPr>
                <w:sz w:val="20"/>
              </w:rPr>
              <w:t xml:space="preserve">1,5</w:t>
            </w:r>
          </w:p>
        </w:tc>
      </w:tr>
    </w:tbl>
    <w:p>
      <w:pPr>
        <w:pStyle w:val="0"/>
        <w:jc w:val="both"/>
      </w:pPr>
      <w:r>
        <w:rPr>
          <w:sz w:val="20"/>
        </w:rPr>
      </w:r>
    </w:p>
    <w:p>
      <w:pPr>
        <w:pStyle w:val="0"/>
        <w:jc w:val="both"/>
      </w:pPr>
      <w:r>
        <w:rPr>
          <w:sz w:val="20"/>
        </w:rPr>
        <w:t xml:space="preserve">(таблица в ред. </w:t>
      </w:r>
      <w:hyperlink w:history="0" r:id="rId13" w:tooltip="Решение Думы города Пыть-Яха от 07.10.2024 N 288 &quot;О внесении изменений в решение Думы города Пыть-Яха от 18.10.2023 N 198 &quot;Об установлении земельного налога на территории города Пыть-Яха&quot; {КонсультантПлюс}">
        <w:r>
          <w:rPr>
            <w:sz w:val="20"/>
            <w:color w:val="0000ff"/>
          </w:rPr>
          <w:t xml:space="preserve">решения</w:t>
        </w:r>
      </w:hyperlink>
      <w:r>
        <w:rPr>
          <w:sz w:val="20"/>
        </w:rPr>
        <w:t xml:space="preserve"> Думы города Пыть-Яха от 07.10.2024 N 288)</w:t>
      </w:r>
    </w:p>
    <w:p>
      <w:pPr>
        <w:pStyle w:val="0"/>
        <w:jc w:val="both"/>
      </w:pPr>
      <w:r>
        <w:rPr>
          <w:sz w:val="20"/>
        </w:rPr>
      </w:r>
    </w:p>
    <w:p>
      <w:pPr>
        <w:pStyle w:val="0"/>
        <w:ind w:firstLine="540"/>
        <w:jc w:val="both"/>
      </w:pPr>
      <w:r>
        <w:rPr>
          <w:sz w:val="20"/>
        </w:rPr>
        <w:t xml:space="preserve">3. Порядок и сроки уплаты налога и авансовых платежей по налогу установлены Налоговым </w:t>
      </w:r>
      <w:hyperlink w:history="0" r:id="rId14" w:tooltip="&quot;Налоговый кодекс Российской Федерации (часть первая)&quot; от 31.07.1998 N 146-ФЗ (ред. от 28.11.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Налоговые льготы, установленные настоящим решением, предоставляются в целях:</w:t>
      </w:r>
    </w:p>
    <w:p>
      <w:pPr>
        <w:pStyle w:val="0"/>
        <w:spacing w:before="200" w:lineRule="auto"/>
        <w:ind w:firstLine="540"/>
        <w:jc w:val="both"/>
      </w:pPr>
      <w:r>
        <w:rPr>
          <w:sz w:val="20"/>
        </w:rPr>
        <w:t xml:space="preserve">- обеспечения устойчивого социально-экономического развития города Пыть-Яха;</w:t>
      </w:r>
    </w:p>
    <w:p>
      <w:pPr>
        <w:pStyle w:val="0"/>
        <w:spacing w:before="200" w:lineRule="auto"/>
        <w:ind w:firstLine="540"/>
        <w:jc w:val="both"/>
      </w:pPr>
      <w:r>
        <w:rPr>
          <w:sz w:val="20"/>
        </w:rPr>
        <w:t xml:space="preserve">- повышения социальной защищенности населения города Пыть-Яха;</w:t>
      </w:r>
    </w:p>
    <w:p>
      <w:pPr>
        <w:pStyle w:val="0"/>
        <w:spacing w:before="200" w:lineRule="auto"/>
        <w:ind w:firstLine="540"/>
        <w:jc w:val="both"/>
      </w:pPr>
      <w:r>
        <w:rPr>
          <w:sz w:val="20"/>
        </w:rPr>
        <w:t xml:space="preserve">- улучшения инвестиционного климата в городе Пыть-Яхе;</w:t>
      </w:r>
    </w:p>
    <w:p>
      <w:pPr>
        <w:pStyle w:val="0"/>
        <w:spacing w:before="200" w:lineRule="auto"/>
        <w:ind w:firstLine="540"/>
        <w:jc w:val="both"/>
      </w:pPr>
      <w:r>
        <w:rPr>
          <w:sz w:val="20"/>
        </w:rPr>
        <w:t xml:space="preserve">- поддержки инвестиционных проектов, реализуемых на территории города Пыть-Яха;</w:t>
      </w:r>
    </w:p>
    <w:p>
      <w:pPr>
        <w:pStyle w:val="0"/>
        <w:spacing w:before="200" w:lineRule="auto"/>
        <w:ind w:firstLine="540"/>
        <w:jc w:val="both"/>
      </w:pPr>
      <w:r>
        <w:rPr>
          <w:sz w:val="20"/>
        </w:rPr>
        <w:t xml:space="preserve">- обеспечения достижения национальных целей развития Российской Федерации.</w:t>
      </w:r>
    </w:p>
    <w:p>
      <w:pPr>
        <w:pStyle w:val="0"/>
        <w:spacing w:before="200" w:lineRule="auto"/>
        <w:ind w:firstLine="540"/>
        <w:jc w:val="both"/>
      </w:pPr>
      <w:r>
        <w:rPr>
          <w:sz w:val="20"/>
        </w:rPr>
        <w:t xml:space="preserve">5. Освобождаются от уплаты налога в размере 50 процентов:</w:t>
      </w:r>
    </w:p>
    <w:p>
      <w:pPr>
        <w:pStyle w:val="0"/>
        <w:spacing w:before="200" w:lineRule="auto"/>
        <w:ind w:firstLine="540"/>
        <w:jc w:val="both"/>
      </w:pPr>
      <w:r>
        <w:rPr>
          <w:sz w:val="20"/>
        </w:rPr>
        <w:t xml:space="preserve">5.1. Неработающие пенсионеры, получающие страховую пенсию по старости, страховую пенсию по случаю потери кормильца, имеющие земельные участки под гаражами на праве собственности, при наличии транспортного средства на праве собственности. Указанная льгота предоставляется только на один объект налогообложения;</w:t>
      </w:r>
    </w:p>
    <w:p>
      <w:pPr>
        <w:pStyle w:val="0"/>
        <w:spacing w:before="200" w:lineRule="auto"/>
        <w:ind w:firstLine="540"/>
        <w:jc w:val="both"/>
      </w:pPr>
      <w:r>
        <w:rPr>
          <w:sz w:val="20"/>
        </w:rPr>
        <w:t xml:space="preserve">5.2. Организации, являющиеся правообладателями программ для электронных вычислительных машин, включенных в единый реестр российских программ для электронных вычислительных машин и баз данных, и (или) получившие документ о государственной аккредитации организации, осуществляющей деятельность в области информационных технологий в отношении земельных участков, предназначенных для размещения объектов связи и центров обработки данных и используемых для осуществления деятельности в области информационных технологий и деятельности по разработке компьютерного программного обеспечения на период до 31.12.2025.</w:t>
      </w:r>
    </w:p>
    <w:p>
      <w:pPr>
        <w:pStyle w:val="0"/>
        <w:spacing w:before="200" w:lineRule="auto"/>
        <w:ind w:firstLine="540"/>
        <w:jc w:val="both"/>
      </w:pPr>
      <w:r>
        <w:rPr>
          <w:sz w:val="20"/>
        </w:rPr>
        <w:t xml:space="preserve">6. Освобождаются от уплаты налога в размере 100 процентов:</w:t>
      </w:r>
    </w:p>
    <w:p>
      <w:pPr>
        <w:pStyle w:val="0"/>
        <w:spacing w:before="200" w:lineRule="auto"/>
        <w:ind w:firstLine="540"/>
        <w:jc w:val="both"/>
      </w:pPr>
      <w:r>
        <w:rPr>
          <w:sz w:val="20"/>
        </w:rPr>
        <w:t xml:space="preserve">6.1. Многодетные семьи в отношении земельных участков, занятых под крестьянские (фермерские) хозяйства, малые предприятия и другие коммерческие структуры. Указанная льгота предоставляется только на один объект налогообложения;</w:t>
      </w:r>
    </w:p>
    <w:p>
      <w:pPr>
        <w:pStyle w:val="0"/>
        <w:spacing w:before="200" w:lineRule="auto"/>
        <w:ind w:firstLine="540"/>
        <w:jc w:val="both"/>
      </w:pPr>
      <w:r>
        <w:rPr>
          <w:sz w:val="20"/>
        </w:rPr>
        <w:t xml:space="preserve">6.2. Ветераны и инвалиды ВОВ в отношении земельных участков, не используемых ими в предпринимательской деятельности. Указанная льгота предоставляется только на один объект налогообложения;</w:t>
      </w:r>
    </w:p>
    <w:p>
      <w:pPr>
        <w:pStyle w:val="0"/>
        <w:spacing w:before="200" w:lineRule="auto"/>
        <w:ind w:firstLine="540"/>
        <w:jc w:val="both"/>
      </w:pPr>
      <w:r>
        <w:rPr>
          <w:sz w:val="20"/>
        </w:rPr>
        <w:t xml:space="preserve">6.3. Муниципальные учреждения города Пыть-Яха;</w:t>
      </w:r>
    </w:p>
    <w:p>
      <w:pPr>
        <w:pStyle w:val="0"/>
        <w:spacing w:before="200" w:lineRule="auto"/>
        <w:ind w:firstLine="540"/>
        <w:jc w:val="both"/>
      </w:pPr>
      <w:r>
        <w:rPr>
          <w:sz w:val="20"/>
        </w:rPr>
        <w:t xml:space="preserve">6.4. Социально ориентированные некоммерческие организации, зарегистрированные на территории города Пыть-Яха, - в отношении земельных участков, используемых ими для оказания населению услуг в социальной сфере;</w:t>
      </w:r>
    </w:p>
    <w:p>
      <w:pPr>
        <w:pStyle w:val="0"/>
        <w:spacing w:before="200" w:lineRule="auto"/>
        <w:ind w:firstLine="540"/>
        <w:jc w:val="both"/>
      </w:pPr>
      <w:r>
        <w:rPr>
          <w:sz w:val="20"/>
        </w:rPr>
        <w:t xml:space="preserve">6.5. Организации и физические лица, в отношении земельных участков, используемых для реализации инвестиционных проектов на территории города Пыть-Яха, включенных в установленном Правительством Ханты-Мансийского автономного округа - Югры порядке в Реестр инвестиционных проектов Ханты-Мансийского автономного округа - Югры, на плановый срок окупаемости инвестиционного проекта, но не более трех лет.</w:t>
      </w:r>
    </w:p>
    <w:p>
      <w:pPr>
        <w:pStyle w:val="0"/>
        <w:spacing w:before="200" w:lineRule="auto"/>
        <w:ind w:firstLine="540"/>
        <w:jc w:val="both"/>
      </w:pPr>
      <w:r>
        <w:rPr>
          <w:sz w:val="20"/>
        </w:rPr>
        <w:t xml:space="preserve">7. В соответствии с </w:t>
      </w:r>
      <w:hyperlink w:history="0" r:id="rId15" w:tooltip="&quot;Налоговый кодекс Российской Федерации (часть вторая)&quot; от 05.08.2000 N 117-ФЗ (ред. от 28.11.2025) {КонсультантПлюс}">
        <w:r>
          <w:rPr>
            <w:sz w:val="20"/>
            <w:color w:val="0000ff"/>
          </w:rPr>
          <w:t xml:space="preserve">пунктом 10 статьи 396</w:t>
        </w:r>
      </w:hyperlink>
      <w:r>
        <w:rPr>
          <w:sz w:val="20"/>
        </w:rPr>
        <w:t xml:space="preserve"> Налогового кодекса Российской Федерации, налогоплательщики, имеющие право на налоговые льготы, в том числе в виде налогового вычета,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 или "Личный кабинет налогоплательщика".</w:t>
      </w:r>
    </w:p>
    <w:p>
      <w:pPr>
        <w:pStyle w:val="0"/>
        <w:spacing w:before="200" w:lineRule="auto"/>
        <w:ind w:firstLine="540"/>
        <w:jc w:val="both"/>
      </w:pPr>
      <w:r>
        <w:rPr>
          <w:sz w:val="20"/>
        </w:rPr>
        <w:t xml:space="preserve">8. Контроль за исполнением настоящего решения возложить на постоянную депутатскую комиссию по бюджету, налогам и экономической политике.</w:t>
      </w:r>
    </w:p>
    <w:p>
      <w:pPr>
        <w:pStyle w:val="0"/>
        <w:spacing w:before="200" w:lineRule="auto"/>
        <w:ind w:firstLine="540"/>
        <w:jc w:val="both"/>
      </w:pPr>
      <w:r>
        <w:rPr>
          <w:sz w:val="20"/>
        </w:rPr>
        <w:t xml:space="preserve">9. Настоящее решение вступает в силу с 01.01.2024.</w:t>
      </w:r>
    </w:p>
    <w:p>
      <w:pPr>
        <w:pStyle w:val="0"/>
        <w:spacing w:before="200" w:lineRule="auto"/>
        <w:ind w:firstLine="540"/>
        <w:jc w:val="both"/>
      </w:pPr>
      <w:r>
        <w:rPr>
          <w:sz w:val="20"/>
        </w:rPr>
        <w:t xml:space="preserve">10. Опубликовать настоящее решение в печатном средстве массовой информации "Официальный вестник".</w:t>
      </w:r>
    </w:p>
    <w:p>
      <w:pPr>
        <w:pStyle w:val="0"/>
        <w:spacing w:before="200" w:lineRule="auto"/>
        <w:ind w:firstLine="540"/>
        <w:jc w:val="both"/>
      </w:pPr>
      <w:r>
        <w:rPr>
          <w:sz w:val="20"/>
        </w:rPr>
        <w:t xml:space="preserve">11. Со дня вступления в силу настоящего решения признать утратившими силу следующие решения Думы города Пыть-Яха:</w:t>
      </w:r>
    </w:p>
    <w:p>
      <w:pPr>
        <w:pStyle w:val="0"/>
        <w:spacing w:before="200" w:lineRule="auto"/>
        <w:ind w:firstLine="540"/>
        <w:jc w:val="both"/>
      </w:pPr>
      <w:r>
        <w:rPr>
          <w:sz w:val="20"/>
        </w:rPr>
        <w:t xml:space="preserve">- от 22.09.2008 </w:t>
      </w:r>
      <w:hyperlink w:history="0" r:id="rId16" w:tooltip="Решение Думы города Пыть-Яха от 22.09.2008 N 330 (ред. от 28.04.2023) &quot;Об установлении земельного налога на территории города Пыть-Яха&quot; (подписано 22.09.2008) (подписано Председателем Думы города 22.09.2008) ------------ Утратил силу или отменен {КонсультантПлюс}">
        <w:r>
          <w:rPr>
            <w:sz w:val="20"/>
            <w:color w:val="0000ff"/>
          </w:rPr>
          <w:t xml:space="preserve">N 330</w:t>
        </w:r>
      </w:hyperlink>
      <w:r>
        <w:rPr>
          <w:sz w:val="20"/>
        </w:rPr>
        <w:t xml:space="preserve"> "Об установлении земельного налога на территории муниципального образования городской округ город Пыть-Ях";</w:t>
      </w:r>
    </w:p>
    <w:p>
      <w:pPr>
        <w:pStyle w:val="0"/>
        <w:spacing w:before="200" w:lineRule="auto"/>
        <w:ind w:firstLine="540"/>
        <w:jc w:val="both"/>
      </w:pPr>
      <w:r>
        <w:rPr>
          <w:sz w:val="20"/>
        </w:rPr>
        <w:t xml:space="preserve">- от 27.11.2008 </w:t>
      </w:r>
      <w:hyperlink w:history="0" r:id="rId17" w:tooltip="Решение Думы города Пыть-Яха от 27.11.2008 N 356 &quot;О внесении допол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подписано 27.11.2008) (подписано Председателем Думы города 27.11.2008) ------------ Утратил силу или отменен {КонсультантПлюс}">
        <w:r>
          <w:rPr>
            <w:sz w:val="20"/>
            <w:color w:val="0000ff"/>
          </w:rPr>
          <w:t xml:space="preserve">N 356</w:t>
        </w:r>
      </w:hyperlink>
      <w:r>
        <w:rPr>
          <w:sz w:val="20"/>
        </w:rPr>
        <w:t xml:space="preserve"> "О внесении дополнений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w:t>
      </w:r>
    </w:p>
    <w:p>
      <w:pPr>
        <w:pStyle w:val="0"/>
        <w:spacing w:before="200" w:lineRule="auto"/>
        <w:ind w:firstLine="540"/>
        <w:jc w:val="both"/>
      </w:pPr>
      <w:r>
        <w:rPr>
          <w:sz w:val="20"/>
        </w:rPr>
        <w:t xml:space="preserve">- от 20.10.2009 </w:t>
      </w:r>
      <w:hyperlink w:history="0" r:id="rId18" w:tooltip="Решение Думы города Пыть-Яха от 20.10.2009 N 446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quot; (подписано 20.10.2009) (подписано Председателем Думы города 20.10.2009) ------------ Утратил силу или отменен {КонсультантПлюс}">
        <w:r>
          <w:rPr>
            <w:sz w:val="20"/>
            <w:color w:val="0000ff"/>
          </w:rPr>
          <w:t xml:space="preserve">N 446</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w:t>
      </w:r>
    </w:p>
    <w:p>
      <w:pPr>
        <w:pStyle w:val="0"/>
        <w:spacing w:before="200" w:lineRule="auto"/>
        <w:ind w:firstLine="540"/>
        <w:jc w:val="both"/>
      </w:pPr>
      <w:r>
        <w:rPr>
          <w:sz w:val="20"/>
        </w:rPr>
        <w:t xml:space="preserve">- от 21.10.2010 </w:t>
      </w:r>
      <w:hyperlink w:history="0" r:id="rId19" w:tooltip="Решение Думы города Пыть-Яха от 21.10.2010 N 577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quot; (подписано 21.10.2010) ------------ Утратил силу или отменен {КонсультантПлюс}">
        <w:r>
          <w:rPr>
            <w:sz w:val="20"/>
            <w:color w:val="0000ff"/>
          </w:rPr>
          <w:t xml:space="preserve">N 577</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w:t>
      </w:r>
    </w:p>
    <w:p>
      <w:pPr>
        <w:pStyle w:val="0"/>
        <w:spacing w:before="200" w:lineRule="auto"/>
        <w:ind w:firstLine="540"/>
        <w:jc w:val="both"/>
      </w:pPr>
      <w:r>
        <w:rPr>
          <w:sz w:val="20"/>
        </w:rPr>
        <w:t xml:space="preserve">- от 30.03.2011 </w:t>
      </w:r>
      <w:hyperlink w:history="0" r:id="rId20" w:tooltip="Решение Думы города Пыть-Яха от 30.03.2011 N 8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quot; (подписано 30.03.2011) ------------ Утратил силу или отменен {КонсультантПлюс}">
        <w:r>
          <w:rPr>
            <w:sz w:val="20"/>
            <w:color w:val="0000ff"/>
          </w:rPr>
          <w:t xml:space="preserve">N 8</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w:t>
      </w:r>
    </w:p>
    <w:p>
      <w:pPr>
        <w:pStyle w:val="0"/>
        <w:spacing w:before="200" w:lineRule="auto"/>
        <w:ind w:firstLine="540"/>
        <w:jc w:val="both"/>
      </w:pPr>
      <w:r>
        <w:rPr>
          <w:sz w:val="20"/>
        </w:rPr>
        <w:t xml:space="preserve">- от 26.09.2012 </w:t>
      </w:r>
      <w:hyperlink w:history="0" r:id="rId21" w:tooltip="Решение Думы города Пыть-Яха от 26.09.2012 N 167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quot; (подписано 26.09.2012) ------------ Утратил силу или отменен {КонсультантПлюс}">
        <w:r>
          <w:rPr>
            <w:sz w:val="20"/>
            <w:color w:val="0000ff"/>
          </w:rPr>
          <w:t xml:space="preserve">N 167</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w:t>
      </w:r>
    </w:p>
    <w:p>
      <w:pPr>
        <w:pStyle w:val="0"/>
        <w:spacing w:before="200" w:lineRule="auto"/>
        <w:ind w:firstLine="540"/>
        <w:jc w:val="both"/>
      </w:pPr>
      <w:r>
        <w:rPr>
          <w:sz w:val="20"/>
        </w:rPr>
        <w:t xml:space="preserve">- от 24.12.2013 </w:t>
      </w:r>
      <w:hyperlink w:history="0" r:id="rId22" w:tooltip="Решение Думы города Пыть-Яха от 24.12.2013 N 248 &quot;О внесении изменения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quot; (подписано 24.12.2013) ------------ Утратил силу или отменен {КонсультантПлюс}">
        <w:r>
          <w:rPr>
            <w:sz w:val="20"/>
            <w:color w:val="0000ff"/>
          </w:rPr>
          <w:t xml:space="preserve">N 248</w:t>
        </w:r>
      </w:hyperlink>
      <w:r>
        <w:rPr>
          <w:sz w:val="20"/>
        </w:rPr>
        <w:t xml:space="preserve"> "О внесении изменения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w:t>
      </w:r>
    </w:p>
    <w:p>
      <w:pPr>
        <w:pStyle w:val="0"/>
        <w:spacing w:before="200" w:lineRule="auto"/>
        <w:ind w:firstLine="540"/>
        <w:jc w:val="both"/>
      </w:pPr>
      <w:r>
        <w:rPr>
          <w:sz w:val="20"/>
        </w:rPr>
        <w:t xml:space="preserve">- от 30.09.2014 </w:t>
      </w:r>
      <w:hyperlink w:history="0" r:id="rId23" w:tooltip="Решение Думы города Пыть-Яха от 30.09.2014 N 277 &quot;О внесении изменения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quot; (подписано 30.09.2014) ------------ Утратил силу или отменен {КонсультантПлюс}">
        <w:r>
          <w:rPr>
            <w:sz w:val="20"/>
            <w:color w:val="0000ff"/>
          </w:rPr>
          <w:t xml:space="preserve">N 277</w:t>
        </w:r>
      </w:hyperlink>
      <w:r>
        <w:rPr>
          <w:sz w:val="20"/>
        </w:rPr>
        <w:t xml:space="preserve"> "О внесении изменения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w:t>
      </w:r>
    </w:p>
    <w:p>
      <w:pPr>
        <w:pStyle w:val="0"/>
        <w:spacing w:before="200" w:lineRule="auto"/>
        <w:ind w:firstLine="540"/>
        <w:jc w:val="both"/>
      </w:pPr>
      <w:r>
        <w:rPr>
          <w:sz w:val="20"/>
        </w:rPr>
        <w:t xml:space="preserve">- от 25.11.2014 </w:t>
      </w:r>
      <w:hyperlink w:history="0" r:id="rId24" w:tooltip="Решение Думы города Пыть-Яха от 25.11.2014 N 300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quot; (подписано 25.11.2014) ------------ Утратил силу или отменен {КонсультантПлюс}">
        <w:r>
          <w:rPr>
            <w:sz w:val="20"/>
            <w:color w:val="0000ff"/>
          </w:rPr>
          <w:t xml:space="preserve">N 300</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w:t>
      </w:r>
    </w:p>
    <w:p>
      <w:pPr>
        <w:pStyle w:val="0"/>
        <w:spacing w:before="200" w:lineRule="auto"/>
        <w:ind w:firstLine="540"/>
        <w:jc w:val="both"/>
      </w:pPr>
      <w:r>
        <w:rPr>
          <w:sz w:val="20"/>
        </w:rPr>
        <w:t xml:space="preserve">- от 18.02.2015 </w:t>
      </w:r>
      <w:hyperlink w:history="0" r:id="rId25" w:tooltip="Решение Думы города Пыть-Яха от 18.02.2015 N 310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 от 25.11.2014 N 300)&quot; (подписано 18.02.2015) ------------ Утратил силу или отменен {КонсультантПлюс}">
        <w:r>
          <w:rPr>
            <w:sz w:val="20"/>
            <w:color w:val="0000ff"/>
          </w:rPr>
          <w:t xml:space="preserve">N 310</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 от 25.11.2014 N 300);</w:t>
      </w:r>
    </w:p>
    <w:p>
      <w:pPr>
        <w:pStyle w:val="0"/>
        <w:spacing w:before="200" w:lineRule="auto"/>
        <w:ind w:firstLine="540"/>
        <w:jc w:val="both"/>
      </w:pPr>
      <w:r>
        <w:rPr>
          <w:sz w:val="20"/>
        </w:rPr>
        <w:t xml:space="preserve">- от 15.12.2015 </w:t>
      </w:r>
      <w:hyperlink w:history="0" r:id="rId26" w:tooltip="Решение Думы города Пыть-Яха от 15.12.2015 N 368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 от 25.11.2014 N 300, от 18.02.2015 N 310)&quot; ------------ Утратил силу или отменен {КонсультантПлюс}">
        <w:r>
          <w:rPr>
            <w:sz w:val="20"/>
            <w:color w:val="0000ff"/>
          </w:rPr>
          <w:t xml:space="preserve">N 368</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 от 25.11.2014 N 300, от 18.02.2015 N 310);</w:t>
      </w:r>
    </w:p>
    <w:p>
      <w:pPr>
        <w:pStyle w:val="0"/>
        <w:spacing w:before="200" w:lineRule="auto"/>
        <w:ind w:firstLine="540"/>
        <w:jc w:val="both"/>
      </w:pPr>
      <w:r>
        <w:rPr>
          <w:sz w:val="20"/>
        </w:rPr>
        <w:t xml:space="preserve">- от 25.05.2016 </w:t>
      </w:r>
      <w:hyperlink w:history="0" r:id="rId27" w:tooltip="Решение Думы города Пыть-Яха от 25.05.2016 N 425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 от 25.11.2014 N 300, от 18.02.2015 N 310, от 15.12.2015 N 368)&quot; ------------ Утратил силу или отменен {КонсультантПлюс}">
        <w:r>
          <w:rPr>
            <w:sz w:val="20"/>
            <w:color w:val="0000ff"/>
          </w:rPr>
          <w:t xml:space="preserve">N 425</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 от 25.11.2014 N 300, от 18.02.2015 N 310, от 15.12.2015 N 368);</w:t>
      </w:r>
    </w:p>
    <w:p>
      <w:pPr>
        <w:pStyle w:val="0"/>
        <w:spacing w:before="200" w:lineRule="auto"/>
        <w:ind w:firstLine="540"/>
        <w:jc w:val="both"/>
      </w:pPr>
      <w:r>
        <w:rPr>
          <w:sz w:val="20"/>
        </w:rPr>
        <w:t xml:space="preserve">- от 28.11.2017 </w:t>
      </w:r>
      <w:hyperlink w:history="0" r:id="rId28" w:tooltip="Решение Думы города Пыть-Яха от 28.11.2017 N 125 &quot;О внесении изменения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 от 25.11.2014 N 300, от 18.02.2015 N 310, от 15.12.2015 N 368, от 25.05.2016 N 425)&quot; ------------ Утратил силу или отменен {КонсультантПлюс}">
        <w:r>
          <w:rPr>
            <w:sz w:val="20"/>
            <w:color w:val="0000ff"/>
          </w:rPr>
          <w:t xml:space="preserve">N 125</w:t>
        </w:r>
      </w:hyperlink>
      <w:r>
        <w:rPr>
          <w:sz w:val="20"/>
        </w:rPr>
        <w:t xml:space="preserve"> "О внесении изменения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 от 25.11.2014 N 300, от 18.02.2015 N 310, от 15.12.2015 N 368, от 25.05.2016 N 425);</w:t>
      </w:r>
    </w:p>
    <w:p>
      <w:pPr>
        <w:pStyle w:val="0"/>
        <w:spacing w:before="200" w:lineRule="auto"/>
        <w:ind w:firstLine="540"/>
        <w:jc w:val="both"/>
      </w:pPr>
      <w:r>
        <w:rPr>
          <w:sz w:val="20"/>
        </w:rPr>
        <w:t xml:space="preserve">- от 25.09.2018 </w:t>
      </w:r>
      <w:hyperlink w:history="0" r:id="rId29" w:tooltip="Решение Думы города Пыть-Яха от 25.09.2018 N 192 &quot;О внесении изменения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 от 25.11.2014 N 300, от 18.02.2015 N 310, от 15.12.2015 N 368, от 25.05.2016 N 425, от 28.11.2017 N 125)&quot; ------------ Утратил силу или отменен {КонсультантПлюс}">
        <w:r>
          <w:rPr>
            <w:sz w:val="20"/>
            <w:color w:val="0000ff"/>
          </w:rPr>
          <w:t xml:space="preserve">N 192</w:t>
        </w:r>
      </w:hyperlink>
      <w:r>
        <w:rPr>
          <w:sz w:val="20"/>
        </w:rPr>
        <w:t xml:space="preserve"> "О внесении изменения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 от 25.11.2014 N 300, от 18.02.2015 N 310, от 15.12.2015 N 368, от 25.05.2016 N 425, от 28.11.2017 N 125);</w:t>
      </w:r>
    </w:p>
    <w:p>
      <w:pPr>
        <w:pStyle w:val="0"/>
        <w:spacing w:before="200" w:lineRule="auto"/>
        <w:ind w:firstLine="540"/>
        <w:jc w:val="both"/>
      </w:pPr>
      <w:r>
        <w:rPr>
          <w:sz w:val="20"/>
        </w:rPr>
        <w:t xml:space="preserve">- от 27.11.2018 </w:t>
      </w:r>
      <w:hyperlink w:history="0" r:id="rId30" w:tooltip="Решение Думы города Пыть-Яха от 27.11.2018 N 207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 от 25.11.2014 N 300, от 18.02.2015 N 310, от 15.12.2015 N 368, от 25.05.2016 N 425, от 28.11.2017 N 125, от 25.09.2018 N 192)&quot; ------------ Утратил силу или отменен {КонсультантПлюс}">
        <w:r>
          <w:rPr>
            <w:sz w:val="20"/>
            <w:color w:val="0000ff"/>
          </w:rPr>
          <w:t xml:space="preserve">N 207</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 от 25.11.2014 N 300, от 18.02.2015 N 310, от 15.12.2015 N 368, от 25.05.2016 N 425, от 28.11.2017 N 125, от 25.09.2018 N 192);</w:t>
      </w:r>
    </w:p>
    <w:p>
      <w:pPr>
        <w:pStyle w:val="0"/>
        <w:spacing w:before="200" w:lineRule="auto"/>
        <w:ind w:firstLine="540"/>
        <w:jc w:val="both"/>
      </w:pPr>
      <w:r>
        <w:rPr>
          <w:sz w:val="20"/>
        </w:rPr>
        <w:t xml:space="preserve">- от 27.11.2019 </w:t>
      </w:r>
      <w:hyperlink w:history="0" r:id="rId31" w:tooltip="Решение Думы города Пыть-Яха от 27.11.2019 N 280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 от 25.11.2014 N 300, от 18.02.2015 N 310, от 15.12.2015 N 368, от 25.05.2016 N 425, от 28.11.2017 N 125, от 25.09.2018 N 192, от 2 ------------ Утратил силу или отменен {КонсультантПлюс}">
        <w:r>
          <w:rPr>
            <w:sz w:val="20"/>
            <w:color w:val="0000ff"/>
          </w:rPr>
          <w:t xml:space="preserve">N 280</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 от 25.11.2014 N 300, от 18.02.2015 N 310, от 15.12.2015 N 368, от 25.05.2016 N 425, от 28.11.2017 N 125, от 25.09.2018 N 192, от 27.11.2018 N 207);</w:t>
      </w:r>
    </w:p>
    <w:p>
      <w:pPr>
        <w:pStyle w:val="0"/>
        <w:spacing w:before="200" w:lineRule="auto"/>
        <w:ind w:firstLine="540"/>
        <w:jc w:val="both"/>
      </w:pPr>
      <w:r>
        <w:rPr>
          <w:sz w:val="20"/>
        </w:rPr>
        <w:t xml:space="preserve">- от 14.12.2020 </w:t>
      </w:r>
      <w:hyperlink w:history="0" r:id="rId32" w:tooltip="Решение Думы города Пыть-Яха от 14.12.2020 N 359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 от 25.11.2014 N 300, от 18.02.2015 N 310, от 15.12.2015 N 368, от 25.05.2016 N 425, от 28.11.2017 N 125, от 25.09.2018 N 192, от 2 ------------ Утратил силу или отменен {КонсультантПлюс}">
        <w:r>
          <w:rPr>
            <w:sz w:val="20"/>
            <w:color w:val="0000ff"/>
          </w:rPr>
          <w:t xml:space="preserve">N 359</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 от 25.11.2014 N 300, от 18.02.2015 N 310, от 15.12.2015 N 368, от 25.05.2016 N 425, от 28.11.2017 N 125, от 25.09.2018 N 192, от 27.11.2018 N 207, от 27.11.2019 N 280);</w:t>
      </w:r>
    </w:p>
    <w:p>
      <w:pPr>
        <w:pStyle w:val="0"/>
        <w:spacing w:before="200" w:lineRule="auto"/>
        <w:ind w:firstLine="540"/>
        <w:jc w:val="both"/>
      </w:pPr>
      <w:r>
        <w:rPr>
          <w:sz w:val="20"/>
        </w:rPr>
        <w:t xml:space="preserve">- от 19.03.2021 </w:t>
      </w:r>
      <w:hyperlink w:history="0" r:id="rId33" w:tooltip="Решение Думы города Пыть-Яха от 19.03.2021 N 373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 от 25.11.2014 N 300, от 18.02.2015 N 310, от 15.12.2015 N 368, от 25.05.2016 N 425, от 28.11.2017 N 125, от 25.09.2018 N 192, от 2 ------------ Утратил силу или отменен {КонсультантПлюс}">
        <w:r>
          <w:rPr>
            <w:sz w:val="20"/>
            <w:color w:val="0000ff"/>
          </w:rPr>
          <w:t xml:space="preserve">N 373</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 от 25.11.2014 N 300, от 18.02.2015 N 310, от 15.12.2015 N 368, от 25.05.2016 N 425, от 28.11.2017 N 125, от 25.09.2018 N 192, от 27.11.2018 N 207, от 27.11.2019 N 280, от 14.12.2020 N 359);</w:t>
      </w:r>
    </w:p>
    <w:p>
      <w:pPr>
        <w:pStyle w:val="0"/>
        <w:spacing w:before="200" w:lineRule="auto"/>
        <w:ind w:firstLine="540"/>
        <w:jc w:val="both"/>
      </w:pPr>
      <w:r>
        <w:rPr>
          <w:sz w:val="20"/>
        </w:rPr>
        <w:t xml:space="preserve">- от 08.02.2022 </w:t>
      </w:r>
      <w:hyperlink w:history="0" r:id="rId34" w:tooltip="Решение Думы города Пыть-Яха от 08.02.2022 N 52 &quot;О внесении изменений в решение Думы города Пыть-Яха от 22.09.2008 N 330 &quot;Об установлении земельного налога на территории муниципального образования городской округ город Пыть-Ях&quot; (в ред. от 27.11.2008 N 356, от 20.10.2009 N 446, от 21.10.2010 N 577, от 30.03.2011 N 8, от 26.09.2012 N 167, от 24.12.2013 N 248, от 30.09.2014 N 277, от 25.11.2014 N 300, от 18.02.2015 N 310, от 15.12.2015 N 368, от 25.05.2016 N 425, от 28.11.2017 N 125, от 25.09.2018 N 192, от 27 ------------ Утратил силу или отменен {КонсультантПлюс}">
        <w:r>
          <w:rPr>
            <w:sz w:val="20"/>
            <w:color w:val="0000ff"/>
          </w:rPr>
          <w:t xml:space="preserve">N 52</w:t>
        </w:r>
      </w:hyperlink>
      <w:r>
        <w:rPr>
          <w:sz w:val="20"/>
        </w:rPr>
        <w:t xml:space="preserve"> "О внесении изменений в решение Думы города Пыть-Яха от 22.09.2008 N 330 "Об установлении земельного налога на территории муниципального образования городской округ город Пыть-Ях" (в ред. от 27.11.2008 N 356, от 20.10.2009 N 446, от 21.10.2010 N 577, от 30.03.2011 N 8, от 26.09.2012 N 167, от 24.12.2013 N 248, от 30.09.2014 N 277, от 25.11.2014 N 300, от 18.02.2015 N 310, от 15.12.2015 N 368, от 25.05.2016 N 425, от 28.11.2017 N 125, от 25.09.2018 N 192, от 27.11.2018 N 207, от 27.11.2019 N 280, от 14.12.2020 N 359, от 19.03.2021 N 373);</w:t>
      </w:r>
    </w:p>
    <w:p>
      <w:pPr>
        <w:pStyle w:val="0"/>
        <w:spacing w:before="200" w:lineRule="auto"/>
        <w:ind w:firstLine="540"/>
        <w:jc w:val="both"/>
      </w:pPr>
      <w:r>
        <w:rPr>
          <w:sz w:val="20"/>
        </w:rPr>
        <w:t xml:space="preserve">- от 28.04.2023 </w:t>
      </w:r>
      <w:hyperlink w:history="0" r:id="rId35" w:tooltip="Решение Думы города Пыть-Яха от 28.04.2023 N 152 &quot;О внесении изменений в решение Думы города Пыть-Яха от 22.09.2008 N 330 &quot;Об установлении земельного налога на территории города Пыть-Яха&quot; (в ред. от 27.11.2008 N 356, от 20.10.2009 N 446, от 21.10.2010 N 577, от 30.03.2011 N 8, от 26.09.2012 N 167, от 24.12.2013 N 248, от 30.09.2014 N 277, от 25.11.2014 N 300, от 18.02.2015 N 310, от 15.12.2015 N 368, от 25.05.2016 N 425, от 28.11.2017 N 125, от 25.09.2018 N 192, от 27.11.2018 N 207, от 27.11.2019 N 280, от  ------------ Утратил силу или отменен {КонсультантПлюс}">
        <w:r>
          <w:rPr>
            <w:sz w:val="20"/>
            <w:color w:val="0000ff"/>
          </w:rPr>
          <w:t xml:space="preserve">N 152</w:t>
        </w:r>
      </w:hyperlink>
      <w:r>
        <w:rPr>
          <w:sz w:val="20"/>
        </w:rPr>
        <w:t xml:space="preserve"> "О внесении изменений в решение Думы города Пыть-Яха от 22.09.2008 N 330 "Об установлении земельного налога на территории города Пыть-Яха" (в ред. от 27.11.2008 N 356, от 20.10.2009 N 446, от 21.10.2010 N 577, от 30.03.2011 N 8, от 26.09.2012 N 167, от 24.12.2013 N 248, от 30.09.2014 N 277, от 25.11.2014 N 300, от 18.02.2015 N 310, от 15.12.2015 N 368, от 25.05.2016 N 425, от 28.11.2017 N 125, от 25.09.2018 N 192, от 27.11.2018 N 207, от 27.11.2019 N 280, от 14.12.2020 N 359, от 19.03.2021 N 373, от 08.02.2022 N 52).</w:t>
      </w:r>
    </w:p>
    <w:p>
      <w:pPr>
        <w:pStyle w:val="0"/>
        <w:ind w:firstLine="540"/>
        <w:jc w:val="both"/>
      </w:pPr>
      <w:r>
        <w:rPr>
          <w:sz w:val="20"/>
        </w:rPr>
      </w:r>
    </w:p>
    <w:p>
      <w:pPr>
        <w:pStyle w:val="0"/>
        <w:jc w:val="right"/>
      </w:pPr>
      <w:r>
        <w:rPr>
          <w:sz w:val="20"/>
        </w:rPr>
        <w:t xml:space="preserve">Председатель Думы</w:t>
      </w:r>
    </w:p>
    <w:p>
      <w:pPr>
        <w:pStyle w:val="0"/>
        <w:jc w:val="right"/>
      </w:pPr>
      <w:r>
        <w:rPr>
          <w:sz w:val="20"/>
        </w:rPr>
        <w:t xml:space="preserve">города Пыть-Яха</w:t>
      </w:r>
    </w:p>
    <w:p>
      <w:pPr>
        <w:pStyle w:val="0"/>
        <w:jc w:val="right"/>
      </w:pPr>
      <w:r>
        <w:rPr>
          <w:sz w:val="20"/>
        </w:rPr>
        <w:t xml:space="preserve">Д.П.УРЕКИ</w:t>
      </w:r>
    </w:p>
    <w:p>
      <w:pPr>
        <w:pStyle w:val="0"/>
        <w:jc w:val="both"/>
      </w:pPr>
      <w:r>
        <w:rPr>
          <w:sz w:val="20"/>
        </w:rPr>
        <w:t xml:space="preserve">18 октября 2023 г.</w:t>
      </w:r>
    </w:p>
    <w:p>
      <w:pPr>
        <w:pStyle w:val="0"/>
        <w:jc w:val="both"/>
      </w:pPr>
      <w:r>
        <w:rPr>
          <w:sz w:val="20"/>
        </w:rPr>
      </w:r>
    </w:p>
    <w:p>
      <w:pPr>
        <w:pStyle w:val="0"/>
        <w:jc w:val="right"/>
      </w:pPr>
      <w:r>
        <w:rPr>
          <w:sz w:val="20"/>
        </w:rPr>
        <w:t xml:space="preserve">Глава</w:t>
      </w:r>
    </w:p>
    <w:p>
      <w:pPr>
        <w:pStyle w:val="0"/>
        <w:jc w:val="right"/>
      </w:pPr>
      <w:r>
        <w:rPr>
          <w:sz w:val="20"/>
        </w:rPr>
        <w:t xml:space="preserve">города Пыть-Яха</w:t>
      </w:r>
    </w:p>
    <w:p>
      <w:pPr>
        <w:pStyle w:val="0"/>
        <w:jc w:val="right"/>
      </w:pPr>
      <w:r>
        <w:rPr>
          <w:sz w:val="20"/>
        </w:rPr>
        <w:t xml:space="preserve">А.Н.МОРОЗОВ</w:t>
      </w:r>
    </w:p>
    <w:p>
      <w:pPr>
        <w:pStyle w:val="0"/>
      </w:pPr>
      <w:r>
        <w:rPr>
          <w:sz w:val="20"/>
        </w:rPr>
        <w:t xml:space="preserve">18 октября 2023 г.</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Думы города Пыть-Яха от 18.10.2023 N 198</w:t>
            <w:br/>
            <w:t>(ред. от 07.10.2024)</w:t>
            <w:br/>
            <w:t>"Об установлении земельного налога на территории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Решение Думы города Пыть-Яха от 18.10.2023 N 198 (ред. от 07.10.2024) "Об установлении земельного налога на территории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RLAW926&amp;n=310084&amp;dst=100005" TargetMode = "External"/><Relationship Id="rId8" Type="http://schemas.openxmlformats.org/officeDocument/2006/relationships/hyperlink" Target="https://login.consultant.ru/link/?req=doc&amp;base=LAW&amp;n=520175&amp;dst=1346" TargetMode = "External"/><Relationship Id="rId9" Type="http://schemas.openxmlformats.org/officeDocument/2006/relationships/hyperlink" Target="https://login.consultant.ru/link/?req=doc&amp;base=LAW&amp;n=501480&amp;dst=101359" TargetMode = "External"/><Relationship Id="rId10" Type="http://schemas.openxmlformats.org/officeDocument/2006/relationships/hyperlink" Target="https://login.consultant.ru/link/?req=doc&amp;base=RLAW926&amp;n=327012&amp;dst=100036" TargetMode = "External"/><Relationship Id="rId11" Type="http://schemas.openxmlformats.org/officeDocument/2006/relationships/hyperlink" Target="https://login.consultant.ru/link/?req=doc&amp;base=RLAW926&amp;n=310084&amp;dst=100006" TargetMode = "External"/><Relationship Id="rId12" Type="http://schemas.openxmlformats.org/officeDocument/2006/relationships/hyperlink" Target="https://login.consultant.ru/link/?req=doc&amp;base=LAW&amp;n=511306" TargetMode = "External"/><Relationship Id="rId13" Type="http://schemas.openxmlformats.org/officeDocument/2006/relationships/hyperlink" Target="https://login.consultant.ru/link/?req=doc&amp;base=RLAW926&amp;n=310084&amp;dst=100007" TargetMode = "External"/><Relationship Id="rId14" Type="http://schemas.openxmlformats.org/officeDocument/2006/relationships/hyperlink" Target="https://login.consultant.ru/link/?req=doc&amp;base=LAW&amp;n=520119" TargetMode = "External"/><Relationship Id="rId15" Type="http://schemas.openxmlformats.org/officeDocument/2006/relationships/hyperlink" Target="https://login.consultant.ru/link/?req=doc&amp;base=LAW&amp;n=520175&amp;dst=17536" TargetMode = "External"/><Relationship Id="rId16" Type="http://schemas.openxmlformats.org/officeDocument/2006/relationships/hyperlink" Target="https://login.consultant.ru/link/?req=doc&amp;base=RLAW926&amp;n=279603" TargetMode = "External"/><Relationship Id="rId17" Type="http://schemas.openxmlformats.org/officeDocument/2006/relationships/hyperlink" Target="https://login.consultant.ru/link/?req=doc&amp;base=RLAW926&amp;n=98708" TargetMode = "External"/><Relationship Id="rId18" Type="http://schemas.openxmlformats.org/officeDocument/2006/relationships/hyperlink" Target="https://login.consultant.ru/link/?req=doc&amp;base=RLAW926&amp;n=98713" TargetMode = "External"/><Relationship Id="rId19" Type="http://schemas.openxmlformats.org/officeDocument/2006/relationships/hyperlink" Target="https://login.consultant.ru/link/?req=doc&amp;base=RLAW926&amp;n=98722" TargetMode = "External"/><Relationship Id="rId20" Type="http://schemas.openxmlformats.org/officeDocument/2006/relationships/hyperlink" Target="https://login.consultant.ru/link/?req=doc&amp;base=RLAW926&amp;n=98724" TargetMode = "External"/><Relationship Id="rId21" Type="http://schemas.openxmlformats.org/officeDocument/2006/relationships/hyperlink" Target="https://login.consultant.ru/link/?req=doc&amp;base=RLAW926&amp;n=98687" TargetMode = "External"/><Relationship Id="rId22" Type="http://schemas.openxmlformats.org/officeDocument/2006/relationships/hyperlink" Target="https://login.consultant.ru/link/?req=doc&amp;base=RLAW926&amp;n=98696" TargetMode = "External"/><Relationship Id="rId23" Type="http://schemas.openxmlformats.org/officeDocument/2006/relationships/hyperlink" Target="https://login.consultant.ru/link/?req=doc&amp;base=RLAW926&amp;n=109542" TargetMode = "External"/><Relationship Id="rId24" Type="http://schemas.openxmlformats.org/officeDocument/2006/relationships/hyperlink" Target="https://login.consultant.ru/link/?req=doc&amp;base=RLAW926&amp;n=109545" TargetMode = "External"/><Relationship Id="rId25" Type="http://schemas.openxmlformats.org/officeDocument/2006/relationships/hyperlink" Target="https://login.consultant.ru/link/?req=doc&amp;base=RLAW926&amp;n=113906" TargetMode = "External"/><Relationship Id="rId26" Type="http://schemas.openxmlformats.org/officeDocument/2006/relationships/hyperlink" Target="https://login.consultant.ru/link/?req=doc&amp;base=RLAW926&amp;n=125700" TargetMode = "External"/><Relationship Id="rId27" Type="http://schemas.openxmlformats.org/officeDocument/2006/relationships/hyperlink" Target="https://login.consultant.ru/link/?req=doc&amp;base=RLAW926&amp;n=136220" TargetMode = "External"/><Relationship Id="rId28" Type="http://schemas.openxmlformats.org/officeDocument/2006/relationships/hyperlink" Target="https://login.consultant.ru/link/?req=doc&amp;base=RLAW926&amp;n=162987" TargetMode = "External"/><Relationship Id="rId29" Type="http://schemas.openxmlformats.org/officeDocument/2006/relationships/hyperlink" Target="https://login.consultant.ru/link/?req=doc&amp;base=RLAW926&amp;n=180252" TargetMode = "External"/><Relationship Id="rId30" Type="http://schemas.openxmlformats.org/officeDocument/2006/relationships/hyperlink" Target="https://login.consultant.ru/link/?req=doc&amp;base=RLAW926&amp;n=183488" TargetMode = "External"/><Relationship Id="rId31" Type="http://schemas.openxmlformats.org/officeDocument/2006/relationships/hyperlink" Target="https://login.consultant.ru/link/?req=doc&amp;base=RLAW926&amp;n=202228" TargetMode = "External"/><Relationship Id="rId32" Type="http://schemas.openxmlformats.org/officeDocument/2006/relationships/hyperlink" Target="https://login.consultant.ru/link/?req=doc&amp;base=RLAW926&amp;n=223297" TargetMode = "External"/><Relationship Id="rId33" Type="http://schemas.openxmlformats.org/officeDocument/2006/relationships/hyperlink" Target="https://login.consultant.ru/link/?req=doc&amp;base=RLAW926&amp;n=228755" TargetMode = "External"/><Relationship Id="rId34" Type="http://schemas.openxmlformats.org/officeDocument/2006/relationships/hyperlink" Target="https://login.consultant.ru/link/?req=doc&amp;base=RLAW926&amp;n=249094" TargetMode = "External"/><Relationship Id="rId35" Type="http://schemas.openxmlformats.org/officeDocument/2006/relationships/hyperlink" Target="https://login.consultant.ru/link/?req=doc&amp;base=RLAW926&amp;n=27903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Пыть-Яха от 18.10.2023 N 198
(ред. от 07.10.2024)
"Об установлении земельного налога на территории города Пыть-Яха"</dc:title>
  <dcterms:created xsi:type="dcterms:W3CDTF">2025-12-17T11:08:46Z</dcterms:created>
</cp:coreProperties>
</file>