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46AF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35A44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35A44"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7D220E">
        <w:rPr>
          <w:rFonts w:ascii="Times New Roman" w:eastAsia="Calibri" w:hAnsi="Times New Roman" w:cs="Times New Roman"/>
          <w:sz w:val="24"/>
          <w:szCs w:val="24"/>
        </w:rPr>
        <w:t>55</w:t>
      </w:r>
    </w:p>
    <w:p w:rsidR="00741E61" w:rsidRPr="00D52874" w:rsidRDefault="007D220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BE29D0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BE29D0">
        <w:rPr>
          <w:rFonts w:ascii="Times New Roman" w:eastAsia="Calibri" w:hAnsi="Times New Roman" w:cs="Times New Roman"/>
          <w:sz w:val="26"/>
          <w:szCs w:val="24"/>
        </w:rPr>
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2019 год</w:t>
      </w:r>
    </w:p>
    <w:p w:rsidR="00D52874" w:rsidRDefault="00BE29D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E29D0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вопросу: «О результатах мониторинга отдельных показателей деятельности субъектов системы профилактики безнадзорности и правонарушений несовершеннолетних»</w:t>
      </w:r>
      <w:r w:rsidR="00446AF8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BE29D0" w:rsidRDefault="00BE29D0" w:rsidP="00BE29D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3E1B2D" w:rsidRDefault="00BE29D0" w:rsidP="00BE29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2019 год общая численность детей, оставшихся без попечения родителей, выявленных на территории города Пыть-Яха, составила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человек (АППГ –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), из них в связи с лишением либо ограничением родителей в родительских правах –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D600D9">
        <w:rPr>
          <w:rFonts w:ascii="Times New Roman" w:eastAsia="Calibri" w:hAnsi="Times New Roman" w:cs="Times New Roman"/>
          <w:sz w:val="26"/>
          <w:szCs w:val="24"/>
        </w:rPr>
        <w:t>отменой усыновления (по инициативе усыновителей) – 1 (АППГ – 0)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оставлением детей родителями в организациях – 0 (АППГ – 1), оставлением матерью при рождении в связи с трудной жизненной ситуацией (дачей письменного согласия на усыновление) – 0 (АППГ – 1), длительным лечением родителей – 0 (АППГ-3), розыском родителей – </w:t>
      </w:r>
      <w:r w:rsidRPr="00D600D9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0 (АППГ – 2), заключением родителей под стражу –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D600D9">
        <w:rPr>
          <w:rFonts w:ascii="Times New Roman" w:eastAsia="Calibri" w:hAnsi="Times New Roman" w:cs="Times New Roman"/>
          <w:sz w:val="26"/>
          <w:szCs w:val="24"/>
        </w:rPr>
        <w:t xml:space="preserve"> (АППГ – 0), </w:t>
      </w:r>
      <w:r>
        <w:rPr>
          <w:rFonts w:ascii="Times New Roman" w:eastAsia="Calibri" w:hAnsi="Times New Roman" w:cs="Times New Roman"/>
          <w:sz w:val="26"/>
          <w:szCs w:val="24"/>
        </w:rPr>
        <w:t>признание родителей недееспособными – 1 (АППГ – 0),</w:t>
      </w:r>
      <w:r w:rsidR="003E1B2D">
        <w:rPr>
          <w:rFonts w:ascii="Times New Roman" w:eastAsia="Calibri" w:hAnsi="Times New Roman" w:cs="Times New Roman"/>
          <w:sz w:val="26"/>
          <w:szCs w:val="24"/>
        </w:rPr>
        <w:t xml:space="preserve"> оспариванием отцовства – 0 (АППГ – 1)</w:t>
      </w:r>
      <w:r w:rsidRPr="00D600D9">
        <w:rPr>
          <w:rFonts w:ascii="Times New Roman" w:eastAsia="Calibri" w:hAnsi="Times New Roman" w:cs="Times New Roman"/>
          <w:sz w:val="26"/>
          <w:szCs w:val="24"/>
        </w:rPr>
        <w:t>.</w:t>
      </w:r>
      <w:r w:rsidRPr="00F64B64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BE29D0" w:rsidRDefault="00CF71BA" w:rsidP="00BE29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Основания и причины выявления </w:t>
      </w:r>
      <w:r w:rsidRPr="00860AB6">
        <w:rPr>
          <w:rFonts w:ascii="Times New Roman" w:eastAsia="Calibri" w:hAnsi="Times New Roman" w:cs="Times New Roman"/>
          <w:sz w:val="26"/>
          <w:szCs w:val="24"/>
        </w:rPr>
        <w:t>детей, оставши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Pr="00860AB6">
        <w:rPr>
          <w:rFonts w:ascii="Times New Roman" w:eastAsia="Calibri" w:hAnsi="Times New Roman" w:cs="Times New Roman"/>
          <w:sz w:val="26"/>
          <w:szCs w:val="24"/>
        </w:rPr>
        <w:t>ся без попечения родителей по управляемым причинам</w:t>
      </w:r>
      <w:r>
        <w:rPr>
          <w:rFonts w:ascii="Times New Roman" w:eastAsia="Calibri" w:hAnsi="Times New Roman" w:cs="Times New Roman"/>
          <w:sz w:val="26"/>
          <w:szCs w:val="24"/>
        </w:rPr>
        <w:t>, а также</w:t>
      </w:r>
      <w:r w:rsidRPr="00860A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возвращения детей из замещающих семей были проанализированы при проведении мониторинга за предыдущие квартальные периоды. </w:t>
      </w:r>
      <w:r w:rsidRPr="001D01D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1D01D5">
        <w:rPr>
          <w:rFonts w:ascii="Times New Roman" w:eastAsia="Calibri" w:hAnsi="Times New Roman" w:cs="Times New Roman"/>
          <w:sz w:val="26"/>
          <w:szCs w:val="24"/>
          <w:lang w:val="en-US"/>
        </w:rPr>
        <w:t>IV</w:t>
      </w:r>
      <w:r w:rsidRPr="001D01D5">
        <w:rPr>
          <w:rFonts w:ascii="Times New Roman" w:eastAsia="Calibri" w:hAnsi="Times New Roman" w:cs="Times New Roman"/>
          <w:sz w:val="26"/>
          <w:szCs w:val="24"/>
        </w:rPr>
        <w:t xml:space="preserve"> квартале 2019 года был лишен родительских прав 1 родитель, с которым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протяжении длительного времени была организована индивидуальная профилактическая работа, которая не дала положительных результатов вследствие уклонения родителя от взаимодействия со специалистами, </w:t>
      </w:r>
      <w:r w:rsidR="001D01D5">
        <w:rPr>
          <w:rFonts w:ascii="Times New Roman" w:eastAsia="Calibri" w:hAnsi="Times New Roman" w:cs="Times New Roman"/>
          <w:sz w:val="26"/>
          <w:szCs w:val="24"/>
        </w:rPr>
        <w:t xml:space="preserve">постоянной сменой места проживания, полного отстранения от исполнения своих родительских обязанностей. В настоящее время с данным родителем организована индивидуальная профилактическая работа, направленная на восстановление его в родительских правах. </w:t>
      </w:r>
    </w:p>
    <w:p w:rsidR="00BE29D0" w:rsidRPr="00FE1FCC" w:rsidRDefault="00BE29D0" w:rsidP="00BE29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33DD9">
        <w:rPr>
          <w:rFonts w:ascii="Times New Roman" w:eastAsia="Calibri" w:hAnsi="Times New Roman" w:cs="Times New Roman"/>
          <w:sz w:val="26"/>
          <w:szCs w:val="24"/>
        </w:rPr>
        <w:t>О</w:t>
      </w:r>
      <w:r w:rsidRPr="003139DA">
        <w:rPr>
          <w:rFonts w:ascii="Times New Roman" w:eastAsia="Calibri" w:hAnsi="Times New Roman" w:cs="Times New Roman"/>
          <w:sz w:val="26"/>
          <w:szCs w:val="24"/>
        </w:rPr>
        <w:t>тобрание детей у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Pr="004B3F66">
        <w:rPr>
          <w:rFonts w:ascii="Times New Roman" w:eastAsia="Calibri" w:hAnsi="Times New Roman" w:cs="Times New Roman"/>
          <w:sz w:val="26"/>
          <w:szCs w:val="24"/>
        </w:rPr>
        <w:t>отстранение замещающих родителей от исполнения их обязанностей в анализируемый период не</w:t>
      </w:r>
      <w:r w:rsidRPr="003139DA">
        <w:rPr>
          <w:rFonts w:ascii="Times New Roman" w:eastAsia="Calibri" w:hAnsi="Times New Roman" w:cs="Times New Roman"/>
          <w:sz w:val="26"/>
          <w:szCs w:val="24"/>
        </w:rPr>
        <w:t xml:space="preserve"> производилось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BE29D0" w:rsidRDefault="00BE29D0" w:rsidP="00BE29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Всего в отчетном периоде было возвращено из замещающих семей 4 ребенка (АППГ-2), из них 2 (АППГ – 2) возвращены родителям, и 2 (АППГ-0) по инициативе замещающих родителей (возвращен</w:t>
      </w:r>
      <w:r w:rsidR="003E1B2D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организацию для детей-сирот и детей, оставшихся без попечения родителей).</w:t>
      </w:r>
    </w:p>
    <w:p w:rsidR="00BE29D0" w:rsidRPr="00D52874" w:rsidRDefault="00BE29D0" w:rsidP="00BE29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BE29D0" w:rsidRPr="00D52874" w:rsidRDefault="00BE29D0" w:rsidP="00BE29D0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E29D0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№21-</w:t>
      </w:r>
      <w:r>
        <w:rPr>
          <w:rFonts w:ascii="Times New Roman" w:eastAsia="Calibri" w:hAnsi="Times New Roman" w:cs="Times New Roman"/>
          <w:sz w:val="26"/>
          <w:szCs w:val="24"/>
        </w:rPr>
        <w:t>Исх-</w:t>
      </w:r>
      <w:r w:rsidR="003E1B2D">
        <w:rPr>
          <w:rFonts w:ascii="Times New Roman" w:eastAsia="Calibri" w:hAnsi="Times New Roman" w:cs="Times New Roman"/>
          <w:sz w:val="26"/>
          <w:szCs w:val="24"/>
        </w:rPr>
        <w:t>3</w:t>
      </w:r>
      <w:r>
        <w:rPr>
          <w:rFonts w:ascii="Times New Roman" w:eastAsia="Calibri" w:hAnsi="Times New Roman" w:cs="Times New Roman"/>
          <w:sz w:val="26"/>
          <w:szCs w:val="24"/>
        </w:rPr>
        <w:t>6 от 1</w:t>
      </w:r>
      <w:r w:rsidR="003E1B2D">
        <w:rPr>
          <w:rFonts w:ascii="Times New Roman" w:eastAsia="Calibri" w:hAnsi="Times New Roman" w:cs="Times New Roman"/>
          <w:sz w:val="26"/>
          <w:szCs w:val="24"/>
        </w:rPr>
        <w:t>4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3E1B2D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1.20</w:t>
      </w:r>
      <w:r w:rsidR="003E1B2D">
        <w:rPr>
          <w:rFonts w:ascii="Times New Roman" w:eastAsia="Calibri" w:hAnsi="Times New Roman" w:cs="Times New Roman"/>
          <w:sz w:val="26"/>
          <w:szCs w:val="24"/>
        </w:rPr>
        <w:t>20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BE29D0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07AA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их по отдельным показателям за </w:t>
      </w:r>
      <w:r w:rsidRPr="00DD07AA">
        <w:rPr>
          <w:rFonts w:ascii="Times New Roman" w:eastAsia="Calibri" w:hAnsi="Times New Roman" w:cs="Times New Roman"/>
          <w:sz w:val="26"/>
          <w:szCs w:val="24"/>
        </w:rPr>
        <w:t>2019 год признать удовлетворительной.</w:t>
      </w:r>
    </w:p>
    <w:p w:rsidR="00BE29D0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D52874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по обеспечению деятельности муниципальной комиссии по делам несовершеннолетних и защите их прав администрации города Пыть-Яха:</w:t>
      </w:r>
    </w:p>
    <w:p w:rsidR="00BE29D0" w:rsidRDefault="00BE29D0" w:rsidP="00BE29D0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3E1B2D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3E1B2D">
        <w:rPr>
          <w:rFonts w:ascii="Times New Roman" w:eastAsia="Calibri" w:hAnsi="Times New Roman" w:cs="Times New Roman"/>
          <w:sz w:val="26"/>
          <w:szCs w:val="24"/>
        </w:rPr>
        <w:t>03</w:t>
      </w:r>
      <w:r>
        <w:rPr>
          <w:rFonts w:ascii="Times New Roman" w:eastAsia="Calibri" w:hAnsi="Times New Roman" w:cs="Times New Roman"/>
          <w:sz w:val="26"/>
          <w:szCs w:val="24"/>
        </w:rPr>
        <w:t>.20</w:t>
      </w:r>
      <w:r w:rsidR="003E1B2D">
        <w:rPr>
          <w:rFonts w:ascii="Times New Roman" w:eastAsia="Calibri" w:hAnsi="Times New Roman" w:cs="Times New Roman"/>
          <w:sz w:val="26"/>
          <w:szCs w:val="24"/>
        </w:rPr>
        <w:t>20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E29D0" w:rsidRPr="000575B4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Пункт 4 постановления территориальной комиссии № 252 от 22.08.2018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9A050B" w:rsidRDefault="007D220E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9A050B" w:rsidSect="00506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E8" w:rsidRDefault="00C928E8" w:rsidP="00F00B01">
      <w:pPr>
        <w:spacing w:after="0" w:line="240" w:lineRule="auto"/>
      </w:pPr>
      <w:r>
        <w:separator/>
      </w:r>
    </w:p>
  </w:endnote>
  <w:endnote w:type="continuationSeparator" w:id="0">
    <w:p w:rsidR="00C928E8" w:rsidRDefault="00C928E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E8" w:rsidRDefault="00C928E8" w:rsidP="00F00B01">
      <w:pPr>
        <w:spacing w:after="0" w:line="240" w:lineRule="auto"/>
      </w:pPr>
      <w:r>
        <w:separator/>
      </w:r>
    </w:p>
  </w:footnote>
  <w:footnote w:type="continuationSeparator" w:id="0">
    <w:p w:rsidR="00C928E8" w:rsidRDefault="00C928E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20E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C928E8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3893"/>
    <w:rsid w:val="000E489B"/>
    <w:rsid w:val="000F2C80"/>
    <w:rsid w:val="00100064"/>
    <w:rsid w:val="00135A44"/>
    <w:rsid w:val="001365E0"/>
    <w:rsid w:val="001B36A2"/>
    <w:rsid w:val="001D01D5"/>
    <w:rsid w:val="00211678"/>
    <w:rsid w:val="002224E2"/>
    <w:rsid w:val="0027016F"/>
    <w:rsid w:val="0027495D"/>
    <w:rsid w:val="002A1FEB"/>
    <w:rsid w:val="002C0701"/>
    <w:rsid w:val="00324D13"/>
    <w:rsid w:val="0036247C"/>
    <w:rsid w:val="003E1B2D"/>
    <w:rsid w:val="003F2DC6"/>
    <w:rsid w:val="004016D0"/>
    <w:rsid w:val="00411D6B"/>
    <w:rsid w:val="00434F90"/>
    <w:rsid w:val="00435971"/>
    <w:rsid w:val="00446AF8"/>
    <w:rsid w:val="00481ED8"/>
    <w:rsid w:val="00506A0F"/>
    <w:rsid w:val="0055287A"/>
    <w:rsid w:val="00556398"/>
    <w:rsid w:val="0058053B"/>
    <w:rsid w:val="005C3D7F"/>
    <w:rsid w:val="005E45B7"/>
    <w:rsid w:val="005F7D10"/>
    <w:rsid w:val="00600D3D"/>
    <w:rsid w:val="0062448E"/>
    <w:rsid w:val="006C14D3"/>
    <w:rsid w:val="006D3ED4"/>
    <w:rsid w:val="006D7523"/>
    <w:rsid w:val="00741E61"/>
    <w:rsid w:val="007A0947"/>
    <w:rsid w:val="007C1AE2"/>
    <w:rsid w:val="007D220E"/>
    <w:rsid w:val="007F6DC2"/>
    <w:rsid w:val="008329E4"/>
    <w:rsid w:val="00873320"/>
    <w:rsid w:val="0088112B"/>
    <w:rsid w:val="00883851"/>
    <w:rsid w:val="008B22A3"/>
    <w:rsid w:val="008D5822"/>
    <w:rsid w:val="008E6444"/>
    <w:rsid w:val="00962E52"/>
    <w:rsid w:val="00980256"/>
    <w:rsid w:val="0098418A"/>
    <w:rsid w:val="009A050B"/>
    <w:rsid w:val="009C6FD9"/>
    <w:rsid w:val="009D3F41"/>
    <w:rsid w:val="00A00167"/>
    <w:rsid w:val="00A12C5A"/>
    <w:rsid w:val="00A143EA"/>
    <w:rsid w:val="00A2632D"/>
    <w:rsid w:val="00A30955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926D0"/>
    <w:rsid w:val="00BC19D7"/>
    <w:rsid w:val="00BC760D"/>
    <w:rsid w:val="00BE16C2"/>
    <w:rsid w:val="00BE29D0"/>
    <w:rsid w:val="00BE37A7"/>
    <w:rsid w:val="00C619D4"/>
    <w:rsid w:val="00C928E8"/>
    <w:rsid w:val="00CC6DAA"/>
    <w:rsid w:val="00CF4BCA"/>
    <w:rsid w:val="00CF71BA"/>
    <w:rsid w:val="00D21E34"/>
    <w:rsid w:val="00D52874"/>
    <w:rsid w:val="00D91DC9"/>
    <w:rsid w:val="00DB77E9"/>
    <w:rsid w:val="00DC7BC2"/>
    <w:rsid w:val="00E128BC"/>
    <w:rsid w:val="00E82358"/>
    <w:rsid w:val="00EA0DE8"/>
    <w:rsid w:val="00EC6220"/>
    <w:rsid w:val="00ED5D90"/>
    <w:rsid w:val="00EE1E85"/>
    <w:rsid w:val="00EE471F"/>
    <w:rsid w:val="00F00B01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825B-1812-462C-8B50-8F030B6A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2020-03-18T09:13:00Z</cp:lastPrinted>
  <dcterms:created xsi:type="dcterms:W3CDTF">2020-03-19T07:09:00Z</dcterms:created>
  <dcterms:modified xsi:type="dcterms:W3CDTF">2020-03-19T07:09:00Z</dcterms:modified>
</cp:coreProperties>
</file>