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533" w:rsidRPr="00D15C2D" w:rsidRDefault="00201533" w:rsidP="00AF3F96">
      <w:pPr>
        <w:ind w:firstLine="567"/>
        <w:jc w:val="right"/>
        <w:rPr>
          <w:b/>
          <w:sz w:val="28"/>
          <w:szCs w:val="28"/>
        </w:rPr>
      </w:pPr>
    </w:p>
    <w:p w:rsidR="00CF0494" w:rsidRPr="00D15C2D" w:rsidRDefault="00CF0494" w:rsidP="00CF0494">
      <w:pPr>
        <w:spacing w:line="252" w:lineRule="auto"/>
        <w:jc w:val="center"/>
        <w:rPr>
          <w:b/>
          <w:sz w:val="28"/>
          <w:szCs w:val="28"/>
        </w:rPr>
      </w:pPr>
    </w:p>
    <w:p w:rsidR="00CF0494" w:rsidRPr="00D15C2D" w:rsidRDefault="00CF0494" w:rsidP="00CF0494">
      <w:pPr>
        <w:spacing w:line="252" w:lineRule="auto"/>
        <w:jc w:val="center"/>
        <w:rPr>
          <w:b/>
          <w:sz w:val="28"/>
          <w:szCs w:val="28"/>
        </w:rPr>
      </w:pPr>
      <w:r w:rsidRPr="00D15C2D">
        <w:rPr>
          <w:b/>
          <w:sz w:val="28"/>
          <w:szCs w:val="28"/>
        </w:rPr>
        <w:t xml:space="preserve">Отчет о результатах деятельности </w:t>
      </w:r>
      <w:r w:rsidR="003D7E0B" w:rsidRPr="00D15C2D">
        <w:rPr>
          <w:b/>
          <w:sz w:val="28"/>
          <w:szCs w:val="28"/>
        </w:rPr>
        <w:t>комитета по финансам</w:t>
      </w:r>
    </w:p>
    <w:p w:rsidR="00CF0494" w:rsidRPr="00D15C2D" w:rsidRDefault="00CF0494" w:rsidP="00CF0494">
      <w:pPr>
        <w:spacing w:line="252" w:lineRule="auto"/>
        <w:jc w:val="center"/>
        <w:rPr>
          <w:b/>
          <w:sz w:val="28"/>
          <w:szCs w:val="28"/>
        </w:rPr>
      </w:pPr>
      <w:r w:rsidRPr="00D15C2D">
        <w:rPr>
          <w:b/>
          <w:sz w:val="28"/>
          <w:szCs w:val="28"/>
        </w:rPr>
        <w:t xml:space="preserve">администрации города </w:t>
      </w:r>
      <w:r w:rsidR="003D7E0B" w:rsidRPr="00D15C2D">
        <w:rPr>
          <w:b/>
          <w:sz w:val="28"/>
          <w:szCs w:val="28"/>
        </w:rPr>
        <w:t>Пыть-Яха</w:t>
      </w:r>
      <w:r w:rsidRPr="00D15C2D">
        <w:rPr>
          <w:b/>
          <w:sz w:val="28"/>
          <w:szCs w:val="28"/>
        </w:rPr>
        <w:t xml:space="preserve"> за 201</w:t>
      </w:r>
      <w:r w:rsidR="00547D82" w:rsidRPr="00D15C2D">
        <w:rPr>
          <w:b/>
          <w:sz w:val="28"/>
          <w:szCs w:val="28"/>
        </w:rPr>
        <w:t>9</w:t>
      </w:r>
      <w:r w:rsidRPr="00D15C2D">
        <w:rPr>
          <w:b/>
          <w:sz w:val="28"/>
          <w:szCs w:val="28"/>
        </w:rPr>
        <w:t xml:space="preserve"> год</w:t>
      </w:r>
    </w:p>
    <w:p w:rsidR="00201533" w:rsidRPr="00D15C2D" w:rsidRDefault="00201533" w:rsidP="00AF3F96">
      <w:pPr>
        <w:ind w:firstLine="567"/>
        <w:jc w:val="right"/>
        <w:rPr>
          <w:b/>
          <w:sz w:val="28"/>
          <w:szCs w:val="28"/>
        </w:rPr>
      </w:pPr>
    </w:p>
    <w:p w:rsidR="00CF0494" w:rsidRPr="00D15C2D" w:rsidRDefault="003D7E0B" w:rsidP="00065FEE">
      <w:pPr>
        <w:ind w:firstLine="567"/>
        <w:jc w:val="both"/>
        <w:rPr>
          <w:sz w:val="28"/>
          <w:szCs w:val="28"/>
        </w:rPr>
      </w:pPr>
      <w:r w:rsidRPr="00D15C2D">
        <w:rPr>
          <w:sz w:val="28"/>
          <w:szCs w:val="28"/>
        </w:rPr>
        <w:t xml:space="preserve">Комитет по финансам </w:t>
      </w:r>
      <w:r w:rsidR="00CF0494" w:rsidRPr="00D15C2D">
        <w:rPr>
          <w:sz w:val="28"/>
          <w:szCs w:val="28"/>
        </w:rPr>
        <w:t xml:space="preserve">администрации города </w:t>
      </w:r>
      <w:r w:rsidRPr="00D15C2D">
        <w:rPr>
          <w:sz w:val="28"/>
          <w:szCs w:val="28"/>
        </w:rPr>
        <w:t>Пыть-Яха</w:t>
      </w:r>
      <w:r w:rsidR="006A227F" w:rsidRPr="00D15C2D">
        <w:rPr>
          <w:sz w:val="28"/>
          <w:szCs w:val="28"/>
        </w:rPr>
        <w:t xml:space="preserve"> </w:t>
      </w:r>
      <w:r w:rsidRPr="00D15C2D">
        <w:rPr>
          <w:sz w:val="28"/>
          <w:szCs w:val="28"/>
        </w:rPr>
        <w:t>(далее – комитет по финансам</w:t>
      </w:r>
      <w:r w:rsidR="00A36893" w:rsidRPr="00D15C2D">
        <w:rPr>
          <w:sz w:val="28"/>
          <w:szCs w:val="28"/>
        </w:rPr>
        <w:t xml:space="preserve">, </w:t>
      </w:r>
      <w:r w:rsidRPr="00D15C2D">
        <w:rPr>
          <w:sz w:val="28"/>
          <w:szCs w:val="28"/>
        </w:rPr>
        <w:t>комитет</w:t>
      </w:r>
      <w:r w:rsidR="00CF0494" w:rsidRPr="00D15C2D">
        <w:rPr>
          <w:sz w:val="28"/>
          <w:szCs w:val="28"/>
        </w:rPr>
        <w:t xml:space="preserve">) является структурным подразделением администрации города </w:t>
      </w:r>
      <w:r w:rsidRPr="00D15C2D">
        <w:rPr>
          <w:sz w:val="28"/>
          <w:szCs w:val="28"/>
        </w:rPr>
        <w:t>Пыть-Яха</w:t>
      </w:r>
      <w:r w:rsidR="00CF0494" w:rsidRPr="00D15C2D">
        <w:rPr>
          <w:sz w:val="28"/>
          <w:szCs w:val="28"/>
        </w:rPr>
        <w:t xml:space="preserve">, </w:t>
      </w:r>
      <w:r w:rsidRPr="00D15C2D">
        <w:rPr>
          <w:sz w:val="28"/>
          <w:szCs w:val="28"/>
        </w:rPr>
        <w:t>без</w:t>
      </w:r>
      <w:r w:rsidR="00CF0494" w:rsidRPr="00D15C2D">
        <w:rPr>
          <w:sz w:val="28"/>
          <w:szCs w:val="28"/>
        </w:rPr>
        <w:t xml:space="preserve"> права юридического лица, осуществляющим функции по реализации единой бюджетной политики и нормативному правовому регулированию в бюджетной сфере на территории муниципального образования городской округ город </w:t>
      </w:r>
      <w:r w:rsidRPr="00D15C2D">
        <w:rPr>
          <w:sz w:val="28"/>
          <w:szCs w:val="28"/>
        </w:rPr>
        <w:t>Пыть-Ях</w:t>
      </w:r>
      <w:r w:rsidR="00CF0494" w:rsidRPr="00D15C2D">
        <w:rPr>
          <w:sz w:val="28"/>
          <w:szCs w:val="28"/>
        </w:rPr>
        <w:t>.</w:t>
      </w:r>
    </w:p>
    <w:p w:rsidR="004900CD" w:rsidRPr="00D15C2D" w:rsidRDefault="003D7E0B" w:rsidP="00065FEE">
      <w:pPr>
        <w:ind w:firstLine="709"/>
        <w:jc w:val="both"/>
        <w:rPr>
          <w:color w:val="000000"/>
          <w:sz w:val="28"/>
          <w:szCs w:val="28"/>
        </w:rPr>
      </w:pPr>
      <w:r w:rsidRPr="00D15C2D">
        <w:rPr>
          <w:color w:val="000000"/>
          <w:sz w:val="28"/>
          <w:szCs w:val="28"/>
        </w:rPr>
        <w:t>Комитет по финансам</w:t>
      </w:r>
      <w:r w:rsidR="004900CD" w:rsidRPr="00D15C2D">
        <w:rPr>
          <w:color w:val="000000"/>
          <w:sz w:val="28"/>
          <w:szCs w:val="28"/>
        </w:rPr>
        <w:t xml:space="preserve"> создан в целях реализации вопросов местного значения по формированию, исполнению и контролю за исполнением местного бюджета, а также обеспечения исполнения вопроса местного значения по установлению, изменению, отмене местных налогов и сборов. </w:t>
      </w:r>
    </w:p>
    <w:p w:rsidR="00CF0494" w:rsidRPr="00D15C2D" w:rsidRDefault="003D7E0B" w:rsidP="00065FEE">
      <w:pPr>
        <w:ind w:firstLine="567"/>
        <w:jc w:val="both"/>
        <w:rPr>
          <w:sz w:val="28"/>
          <w:szCs w:val="28"/>
        </w:rPr>
      </w:pPr>
      <w:r w:rsidRPr="00D15C2D">
        <w:rPr>
          <w:sz w:val="28"/>
          <w:szCs w:val="28"/>
        </w:rPr>
        <w:t>Комитет по финансам</w:t>
      </w:r>
      <w:r w:rsidR="00CF0494" w:rsidRPr="00D15C2D">
        <w:rPr>
          <w:sz w:val="28"/>
          <w:szCs w:val="28"/>
        </w:rPr>
        <w:t xml:space="preserve"> осуществляет свою деятельность в соответствии с </w:t>
      </w:r>
      <w:r w:rsidR="004900CD" w:rsidRPr="00D15C2D">
        <w:rPr>
          <w:bCs/>
          <w:sz w:val="28"/>
          <w:szCs w:val="28"/>
        </w:rPr>
        <w:t>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009A4BFE" w:rsidRPr="00D15C2D">
        <w:rPr>
          <w:bCs/>
          <w:sz w:val="28"/>
          <w:szCs w:val="28"/>
        </w:rPr>
        <w:t xml:space="preserve"> (ред. от 27.12.2019)</w:t>
      </w:r>
      <w:r w:rsidR="004900CD" w:rsidRPr="00D15C2D">
        <w:rPr>
          <w:bCs/>
          <w:sz w:val="28"/>
          <w:szCs w:val="28"/>
        </w:rPr>
        <w:t>, федеральным и окружным законодательством, п</w:t>
      </w:r>
      <w:r w:rsidR="00CF0494" w:rsidRPr="00D15C2D">
        <w:rPr>
          <w:sz w:val="28"/>
          <w:szCs w:val="28"/>
        </w:rPr>
        <w:t xml:space="preserve">оложением о </w:t>
      </w:r>
      <w:r w:rsidRPr="00D15C2D">
        <w:rPr>
          <w:sz w:val="28"/>
          <w:szCs w:val="28"/>
        </w:rPr>
        <w:t>комитете по финансам</w:t>
      </w:r>
      <w:r w:rsidR="00CF0494" w:rsidRPr="00D15C2D">
        <w:rPr>
          <w:sz w:val="28"/>
          <w:szCs w:val="28"/>
        </w:rPr>
        <w:t xml:space="preserve"> администрации города </w:t>
      </w:r>
      <w:r w:rsidRPr="00D15C2D">
        <w:rPr>
          <w:sz w:val="28"/>
          <w:szCs w:val="28"/>
        </w:rPr>
        <w:t>Пыть-Яха</w:t>
      </w:r>
      <w:r w:rsidR="00CF0494" w:rsidRPr="00D15C2D">
        <w:rPr>
          <w:sz w:val="28"/>
          <w:szCs w:val="28"/>
        </w:rPr>
        <w:t xml:space="preserve">, утвержденным </w:t>
      </w:r>
      <w:r w:rsidRPr="00D15C2D">
        <w:rPr>
          <w:sz w:val="28"/>
          <w:szCs w:val="28"/>
        </w:rPr>
        <w:t>распоряжением администрации города от</w:t>
      </w:r>
      <w:r w:rsidR="006A227F" w:rsidRPr="00D15C2D">
        <w:rPr>
          <w:sz w:val="28"/>
          <w:szCs w:val="28"/>
        </w:rPr>
        <w:t xml:space="preserve"> 12.11.2018 № 1808-ра</w:t>
      </w:r>
      <w:r w:rsidR="00CF0494" w:rsidRPr="00D15C2D">
        <w:rPr>
          <w:sz w:val="28"/>
          <w:szCs w:val="28"/>
        </w:rPr>
        <w:t xml:space="preserve">.  </w:t>
      </w:r>
    </w:p>
    <w:p w:rsidR="00CF0494" w:rsidRPr="00D15C2D" w:rsidRDefault="006A227F" w:rsidP="00065FEE">
      <w:pPr>
        <w:ind w:firstLine="567"/>
        <w:jc w:val="both"/>
        <w:rPr>
          <w:sz w:val="28"/>
          <w:szCs w:val="28"/>
        </w:rPr>
      </w:pPr>
      <w:r w:rsidRPr="00D15C2D">
        <w:rPr>
          <w:sz w:val="28"/>
          <w:szCs w:val="28"/>
        </w:rPr>
        <w:t>Комитет по финансам</w:t>
      </w:r>
      <w:r w:rsidR="00CF0494" w:rsidRPr="00D15C2D">
        <w:rPr>
          <w:sz w:val="28"/>
          <w:szCs w:val="28"/>
        </w:rPr>
        <w:t xml:space="preserve"> осуществляет свою деятельность как самостоятельно, так и во взаимодействии с федеральными органами исполнительной власти, органами государственной власти и иными государственными органами автономного округа, коммерческими и некоммерческими организациями по вопросам, относящимся к установленным сферам деятельности </w:t>
      </w:r>
      <w:r w:rsidRPr="00D15C2D">
        <w:rPr>
          <w:sz w:val="28"/>
          <w:szCs w:val="28"/>
        </w:rPr>
        <w:t>комитет по финансам</w:t>
      </w:r>
      <w:r w:rsidR="00CF0494" w:rsidRPr="00D15C2D">
        <w:rPr>
          <w:sz w:val="28"/>
          <w:szCs w:val="28"/>
        </w:rPr>
        <w:t>.</w:t>
      </w:r>
    </w:p>
    <w:p w:rsidR="00CF0494" w:rsidRPr="00D15C2D" w:rsidRDefault="00CF0494" w:rsidP="00065FEE">
      <w:pPr>
        <w:jc w:val="both"/>
        <w:rPr>
          <w:sz w:val="28"/>
          <w:szCs w:val="28"/>
        </w:rPr>
      </w:pPr>
      <w:r w:rsidRPr="00D15C2D">
        <w:rPr>
          <w:sz w:val="28"/>
          <w:szCs w:val="28"/>
        </w:rPr>
        <w:t xml:space="preserve">             Правовую основу деятельности </w:t>
      </w:r>
      <w:r w:rsidR="006A227F" w:rsidRPr="00D15C2D">
        <w:rPr>
          <w:sz w:val="28"/>
          <w:szCs w:val="28"/>
        </w:rPr>
        <w:t>комитета по финансам</w:t>
      </w:r>
      <w:r w:rsidRPr="00D15C2D">
        <w:rPr>
          <w:sz w:val="28"/>
          <w:szCs w:val="28"/>
        </w:rPr>
        <w:t xml:space="preserve"> составляют Конституция Российской Федерации, федеральные законы, иные нормативные правовые акты Российской Федерации, законы Ханты-Мансийского автономного округа - Югры, иные нормативные акты Ханты-Мансийского автономного округа – Югры, Устав города, нормативные правовые акты муниципального образования.</w:t>
      </w:r>
    </w:p>
    <w:p w:rsidR="00CF0494" w:rsidRPr="00D15C2D" w:rsidRDefault="00CF0494" w:rsidP="00065FEE">
      <w:pPr>
        <w:ind w:right="-224" w:firstLine="708"/>
        <w:jc w:val="both"/>
        <w:rPr>
          <w:sz w:val="28"/>
          <w:szCs w:val="28"/>
        </w:rPr>
      </w:pPr>
      <w:r w:rsidRPr="00D15C2D">
        <w:rPr>
          <w:sz w:val="28"/>
          <w:szCs w:val="28"/>
        </w:rPr>
        <w:t>В 201</w:t>
      </w:r>
      <w:r w:rsidR="009A4BFE" w:rsidRPr="00D15C2D">
        <w:rPr>
          <w:sz w:val="28"/>
          <w:szCs w:val="28"/>
        </w:rPr>
        <w:t>9</w:t>
      </w:r>
      <w:r w:rsidRPr="00D15C2D">
        <w:rPr>
          <w:sz w:val="28"/>
          <w:szCs w:val="28"/>
        </w:rPr>
        <w:t xml:space="preserve"> году структура </w:t>
      </w:r>
      <w:r w:rsidR="006A227F" w:rsidRPr="00D15C2D">
        <w:rPr>
          <w:sz w:val="28"/>
          <w:szCs w:val="28"/>
        </w:rPr>
        <w:t>комитета по финансам</w:t>
      </w:r>
      <w:r w:rsidRPr="00D15C2D">
        <w:rPr>
          <w:sz w:val="28"/>
          <w:szCs w:val="28"/>
        </w:rPr>
        <w:t xml:space="preserve"> включала:</w:t>
      </w:r>
    </w:p>
    <w:p w:rsidR="00CF0494" w:rsidRPr="00D15C2D" w:rsidRDefault="00CF0494" w:rsidP="00065FEE">
      <w:pPr>
        <w:ind w:right="-224" w:firstLine="708"/>
        <w:jc w:val="both"/>
        <w:rPr>
          <w:sz w:val="28"/>
          <w:szCs w:val="28"/>
        </w:rPr>
      </w:pPr>
      <w:r w:rsidRPr="00D15C2D">
        <w:rPr>
          <w:sz w:val="28"/>
          <w:szCs w:val="28"/>
        </w:rPr>
        <w:t xml:space="preserve">- </w:t>
      </w:r>
      <w:r w:rsidR="006A227F" w:rsidRPr="00D15C2D">
        <w:rPr>
          <w:sz w:val="28"/>
          <w:szCs w:val="28"/>
        </w:rPr>
        <w:t xml:space="preserve">отдел сводного </w:t>
      </w:r>
      <w:r w:rsidRPr="00D15C2D">
        <w:rPr>
          <w:sz w:val="28"/>
          <w:szCs w:val="28"/>
        </w:rPr>
        <w:t>планирования</w:t>
      </w:r>
      <w:r w:rsidR="006A227F" w:rsidRPr="00D15C2D">
        <w:rPr>
          <w:sz w:val="28"/>
          <w:szCs w:val="28"/>
        </w:rPr>
        <w:t xml:space="preserve"> и анализа бюджета;</w:t>
      </w:r>
    </w:p>
    <w:p w:rsidR="00CF0494" w:rsidRPr="00D15C2D" w:rsidRDefault="00CF0494" w:rsidP="00065FEE">
      <w:pPr>
        <w:ind w:firstLine="708"/>
        <w:jc w:val="both"/>
        <w:rPr>
          <w:sz w:val="28"/>
          <w:szCs w:val="28"/>
        </w:rPr>
      </w:pPr>
      <w:r w:rsidRPr="00D15C2D">
        <w:rPr>
          <w:sz w:val="28"/>
          <w:szCs w:val="28"/>
        </w:rPr>
        <w:t xml:space="preserve">- </w:t>
      </w:r>
      <w:r w:rsidR="006A227F" w:rsidRPr="00D15C2D">
        <w:rPr>
          <w:sz w:val="28"/>
          <w:szCs w:val="28"/>
        </w:rPr>
        <w:t>отдел отчетности, обслуживания муниципального долга и казначейского исполнения</w:t>
      </w:r>
      <w:r w:rsidRPr="00D15C2D">
        <w:rPr>
          <w:sz w:val="28"/>
          <w:szCs w:val="28"/>
        </w:rPr>
        <w:t>;</w:t>
      </w:r>
    </w:p>
    <w:p w:rsidR="006A227F" w:rsidRPr="00D15C2D" w:rsidRDefault="00CF0494" w:rsidP="00065FEE">
      <w:pPr>
        <w:ind w:firstLine="708"/>
        <w:jc w:val="both"/>
        <w:rPr>
          <w:sz w:val="28"/>
          <w:szCs w:val="28"/>
        </w:rPr>
      </w:pPr>
      <w:r w:rsidRPr="00D15C2D">
        <w:rPr>
          <w:sz w:val="28"/>
          <w:szCs w:val="28"/>
        </w:rPr>
        <w:t xml:space="preserve"> - </w:t>
      </w:r>
      <w:r w:rsidR="006A227F" w:rsidRPr="00D15C2D">
        <w:rPr>
          <w:sz w:val="28"/>
          <w:szCs w:val="28"/>
        </w:rPr>
        <w:t>отдел доходов;</w:t>
      </w:r>
    </w:p>
    <w:p w:rsidR="00CF0494" w:rsidRPr="00D15C2D" w:rsidRDefault="006A227F" w:rsidP="00065FEE">
      <w:pPr>
        <w:ind w:firstLine="708"/>
        <w:jc w:val="both"/>
        <w:rPr>
          <w:sz w:val="28"/>
          <w:szCs w:val="28"/>
        </w:rPr>
      </w:pPr>
      <w:r w:rsidRPr="00D15C2D">
        <w:rPr>
          <w:sz w:val="28"/>
          <w:szCs w:val="28"/>
        </w:rPr>
        <w:t>- отдел казначейского контроля</w:t>
      </w:r>
      <w:r w:rsidR="00CF0494" w:rsidRPr="00D15C2D">
        <w:rPr>
          <w:sz w:val="28"/>
          <w:szCs w:val="28"/>
        </w:rPr>
        <w:t>.</w:t>
      </w:r>
    </w:p>
    <w:p w:rsidR="00CF0494" w:rsidRPr="00D15C2D" w:rsidRDefault="00CF0494" w:rsidP="00065FEE">
      <w:pPr>
        <w:ind w:firstLine="709"/>
        <w:jc w:val="both"/>
        <w:rPr>
          <w:sz w:val="28"/>
          <w:szCs w:val="28"/>
        </w:rPr>
      </w:pPr>
      <w:r w:rsidRPr="00D15C2D">
        <w:rPr>
          <w:sz w:val="28"/>
          <w:szCs w:val="28"/>
        </w:rPr>
        <w:t xml:space="preserve">В установленной сфере деятельности </w:t>
      </w:r>
      <w:r w:rsidR="006A227F" w:rsidRPr="00D15C2D">
        <w:rPr>
          <w:sz w:val="28"/>
          <w:szCs w:val="28"/>
        </w:rPr>
        <w:t>комитет</w:t>
      </w:r>
      <w:r w:rsidRPr="00D15C2D">
        <w:rPr>
          <w:sz w:val="28"/>
          <w:szCs w:val="28"/>
        </w:rPr>
        <w:t xml:space="preserve"> осуществляет полномочия по следующим основным направлениям:</w:t>
      </w:r>
    </w:p>
    <w:p w:rsidR="00CF0494" w:rsidRPr="00D15C2D" w:rsidRDefault="00CF0494" w:rsidP="00065FEE">
      <w:pPr>
        <w:ind w:firstLine="709"/>
        <w:jc w:val="both"/>
        <w:rPr>
          <w:sz w:val="28"/>
          <w:szCs w:val="28"/>
        </w:rPr>
      </w:pPr>
      <w:r w:rsidRPr="00D15C2D">
        <w:rPr>
          <w:sz w:val="28"/>
          <w:szCs w:val="28"/>
        </w:rPr>
        <w:t>- составление проекта бюджета городского округа;</w:t>
      </w:r>
    </w:p>
    <w:p w:rsidR="00CF0494" w:rsidRPr="00D15C2D" w:rsidRDefault="00CF0494" w:rsidP="00065FEE">
      <w:pPr>
        <w:ind w:firstLine="709"/>
        <w:jc w:val="both"/>
        <w:rPr>
          <w:sz w:val="28"/>
          <w:szCs w:val="28"/>
        </w:rPr>
      </w:pPr>
      <w:r w:rsidRPr="00D15C2D">
        <w:rPr>
          <w:sz w:val="28"/>
          <w:szCs w:val="28"/>
        </w:rPr>
        <w:t>- организация исполнения бюджета городского округа;</w:t>
      </w:r>
    </w:p>
    <w:p w:rsidR="00CF0494" w:rsidRPr="00D15C2D" w:rsidRDefault="00CF0494" w:rsidP="00065FEE">
      <w:pPr>
        <w:ind w:firstLine="709"/>
        <w:jc w:val="both"/>
        <w:rPr>
          <w:sz w:val="28"/>
          <w:szCs w:val="28"/>
        </w:rPr>
      </w:pPr>
      <w:r w:rsidRPr="00D15C2D">
        <w:rPr>
          <w:sz w:val="28"/>
          <w:szCs w:val="28"/>
        </w:rPr>
        <w:lastRenderedPageBreak/>
        <w:t>- составление бюджетной отчетности об исполнении бюджета городского округа;</w:t>
      </w:r>
    </w:p>
    <w:p w:rsidR="00CF0494" w:rsidRPr="00D15C2D" w:rsidRDefault="00CF0494" w:rsidP="00065FEE">
      <w:pPr>
        <w:ind w:firstLine="709"/>
        <w:jc w:val="both"/>
        <w:rPr>
          <w:sz w:val="28"/>
          <w:szCs w:val="28"/>
        </w:rPr>
      </w:pPr>
      <w:r w:rsidRPr="00D15C2D">
        <w:rPr>
          <w:sz w:val="28"/>
          <w:szCs w:val="28"/>
        </w:rPr>
        <w:t>- управление муниципальным долгом;</w:t>
      </w:r>
    </w:p>
    <w:p w:rsidR="00CF0494" w:rsidRPr="00D15C2D" w:rsidRDefault="00CF0494" w:rsidP="00065FEE">
      <w:pPr>
        <w:ind w:firstLine="709"/>
        <w:jc w:val="both"/>
        <w:rPr>
          <w:sz w:val="28"/>
          <w:szCs w:val="28"/>
        </w:rPr>
      </w:pPr>
      <w:r w:rsidRPr="00D15C2D">
        <w:rPr>
          <w:sz w:val="28"/>
          <w:szCs w:val="28"/>
        </w:rPr>
        <w:t>-  нормативно-правовое регулирование</w:t>
      </w:r>
      <w:r w:rsidR="00A36893" w:rsidRPr="00D15C2D">
        <w:rPr>
          <w:sz w:val="28"/>
          <w:szCs w:val="28"/>
        </w:rPr>
        <w:t xml:space="preserve"> в пределах своей компетенции</w:t>
      </w:r>
      <w:r w:rsidRPr="00D15C2D">
        <w:rPr>
          <w:sz w:val="28"/>
          <w:szCs w:val="28"/>
        </w:rPr>
        <w:t>.</w:t>
      </w:r>
    </w:p>
    <w:p w:rsidR="00CF0494" w:rsidRPr="00D15C2D" w:rsidRDefault="00CF0494" w:rsidP="00065FEE">
      <w:pPr>
        <w:jc w:val="both"/>
        <w:rPr>
          <w:sz w:val="28"/>
          <w:szCs w:val="28"/>
        </w:rPr>
      </w:pPr>
      <w:r w:rsidRPr="00D15C2D">
        <w:rPr>
          <w:sz w:val="28"/>
          <w:szCs w:val="28"/>
        </w:rPr>
        <w:t xml:space="preserve">          Работа </w:t>
      </w:r>
      <w:r w:rsidR="009A3198" w:rsidRPr="00D15C2D">
        <w:rPr>
          <w:sz w:val="28"/>
          <w:szCs w:val="28"/>
        </w:rPr>
        <w:t xml:space="preserve">комитета по </w:t>
      </w:r>
      <w:r w:rsidRPr="00D15C2D">
        <w:rPr>
          <w:sz w:val="28"/>
          <w:szCs w:val="28"/>
        </w:rPr>
        <w:t>финанс</w:t>
      </w:r>
      <w:r w:rsidR="009A3198" w:rsidRPr="00D15C2D">
        <w:rPr>
          <w:sz w:val="28"/>
          <w:szCs w:val="28"/>
        </w:rPr>
        <w:t>ам</w:t>
      </w:r>
      <w:r w:rsidRPr="00D15C2D">
        <w:rPr>
          <w:sz w:val="28"/>
          <w:szCs w:val="28"/>
        </w:rPr>
        <w:t xml:space="preserve"> в 201</w:t>
      </w:r>
      <w:r w:rsidR="00A36893" w:rsidRPr="00D15C2D">
        <w:rPr>
          <w:sz w:val="28"/>
          <w:szCs w:val="28"/>
        </w:rPr>
        <w:t>9</w:t>
      </w:r>
      <w:r w:rsidRPr="00D15C2D">
        <w:rPr>
          <w:sz w:val="28"/>
          <w:szCs w:val="28"/>
        </w:rPr>
        <w:t xml:space="preserve"> году была направлена на выполнение задач по организации исполнения бюджета городского округа, мобилизации доходов в местный бюджет, обеспечению исполнения расходной части бюджета города с учетом необходимости проведения оптимизации расходных обязательств и безусловного исполнения принятых социальных обязательств. </w:t>
      </w:r>
    </w:p>
    <w:p w:rsidR="00A36893" w:rsidRPr="00D15C2D" w:rsidRDefault="00A36893" w:rsidP="00065FEE">
      <w:pPr>
        <w:pStyle w:val="aa"/>
        <w:tabs>
          <w:tab w:val="left" w:pos="360"/>
          <w:tab w:val="left" w:pos="540"/>
        </w:tabs>
        <w:spacing w:after="0"/>
        <w:ind w:firstLine="709"/>
        <w:jc w:val="both"/>
        <w:rPr>
          <w:sz w:val="28"/>
          <w:szCs w:val="28"/>
        </w:rPr>
      </w:pPr>
      <w:r w:rsidRPr="00D15C2D">
        <w:rPr>
          <w:sz w:val="28"/>
          <w:szCs w:val="28"/>
        </w:rPr>
        <w:t xml:space="preserve">Основная деятельность </w:t>
      </w:r>
      <w:r w:rsidR="009A3198" w:rsidRPr="00D15C2D">
        <w:rPr>
          <w:sz w:val="28"/>
          <w:szCs w:val="28"/>
        </w:rPr>
        <w:t>комитета</w:t>
      </w:r>
      <w:r w:rsidRPr="00D15C2D">
        <w:rPr>
          <w:sz w:val="28"/>
          <w:szCs w:val="28"/>
        </w:rPr>
        <w:t xml:space="preserve">, непосредственно, связана с составлением бюджета городского округа, а также организацией его исполнения, в том числе формированием бюджетной отчетности. </w:t>
      </w:r>
    </w:p>
    <w:p w:rsidR="00A36893" w:rsidRPr="00D15C2D" w:rsidRDefault="009A3198" w:rsidP="00065FEE">
      <w:pPr>
        <w:pStyle w:val="aa"/>
        <w:tabs>
          <w:tab w:val="left" w:pos="360"/>
          <w:tab w:val="left" w:pos="540"/>
        </w:tabs>
        <w:spacing w:after="0"/>
        <w:ind w:firstLine="709"/>
        <w:jc w:val="both"/>
        <w:rPr>
          <w:sz w:val="28"/>
          <w:szCs w:val="28"/>
        </w:rPr>
      </w:pPr>
      <w:r w:rsidRPr="00D15C2D">
        <w:rPr>
          <w:sz w:val="28"/>
          <w:szCs w:val="28"/>
        </w:rPr>
        <w:t>Комитет по финансам</w:t>
      </w:r>
      <w:r w:rsidR="008F32CF" w:rsidRPr="00D15C2D">
        <w:rPr>
          <w:sz w:val="28"/>
          <w:szCs w:val="28"/>
        </w:rPr>
        <w:t xml:space="preserve"> рамках осуществления своей основной деятельности </w:t>
      </w:r>
      <w:r w:rsidR="00A36893" w:rsidRPr="00D15C2D">
        <w:rPr>
          <w:sz w:val="28"/>
          <w:szCs w:val="28"/>
        </w:rPr>
        <w:t>является ответственным исполнителем муниципальной программы «</w:t>
      </w:r>
      <w:r w:rsidR="00D15C2D" w:rsidRPr="00D15C2D">
        <w:rPr>
          <w:sz w:val="28"/>
          <w:szCs w:val="28"/>
        </w:rPr>
        <w:t>Управление муниципальными финансами в городе Пыть-Яхе</w:t>
      </w:r>
      <w:r w:rsidR="00A36893" w:rsidRPr="00D15C2D">
        <w:rPr>
          <w:sz w:val="28"/>
          <w:szCs w:val="28"/>
        </w:rPr>
        <w:t>», которая направлена</w:t>
      </w:r>
      <w:r w:rsidR="00690B3E" w:rsidRPr="00D15C2D">
        <w:rPr>
          <w:sz w:val="28"/>
          <w:szCs w:val="28"/>
        </w:rPr>
        <w:t xml:space="preserve"> </w:t>
      </w:r>
      <w:r w:rsidR="0057353C" w:rsidRPr="00D15C2D">
        <w:rPr>
          <w:sz w:val="28"/>
          <w:szCs w:val="28"/>
        </w:rPr>
        <w:t xml:space="preserve">на </w:t>
      </w:r>
      <w:r w:rsidR="00690B3E" w:rsidRPr="00D15C2D">
        <w:rPr>
          <w:sz w:val="28"/>
          <w:szCs w:val="28"/>
        </w:rPr>
        <w:t xml:space="preserve">обеспечение исполнения расходных обязательств муниципального образования городской округ город при сохранении экономической стабильности, долгосрочной сбалансированности и устойчивости бюджета городского округа город </w:t>
      </w:r>
      <w:r w:rsidR="00F91D17" w:rsidRPr="00D15C2D">
        <w:rPr>
          <w:sz w:val="28"/>
          <w:szCs w:val="28"/>
        </w:rPr>
        <w:t>Пыть-Ях</w:t>
      </w:r>
      <w:r w:rsidR="00690B3E" w:rsidRPr="00D15C2D">
        <w:rPr>
          <w:sz w:val="28"/>
          <w:szCs w:val="28"/>
        </w:rPr>
        <w:t>.</w:t>
      </w:r>
    </w:p>
    <w:p w:rsidR="005F5421" w:rsidRPr="00D15C2D" w:rsidRDefault="005F5421" w:rsidP="00065FEE">
      <w:pPr>
        <w:widowControl w:val="0"/>
        <w:ind w:firstLine="709"/>
        <w:jc w:val="both"/>
        <w:rPr>
          <w:sz w:val="28"/>
          <w:szCs w:val="28"/>
        </w:rPr>
      </w:pPr>
      <w:r w:rsidRPr="00D15C2D">
        <w:rPr>
          <w:sz w:val="28"/>
          <w:szCs w:val="28"/>
        </w:rPr>
        <w:t>Целью реализации муниципальной программы «</w:t>
      </w:r>
      <w:r w:rsidR="00D15C2D" w:rsidRPr="00D15C2D">
        <w:rPr>
          <w:sz w:val="28"/>
          <w:szCs w:val="28"/>
        </w:rPr>
        <w:t>Управление муниципальными финансами в городе Пыть-Яхе</w:t>
      </w:r>
      <w:r w:rsidRPr="00D15C2D">
        <w:rPr>
          <w:sz w:val="28"/>
          <w:szCs w:val="28"/>
        </w:rPr>
        <w:t>» является обеспечение долгосрочной сбалансированности и устойчивости бюджетной системы, повышение качества управления муниципальными финансами городского округа.</w:t>
      </w:r>
    </w:p>
    <w:p w:rsidR="005F5421" w:rsidRPr="00D15C2D" w:rsidRDefault="005F5421" w:rsidP="00065FEE">
      <w:pPr>
        <w:widowControl w:val="0"/>
        <w:ind w:firstLine="709"/>
        <w:jc w:val="both"/>
        <w:rPr>
          <w:sz w:val="28"/>
          <w:szCs w:val="28"/>
        </w:rPr>
      </w:pPr>
      <w:r w:rsidRPr="00D15C2D">
        <w:rPr>
          <w:sz w:val="28"/>
          <w:szCs w:val="28"/>
        </w:rPr>
        <w:t>Достижение цели осуществляется путем решения обозначенных задач в рамках двух подпрограмм.</w:t>
      </w:r>
    </w:p>
    <w:p w:rsidR="005F5421" w:rsidRPr="00D15C2D" w:rsidRDefault="005F5421" w:rsidP="00065FEE">
      <w:pPr>
        <w:widowControl w:val="0"/>
        <w:ind w:firstLine="709"/>
        <w:jc w:val="both"/>
        <w:rPr>
          <w:sz w:val="28"/>
          <w:szCs w:val="28"/>
        </w:rPr>
      </w:pPr>
      <w:hyperlink r:id="rId6" w:anchor="Par684#Par684" w:history="1">
        <w:r w:rsidRPr="00D15C2D">
          <w:rPr>
            <w:rStyle w:val="a9"/>
            <w:color w:val="auto"/>
            <w:sz w:val="28"/>
            <w:szCs w:val="28"/>
          </w:rPr>
          <w:t>Подпрограмма I</w:t>
        </w:r>
      </w:hyperlink>
      <w:r w:rsidRPr="00D15C2D">
        <w:rPr>
          <w:sz w:val="28"/>
          <w:szCs w:val="28"/>
        </w:rPr>
        <w:t xml:space="preserve"> "Организация бюджетного процесса в городском округе".</w:t>
      </w:r>
    </w:p>
    <w:p w:rsidR="005F5421" w:rsidRPr="00D15C2D" w:rsidRDefault="005F5421" w:rsidP="00065FEE">
      <w:pPr>
        <w:widowControl w:val="0"/>
        <w:ind w:firstLine="709"/>
        <w:jc w:val="both"/>
        <w:rPr>
          <w:sz w:val="28"/>
          <w:szCs w:val="28"/>
        </w:rPr>
      </w:pPr>
      <w:r w:rsidRPr="00D15C2D">
        <w:rPr>
          <w:sz w:val="28"/>
          <w:szCs w:val="28"/>
        </w:rPr>
        <w:t>Данная подпрограмма направлена на достижение оптимального, устойчивого и экономически обоснованного соответствия расходных обязательств бюджета городского округа источникам их финансового обеспечения, обеспечения условий и непосредственно формирование проекта бюджета городского округа, организация его исполнения и составление бюджетной отчетности.</w:t>
      </w:r>
    </w:p>
    <w:p w:rsidR="005F5421" w:rsidRPr="00D15C2D" w:rsidRDefault="005F5421" w:rsidP="00065FEE">
      <w:pPr>
        <w:widowControl w:val="0"/>
        <w:ind w:firstLine="709"/>
        <w:jc w:val="both"/>
        <w:rPr>
          <w:sz w:val="28"/>
          <w:szCs w:val="28"/>
        </w:rPr>
      </w:pPr>
      <w:r w:rsidRPr="00D15C2D">
        <w:rPr>
          <w:sz w:val="28"/>
          <w:szCs w:val="28"/>
        </w:rPr>
        <w:t>Задача 1 "Долгосрочное бюджетное планирование" осуществляется посредством реализации программных мероприятий по разработке Бюджетного прогноза городского округа на долгосрочный период и его совершенствования.</w:t>
      </w:r>
    </w:p>
    <w:p w:rsidR="005F5421" w:rsidRPr="00D15C2D" w:rsidRDefault="005F5421" w:rsidP="00065FEE">
      <w:pPr>
        <w:widowControl w:val="0"/>
        <w:ind w:firstLine="709"/>
        <w:jc w:val="both"/>
        <w:rPr>
          <w:sz w:val="28"/>
          <w:szCs w:val="28"/>
        </w:rPr>
      </w:pPr>
      <w:r w:rsidRPr="00D15C2D">
        <w:rPr>
          <w:sz w:val="28"/>
          <w:szCs w:val="28"/>
        </w:rPr>
        <w:t xml:space="preserve">Основной целью является определение финансовых возможностей, условий и </w:t>
      </w:r>
      <w:proofErr w:type="gramStart"/>
      <w:r w:rsidRPr="00D15C2D">
        <w:rPr>
          <w:sz w:val="28"/>
          <w:szCs w:val="28"/>
        </w:rPr>
        <w:t>предпосылок для достижения ключевых целей</w:t>
      </w:r>
      <w:proofErr w:type="gramEnd"/>
      <w:r w:rsidRPr="00D15C2D">
        <w:rPr>
          <w:sz w:val="28"/>
          <w:szCs w:val="28"/>
        </w:rPr>
        <w:t xml:space="preserve"> и результатов муниципальной политики, сформулированных в Стратегии социально-экономического развития города до 2020 года и на период до 2030 года, указах Президента Российской Федерации и решениях Правительства Российской Федерации, при обеспечении долгосрочной сбалансированности и </w:t>
      </w:r>
      <w:r w:rsidRPr="00D15C2D">
        <w:rPr>
          <w:sz w:val="28"/>
          <w:szCs w:val="28"/>
        </w:rPr>
        <w:lastRenderedPageBreak/>
        <w:t>устойчивости бюджетной системы городского округа и повышении эффективности бюджетных расходов.</w:t>
      </w:r>
    </w:p>
    <w:p w:rsidR="005F5421" w:rsidRPr="00D15C2D" w:rsidRDefault="005F5421" w:rsidP="00065FEE">
      <w:pPr>
        <w:widowControl w:val="0"/>
        <w:ind w:firstLine="709"/>
        <w:jc w:val="both"/>
        <w:rPr>
          <w:sz w:val="28"/>
          <w:szCs w:val="28"/>
        </w:rPr>
      </w:pPr>
      <w:r w:rsidRPr="00D15C2D">
        <w:rPr>
          <w:sz w:val="28"/>
          <w:szCs w:val="28"/>
        </w:rPr>
        <w:t>Бюджетный прогноз городского округа будет разрабатываться, начиная с 2017 года, каждые 3 года на 6 и более лет на основе прогноза социально-экономического развития и будет являться основой для составления бюджета городского округа на очередной финансовый год и плановый период.</w:t>
      </w:r>
    </w:p>
    <w:p w:rsidR="005F5421" w:rsidRPr="00D15C2D" w:rsidRDefault="005F5421" w:rsidP="00065FEE">
      <w:pPr>
        <w:widowControl w:val="0"/>
        <w:ind w:firstLine="709"/>
        <w:jc w:val="both"/>
        <w:rPr>
          <w:sz w:val="28"/>
          <w:szCs w:val="28"/>
        </w:rPr>
      </w:pPr>
      <w:r w:rsidRPr="00D15C2D">
        <w:rPr>
          <w:sz w:val="28"/>
          <w:szCs w:val="28"/>
        </w:rPr>
        <w:t>Задача 2 "Нормативное правовое регулирование в сфере бюджетного процесса и его совершенствование" осуществляется посредством реализации следующих основных мероприятий:</w:t>
      </w:r>
    </w:p>
    <w:p w:rsidR="005F5421" w:rsidRPr="00D15C2D" w:rsidRDefault="005F5421" w:rsidP="00065FEE">
      <w:pPr>
        <w:widowControl w:val="0"/>
        <w:ind w:firstLine="709"/>
        <w:jc w:val="both"/>
        <w:rPr>
          <w:sz w:val="28"/>
          <w:szCs w:val="28"/>
        </w:rPr>
      </w:pPr>
      <w:r w:rsidRPr="00D15C2D">
        <w:rPr>
          <w:sz w:val="28"/>
          <w:szCs w:val="28"/>
        </w:rPr>
        <w:t>1. Совершенствование нормативного правового регулирования в сфере бюджетного процесса.</w:t>
      </w:r>
    </w:p>
    <w:p w:rsidR="005F5421" w:rsidRPr="00D15C2D" w:rsidRDefault="005F5421" w:rsidP="00065FEE">
      <w:pPr>
        <w:widowControl w:val="0"/>
        <w:ind w:firstLine="709"/>
        <w:jc w:val="both"/>
        <w:rPr>
          <w:sz w:val="28"/>
          <w:szCs w:val="28"/>
        </w:rPr>
      </w:pPr>
      <w:r w:rsidRPr="00D15C2D">
        <w:rPr>
          <w:sz w:val="28"/>
          <w:szCs w:val="28"/>
        </w:rPr>
        <w:t>Разработка и утверждение необходимых правовых актов для совершенствования бюджетного законодательства способствует качественной организации планирования и исполнения бюджета городского округа, в том числе путем оказания методической поддержки участникам бюджетного процесса.</w:t>
      </w:r>
    </w:p>
    <w:p w:rsidR="005F5421" w:rsidRPr="00D15C2D" w:rsidRDefault="005F5421" w:rsidP="00065FEE">
      <w:pPr>
        <w:widowControl w:val="0"/>
        <w:ind w:firstLine="709"/>
        <w:jc w:val="both"/>
        <w:rPr>
          <w:sz w:val="28"/>
          <w:szCs w:val="28"/>
        </w:rPr>
      </w:pPr>
      <w:r w:rsidRPr="00D15C2D">
        <w:rPr>
          <w:sz w:val="28"/>
          <w:szCs w:val="28"/>
        </w:rPr>
        <w:t xml:space="preserve">В целях совершенствования бюджетного законодательства городского округа, комитетом по финансам разработан Порядок составления проекта решения о бюджете на очередной финансовый год и плановый период, который утвержден постановлением администрации города от 14.07.2014 № 175-па. Порядок предусматривает утверждение постоянного графика подготовки, рассмотрения документов и материалов, разрабатываемых при составлении проекта бюджета города, а также уточняет полномочия участников бюджетного процесса и взаимодействие между ними. </w:t>
      </w:r>
    </w:p>
    <w:p w:rsidR="000829D7" w:rsidRPr="00D15C2D" w:rsidRDefault="000829D7" w:rsidP="00785102">
      <w:pPr>
        <w:pStyle w:val="a3"/>
        <w:spacing w:before="0" w:beforeAutospacing="0" w:after="0" w:afterAutospacing="0"/>
        <w:ind w:firstLine="708"/>
        <w:jc w:val="both"/>
        <w:rPr>
          <w:sz w:val="28"/>
          <w:szCs w:val="28"/>
        </w:rPr>
      </w:pPr>
    </w:p>
    <w:p w:rsidR="00065FEE" w:rsidRPr="00D15C2D" w:rsidRDefault="00065FEE" w:rsidP="00065FEE">
      <w:pPr>
        <w:ind w:firstLine="708"/>
        <w:jc w:val="both"/>
        <w:rPr>
          <w:sz w:val="28"/>
          <w:szCs w:val="28"/>
        </w:rPr>
      </w:pPr>
      <w:r w:rsidRPr="00D15C2D">
        <w:rPr>
          <w:sz w:val="28"/>
          <w:szCs w:val="28"/>
        </w:rPr>
        <w:t>В целях активизации работы по мобилизации доходов в бюджет муниципального образования городского округа города Пыть-Яха, сокращения размера дефицита бюджета, повышения качества и эффективности управления финансовыми ресурсами, на уровне муниципального образования принят план мероприятий по росту доходов и оптимизации расходов бюджета на 2019 год и на плановый период 2020 и 2021 годов, утвержденный распоряжением администрации города от 24.01.2019 № 117-ра «О мероприятиях по исполнению решения Думы «О бюджете города Пыть-Яха на 2019 год и плановый период 2020-2021 годов» предусматривающий достижение бюджетного эффекта в сумме 69,3 млн. рублей</w:t>
      </w:r>
    </w:p>
    <w:p w:rsidR="00065FEE" w:rsidRPr="00D15C2D" w:rsidRDefault="00065FEE" w:rsidP="00065FEE">
      <w:pPr>
        <w:ind w:firstLine="708"/>
        <w:jc w:val="both"/>
        <w:rPr>
          <w:sz w:val="28"/>
          <w:szCs w:val="28"/>
          <w:highlight w:val="yellow"/>
        </w:rPr>
      </w:pPr>
      <w:r w:rsidRPr="00D15C2D">
        <w:rPr>
          <w:sz w:val="28"/>
          <w:szCs w:val="28"/>
        </w:rPr>
        <w:t xml:space="preserve">В течение года выполнен ряд мероприятий по оптимизации расходов на текущее содержание органов местного самоуправления, казенных учреждений, на финансовое обеспечение выполнения муниципального задания, сокращение бюджетных средств по итогам закупочных процедур, по инвентаризации мероприятий муниципальных программ и непрограммных расходов, снижению расходов на оплату коммунальных расходов, по расширению перечня и объема платных услуг, оказываемых бюджетными и автономными учреждениями, привлечению немуниципальных организаций к оказанию муниципальных услуг. В результате проведенных мероприятий </w:t>
      </w:r>
      <w:r w:rsidRPr="00D15C2D">
        <w:rPr>
          <w:sz w:val="28"/>
          <w:szCs w:val="28"/>
        </w:rPr>
        <w:lastRenderedPageBreak/>
        <w:t>достигнут бюджетный эффект в сумме 41,4 млн. рублей, что составляет 99,2% от намеченного показателя.</w:t>
      </w:r>
    </w:p>
    <w:p w:rsidR="00065FEE" w:rsidRPr="00D15C2D" w:rsidRDefault="00065FEE" w:rsidP="00065FEE">
      <w:pPr>
        <w:ind w:firstLine="708"/>
        <w:jc w:val="both"/>
        <w:rPr>
          <w:sz w:val="28"/>
          <w:szCs w:val="28"/>
        </w:rPr>
      </w:pPr>
      <w:r w:rsidRPr="00D15C2D">
        <w:rPr>
          <w:sz w:val="28"/>
          <w:szCs w:val="28"/>
        </w:rPr>
        <w:t>В целях активизации работы по мобилизации доходов в бюджет города Пыть-Яха, изыскания дополнительных резервов поступлений и сокращения размера дефицита бюджета города в 2019 году проведены меры по привлечению дополнительных доходов в бюджет муниципального образования в результате которых сумма дополнительных доходов составила 30,6 млн. рублей.</w:t>
      </w:r>
    </w:p>
    <w:p w:rsidR="00065FEE" w:rsidRPr="00D15C2D" w:rsidRDefault="00065FEE" w:rsidP="00065FEE">
      <w:pPr>
        <w:ind w:firstLine="708"/>
        <w:jc w:val="both"/>
        <w:rPr>
          <w:sz w:val="28"/>
          <w:szCs w:val="28"/>
        </w:rPr>
      </w:pPr>
      <w:r w:rsidRPr="00D15C2D">
        <w:rPr>
          <w:sz w:val="28"/>
          <w:szCs w:val="28"/>
        </w:rPr>
        <w:t>В целом от реализации плана мероприятий бюджетный эффект по итогам 2019 года составил 72,0 млн. рублей или 4,3 % к собственным доходам муниципального образования.</w:t>
      </w:r>
    </w:p>
    <w:p w:rsidR="00065FEE" w:rsidRPr="00D15C2D" w:rsidRDefault="00065FEE" w:rsidP="00065FEE">
      <w:pPr>
        <w:ind w:firstLine="708"/>
        <w:jc w:val="both"/>
        <w:rPr>
          <w:sz w:val="28"/>
          <w:szCs w:val="28"/>
        </w:rPr>
      </w:pPr>
      <w:r w:rsidRPr="00D15C2D">
        <w:rPr>
          <w:sz w:val="28"/>
          <w:szCs w:val="28"/>
        </w:rPr>
        <w:t>Администрацией города разработан аналогичный план мероприятий по росту доходов, оптимизации расходов местных бюджетов и сокращению муниципального долга на 2020-2022 годы.</w:t>
      </w:r>
    </w:p>
    <w:p w:rsidR="00065FEE" w:rsidRPr="00D15C2D" w:rsidRDefault="00065FEE" w:rsidP="00065FEE">
      <w:pPr>
        <w:ind w:firstLine="708"/>
        <w:jc w:val="both"/>
        <w:rPr>
          <w:sz w:val="28"/>
          <w:szCs w:val="28"/>
        </w:rPr>
      </w:pPr>
      <w:r w:rsidRPr="00D15C2D">
        <w:rPr>
          <w:sz w:val="28"/>
          <w:szCs w:val="28"/>
        </w:rPr>
        <w:t>В 2019 году учитывая обеспечение положительного прироста налоговых доходов и высокое качество планирования доходов бюджета, из бюджета Ханты-Мансийского автономного округа-Югры муниципальному образованию предоставлена дотация в сумме 5,4 млн. рублей.</w:t>
      </w:r>
    </w:p>
    <w:p w:rsidR="00065FEE" w:rsidRPr="00D15C2D" w:rsidRDefault="00065FEE" w:rsidP="00065FEE">
      <w:pPr>
        <w:ind w:firstLine="708"/>
        <w:jc w:val="both"/>
        <w:rPr>
          <w:sz w:val="28"/>
          <w:szCs w:val="28"/>
        </w:rPr>
      </w:pPr>
      <w:r w:rsidRPr="00D15C2D">
        <w:rPr>
          <w:sz w:val="28"/>
          <w:szCs w:val="28"/>
        </w:rPr>
        <w:t>В 2019 году продолжена работа по привлечению организаций негосударственного сектора к оказанию муниципальных услуг в соответствии с утвержденным планом мероприятий по поддержке доступа негосударственных организаций (коммерческих, некоммерческих) к предоставлению услуг в социальной сфере на территории города Пыть-Яха. Общий объем финансирования муниципальных услуг, переданных негосударственным организациям, в 2019 году составил 4 млн. рублей.</w:t>
      </w:r>
    </w:p>
    <w:p w:rsidR="00065FEE" w:rsidRPr="00D15C2D" w:rsidRDefault="00065FEE" w:rsidP="00065FEE">
      <w:pPr>
        <w:ind w:firstLine="708"/>
        <w:jc w:val="both"/>
        <w:rPr>
          <w:sz w:val="28"/>
          <w:szCs w:val="28"/>
        </w:rPr>
      </w:pPr>
      <w:r w:rsidRPr="00D15C2D">
        <w:rPr>
          <w:sz w:val="28"/>
          <w:szCs w:val="28"/>
        </w:rPr>
        <w:t xml:space="preserve">Для успешной реализации механизмов общественного участия и контроля, информирования широких кругов населения о формировании и исполнении бюджета города Пыть-Яха в течение года проводилась работа по обеспечению открытости бюджетного процесса. </w:t>
      </w:r>
    </w:p>
    <w:p w:rsidR="000829D7" w:rsidRPr="00D15C2D" w:rsidRDefault="00065FEE" w:rsidP="00065FEE">
      <w:pPr>
        <w:ind w:firstLine="708"/>
        <w:jc w:val="both"/>
        <w:rPr>
          <w:sz w:val="28"/>
          <w:szCs w:val="28"/>
        </w:rPr>
      </w:pPr>
      <w:r w:rsidRPr="00D15C2D">
        <w:rPr>
          <w:sz w:val="28"/>
          <w:szCs w:val="28"/>
        </w:rPr>
        <w:t>Информация о стадиях бюджетного процесса, о плановых показателях бюджета города и его исполнении размещается на официальном сайте администрации города Пыть-Яха в разделе «Открытый бюджет». Для горожан, не обладающих специальными знаниями в финансово-бюджетной сфере, информация размещается в доступной форме в виде информационного материала «Бюджет для граждан».</w:t>
      </w:r>
    </w:p>
    <w:p w:rsidR="00785102" w:rsidRPr="00D15C2D" w:rsidRDefault="00785102" w:rsidP="00785102">
      <w:pPr>
        <w:pStyle w:val="a3"/>
        <w:spacing w:before="0" w:beforeAutospacing="0" w:after="0" w:afterAutospacing="0"/>
        <w:ind w:firstLine="708"/>
        <w:jc w:val="both"/>
        <w:rPr>
          <w:sz w:val="28"/>
          <w:szCs w:val="28"/>
        </w:rPr>
      </w:pPr>
      <w:r w:rsidRPr="00D15C2D">
        <w:rPr>
          <w:sz w:val="28"/>
          <w:szCs w:val="28"/>
        </w:rPr>
        <w:t xml:space="preserve">Размер муниципального </w:t>
      </w:r>
      <w:r w:rsidR="0057353C" w:rsidRPr="00D15C2D">
        <w:rPr>
          <w:sz w:val="28"/>
          <w:szCs w:val="28"/>
        </w:rPr>
        <w:t xml:space="preserve">долга </w:t>
      </w:r>
      <w:r w:rsidRPr="00D15C2D">
        <w:rPr>
          <w:sz w:val="28"/>
          <w:szCs w:val="28"/>
        </w:rPr>
        <w:t>и расходы на его обслуживание по состоянию на 1 января 2020 года не превысили установленные значения целевых показателей.</w:t>
      </w:r>
    </w:p>
    <w:p w:rsidR="00785102" w:rsidRPr="00D15C2D" w:rsidRDefault="00785102" w:rsidP="00785102">
      <w:pPr>
        <w:pStyle w:val="a3"/>
        <w:spacing w:before="0" w:beforeAutospacing="0" w:after="0" w:afterAutospacing="0"/>
        <w:ind w:firstLine="708"/>
        <w:jc w:val="both"/>
        <w:rPr>
          <w:sz w:val="28"/>
          <w:szCs w:val="28"/>
        </w:rPr>
      </w:pPr>
      <w:r w:rsidRPr="00D15C2D">
        <w:rPr>
          <w:sz w:val="28"/>
          <w:szCs w:val="28"/>
        </w:rPr>
        <w:t xml:space="preserve">В установленный срок заместителем главы города </w:t>
      </w:r>
      <w:r w:rsidR="00065FEE" w:rsidRPr="00D15C2D">
        <w:rPr>
          <w:sz w:val="28"/>
          <w:szCs w:val="28"/>
        </w:rPr>
        <w:t>– председателем комитета по финансам</w:t>
      </w:r>
      <w:r w:rsidRPr="00D15C2D">
        <w:rPr>
          <w:sz w:val="28"/>
          <w:szCs w:val="28"/>
        </w:rPr>
        <w:t xml:space="preserve"> была утверждена сводная бюджетная роспись на 2019 год и на плановый период 2020 и 2021 годов.     </w:t>
      </w:r>
    </w:p>
    <w:p w:rsidR="00785102" w:rsidRPr="00D15C2D" w:rsidRDefault="00785102" w:rsidP="00785102">
      <w:pPr>
        <w:pStyle w:val="a3"/>
        <w:spacing w:before="0" w:beforeAutospacing="0" w:after="0" w:afterAutospacing="0"/>
        <w:ind w:firstLine="708"/>
        <w:jc w:val="both"/>
        <w:rPr>
          <w:sz w:val="28"/>
          <w:szCs w:val="28"/>
        </w:rPr>
      </w:pPr>
      <w:r w:rsidRPr="00D15C2D">
        <w:rPr>
          <w:sz w:val="28"/>
          <w:szCs w:val="28"/>
        </w:rPr>
        <w:t xml:space="preserve"> До главных распорядителей, распорядителей и получателей средств бюджета городского округа – 26 декабря 2018 года доведены уведомления о бюджетных ассигнованиях и лимитах бюджетных обязательств на 2019 год и на плановый период 2020 и 2022 годов.</w:t>
      </w:r>
    </w:p>
    <w:p w:rsidR="009B624A" w:rsidRPr="00D15C2D" w:rsidRDefault="00C9284A" w:rsidP="00785102">
      <w:pPr>
        <w:pStyle w:val="a3"/>
        <w:spacing w:before="0" w:beforeAutospacing="0" w:after="0" w:afterAutospacing="0"/>
        <w:ind w:firstLine="708"/>
        <w:jc w:val="both"/>
        <w:rPr>
          <w:sz w:val="28"/>
          <w:szCs w:val="28"/>
        </w:rPr>
      </w:pPr>
      <w:r w:rsidRPr="00D15C2D">
        <w:rPr>
          <w:sz w:val="28"/>
          <w:szCs w:val="28"/>
        </w:rPr>
        <w:lastRenderedPageBreak/>
        <w:t xml:space="preserve">В сводную бюджетную роспись на 2019 год и на плановый период 2020 и 2021 годов, а также в лимиты бюджетных обязательств в течение 2019 года вносились изменения, связанные с внесением изменений в решение Думы города </w:t>
      </w:r>
      <w:r w:rsidR="00065FEE" w:rsidRPr="00D15C2D">
        <w:rPr>
          <w:sz w:val="28"/>
          <w:szCs w:val="28"/>
        </w:rPr>
        <w:t xml:space="preserve">Пыть-Яха </w:t>
      </w:r>
      <w:r w:rsidRPr="00D15C2D">
        <w:rPr>
          <w:sz w:val="28"/>
          <w:szCs w:val="28"/>
        </w:rPr>
        <w:t>о бюджете. Также утвержденный</w:t>
      </w:r>
      <w:r w:rsidR="0057353C" w:rsidRPr="00D15C2D">
        <w:rPr>
          <w:sz w:val="28"/>
          <w:szCs w:val="28"/>
        </w:rPr>
        <w:t xml:space="preserve"> кассовый</w:t>
      </w:r>
      <w:r w:rsidRPr="00D15C2D">
        <w:rPr>
          <w:sz w:val="28"/>
          <w:szCs w:val="28"/>
        </w:rPr>
        <w:t xml:space="preserve"> план на 2019 год уточнялся по основаниям, предусмотренным бюджетным законодательством (статьи 217 и 232 Бюджетного кодекса Российской Федерации, пунктом 25 решения Думы города </w:t>
      </w:r>
      <w:r w:rsidR="00065FEE" w:rsidRPr="00D15C2D">
        <w:rPr>
          <w:sz w:val="28"/>
          <w:szCs w:val="28"/>
        </w:rPr>
        <w:t>Пыть-Яха</w:t>
      </w:r>
      <w:r w:rsidRPr="00D15C2D">
        <w:rPr>
          <w:sz w:val="28"/>
          <w:szCs w:val="28"/>
        </w:rPr>
        <w:t xml:space="preserve"> о бюджете) без внесения изменений в решение Думы города </w:t>
      </w:r>
      <w:r w:rsidR="00065FEE" w:rsidRPr="00D15C2D">
        <w:rPr>
          <w:sz w:val="28"/>
          <w:szCs w:val="28"/>
        </w:rPr>
        <w:t>Пыть-Яха</w:t>
      </w:r>
      <w:r w:rsidRPr="00D15C2D">
        <w:rPr>
          <w:sz w:val="28"/>
          <w:szCs w:val="28"/>
        </w:rPr>
        <w:t xml:space="preserve"> о бюджете на основании заявок, поступающих от главных распорядителей бюджетных средств.</w:t>
      </w:r>
    </w:p>
    <w:p w:rsidR="00913F11" w:rsidRPr="00D15C2D" w:rsidRDefault="00913F11" w:rsidP="00813AC9">
      <w:pPr>
        <w:widowControl w:val="0"/>
        <w:ind w:firstLine="709"/>
        <w:jc w:val="both"/>
        <w:rPr>
          <w:sz w:val="28"/>
          <w:szCs w:val="28"/>
        </w:rPr>
      </w:pPr>
      <w:r w:rsidRPr="00D15C2D">
        <w:rPr>
          <w:sz w:val="28"/>
          <w:szCs w:val="28"/>
        </w:rPr>
        <w:t>Администрацией города разработан аналогичный план мероприятий по росту доходов, оптимизации расходов местных бюджетов и сокращению муниципального долга на 20</w:t>
      </w:r>
      <w:r w:rsidR="00813AC9" w:rsidRPr="00D15C2D">
        <w:rPr>
          <w:sz w:val="28"/>
          <w:szCs w:val="28"/>
        </w:rPr>
        <w:t>20</w:t>
      </w:r>
      <w:r w:rsidRPr="00D15C2D">
        <w:rPr>
          <w:sz w:val="28"/>
          <w:szCs w:val="28"/>
        </w:rPr>
        <w:t>-202</w:t>
      </w:r>
      <w:r w:rsidR="00813AC9" w:rsidRPr="00D15C2D">
        <w:rPr>
          <w:sz w:val="28"/>
          <w:szCs w:val="28"/>
        </w:rPr>
        <w:t>2</w:t>
      </w:r>
      <w:r w:rsidRPr="00D15C2D">
        <w:rPr>
          <w:sz w:val="28"/>
          <w:szCs w:val="28"/>
        </w:rPr>
        <w:t xml:space="preserve"> годы.</w:t>
      </w:r>
    </w:p>
    <w:p w:rsidR="00913F11" w:rsidRPr="00D15C2D" w:rsidRDefault="00913F11" w:rsidP="00913F11">
      <w:pPr>
        <w:ind w:firstLine="720"/>
        <w:jc w:val="both"/>
        <w:rPr>
          <w:sz w:val="28"/>
          <w:szCs w:val="28"/>
          <w:lang w:eastAsia="en-US"/>
        </w:rPr>
      </w:pPr>
    </w:p>
    <w:p w:rsidR="00913F11" w:rsidRPr="00D15C2D" w:rsidRDefault="00913F11" w:rsidP="00D23D8F">
      <w:pPr>
        <w:widowControl w:val="0"/>
        <w:ind w:firstLine="709"/>
        <w:jc w:val="both"/>
        <w:rPr>
          <w:sz w:val="28"/>
          <w:szCs w:val="28"/>
        </w:rPr>
      </w:pPr>
      <w:r w:rsidRPr="00D15C2D">
        <w:rPr>
          <w:sz w:val="28"/>
          <w:szCs w:val="28"/>
        </w:rPr>
        <w:t>2. Организация планирования, исполнения бюджета городского округа и формирование отчетности об исполнении бюджета городского округа.</w:t>
      </w:r>
    </w:p>
    <w:p w:rsidR="00913F11" w:rsidRPr="00D15C2D" w:rsidRDefault="00913F11" w:rsidP="00D23D8F">
      <w:pPr>
        <w:widowControl w:val="0"/>
        <w:ind w:firstLine="709"/>
        <w:jc w:val="both"/>
        <w:rPr>
          <w:sz w:val="28"/>
          <w:szCs w:val="28"/>
        </w:rPr>
      </w:pPr>
      <w:r w:rsidRPr="00D15C2D">
        <w:rPr>
          <w:sz w:val="28"/>
          <w:szCs w:val="28"/>
        </w:rPr>
        <w:t>Результатом реализации данного мероприятия является:</w:t>
      </w:r>
    </w:p>
    <w:p w:rsidR="00913F11" w:rsidRPr="00D15C2D" w:rsidRDefault="00913F11" w:rsidP="00D23D8F">
      <w:pPr>
        <w:pStyle w:val="13"/>
        <w:widowControl w:val="0"/>
        <w:numPr>
          <w:ilvl w:val="0"/>
          <w:numId w:val="5"/>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D15C2D">
        <w:rPr>
          <w:rFonts w:ascii="Times New Roman" w:hAnsi="Times New Roman" w:cs="Times New Roman"/>
          <w:sz w:val="28"/>
          <w:szCs w:val="28"/>
        </w:rPr>
        <w:t xml:space="preserve"> принятый в установленные сроки и соответствующий требованиям бюджетного законодательства Российской Федерации бюджет городского округа на очередной финансовый год и плановый период;</w:t>
      </w:r>
    </w:p>
    <w:p w:rsidR="00913F11" w:rsidRPr="00D15C2D" w:rsidRDefault="00913F11" w:rsidP="00D23D8F">
      <w:pPr>
        <w:pStyle w:val="1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D15C2D">
        <w:rPr>
          <w:rFonts w:ascii="Times New Roman" w:hAnsi="Times New Roman" w:cs="Times New Roman"/>
          <w:sz w:val="28"/>
          <w:szCs w:val="28"/>
        </w:rPr>
        <w:t>Организация бюджетного процесса в городском округе осуществляется в соответствии с Бюджетным кодексом Российской Федерации, решением Думы города от 21.03.2014 № 258 «Об утверждении Положения о бюджетном процессе в муниципальном образовании городской округ город Пыть-Ях», которым определены основные этапы.</w:t>
      </w:r>
    </w:p>
    <w:p w:rsidR="00913F11" w:rsidRPr="00D15C2D" w:rsidRDefault="00913F11" w:rsidP="00D23D8F">
      <w:pPr>
        <w:pStyle w:val="1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D15C2D">
        <w:rPr>
          <w:rFonts w:ascii="Times New Roman" w:hAnsi="Times New Roman" w:cs="Times New Roman"/>
          <w:sz w:val="28"/>
          <w:szCs w:val="28"/>
        </w:rPr>
        <w:t>Первым этапом организации и осуществления бюджетного процесса является составление, рассмотрение и утверждение проекта бюджета на очередной финансовый год и плановый период. Взаимодействие всех участников бюджетного процесса на первом его этапе, регулируются положениями постановления администрации города от 14.07.2014 № 175-па «О Порядке составления проекта решения о бюджете города на очередной финансовый год и плановый период».</w:t>
      </w:r>
      <w:r w:rsidRPr="00D15C2D">
        <w:rPr>
          <w:rFonts w:ascii="Times New Roman" w:hAnsi="Times New Roman" w:cs="Times New Roman"/>
          <w:sz w:val="28"/>
          <w:szCs w:val="28"/>
        </w:rPr>
        <w:tab/>
      </w:r>
    </w:p>
    <w:p w:rsidR="00913F11" w:rsidRPr="00D15C2D" w:rsidRDefault="00913F11" w:rsidP="00D23D8F">
      <w:pPr>
        <w:pStyle w:val="1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D15C2D">
        <w:rPr>
          <w:rFonts w:ascii="Times New Roman" w:hAnsi="Times New Roman" w:cs="Times New Roman"/>
          <w:sz w:val="28"/>
          <w:szCs w:val="28"/>
        </w:rPr>
        <w:t xml:space="preserve">С целью установления конкретных сроков представления материалов утвержден График подготовки, рассмотрения документов и материалов, разрабатываемых при составлении проекта решения о бюджете города на очередной финансовый год распоряжением администрации города от 04.06.2015 № 1208-ра. </w:t>
      </w:r>
    </w:p>
    <w:p w:rsidR="00D23D8F" w:rsidRPr="00D15C2D" w:rsidRDefault="00D23D8F" w:rsidP="00D23D8F">
      <w:pPr>
        <w:widowControl w:val="0"/>
        <w:ind w:firstLine="709"/>
        <w:jc w:val="both"/>
        <w:rPr>
          <w:sz w:val="28"/>
          <w:szCs w:val="28"/>
        </w:rPr>
      </w:pPr>
      <w:r w:rsidRPr="00D15C2D">
        <w:rPr>
          <w:sz w:val="28"/>
          <w:szCs w:val="28"/>
        </w:rPr>
        <w:t xml:space="preserve">Основные направления налоговой, бюджетной и долговой политики муниципального образования городского округа города Пыть-Яха на 2019-2021 годы одобрены распоряжением администрации города от 17.10.2018 № 1667-ра. </w:t>
      </w:r>
    </w:p>
    <w:p w:rsidR="00D23D8F" w:rsidRPr="00D15C2D" w:rsidRDefault="00D23D8F" w:rsidP="00D23D8F">
      <w:pPr>
        <w:widowControl w:val="0"/>
        <w:ind w:firstLine="540"/>
        <w:jc w:val="both"/>
        <w:rPr>
          <w:bCs/>
          <w:sz w:val="28"/>
          <w:szCs w:val="28"/>
        </w:rPr>
      </w:pPr>
      <w:r w:rsidRPr="00D15C2D">
        <w:rPr>
          <w:sz w:val="28"/>
          <w:szCs w:val="28"/>
        </w:rPr>
        <w:t>Сохранение и наращивание налогового потенциала, обеспечения устойчивости и сбалансированности бюджетной системы городского округа</w:t>
      </w:r>
      <w:r w:rsidRPr="00D15C2D">
        <w:rPr>
          <w:bCs/>
          <w:sz w:val="28"/>
          <w:szCs w:val="28"/>
        </w:rPr>
        <w:t>, заложены в основу формирования проекта бюджета города Пыть-Яха на 2019 год и на плановый период 2020 и 2021 годов.</w:t>
      </w:r>
    </w:p>
    <w:p w:rsidR="00D23D8F" w:rsidRPr="00D15C2D" w:rsidRDefault="00D23D8F" w:rsidP="00D23D8F">
      <w:pPr>
        <w:widowControl w:val="0"/>
        <w:ind w:firstLine="540"/>
        <w:jc w:val="both"/>
        <w:rPr>
          <w:bCs/>
          <w:sz w:val="28"/>
          <w:szCs w:val="28"/>
        </w:rPr>
      </w:pPr>
      <w:r w:rsidRPr="00D15C2D">
        <w:rPr>
          <w:bCs/>
          <w:sz w:val="28"/>
          <w:szCs w:val="28"/>
        </w:rPr>
        <w:t xml:space="preserve">Для достижения поставленных целей определены основные задачи </w:t>
      </w:r>
      <w:r w:rsidRPr="00D15C2D">
        <w:rPr>
          <w:bCs/>
          <w:sz w:val="28"/>
          <w:szCs w:val="28"/>
        </w:rPr>
        <w:lastRenderedPageBreak/>
        <w:t>налоговой политики городского округа на среднесрочную перспективу:</w:t>
      </w:r>
    </w:p>
    <w:p w:rsidR="00D23D8F" w:rsidRPr="00D15C2D" w:rsidRDefault="00D23D8F" w:rsidP="00D23D8F">
      <w:pPr>
        <w:widowControl w:val="0"/>
        <w:ind w:firstLine="540"/>
        <w:jc w:val="both"/>
        <w:rPr>
          <w:bCs/>
          <w:sz w:val="28"/>
          <w:szCs w:val="28"/>
        </w:rPr>
      </w:pPr>
      <w:r w:rsidRPr="00D15C2D">
        <w:rPr>
          <w:bCs/>
          <w:sz w:val="28"/>
          <w:szCs w:val="28"/>
        </w:rPr>
        <w:t>- формирование благоприятного инвестиционного климата;</w:t>
      </w:r>
    </w:p>
    <w:p w:rsidR="00D23D8F" w:rsidRPr="00D15C2D" w:rsidRDefault="00D23D8F" w:rsidP="00D23D8F">
      <w:pPr>
        <w:widowControl w:val="0"/>
        <w:ind w:firstLine="540"/>
        <w:jc w:val="both"/>
        <w:rPr>
          <w:bCs/>
          <w:sz w:val="28"/>
          <w:szCs w:val="28"/>
        </w:rPr>
      </w:pPr>
      <w:r w:rsidRPr="00D15C2D">
        <w:rPr>
          <w:bCs/>
          <w:sz w:val="28"/>
          <w:szCs w:val="28"/>
        </w:rPr>
        <w:t>- совершенствование и оптимизации порядка предоставления льгот;</w:t>
      </w:r>
    </w:p>
    <w:p w:rsidR="00D23D8F" w:rsidRPr="00D15C2D" w:rsidRDefault="00D23D8F" w:rsidP="00D23D8F">
      <w:pPr>
        <w:widowControl w:val="0"/>
        <w:ind w:firstLine="540"/>
        <w:jc w:val="both"/>
        <w:rPr>
          <w:bCs/>
          <w:sz w:val="28"/>
          <w:szCs w:val="28"/>
        </w:rPr>
      </w:pPr>
      <w:r w:rsidRPr="00D15C2D">
        <w:rPr>
          <w:bCs/>
          <w:sz w:val="28"/>
          <w:szCs w:val="28"/>
        </w:rPr>
        <w:t>- повышение качества администрирования доходов.</w:t>
      </w:r>
    </w:p>
    <w:p w:rsidR="00D23D8F" w:rsidRPr="00D15C2D" w:rsidRDefault="00D23D8F" w:rsidP="00D23D8F">
      <w:pPr>
        <w:widowControl w:val="0"/>
        <w:ind w:firstLine="540"/>
        <w:jc w:val="both"/>
        <w:rPr>
          <w:bCs/>
          <w:sz w:val="28"/>
          <w:szCs w:val="28"/>
        </w:rPr>
      </w:pPr>
      <w:r w:rsidRPr="00D15C2D">
        <w:rPr>
          <w:bCs/>
          <w:sz w:val="28"/>
          <w:szCs w:val="28"/>
        </w:rPr>
        <w:t>Главной целью бюджетной политики в сфере расходов бюджета в следующем бюджетном цикле остается обеспечение мер, направленных на устойчивое социально-экономическое развитие города, создание благоприятных и комфортных условий для проживания.</w:t>
      </w:r>
    </w:p>
    <w:p w:rsidR="00D23D8F" w:rsidRPr="00D15C2D" w:rsidRDefault="00D23D8F" w:rsidP="00D23D8F">
      <w:pPr>
        <w:widowControl w:val="0"/>
        <w:ind w:firstLine="540"/>
        <w:jc w:val="both"/>
        <w:rPr>
          <w:bCs/>
          <w:sz w:val="28"/>
          <w:szCs w:val="28"/>
        </w:rPr>
      </w:pPr>
      <w:r w:rsidRPr="00D15C2D">
        <w:rPr>
          <w:bCs/>
          <w:sz w:val="28"/>
          <w:szCs w:val="28"/>
        </w:rPr>
        <w:t>Для достижения указанной цели направлены усилия для решения следующих основных задач:</w:t>
      </w:r>
    </w:p>
    <w:p w:rsidR="00D23D8F" w:rsidRPr="00D15C2D" w:rsidRDefault="00D23D8F" w:rsidP="00D23D8F">
      <w:pPr>
        <w:widowControl w:val="0"/>
        <w:ind w:firstLine="540"/>
        <w:jc w:val="both"/>
        <w:rPr>
          <w:bCs/>
          <w:sz w:val="28"/>
          <w:szCs w:val="28"/>
        </w:rPr>
      </w:pPr>
      <w:r w:rsidRPr="00D15C2D">
        <w:rPr>
          <w:bCs/>
          <w:sz w:val="28"/>
          <w:szCs w:val="28"/>
        </w:rPr>
        <w:t>-повышение эффективности деятельности действующей сети муниципальных учреждений;</w:t>
      </w:r>
    </w:p>
    <w:p w:rsidR="00D23D8F" w:rsidRPr="00D15C2D" w:rsidRDefault="00D23D8F" w:rsidP="00D23D8F">
      <w:pPr>
        <w:widowControl w:val="0"/>
        <w:ind w:firstLine="540"/>
        <w:jc w:val="both"/>
        <w:rPr>
          <w:bCs/>
          <w:sz w:val="28"/>
          <w:szCs w:val="28"/>
        </w:rPr>
      </w:pPr>
      <w:r w:rsidRPr="00D15C2D">
        <w:rPr>
          <w:bCs/>
          <w:sz w:val="28"/>
          <w:szCs w:val="28"/>
        </w:rPr>
        <w:t>-проведение инвентаризации и пересмотра действующих расходных обязательств в целях сокращения расходных обязательств, не связанных с решением вопросов, отнесенных Конституцией Российской Федерации и федеральными законами к полномочиям органов местного самоуправления. В частности, это относится к решениям Думы города о дополнительных мерах социальной поддержки отдельных категорий граждан;</w:t>
      </w:r>
    </w:p>
    <w:p w:rsidR="00D23D8F" w:rsidRPr="00D15C2D" w:rsidRDefault="00D23D8F" w:rsidP="00D23D8F">
      <w:pPr>
        <w:widowControl w:val="0"/>
        <w:ind w:firstLine="540"/>
        <w:jc w:val="both"/>
        <w:rPr>
          <w:bCs/>
          <w:sz w:val="28"/>
          <w:szCs w:val="28"/>
        </w:rPr>
      </w:pPr>
      <w:r w:rsidRPr="00D15C2D">
        <w:rPr>
          <w:bCs/>
          <w:sz w:val="28"/>
          <w:szCs w:val="28"/>
        </w:rPr>
        <w:t>-интеграция региональных портфелей проектов в систему муниципальных программ и расширение практики осуществления бюджетных расходов на принципах проектного управления деятельностью;</w:t>
      </w:r>
    </w:p>
    <w:p w:rsidR="00D23D8F" w:rsidRPr="00D15C2D" w:rsidRDefault="00D23D8F" w:rsidP="00D23D8F">
      <w:pPr>
        <w:widowControl w:val="0"/>
        <w:ind w:firstLine="540"/>
        <w:jc w:val="both"/>
        <w:rPr>
          <w:bCs/>
          <w:sz w:val="28"/>
          <w:szCs w:val="28"/>
        </w:rPr>
      </w:pPr>
      <w:r w:rsidRPr="00D15C2D">
        <w:rPr>
          <w:bCs/>
          <w:sz w:val="28"/>
          <w:szCs w:val="28"/>
        </w:rPr>
        <w:t>-повышение качества планирования расходов на финансовое обеспечение муниципальных заданий на оказание муниципальных услуг (выполнение работ);</w:t>
      </w:r>
    </w:p>
    <w:p w:rsidR="00D23D8F" w:rsidRPr="00D15C2D" w:rsidRDefault="00D23D8F" w:rsidP="00D23D8F">
      <w:pPr>
        <w:widowControl w:val="0"/>
        <w:ind w:firstLine="540"/>
        <w:jc w:val="both"/>
        <w:rPr>
          <w:bCs/>
          <w:sz w:val="28"/>
          <w:szCs w:val="28"/>
        </w:rPr>
      </w:pPr>
      <w:r w:rsidRPr="00D15C2D">
        <w:rPr>
          <w:bCs/>
          <w:sz w:val="28"/>
          <w:szCs w:val="28"/>
        </w:rPr>
        <w:t>-развитие конкурентной модели оказания муниципальных услуг, обеспечивающей повышение качества их предоставления;</w:t>
      </w:r>
    </w:p>
    <w:p w:rsidR="00D23D8F" w:rsidRPr="00D15C2D" w:rsidRDefault="00D23D8F" w:rsidP="00D23D8F">
      <w:pPr>
        <w:widowControl w:val="0"/>
        <w:ind w:firstLine="540"/>
        <w:jc w:val="both"/>
        <w:rPr>
          <w:bCs/>
          <w:sz w:val="28"/>
          <w:szCs w:val="28"/>
        </w:rPr>
      </w:pPr>
      <w:r w:rsidRPr="00D15C2D">
        <w:rPr>
          <w:bCs/>
          <w:sz w:val="28"/>
          <w:szCs w:val="28"/>
        </w:rPr>
        <w:t>-совершенствование механизмов мониторинга и контроля реализации муниципальных программ;</w:t>
      </w:r>
    </w:p>
    <w:p w:rsidR="00D23D8F" w:rsidRPr="00D15C2D" w:rsidRDefault="00D23D8F" w:rsidP="00D23D8F">
      <w:pPr>
        <w:widowControl w:val="0"/>
        <w:ind w:firstLine="540"/>
        <w:jc w:val="both"/>
        <w:rPr>
          <w:bCs/>
          <w:sz w:val="28"/>
          <w:szCs w:val="28"/>
        </w:rPr>
      </w:pPr>
      <w:r w:rsidRPr="00D15C2D">
        <w:rPr>
          <w:bCs/>
          <w:sz w:val="28"/>
          <w:szCs w:val="28"/>
        </w:rPr>
        <w:t>-обеспечение открытости бюджетного процесса и вовлечения в него граждан.</w:t>
      </w:r>
    </w:p>
    <w:p w:rsidR="00D23D8F" w:rsidRPr="00D15C2D" w:rsidRDefault="00D23D8F" w:rsidP="00D23D8F">
      <w:pPr>
        <w:widowControl w:val="0"/>
        <w:ind w:firstLine="709"/>
        <w:jc w:val="both"/>
        <w:rPr>
          <w:sz w:val="28"/>
          <w:szCs w:val="28"/>
        </w:rPr>
      </w:pPr>
      <w:r w:rsidRPr="00D15C2D">
        <w:rPr>
          <w:bCs/>
          <w:sz w:val="28"/>
          <w:szCs w:val="28"/>
        </w:rPr>
        <w:t>Долговая политика города Пыть-Яха в 2019–2021 годах, как и в предыдущем периоде, направлена на сохранение долговой нагрузки на бюджет города на экономически безопасном уровне с учетом всех возможных рисков</w:t>
      </w:r>
    </w:p>
    <w:p w:rsidR="00D23D8F" w:rsidRPr="00D15C2D" w:rsidRDefault="00D23D8F" w:rsidP="00D23D8F">
      <w:pPr>
        <w:ind w:firstLine="540"/>
        <w:jc w:val="both"/>
        <w:rPr>
          <w:sz w:val="28"/>
          <w:szCs w:val="28"/>
        </w:rPr>
      </w:pPr>
      <w:r w:rsidRPr="00D15C2D">
        <w:rPr>
          <w:sz w:val="28"/>
          <w:szCs w:val="28"/>
        </w:rPr>
        <w:t xml:space="preserve">На 2019 год бюджет города утвержден решением Думы города Пыть-Яха от 14.12.2018 № 210, в течение года было внесено 5 изменений. </w:t>
      </w:r>
    </w:p>
    <w:p w:rsidR="00D23D8F" w:rsidRPr="00D15C2D" w:rsidRDefault="00D23D8F" w:rsidP="00D23D8F">
      <w:pPr>
        <w:ind w:firstLine="540"/>
        <w:jc w:val="both"/>
        <w:rPr>
          <w:sz w:val="28"/>
          <w:szCs w:val="28"/>
        </w:rPr>
      </w:pPr>
      <w:r w:rsidRPr="00D15C2D">
        <w:rPr>
          <w:sz w:val="28"/>
          <w:szCs w:val="28"/>
        </w:rPr>
        <w:t>Бюджет города на 2020 год и на плановый период 2021 и 2022 годов утвержден решением Думы города Пыть-Яха от 19.12.2019 № 285.</w:t>
      </w:r>
    </w:p>
    <w:p w:rsidR="00D23D8F" w:rsidRPr="00D15C2D" w:rsidRDefault="00D23D8F" w:rsidP="00D23D8F">
      <w:pPr>
        <w:ind w:firstLine="540"/>
        <w:jc w:val="both"/>
        <w:rPr>
          <w:sz w:val="28"/>
          <w:szCs w:val="28"/>
        </w:rPr>
      </w:pPr>
      <w:r w:rsidRPr="00D15C2D">
        <w:rPr>
          <w:sz w:val="28"/>
          <w:szCs w:val="28"/>
        </w:rPr>
        <w:t>Отчет об исполнении бюджета за 2018 год утвержден решением Думы города Пыть-Яха № 256 от 14.06.2019 года.</w:t>
      </w:r>
    </w:p>
    <w:p w:rsidR="00D15C2D" w:rsidRDefault="00D15C2D" w:rsidP="00D23D8F">
      <w:pPr>
        <w:ind w:firstLine="540"/>
        <w:jc w:val="right"/>
        <w:rPr>
          <w:sz w:val="28"/>
          <w:szCs w:val="28"/>
        </w:rPr>
      </w:pPr>
    </w:p>
    <w:p w:rsidR="00D15C2D" w:rsidRDefault="00D15C2D" w:rsidP="00D23D8F">
      <w:pPr>
        <w:ind w:firstLine="540"/>
        <w:jc w:val="right"/>
        <w:rPr>
          <w:sz w:val="28"/>
          <w:szCs w:val="28"/>
        </w:rPr>
      </w:pPr>
    </w:p>
    <w:p w:rsidR="00D15C2D" w:rsidRDefault="00D15C2D" w:rsidP="00D23D8F">
      <w:pPr>
        <w:ind w:firstLine="540"/>
        <w:jc w:val="right"/>
        <w:rPr>
          <w:sz w:val="28"/>
          <w:szCs w:val="28"/>
        </w:rPr>
      </w:pPr>
    </w:p>
    <w:p w:rsidR="00D15C2D" w:rsidRDefault="00D15C2D" w:rsidP="00D23D8F">
      <w:pPr>
        <w:ind w:firstLine="540"/>
        <w:jc w:val="right"/>
        <w:rPr>
          <w:sz w:val="28"/>
          <w:szCs w:val="28"/>
        </w:rPr>
      </w:pPr>
    </w:p>
    <w:p w:rsidR="00D15C2D" w:rsidRDefault="00D15C2D" w:rsidP="00D23D8F">
      <w:pPr>
        <w:ind w:firstLine="540"/>
        <w:jc w:val="right"/>
        <w:rPr>
          <w:sz w:val="28"/>
          <w:szCs w:val="28"/>
        </w:rPr>
      </w:pPr>
    </w:p>
    <w:p w:rsidR="00D23D8F" w:rsidRPr="00D15C2D" w:rsidRDefault="00D23D8F" w:rsidP="00D23D8F">
      <w:pPr>
        <w:ind w:firstLine="540"/>
        <w:jc w:val="right"/>
        <w:rPr>
          <w:sz w:val="28"/>
          <w:szCs w:val="28"/>
        </w:rPr>
      </w:pPr>
      <w:r w:rsidRPr="00D15C2D">
        <w:rPr>
          <w:sz w:val="28"/>
          <w:szCs w:val="28"/>
        </w:rPr>
        <w:lastRenderedPageBreak/>
        <w:t>Таблица 1</w:t>
      </w:r>
    </w:p>
    <w:p w:rsidR="00D23D8F" w:rsidRPr="00D15C2D" w:rsidRDefault="00D23D8F" w:rsidP="00D23D8F">
      <w:pPr>
        <w:ind w:firstLine="540"/>
        <w:jc w:val="center"/>
        <w:rPr>
          <w:sz w:val="28"/>
          <w:szCs w:val="28"/>
        </w:rPr>
      </w:pPr>
      <w:r w:rsidRPr="00D15C2D">
        <w:rPr>
          <w:sz w:val="28"/>
          <w:szCs w:val="28"/>
        </w:rPr>
        <w:t>Динамика параметров бюджета города Пыть-Яха</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95"/>
        <w:gridCol w:w="848"/>
        <w:gridCol w:w="850"/>
        <w:gridCol w:w="848"/>
        <w:gridCol w:w="843"/>
        <w:gridCol w:w="841"/>
        <w:gridCol w:w="843"/>
        <w:gridCol w:w="843"/>
        <w:gridCol w:w="889"/>
        <w:gridCol w:w="841"/>
      </w:tblGrid>
      <w:tr w:rsidR="00D23D8F" w:rsidRPr="00D15C2D" w:rsidTr="00387F9C">
        <w:trPr>
          <w:cantSplit/>
        </w:trPr>
        <w:tc>
          <w:tcPr>
            <w:tcW w:w="1695" w:type="dxa"/>
            <w:vMerge w:val="restart"/>
            <w:shd w:val="clear" w:color="auto" w:fill="auto"/>
            <w:vAlign w:val="center"/>
            <w:hideMark/>
          </w:tcPr>
          <w:p w:rsidR="00D23D8F" w:rsidRPr="00D15C2D" w:rsidRDefault="00D23D8F" w:rsidP="00387F9C">
            <w:pPr>
              <w:jc w:val="center"/>
              <w:rPr>
                <w:color w:val="000000"/>
              </w:rPr>
            </w:pPr>
            <w:r w:rsidRPr="00D15C2D">
              <w:rPr>
                <w:color w:val="000000"/>
              </w:rPr>
              <w:t>Наименование показателя</w:t>
            </w:r>
          </w:p>
        </w:tc>
        <w:tc>
          <w:tcPr>
            <w:tcW w:w="454" w:type="pct"/>
            <w:vMerge w:val="restart"/>
            <w:shd w:val="clear" w:color="auto" w:fill="auto"/>
            <w:vAlign w:val="center"/>
            <w:hideMark/>
          </w:tcPr>
          <w:p w:rsidR="00D23D8F" w:rsidRPr="00D15C2D" w:rsidRDefault="00D23D8F" w:rsidP="00387F9C">
            <w:pPr>
              <w:jc w:val="center"/>
              <w:rPr>
                <w:color w:val="000000"/>
              </w:rPr>
            </w:pPr>
            <w:r w:rsidRPr="00D15C2D">
              <w:rPr>
                <w:color w:val="000000"/>
              </w:rPr>
              <w:t>исполнено за 2014 год</w:t>
            </w:r>
          </w:p>
        </w:tc>
        <w:tc>
          <w:tcPr>
            <w:tcW w:w="455" w:type="pct"/>
            <w:vMerge w:val="restart"/>
            <w:shd w:val="clear" w:color="auto" w:fill="auto"/>
            <w:vAlign w:val="center"/>
            <w:hideMark/>
          </w:tcPr>
          <w:p w:rsidR="00D23D8F" w:rsidRPr="00D15C2D" w:rsidRDefault="00D23D8F" w:rsidP="00387F9C">
            <w:pPr>
              <w:jc w:val="center"/>
              <w:rPr>
                <w:color w:val="000000"/>
              </w:rPr>
            </w:pPr>
            <w:r w:rsidRPr="00D15C2D">
              <w:rPr>
                <w:color w:val="000000"/>
              </w:rPr>
              <w:t>исполнено за 2015 год</w:t>
            </w:r>
          </w:p>
        </w:tc>
        <w:tc>
          <w:tcPr>
            <w:tcW w:w="454" w:type="pct"/>
            <w:vMerge w:val="restart"/>
            <w:shd w:val="clear" w:color="auto" w:fill="auto"/>
            <w:vAlign w:val="center"/>
            <w:hideMark/>
          </w:tcPr>
          <w:p w:rsidR="00D23D8F" w:rsidRPr="00D15C2D" w:rsidRDefault="00D23D8F" w:rsidP="00387F9C">
            <w:pPr>
              <w:jc w:val="center"/>
              <w:rPr>
                <w:color w:val="000000"/>
              </w:rPr>
            </w:pPr>
            <w:r w:rsidRPr="00D15C2D">
              <w:rPr>
                <w:color w:val="000000"/>
              </w:rPr>
              <w:t>исполнено за 2016 год</w:t>
            </w:r>
          </w:p>
        </w:tc>
        <w:tc>
          <w:tcPr>
            <w:tcW w:w="451" w:type="pct"/>
            <w:vMerge w:val="restart"/>
            <w:shd w:val="clear" w:color="auto" w:fill="auto"/>
            <w:vAlign w:val="center"/>
            <w:hideMark/>
          </w:tcPr>
          <w:p w:rsidR="00D23D8F" w:rsidRPr="00D15C2D" w:rsidRDefault="00D23D8F" w:rsidP="00387F9C">
            <w:pPr>
              <w:jc w:val="center"/>
              <w:rPr>
                <w:color w:val="000000"/>
              </w:rPr>
            </w:pPr>
            <w:r w:rsidRPr="00D15C2D">
              <w:rPr>
                <w:color w:val="000000"/>
              </w:rPr>
              <w:t>исполнено за 2017 год</w:t>
            </w:r>
          </w:p>
        </w:tc>
        <w:tc>
          <w:tcPr>
            <w:tcW w:w="450" w:type="pct"/>
            <w:vMerge w:val="restart"/>
            <w:shd w:val="clear" w:color="auto" w:fill="auto"/>
            <w:vAlign w:val="center"/>
            <w:hideMark/>
          </w:tcPr>
          <w:p w:rsidR="00D23D8F" w:rsidRPr="00D15C2D" w:rsidRDefault="00D23D8F" w:rsidP="00387F9C">
            <w:pPr>
              <w:jc w:val="center"/>
              <w:rPr>
                <w:color w:val="000000"/>
              </w:rPr>
            </w:pPr>
            <w:r w:rsidRPr="00D15C2D">
              <w:rPr>
                <w:color w:val="000000"/>
              </w:rPr>
              <w:t>исполнено за 2018 год</w:t>
            </w:r>
          </w:p>
        </w:tc>
        <w:tc>
          <w:tcPr>
            <w:tcW w:w="1378" w:type="pct"/>
            <w:gridSpan w:val="3"/>
            <w:shd w:val="clear" w:color="auto" w:fill="auto"/>
            <w:vAlign w:val="center"/>
            <w:hideMark/>
          </w:tcPr>
          <w:p w:rsidR="00D23D8F" w:rsidRPr="00D15C2D" w:rsidRDefault="00D23D8F" w:rsidP="00387F9C">
            <w:pPr>
              <w:jc w:val="center"/>
              <w:rPr>
                <w:color w:val="000000"/>
              </w:rPr>
            </w:pPr>
            <w:r w:rsidRPr="00D15C2D">
              <w:rPr>
                <w:color w:val="000000"/>
              </w:rPr>
              <w:t>2019 год</w:t>
            </w:r>
          </w:p>
        </w:tc>
        <w:tc>
          <w:tcPr>
            <w:tcW w:w="451" w:type="pct"/>
            <w:shd w:val="clear" w:color="auto" w:fill="auto"/>
            <w:vAlign w:val="bottom"/>
            <w:hideMark/>
          </w:tcPr>
          <w:p w:rsidR="00D23D8F" w:rsidRPr="00D15C2D" w:rsidRDefault="00D23D8F" w:rsidP="00387F9C">
            <w:pPr>
              <w:jc w:val="center"/>
              <w:rPr>
                <w:color w:val="000000"/>
              </w:rPr>
            </w:pPr>
            <w:r w:rsidRPr="00D15C2D">
              <w:rPr>
                <w:color w:val="000000"/>
              </w:rPr>
              <w:t>2020</w:t>
            </w:r>
          </w:p>
        </w:tc>
      </w:tr>
      <w:tr w:rsidR="00D23D8F" w:rsidRPr="00D15C2D" w:rsidTr="00387F9C">
        <w:trPr>
          <w:cantSplit/>
        </w:trPr>
        <w:tc>
          <w:tcPr>
            <w:tcW w:w="908" w:type="pct"/>
            <w:vMerge/>
            <w:vAlign w:val="center"/>
            <w:hideMark/>
          </w:tcPr>
          <w:p w:rsidR="00D23D8F" w:rsidRPr="00D15C2D" w:rsidRDefault="00D23D8F" w:rsidP="00387F9C">
            <w:pPr>
              <w:rPr>
                <w:color w:val="000000"/>
              </w:rPr>
            </w:pPr>
          </w:p>
        </w:tc>
        <w:tc>
          <w:tcPr>
            <w:tcW w:w="454" w:type="pct"/>
            <w:vMerge/>
            <w:vAlign w:val="center"/>
            <w:hideMark/>
          </w:tcPr>
          <w:p w:rsidR="00D23D8F" w:rsidRPr="00D15C2D" w:rsidRDefault="00D23D8F" w:rsidP="00387F9C">
            <w:pPr>
              <w:rPr>
                <w:color w:val="000000"/>
              </w:rPr>
            </w:pPr>
          </w:p>
        </w:tc>
        <w:tc>
          <w:tcPr>
            <w:tcW w:w="455" w:type="pct"/>
            <w:vMerge/>
            <w:vAlign w:val="center"/>
            <w:hideMark/>
          </w:tcPr>
          <w:p w:rsidR="00D23D8F" w:rsidRPr="00D15C2D" w:rsidRDefault="00D23D8F" w:rsidP="00387F9C">
            <w:pPr>
              <w:rPr>
                <w:color w:val="000000"/>
              </w:rPr>
            </w:pPr>
          </w:p>
        </w:tc>
        <w:tc>
          <w:tcPr>
            <w:tcW w:w="454" w:type="pct"/>
            <w:vMerge/>
            <w:vAlign w:val="center"/>
            <w:hideMark/>
          </w:tcPr>
          <w:p w:rsidR="00D23D8F" w:rsidRPr="00D15C2D" w:rsidRDefault="00D23D8F" w:rsidP="00387F9C">
            <w:pPr>
              <w:rPr>
                <w:color w:val="000000"/>
              </w:rPr>
            </w:pPr>
          </w:p>
        </w:tc>
        <w:tc>
          <w:tcPr>
            <w:tcW w:w="451" w:type="pct"/>
            <w:vMerge/>
            <w:vAlign w:val="center"/>
            <w:hideMark/>
          </w:tcPr>
          <w:p w:rsidR="00D23D8F" w:rsidRPr="00D15C2D" w:rsidRDefault="00D23D8F" w:rsidP="00387F9C">
            <w:pPr>
              <w:rPr>
                <w:color w:val="000000"/>
              </w:rPr>
            </w:pPr>
          </w:p>
        </w:tc>
        <w:tc>
          <w:tcPr>
            <w:tcW w:w="450" w:type="pct"/>
            <w:vMerge/>
            <w:vAlign w:val="center"/>
            <w:hideMark/>
          </w:tcPr>
          <w:p w:rsidR="00D23D8F" w:rsidRPr="00D15C2D" w:rsidRDefault="00D23D8F" w:rsidP="00387F9C">
            <w:pPr>
              <w:rPr>
                <w:color w:val="000000"/>
              </w:rPr>
            </w:pPr>
          </w:p>
        </w:tc>
        <w:tc>
          <w:tcPr>
            <w:tcW w:w="451" w:type="pct"/>
            <w:shd w:val="clear" w:color="auto" w:fill="auto"/>
            <w:vAlign w:val="center"/>
            <w:hideMark/>
          </w:tcPr>
          <w:p w:rsidR="00D23D8F" w:rsidRPr="00D15C2D" w:rsidRDefault="00D23D8F" w:rsidP="00387F9C">
            <w:pPr>
              <w:jc w:val="center"/>
              <w:rPr>
                <w:color w:val="000000"/>
              </w:rPr>
            </w:pPr>
            <w:r w:rsidRPr="00D15C2D">
              <w:rPr>
                <w:color w:val="000000"/>
              </w:rPr>
              <w:t>первоначально утвержденный план</w:t>
            </w:r>
          </w:p>
        </w:tc>
        <w:tc>
          <w:tcPr>
            <w:tcW w:w="451" w:type="pct"/>
            <w:shd w:val="clear" w:color="auto" w:fill="auto"/>
            <w:vAlign w:val="center"/>
            <w:hideMark/>
          </w:tcPr>
          <w:p w:rsidR="00D23D8F" w:rsidRPr="00D15C2D" w:rsidRDefault="00D23D8F" w:rsidP="00387F9C">
            <w:pPr>
              <w:jc w:val="center"/>
              <w:rPr>
                <w:color w:val="000000"/>
              </w:rPr>
            </w:pPr>
            <w:r w:rsidRPr="00D15C2D">
              <w:rPr>
                <w:color w:val="000000"/>
              </w:rPr>
              <w:t>уточненный план</w:t>
            </w:r>
          </w:p>
        </w:tc>
        <w:tc>
          <w:tcPr>
            <w:tcW w:w="476" w:type="pct"/>
            <w:shd w:val="clear" w:color="auto" w:fill="auto"/>
            <w:vAlign w:val="center"/>
            <w:hideMark/>
          </w:tcPr>
          <w:p w:rsidR="00D23D8F" w:rsidRPr="00D15C2D" w:rsidRDefault="00D23D8F" w:rsidP="00387F9C">
            <w:pPr>
              <w:jc w:val="center"/>
              <w:rPr>
                <w:color w:val="000000"/>
              </w:rPr>
            </w:pPr>
            <w:r w:rsidRPr="00D15C2D">
              <w:rPr>
                <w:color w:val="000000"/>
              </w:rPr>
              <w:t>исполнено</w:t>
            </w:r>
          </w:p>
        </w:tc>
        <w:tc>
          <w:tcPr>
            <w:tcW w:w="451" w:type="pct"/>
            <w:shd w:val="clear" w:color="auto" w:fill="auto"/>
            <w:vAlign w:val="bottom"/>
            <w:hideMark/>
          </w:tcPr>
          <w:p w:rsidR="00D23D8F" w:rsidRPr="00D15C2D" w:rsidRDefault="00D23D8F" w:rsidP="00387F9C">
            <w:pPr>
              <w:jc w:val="center"/>
              <w:rPr>
                <w:color w:val="000000"/>
              </w:rPr>
            </w:pPr>
            <w:r w:rsidRPr="00D15C2D">
              <w:rPr>
                <w:color w:val="000000"/>
              </w:rPr>
              <w:t>план</w:t>
            </w:r>
          </w:p>
        </w:tc>
      </w:tr>
      <w:tr w:rsidR="00D23D8F" w:rsidRPr="00D15C2D" w:rsidTr="00387F9C">
        <w:trPr>
          <w:cantSplit/>
        </w:trPr>
        <w:tc>
          <w:tcPr>
            <w:tcW w:w="908" w:type="pct"/>
            <w:tcBorders>
              <w:bottom w:val="single" w:sz="4" w:space="0" w:color="auto"/>
            </w:tcBorders>
            <w:shd w:val="clear" w:color="auto" w:fill="auto"/>
            <w:vAlign w:val="center"/>
            <w:hideMark/>
          </w:tcPr>
          <w:p w:rsidR="00D23D8F" w:rsidRPr="00D15C2D" w:rsidRDefault="00D23D8F" w:rsidP="00387F9C">
            <w:pPr>
              <w:rPr>
                <w:color w:val="000000"/>
              </w:rPr>
            </w:pPr>
            <w:r w:rsidRPr="00D15C2D">
              <w:rPr>
                <w:color w:val="000000"/>
              </w:rPr>
              <w:t>Доходы бюджета муниципального образования, млн. руб.</w:t>
            </w:r>
          </w:p>
        </w:tc>
        <w:tc>
          <w:tcPr>
            <w:tcW w:w="454" w:type="pct"/>
            <w:shd w:val="clear" w:color="auto" w:fill="auto"/>
            <w:vAlign w:val="center"/>
            <w:hideMark/>
          </w:tcPr>
          <w:p w:rsidR="00D23D8F" w:rsidRPr="00D15C2D" w:rsidRDefault="00D23D8F" w:rsidP="00387F9C">
            <w:pPr>
              <w:jc w:val="center"/>
              <w:rPr>
                <w:color w:val="000000"/>
              </w:rPr>
            </w:pPr>
            <w:r w:rsidRPr="00D15C2D">
              <w:rPr>
                <w:color w:val="000000"/>
              </w:rPr>
              <w:t>2 811,00</w:t>
            </w:r>
          </w:p>
        </w:tc>
        <w:tc>
          <w:tcPr>
            <w:tcW w:w="455" w:type="pct"/>
            <w:shd w:val="clear" w:color="auto" w:fill="auto"/>
            <w:vAlign w:val="center"/>
            <w:hideMark/>
          </w:tcPr>
          <w:p w:rsidR="00D23D8F" w:rsidRPr="00D15C2D" w:rsidRDefault="00D23D8F" w:rsidP="00387F9C">
            <w:pPr>
              <w:jc w:val="center"/>
              <w:rPr>
                <w:color w:val="000000"/>
              </w:rPr>
            </w:pPr>
            <w:r w:rsidRPr="00D15C2D">
              <w:rPr>
                <w:color w:val="000000"/>
              </w:rPr>
              <w:t>3 532,90</w:t>
            </w:r>
          </w:p>
        </w:tc>
        <w:tc>
          <w:tcPr>
            <w:tcW w:w="454" w:type="pct"/>
            <w:shd w:val="clear" w:color="auto" w:fill="auto"/>
            <w:vAlign w:val="center"/>
            <w:hideMark/>
          </w:tcPr>
          <w:p w:rsidR="00D23D8F" w:rsidRPr="00D15C2D" w:rsidRDefault="00D23D8F" w:rsidP="00387F9C">
            <w:pPr>
              <w:jc w:val="center"/>
              <w:rPr>
                <w:color w:val="000000"/>
              </w:rPr>
            </w:pPr>
            <w:r w:rsidRPr="00D15C2D">
              <w:rPr>
                <w:color w:val="000000"/>
              </w:rPr>
              <w:t>3 188,40</w:t>
            </w:r>
          </w:p>
        </w:tc>
        <w:tc>
          <w:tcPr>
            <w:tcW w:w="451" w:type="pct"/>
            <w:shd w:val="clear" w:color="auto" w:fill="auto"/>
            <w:vAlign w:val="center"/>
            <w:hideMark/>
          </w:tcPr>
          <w:p w:rsidR="00D23D8F" w:rsidRPr="00D15C2D" w:rsidRDefault="00D23D8F" w:rsidP="00387F9C">
            <w:pPr>
              <w:jc w:val="center"/>
              <w:rPr>
                <w:color w:val="000000"/>
              </w:rPr>
            </w:pPr>
            <w:r w:rsidRPr="00D15C2D">
              <w:rPr>
                <w:color w:val="000000"/>
              </w:rPr>
              <w:t>3 248,70</w:t>
            </w:r>
          </w:p>
        </w:tc>
        <w:tc>
          <w:tcPr>
            <w:tcW w:w="450" w:type="pct"/>
            <w:shd w:val="clear" w:color="auto" w:fill="auto"/>
            <w:vAlign w:val="center"/>
            <w:hideMark/>
          </w:tcPr>
          <w:p w:rsidR="00D23D8F" w:rsidRPr="00D15C2D" w:rsidRDefault="00D23D8F" w:rsidP="00387F9C">
            <w:pPr>
              <w:jc w:val="center"/>
              <w:rPr>
                <w:color w:val="000000"/>
              </w:rPr>
            </w:pPr>
            <w:r w:rsidRPr="00D15C2D">
              <w:rPr>
                <w:color w:val="000000"/>
              </w:rPr>
              <w:t>5 342,40</w:t>
            </w:r>
          </w:p>
        </w:tc>
        <w:tc>
          <w:tcPr>
            <w:tcW w:w="451" w:type="pct"/>
            <w:shd w:val="clear" w:color="auto" w:fill="auto"/>
            <w:vAlign w:val="center"/>
            <w:hideMark/>
          </w:tcPr>
          <w:p w:rsidR="00D23D8F" w:rsidRPr="00D15C2D" w:rsidRDefault="00D23D8F" w:rsidP="00387F9C">
            <w:pPr>
              <w:jc w:val="center"/>
              <w:rPr>
                <w:color w:val="000000"/>
              </w:rPr>
            </w:pPr>
            <w:r w:rsidRPr="00D15C2D">
              <w:rPr>
                <w:color w:val="000000"/>
              </w:rPr>
              <w:t>3 062,4</w:t>
            </w:r>
          </w:p>
        </w:tc>
        <w:tc>
          <w:tcPr>
            <w:tcW w:w="451" w:type="pct"/>
            <w:shd w:val="clear" w:color="auto" w:fill="auto"/>
            <w:vAlign w:val="center"/>
            <w:hideMark/>
          </w:tcPr>
          <w:p w:rsidR="00D23D8F" w:rsidRPr="00D15C2D" w:rsidRDefault="00D23D8F" w:rsidP="00387F9C">
            <w:pPr>
              <w:jc w:val="center"/>
              <w:rPr>
                <w:color w:val="000000"/>
              </w:rPr>
            </w:pPr>
            <w:r w:rsidRPr="00D15C2D">
              <w:rPr>
                <w:color w:val="000000"/>
              </w:rPr>
              <w:t>3 783,1</w:t>
            </w:r>
          </w:p>
        </w:tc>
        <w:tc>
          <w:tcPr>
            <w:tcW w:w="476" w:type="pct"/>
            <w:shd w:val="clear" w:color="auto" w:fill="auto"/>
            <w:vAlign w:val="center"/>
            <w:hideMark/>
          </w:tcPr>
          <w:p w:rsidR="00D23D8F" w:rsidRPr="00D15C2D" w:rsidRDefault="00D23D8F" w:rsidP="00387F9C">
            <w:pPr>
              <w:jc w:val="center"/>
              <w:rPr>
                <w:color w:val="000000"/>
              </w:rPr>
            </w:pPr>
            <w:r w:rsidRPr="00D15C2D">
              <w:rPr>
                <w:color w:val="000000"/>
              </w:rPr>
              <w:t>2 996,3</w:t>
            </w:r>
          </w:p>
        </w:tc>
        <w:tc>
          <w:tcPr>
            <w:tcW w:w="451" w:type="pct"/>
            <w:shd w:val="clear" w:color="auto" w:fill="auto"/>
            <w:vAlign w:val="center"/>
            <w:hideMark/>
          </w:tcPr>
          <w:p w:rsidR="00D23D8F" w:rsidRPr="00D15C2D" w:rsidRDefault="00D23D8F" w:rsidP="00387F9C">
            <w:pPr>
              <w:jc w:val="center"/>
              <w:rPr>
                <w:color w:val="000000"/>
              </w:rPr>
            </w:pPr>
            <w:r w:rsidRPr="00D15C2D">
              <w:rPr>
                <w:color w:val="000000"/>
              </w:rPr>
              <w:t>3 601,6</w:t>
            </w:r>
          </w:p>
        </w:tc>
      </w:tr>
      <w:tr w:rsidR="00D23D8F" w:rsidRPr="00D15C2D" w:rsidTr="00387F9C">
        <w:trPr>
          <w:cantSplit/>
        </w:trPr>
        <w:tc>
          <w:tcPr>
            <w:tcW w:w="908" w:type="pct"/>
            <w:tcBorders>
              <w:top w:val="single" w:sz="4" w:space="0" w:color="auto"/>
              <w:left w:val="single" w:sz="4" w:space="0" w:color="auto"/>
              <w:bottom w:val="nil"/>
              <w:right w:val="single" w:sz="4" w:space="0" w:color="auto"/>
            </w:tcBorders>
            <w:shd w:val="clear" w:color="auto" w:fill="auto"/>
            <w:vAlign w:val="center"/>
            <w:hideMark/>
          </w:tcPr>
          <w:p w:rsidR="00D23D8F" w:rsidRPr="00D15C2D" w:rsidRDefault="00D23D8F" w:rsidP="00387F9C">
            <w:pPr>
              <w:rPr>
                <w:color w:val="000000"/>
              </w:rPr>
            </w:pPr>
            <w:r w:rsidRPr="00D15C2D">
              <w:rPr>
                <w:color w:val="000000"/>
              </w:rPr>
              <w:t>Расходы бюджета муниципального образования, млн. руб.</w:t>
            </w:r>
          </w:p>
        </w:tc>
        <w:tc>
          <w:tcPr>
            <w:tcW w:w="454" w:type="pct"/>
            <w:vMerge w:val="restart"/>
            <w:tcBorders>
              <w:left w:val="single" w:sz="4" w:space="0" w:color="auto"/>
            </w:tcBorders>
            <w:shd w:val="clear" w:color="auto" w:fill="auto"/>
            <w:vAlign w:val="center"/>
            <w:hideMark/>
          </w:tcPr>
          <w:p w:rsidR="00D23D8F" w:rsidRPr="00D15C2D" w:rsidRDefault="00D23D8F" w:rsidP="00387F9C">
            <w:pPr>
              <w:jc w:val="center"/>
              <w:rPr>
                <w:color w:val="000000"/>
              </w:rPr>
            </w:pPr>
            <w:r w:rsidRPr="00D15C2D">
              <w:rPr>
                <w:color w:val="000000"/>
              </w:rPr>
              <w:t>3 334,30</w:t>
            </w:r>
          </w:p>
        </w:tc>
        <w:tc>
          <w:tcPr>
            <w:tcW w:w="455" w:type="pct"/>
            <w:vMerge w:val="restart"/>
            <w:shd w:val="clear" w:color="auto" w:fill="auto"/>
            <w:vAlign w:val="center"/>
            <w:hideMark/>
          </w:tcPr>
          <w:p w:rsidR="00D23D8F" w:rsidRPr="00D15C2D" w:rsidRDefault="00D23D8F" w:rsidP="00387F9C">
            <w:pPr>
              <w:jc w:val="center"/>
              <w:rPr>
                <w:color w:val="000000"/>
              </w:rPr>
            </w:pPr>
            <w:r w:rsidRPr="00D15C2D">
              <w:rPr>
                <w:color w:val="000000"/>
              </w:rPr>
              <w:t>3 637,80</w:t>
            </w:r>
          </w:p>
        </w:tc>
        <w:tc>
          <w:tcPr>
            <w:tcW w:w="454" w:type="pct"/>
            <w:vMerge w:val="restart"/>
            <w:shd w:val="clear" w:color="auto" w:fill="auto"/>
            <w:vAlign w:val="center"/>
            <w:hideMark/>
          </w:tcPr>
          <w:p w:rsidR="00D23D8F" w:rsidRPr="00D15C2D" w:rsidRDefault="00D23D8F" w:rsidP="00387F9C">
            <w:pPr>
              <w:jc w:val="center"/>
              <w:rPr>
                <w:color w:val="000000"/>
              </w:rPr>
            </w:pPr>
            <w:r w:rsidRPr="00D15C2D">
              <w:rPr>
                <w:color w:val="000000"/>
              </w:rPr>
              <w:t>3 209,10</w:t>
            </w:r>
          </w:p>
        </w:tc>
        <w:tc>
          <w:tcPr>
            <w:tcW w:w="451" w:type="pct"/>
            <w:vMerge w:val="restart"/>
            <w:shd w:val="clear" w:color="auto" w:fill="auto"/>
            <w:vAlign w:val="center"/>
            <w:hideMark/>
          </w:tcPr>
          <w:p w:rsidR="00D23D8F" w:rsidRPr="00D15C2D" w:rsidRDefault="00D23D8F" w:rsidP="00387F9C">
            <w:pPr>
              <w:jc w:val="center"/>
              <w:rPr>
                <w:color w:val="000000"/>
              </w:rPr>
            </w:pPr>
            <w:r w:rsidRPr="00D15C2D">
              <w:rPr>
                <w:color w:val="000000"/>
              </w:rPr>
              <w:t>3 078,10</w:t>
            </w:r>
          </w:p>
        </w:tc>
        <w:tc>
          <w:tcPr>
            <w:tcW w:w="450" w:type="pct"/>
            <w:vMerge w:val="restart"/>
            <w:shd w:val="clear" w:color="auto" w:fill="auto"/>
            <w:vAlign w:val="center"/>
            <w:hideMark/>
          </w:tcPr>
          <w:p w:rsidR="00D23D8F" w:rsidRPr="00D15C2D" w:rsidRDefault="00D23D8F" w:rsidP="00387F9C">
            <w:pPr>
              <w:jc w:val="center"/>
              <w:rPr>
                <w:color w:val="000000"/>
              </w:rPr>
            </w:pPr>
            <w:r w:rsidRPr="00D15C2D">
              <w:rPr>
                <w:color w:val="000000"/>
              </w:rPr>
              <w:t>3 963,60</w:t>
            </w:r>
          </w:p>
        </w:tc>
        <w:tc>
          <w:tcPr>
            <w:tcW w:w="451" w:type="pct"/>
            <w:vMerge w:val="restart"/>
            <w:shd w:val="clear" w:color="auto" w:fill="auto"/>
            <w:vAlign w:val="center"/>
            <w:hideMark/>
          </w:tcPr>
          <w:p w:rsidR="00D23D8F" w:rsidRPr="00D15C2D" w:rsidRDefault="00D23D8F" w:rsidP="00387F9C">
            <w:pPr>
              <w:jc w:val="center"/>
              <w:rPr>
                <w:color w:val="000000"/>
              </w:rPr>
            </w:pPr>
            <w:r w:rsidRPr="00D15C2D">
              <w:rPr>
                <w:color w:val="000000"/>
              </w:rPr>
              <w:t>3 112,2</w:t>
            </w:r>
          </w:p>
        </w:tc>
        <w:tc>
          <w:tcPr>
            <w:tcW w:w="451" w:type="pct"/>
            <w:vMerge w:val="restart"/>
            <w:shd w:val="clear" w:color="auto" w:fill="auto"/>
            <w:vAlign w:val="center"/>
            <w:hideMark/>
          </w:tcPr>
          <w:p w:rsidR="00D23D8F" w:rsidRPr="00D15C2D" w:rsidRDefault="00D23D8F" w:rsidP="00387F9C">
            <w:pPr>
              <w:jc w:val="center"/>
              <w:rPr>
                <w:color w:val="000000"/>
              </w:rPr>
            </w:pPr>
            <w:r w:rsidRPr="00D15C2D">
              <w:rPr>
                <w:color w:val="000000"/>
              </w:rPr>
              <w:t>5 562,3</w:t>
            </w:r>
          </w:p>
        </w:tc>
        <w:tc>
          <w:tcPr>
            <w:tcW w:w="476" w:type="pct"/>
            <w:vMerge w:val="restart"/>
            <w:shd w:val="clear" w:color="auto" w:fill="auto"/>
            <w:vAlign w:val="center"/>
            <w:hideMark/>
          </w:tcPr>
          <w:p w:rsidR="00D23D8F" w:rsidRPr="00D15C2D" w:rsidRDefault="00D23D8F" w:rsidP="00387F9C">
            <w:pPr>
              <w:jc w:val="center"/>
              <w:rPr>
                <w:color w:val="000000"/>
              </w:rPr>
            </w:pPr>
            <w:r w:rsidRPr="00D15C2D">
              <w:rPr>
                <w:color w:val="000000"/>
              </w:rPr>
              <w:t>4 047,6</w:t>
            </w:r>
          </w:p>
        </w:tc>
        <w:tc>
          <w:tcPr>
            <w:tcW w:w="451" w:type="pct"/>
            <w:vMerge w:val="restart"/>
            <w:shd w:val="clear" w:color="auto" w:fill="auto"/>
            <w:vAlign w:val="center"/>
            <w:hideMark/>
          </w:tcPr>
          <w:p w:rsidR="00D23D8F" w:rsidRPr="00D15C2D" w:rsidRDefault="00D23D8F" w:rsidP="00387F9C">
            <w:pPr>
              <w:jc w:val="center"/>
              <w:rPr>
                <w:color w:val="000000"/>
              </w:rPr>
            </w:pPr>
            <w:r w:rsidRPr="00D15C2D">
              <w:rPr>
                <w:color w:val="000000"/>
              </w:rPr>
              <w:t>3 665,8</w:t>
            </w:r>
          </w:p>
        </w:tc>
      </w:tr>
      <w:tr w:rsidR="00D23D8F" w:rsidRPr="00D15C2D" w:rsidTr="00387F9C">
        <w:trPr>
          <w:cantSplit/>
        </w:trPr>
        <w:tc>
          <w:tcPr>
            <w:tcW w:w="908" w:type="pct"/>
            <w:tcBorders>
              <w:top w:val="nil"/>
              <w:left w:val="single" w:sz="4" w:space="0" w:color="auto"/>
              <w:bottom w:val="single" w:sz="4" w:space="0" w:color="auto"/>
              <w:right w:val="single" w:sz="4" w:space="0" w:color="auto"/>
            </w:tcBorders>
            <w:shd w:val="clear" w:color="auto" w:fill="auto"/>
            <w:vAlign w:val="center"/>
            <w:hideMark/>
          </w:tcPr>
          <w:p w:rsidR="00D23D8F" w:rsidRPr="00D15C2D" w:rsidRDefault="00D23D8F" w:rsidP="00387F9C">
            <w:pPr>
              <w:rPr>
                <w:color w:val="000000"/>
              </w:rPr>
            </w:pPr>
            <w:r w:rsidRPr="00D15C2D">
              <w:rPr>
                <w:color w:val="000000"/>
              </w:rPr>
              <w:t>из них:</w:t>
            </w:r>
          </w:p>
        </w:tc>
        <w:tc>
          <w:tcPr>
            <w:tcW w:w="454" w:type="pct"/>
            <w:vMerge/>
            <w:tcBorders>
              <w:left w:val="single" w:sz="4" w:space="0" w:color="auto"/>
            </w:tcBorders>
            <w:vAlign w:val="center"/>
            <w:hideMark/>
          </w:tcPr>
          <w:p w:rsidR="00D23D8F" w:rsidRPr="00D15C2D" w:rsidRDefault="00D23D8F" w:rsidP="00387F9C">
            <w:pPr>
              <w:rPr>
                <w:color w:val="000000"/>
              </w:rPr>
            </w:pPr>
          </w:p>
        </w:tc>
        <w:tc>
          <w:tcPr>
            <w:tcW w:w="455" w:type="pct"/>
            <w:vMerge/>
            <w:vAlign w:val="center"/>
            <w:hideMark/>
          </w:tcPr>
          <w:p w:rsidR="00D23D8F" w:rsidRPr="00D15C2D" w:rsidRDefault="00D23D8F" w:rsidP="00387F9C">
            <w:pPr>
              <w:rPr>
                <w:color w:val="000000"/>
              </w:rPr>
            </w:pPr>
          </w:p>
        </w:tc>
        <w:tc>
          <w:tcPr>
            <w:tcW w:w="454" w:type="pct"/>
            <w:vMerge/>
            <w:vAlign w:val="center"/>
            <w:hideMark/>
          </w:tcPr>
          <w:p w:rsidR="00D23D8F" w:rsidRPr="00D15C2D" w:rsidRDefault="00D23D8F" w:rsidP="00387F9C">
            <w:pPr>
              <w:rPr>
                <w:color w:val="000000"/>
              </w:rPr>
            </w:pPr>
          </w:p>
        </w:tc>
        <w:tc>
          <w:tcPr>
            <w:tcW w:w="451" w:type="pct"/>
            <w:vMerge/>
            <w:vAlign w:val="center"/>
            <w:hideMark/>
          </w:tcPr>
          <w:p w:rsidR="00D23D8F" w:rsidRPr="00D15C2D" w:rsidRDefault="00D23D8F" w:rsidP="00387F9C">
            <w:pPr>
              <w:rPr>
                <w:color w:val="000000"/>
              </w:rPr>
            </w:pPr>
          </w:p>
        </w:tc>
        <w:tc>
          <w:tcPr>
            <w:tcW w:w="450" w:type="pct"/>
            <w:vMerge/>
            <w:vAlign w:val="center"/>
            <w:hideMark/>
          </w:tcPr>
          <w:p w:rsidR="00D23D8F" w:rsidRPr="00D15C2D" w:rsidRDefault="00D23D8F" w:rsidP="00387F9C">
            <w:pPr>
              <w:rPr>
                <w:color w:val="000000"/>
              </w:rPr>
            </w:pPr>
          </w:p>
        </w:tc>
        <w:tc>
          <w:tcPr>
            <w:tcW w:w="451" w:type="pct"/>
            <w:vMerge/>
            <w:vAlign w:val="center"/>
            <w:hideMark/>
          </w:tcPr>
          <w:p w:rsidR="00D23D8F" w:rsidRPr="00D15C2D" w:rsidRDefault="00D23D8F" w:rsidP="00387F9C">
            <w:pPr>
              <w:rPr>
                <w:color w:val="000000"/>
              </w:rPr>
            </w:pPr>
          </w:p>
        </w:tc>
        <w:tc>
          <w:tcPr>
            <w:tcW w:w="451" w:type="pct"/>
            <w:vMerge/>
            <w:vAlign w:val="center"/>
            <w:hideMark/>
          </w:tcPr>
          <w:p w:rsidR="00D23D8F" w:rsidRPr="00D15C2D" w:rsidRDefault="00D23D8F" w:rsidP="00387F9C">
            <w:pPr>
              <w:jc w:val="center"/>
              <w:rPr>
                <w:color w:val="000000"/>
              </w:rPr>
            </w:pPr>
          </w:p>
        </w:tc>
        <w:tc>
          <w:tcPr>
            <w:tcW w:w="476" w:type="pct"/>
            <w:vMerge/>
            <w:vAlign w:val="center"/>
            <w:hideMark/>
          </w:tcPr>
          <w:p w:rsidR="00D23D8F" w:rsidRPr="00D15C2D" w:rsidRDefault="00D23D8F" w:rsidP="00387F9C">
            <w:pPr>
              <w:jc w:val="center"/>
              <w:rPr>
                <w:color w:val="000000"/>
              </w:rPr>
            </w:pPr>
          </w:p>
        </w:tc>
        <w:tc>
          <w:tcPr>
            <w:tcW w:w="451" w:type="pct"/>
            <w:vMerge/>
            <w:vAlign w:val="center"/>
            <w:hideMark/>
          </w:tcPr>
          <w:p w:rsidR="00D23D8F" w:rsidRPr="00D15C2D" w:rsidRDefault="00D23D8F" w:rsidP="00387F9C">
            <w:pPr>
              <w:rPr>
                <w:color w:val="000000"/>
              </w:rPr>
            </w:pPr>
          </w:p>
        </w:tc>
      </w:tr>
      <w:tr w:rsidR="00D23D8F" w:rsidRPr="00D15C2D" w:rsidTr="00387F9C">
        <w:trPr>
          <w:cantSplit/>
        </w:trPr>
        <w:tc>
          <w:tcPr>
            <w:tcW w:w="908" w:type="pct"/>
            <w:tcBorders>
              <w:top w:val="single" w:sz="4" w:space="0" w:color="auto"/>
            </w:tcBorders>
            <w:shd w:val="clear" w:color="auto" w:fill="auto"/>
            <w:vAlign w:val="center"/>
            <w:hideMark/>
          </w:tcPr>
          <w:p w:rsidR="00D23D8F" w:rsidRPr="00D15C2D" w:rsidRDefault="00D23D8F" w:rsidP="00387F9C">
            <w:pPr>
              <w:rPr>
                <w:color w:val="000000"/>
              </w:rPr>
            </w:pPr>
            <w:r w:rsidRPr="00D15C2D">
              <w:rPr>
                <w:color w:val="000000"/>
              </w:rPr>
              <w:t>Расход на социальную сферу, млн. руб.</w:t>
            </w:r>
          </w:p>
        </w:tc>
        <w:tc>
          <w:tcPr>
            <w:tcW w:w="454" w:type="pct"/>
            <w:shd w:val="clear" w:color="auto" w:fill="auto"/>
            <w:vAlign w:val="center"/>
            <w:hideMark/>
          </w:tcPr>
          <w:p w:rsidR="00D23D8F" w:rsidRPr="00D15C2D" w:rsidRDefault="00D23D8F" w:rsidP="00387F9C">
            <w:pPr>
              <w:jc w:val="center"/>
              <w:rPr>
                <w:color w:val="000000"/>
              </w:rPr>
            </w:pPr>
            <w:r w:rsidRPr="00D15C2D">
              <w:rPr>
                <w:color w:val="000000"/>
              </w:rPr>
              <w:t>1 686,70</w:t>
            </w:r>
          </w:p>
        </w:tc>
        <w:tc>
          <w:tcPr>
            <w:tcW w:w="455" w:type="pct"/>
            <w:shd w:val="clear" w:color="auto" w:fill="auto"/>
            <w:vAlign w:val="center"/>
            <w:hideMark/>
          </w:tcPr>
          <w:p w:rsidR="00D23D8F" w:rsidRPr="00D15C2D" w:rsidRDefault="00D23D8F" w:rsidP="00387F9C">
            <w:pPr>
              <w:jc w:val="center"/>
              <w:rPr>
                <w:color w:val="000000"/>
              </w:rPr>
            </w:pPr>
            <w:r w:rsidRPr="00D15C2D">
              <w:rPr>
                <w:color w:val="000000"/>
              </w:rPr>
              <w:t>1 852,00</w:t>
            </w:r>
          </w:p>
        </w:tc>
        <w:tc>
          <w:tcPr>
            <w:tcW w:w="454" w:type="pct"/>
            <w:shd w:val="clear" w:color="auto" w:fill="auto"/>
            <w:vAlign w:val="center"/>
            <w:hideMark/>
          </w:tcPr>
          <w:p w:rsidR="00D23D8F" w:rsidRPr="00D15C2D" w:rsidRDefault="00D23D8F" w:rsidP="00387F9C">
            <w:pPr>
              <w:jc w:val="center"/>
              <w:rPr>
                <w:color w:val="000000"/>
              </w:rPr>
            </w:pPr>
            <w:r w:rsidRPr="00D15C2D">
              <w:rPr>
                <w:color w:val="000000"/>
              </w:rPr>
              <w:t>1 949,30</w:t>
            </w:r>
          </w:p>
        </w:tc>
        <w:tc>
          <w:tcPr>
            <w:tcW w:w="451" w:type="pct"/>
            <w:shd w:val="clear" w:color="auto" w:fill="auto"/>
            <w:vAlign w:val="center"/>
            <w:hideMark/>
          </w:tcPr>
          <w:p w:rsidR="00D23D8F" w:rsidRPr="00D15C2D" w:rsidRDefault="00D23D8F" w:rsidP="00387F9C">
            <w:pPr>
              <w:jc w:val="center"/>
              <w:rPr>
                <w:color w:val="000000"/>
              </w:rPr>
            </w:pPr>
            <w:r w:rsidRPr="00D15C2D">
              <w:rPr>
                <w:color w:val="000000"/>
              </w:rPr>
              <w:t>1 662,80</w:t>
            </w:r>
          </w:p>
        </w:tc>
        <w:tc>
          <w:tcPr>
            <w:tcW w:w="450" w:type="pct"/>
            <w:shd w:val="clear" w:color="auto" w:fill="auto"/>
            <w:vAlign w:val="center"/>
            <w:hideMark/>
          </w:tcPr>
          <w:p w:rsidR="00D23D8F" w:rsidRPr="00D15C2D" w:rsidRDefault="00D23D8F" w:rsidP="00387F9C">
            <w:pPr>
              <w:jc w:val="center"/>
              <w:rPr>
                <w:color w:val="000000"/>
              </w:rPr>
            </w:pPr>
            <w:r w:rsidRPr="00D15C2D">
              <w:rPr>
                <w:color w:val="000000"/>
              </w:rPr>
              <w:t>1 952,10</w:t>
            </w:r>
          </w:p>
        </w:tc>
        <w:tc>
          <w:tcPr>
            <w:tcW w:w="451" w:type="pct"/>
            <w:shd w:val="clear" w:color="auto" w:fill="auto"/>
            <w:vAlign w:val="center"/>
            <w:hideMark/>
          </w:tcPr>
          <w:p w:rsidR="00D23D8F" w:rsidRPr="00D15C2D" w:rsidRDefault="00D23D8F" w:rsidP="00387F9C">
            <w:pPr>
              <w:jc w:val="center"/>
              <w:rPr>
                <w:color w:val="000000"/>
              </w:rPr>
            </w:pPr>
            <w:r w:rsidRPr="00D15C2D">
              <w:rPr>
                <w:color w:val="000000"/>
              </w:rPr>
              <w:t>2 067,7</w:t>
            </w:r>
          </w:p>
        </w:tc>
        <w:tc>
          <w:tcPr>
            <w:tcW w:w="451" w:type="pct"/>
            <w:shd w:val="clear" w:color="auto" w:fill="auto"/>
            <w:vAlign w:val="center"/>
            <w:hideMark/>
          </w:tcPr>
          <w:p w:rsidR="00D23D8F" w:rsidRPr="00D15C2D" w:rsidRDefault="00D23D8F" w:rsidP="00387F9C">
            <w:pPr>
              <w:jc w:val="center"/>
              <w:rPr>
                <w:color w:val="000000"/>
              </w:rPr>
            </w:pPr>
            <w:r w:rsidRPr="00D15C2D">
              <w:rPr>
                <w:color w:val="000000"/>
              </w:rPr>
              <w:t>2 902,7</w:t>
            </w:r>
          </w:p>
        </w:tc>
        <w:tc>
          <w:tcPr>
            <w:tcW w:w="476" w:type="pct"/>
            <w:shd w:val="clear" w:color="auto" w:fill="auto"/>
            <w:vAlign w:val="center"/>
            <w:hideMark/>
          </w:tcPr>
          <w:p w:rsidR="00D23D8F" w:rsidRPr="00D15C2D" w:rsidRDefault="00D23D8F" w:rsidP="00387F9C">
            <w:pPr>
              <w:jc w:val="center"/>
              <w:rPr>
                <w:color w:val="000000"/>
              </w:rPr>
            </w:pPr>
            <w:r w:rsidRPr="00D15C2D">
              <w:rPr>
                <w:color w:val="000000"/>
              </w:rPr>
              <w:t>2 340,4</w:t>
            </w:r>
          </w:p>
        </w:tc>
        <w:tc>
          <w:tcPr>
            <w:tcW w:w="451" w:type="pct"/>
            <w:shd w:val="clear" w:color="000000" w:fill="FFFFFF"/>
            <w:vAlign w:val="center"/>
            <w:hideMark/>
          </w:tcPr>
          <w:p w:rsidR="00D23D8F" w:rsidRPr="00D15C2D" w:rsidRDefault="00D23D8F" w:rsidP="00387F9C">
            <w:pPr>
              <w:jc w:val="center"/>
              <w:rPr>
                <w:color w:val="000000"/>
              </w:rPr>
            </w:pPr>
            <w:r w:rsidRPr="00D15C2D">
              <w:rPr>
                <w:color w:val="000000"/>
              </w:rPr>
              <w:t>2 262,7</w:t>
            </w:r>
          </w:p>
        </w:tc>
      </w:tr>
      <w:tr w:rsidR="00D23D8F" w:rsidRPr="00D15C2D" w:rsidTr="00387F9C">
        <w:trPr>
          <w:cantSplit/>
        </w:trPr>
        <w:tc>
          <w:tcPr>
            <w:tcW w:w="908" w:type="pct"/>
            <w:shd w:val="clear" w:color="auto" w:fill="auto"/>
            <w:vAlign w:val="center"/>
            <w:hideMark/>
          </w:tcPr>
          <w:p w:rsidR="00D23D8F" w:rsidRPr="00D15C2D" w:rsidRDefault="00D23D8F" w:rsidP="00387F9C">
            <w:pPr>
              <w:rPr>
                <w:color w:val="000000"/>
              </w:rPr>
            </w:pPr>
            <w:r w:rsidRPr="00D15C2D">
              <w:rPr>
                <w:color w:val="000000"/>
              </w:rPr>
              <w:t>Доля расходов на социальную сферу в общей сумме расходов, в процентах</w:t>
            </w:r>
          </w:p>
        </w:tc>
        <w:tc>
          <w:tcPr>
            <w:tcW w:w="454" w:type="pct"/>
            <w:shd w:val="clear" w:color="auto" w:fill="auto"/>
            <w:vAlign w:val="center"/>
            <w:hideMark/>
          </w:tcPr>
          <w:p w:rsidR="00D23D8F" w:rsidRPr="00D15C2D" w:rsidRDefault="00D23D8F" w:rsidP="00387F9C">
            <w:pPr>
              <w:jc w:val="center"/>
              <w:rPr>
                <w:color w:val="000000"/>
              </w:rPr>
            </w:pPr>
            <w:r w:rsidRPr="00D15C2D">
              <w:rPr>
                <w:color w:val="000000"/>
              </w:rPr>
              <w:t>50,6</w:t>
            </w:r>
          </w:p>
        </w:tc>
        <w:tc>
          <w:tcPr>
            <w:tcW w:w="455" w:type="pct"/>
            <w:shd w:val="clear" w:color="auto" w:fill="auto"/>
            <w:vAlign w:val="center"/>
            <w:hideMark/>
          </w:tcPr>
          <w:p w:rsidR="00D23D8F" w:rsidRPr="00D15C2D" w:rsidRDefault="00D23D8F" w:rsidP="00387F9C">
            <w:pPr>
              <w:jc w:val="center"/>
              <w:rPr>
                <w:color w:val="000000"/>
              </w:rPr>
            </w:pPr>
            <w:r w:rsidRPr="00D15C2D">
              <w:rPr>
                <w:color w:val="000000"/>
              </w:rPr>
              <w:t>50,9</w:t>
            </w:r>
          </w:p>
        </w:tc>
        <w:tc>
          <w:tcPr>
            <w:tcW w:w="454" w:type="pct"/>
            <w:shd w:val="clear" w:color="auto" w:fill="auto"/>
            <w:vAlign w:val="center"/>
            <w:hideMark/>
          </w:tcPr>
          <w:p w:rsidR="00D23D8F" w:rsidRPr="00D15C2D" w:rsidRDefault="00D23D8F" w:rsidP="00387F9C">
            <w:pPr>
              <w:jc w:val="center"/>
              <w:rPr>
                <w:color w:val="000000"/>
              </w:rPr>
            </w:pPr>
            <w:r w:rsidRPr="00D15C2D">
              <w:rPr>
                <w:color w:val="000000"/>
              </w:rPr>
              <w:t>60,7</w:t>
            </w:r>
          </w:p>
        </w:tc>
        <w:tc>
          <w:tcPr>
            <w:tcW w:w="451" w:type="pct"/>
            <w:shd w:val="clear" w:color="auto" w:fill="auto"/>
            <w:vAlign w:val="center"/>
            <w:hideMark/>
          </w:tcPr>
          <w:p w:rsidR="00D23D8F" w:rsidRPr="00D15C2D" w:rsidRDefault="00D23D8F" w:rsidP="00387F9C">
            <w:pPr>
              <w:jc w:val="center"/>
              <w:rPr>
                <w:color w:val="000000"/>
              </w:rPr>
            </w:pPr>
            <w:r w:rsidRPr="00D15C2D">
              <w:rPr>
                <w:color w:val="000000"/>
              </w:rPr>
              <w:t>54</w:t>
            </w:r>
          </w:p>
        </w:tc>
        <w:tc>
          <w:tcPr>
            <w:tcW w:w="450" w:type="pct"/>
            <w:shd w:val="clear" w:color="auto" w:fill="auto"/>
            <w:vAlign w:val="center"/>
            <w:hideMark/>
          </w:tcPr>
          <w:p w:rsidR="00D23D8F" w:rsidRPr="00D15C2D" w:rsidRDefault="00D23D8F" w:rsidP="00387F9C">
            <w:pPr>
              <w:jc w:val="center"/>
              <w:rPr>
                <w:color w:val="000000"/>
              </w:rPr>
            </w:pPr>
            <w:r w:rsidRPr="00D15C2D">
              <w:rPr>
                <w:color w:val="000000"/>
              </w:rPr>
              <w:t>49,3</w:t>
            </w:r>
          </w:p>
        </w:tc>
        <w:tc>
          <w:tcPr>
            <w:tcW w:w="451" w:type="pct"/>
            <w:shd w:val="clear" w:color="auto" w:fill="auto"/>
            <w:vAlign w:val="center"/>
            <w:hideMark/>
          </w:tcPr>
          <w:p w:rsidR="00D23D8F" w:rsidRPr="00D15C2D" w:rsidRDefault="00D23D8F" w:rsidP="00387F9C">
            <w:pPr>
              <w:jc w:val="center"/>
              <w:rPr>
                <w:color w:val="000000"/>
              </w:rPr>
            </w:pPr>
            <w:r w:rsidRPr="00D15C2D">
              <w:rPr>
                <w:color w:val="000000"/>
              </w:rPr>
              <w:t>66,4</w:t>
            </w:r>
          </w:p>
        </w:tc>
        <w:tc>
          <w:tcPr>
            <w:tcW w:w="451" w:type="pct"/>
            <w:shd w:val="clear" w:color="auto" w:fill="auto"/>
            <w:vAlign w:val="center"/>
            <w:hideMark/>
          </w:tcPr>
          <w:p w:rsidR="00D23D8F" w:rsidRPr="00D15C2D" w:rsidRDefault="00D23D8F" w:rsidP="00387F9C">
            <w:pPr>
              <w:jc w:val="center"/>
              <w:rPr>
                <w:color w:val="000000"/>
              </w:rPr>
            </w:pPr>
            <w:r w:rsidRPr="00D15C2D">
              <w:rPr>
                <w:color w:val="000000"/>
              </w:rPr>
              <w:t>52,2</w:t>
            </w:r>
          </w:p>
        </w:tc>
        <w:tc>
          <w:tcPr>
            <w:tcW w:w="476" w:type="pct"/>
            <w:shd w:val="clear" w:color="auto" w:fill="auto"/>
            <w:vAlign w:val="center"/>
            <w:hideMark/>
          </w:tcPr>
          <w:p w:rsidR="00D23D8F" w:rsidRPr="00D15C2D" w:rsidRDefault="00D23D8F" w:rsidP="00387F9C">
            <w:pPr>
              <w:jc w:val="center"/>
              <w:rPr>
                <w:color w:val="000000"/>
              </w:rPr>
            </w:pPr>
            <w:r w:rsidRPr="00D15C2D">
              <w:rPr>
                <w:color w:val="000000"/>
              </w:rPr>
              <w:t>57,8</w:t>
            </w:r>
          </w:p>
        </w:tc>
        <w:tc>
          <w:tcPr>
            <w:tcW w:w="451" w:type="pct"/>
            <w:shd w:val="clear" w:color="auto" w:fill="auto"/>
            <w:vAlign w:val="center"/>
            <w:hideMark/>
          </w:tcPr>
          <w:p w:rsidR="00D23D8F" w:rsidRPr="00D15C2D" w:rsidRDefault="00D23D8F" w:rsidP="00387F9C">
            <w:pPr>
              <w:jc w:val="center"/>
              <w:rPr>
                <w:color w:val="000000"/>
              </w:rPr>
            </w:pPr>
            <w:r w:rsidRPr="00D15C2D">
              <w:rPr>
                <w:color w:val="000000"/>
              </w:rPr>
              <w:t>61,7</w:t>
            </w:r>
          </w:p>
        </w:tc>
      </w:tr>
      <w:tr w:rsidR="00D23D8F" w:rsidRPr="00D15C2D" w:rsidTr="00387F9C">
        <w:trPr>
          <w:cantSplit/>
        </w:trPr>
        <w:tc>
          <w:tcPr>
            <w:tcW w:w="908" w:type="pct"/>
            <w:shd w:val="clear" w:color="auto" w:fill="auto"/>
            <w:vAlign w:val="center"/>
            <w:hideMark/>
          </w:tcPr>
          <w:p w:rsidR="00D23D8F" w:rsidRPr="00D15C2D" w:rsidRDefault="00D23D8F" w:rsidP="00387F9C">
            <w:pPr>
              <w:rPr>
                <w:color w:val="000000"/>
              </w:rPr>
            </w:pPr>
            <w:r w:rsidRPr="00D15C2D">
              <w:rPr>
                <w:color w:val="000000"/>
              </w:rPr>
              <w:t>Расходы на поддержку отраслей экономики, млн. руб.</w:t>
            </w:r>
          </w:p>
        </w:tc>
        <w:tc>
          <w:tcPr>
            <w:tcW w:w="454" w:type="pct"/>
            <w:shd w:val="clear" w:color="auto" w:fill="auto"/>
            <w:vAlign w:val="center"/>
            <w:hideMark/>
          </w:tcPr>
          <w:p w:rsidR="00D23D8F" w:rsidRPr="00D15C2D" w:rsidRDefault="00D23D8F" w:rsidP="00387F9C">
            <w:pPr>
              <w:jc w:val="center"/>
              <w:rPr>
                <w:color w:val="000000"/>
              </w:rPr>
            </w:pPr>
            <w:r w:rsidRPr="00D15C2D">
              <w:rPr>
                <w:color w:val="000000"/>
              </w:rPr>
              <w:t>282,2</w:t>
            </w:r>
          </w:p>
        </w:tc>
        <w:tc>
          <w:tcPr>
            <w:tcW w:w="455" w:type="pct"/>
            <w:shd w:val="clear" w:color="auto" w:fill="auto"/>
            <w:vAlign w:val="center"/>
            <w:hideMark/>
          </w:tcPr>
          <w:p w:rsidR="00D23D8F" w:rsidRPr="00D15C2D" w:rsidRDefault="00D23D8F" w:rsidP="00387F9C">
            <w:pPr>
              <w:jc w:val="center"/>
              <w:rPr>
                <w:color w:val="000000"/>
              </w:rPr>
            </w:pPr>
            <w:r w:rsidRPr="00D15C2D">
              <w:rPr>
                <w:color w:val="000000"/>
              </w:rPr>
              <w:t>286,8</w:t>
            </w:r>
          </w:p>
        </w:tc>
        <w:tc>
          <w:tcPr>
            <w:tcW w:w="454" w:type="pct"/>
            <w:shd w:val="clear" w:color="auto" w:fill="auto"/>
            <w:vAlign w:val="center"/>
            <w:hideMark/>
          </w:tcPr>
          <w:p w:rsidR="00D23D8F" w:rsidRPr="00D15C2D" w:rsidRDefault="00D23D8F" w:rsidP="00387F9C">
            <w:pPr>
              <w:jc w:val="center"/>
              <w:rPr>
                <w:color w:val="000000"/>
              </w:rPr>
            </w:pPr>
            <w:r w:rsidRPr="00D15C2D">
              <w:rPr>
                <w:color w:val="000000"/>
              </w:rPr>
              <w:t>302,3</w:t>
            </w:r>
          </w:p>
        </w:tc>
        <w:tc>
          <w:tcPr>
            <w:tcW w:w="451" w:type="pct"/>
            <w:shd w:val="clear" w:color="auto" w:fill="auto"/>
            <w:vAlign w:val="center"/>
            <w:hideMark/>
          </w:tcPr>
          <w:p w:rsidR="00D23D8F" w:rsidRPr="00D15C2D" w:rsidRDefault="00D23D8F" w:rsidP="00387F9C">
            <w:pPr>
              <w:jc w:val="center"/>
              <w:rPr>
                <w:color w:val="000000"/>
              </w:rPr>
            </w:pPr>
            <w:r w:rsidRPr="00D15C2D">
              <w:rPr>
                <w:color w:val="000000"/>
              </w:rPr>
              <w:t>288,7</w:t>
            </w:r>
          </w:p>
        </w:tc>
        <w:tc>
          <w:tcPr>
            <w:tcW w:w="450" w:type="pct"/>
            <w:shd w:val="clear" w:color="auto" w:fill="auto"/>
            <w:vAlign w:val="center"/>
            <w:hideMark/>
          </w:tcPr>
          <w:p w:rsidR="00D23D8F" w:rsidRPr="00D15C2D" w:rsidRDefault="00D23D8F" w:rsidP="00387F9C">
            <w:pPr>
              <w:jc w:val="center"/>
              <w:rPr>
                <w:color w:val="000000"/>
              </w:rPr>
            </w:pPr>
            <w:r w:rsidRPr="00D15C2D">
              <w:rPr>
                <w:color w:val="000000"/>
              </w:rPr>
              <w:t>216,5</w:t>
            </w:r>
          </w:p>
        </w:tc>
        <w:tc>
          <w:tcPr>
            <w:tcW w:w="451" w:type="pct"/>
            <w:shd w:val="clear" w:color="auto" w:fill="auto"/>
            <w:vAlign w:val="center"/>
            <w:hideMark/>
          </w:tcPr>
          <w:p w:rsidR="00D23D8F" w:rsidRPr="00D15C2D" w:rsidRDefault="00D23D8F" w:rsidP="00387F9C">
            <w:pPr>
              <w:jc w:val="center"/>
              <w:rPr>
                <w:color w:val="000000"/>
              </w:rPr>
            </w:pPr>
            <w:r w:rsidRPr="00D15C2D">
              <w:rPr>
                <w:color w:val="000000"/>
              </w:rPr>
              <w:t>261,5</w:t>
            </w:r>
          </w:p>
        </w:tc>
        <w:tc>
          <w:tcPr>
            <w:tcW w:w="451" w:type="pct"/>
            <w:shd w:val="clear" w:color="auto" w:fill="auto"/>
            <w:vAlign w:val="center"/>
            <w:hideMark/>
          </w:tcPr>
          <w:p w:rsidR="00D23D8F" w:rsidRPr="00D15C2D" w:rsidRDefault="00D23D8F" w:rsidP="00387F9C">
            <w:pPr>
              <w:jc w:val="center"/>
              <w:rPr>
                <w:color w:val="000000"/>
              </w:rPr>
            </w:pPr>
            <w:r w:rsidRPr="00D15C2D">
              <w:rPr>
                <w:color w:val="000000"/>
              </w:rPr>
              <w:t>299,5</w:t>
            </w:r>
          </w:p>
        </w:tc>
        <w:tc>
          <w:tcPr>
            <w:tcW w:w="476" w:type="pct"/>
            <w:shd w:val="clear" w:color="auto" w:fill="auto"/>
            <w:vAlign w:val="center"/>
            <w:hideMark/>
          </w:tcPr>
          <w:p w:rsidR="00D23D8F" w:rsidRPr="00D15C2D" w:rsidRDefault="00D23D8F" w:rsidP="00387F9C">
            <w:pPr>
              <w:jc w:val="center"/>
              <w:rPr>
                <w:color w:val="000000"/>
              </w:rPr>
            </w:pPr>
            <w:r w:rsidRPr="00D15C2D">
              <w:rPr>
                <w:color w:val="000000"/>
              </w:rPr>
              <w:t>294,3</w:t>
            </w:r>
          </w:p>
        </w:tc>
        <w:tc>
          <w:tcPr>
            <w:tcW w:w="451" w:type="pct"/>
            <w:shd w:val="clear" w:color="000000" w:fill="FFFFFF"/>
            <w:vAlign w:val="center"/>
            <w:hideMark/>
          </w:tcPr>
          <w:p w:rsidR="00D23D8F" w:rsidRPr="00D15C2D" w:rsidRDefault="00D23D8F" w:rsidP="00387F9C">
            <w:pPr>
              <w:jc w:val="center"/>
              <w:rPr>
                <w:color w:val="000000"/>
              </w:rPr>
            </w:pPr>
            <w:r w:rsidRPr="00D15C2D">
              <w:rPr>
                <w:color w:val="000000"/>
              </w:rPr>
              <w:t>238,1</w:t>
            </w:r>
          </w:p>
        </w:tc>
      </w:tr>
      <w:tr w:rsidR="00D23D8F" w:rsidRPr="00D15C2D" w:rsidTr="00387F9C">
        <w:trPr>
          <w:cantSplit/>
        </w:trPr>
        <w:tc>
          <w:tcPr>
            <w:tcW w:w="908" w:type="pct"/>
            <w:shd w:val="clear" w:color="auto" w:fill="auto"/>
            <w:vAlign w:val="center"/>
            <w:hideMark/>
          </w:tcPr>
          <w:p w:rsidR="00D23D8F" w:rsidRPr="00D15C2D" w:rsidRDefault="00D23D8F" w:rsidP="00387F9C">
            <w:pPr>
              <w:rPr>
                <w:color w:val="000000"/>
              </w:rPr>
            </w:pPr>
            <w:r w:rsidRPr="00D15C2D">
              <w:rPr>
                <w:color w:val="000000"/>
              </w:rPr>
              <w:t>Доля расходов на поддержку отраслей экономики в общей сумме расходов, в процентах</w:t>
            </w:r>
          </w:p>
        </w:tc>
        <w:tc>
          <w:tcPr>
            <w:tcW w:w="454" w:type="pct"/>
            <w:shd w:val="clear" w:color="auto" w:fill="auto"/>
            <w:vAlign w:val="center"/>
            <w:hideMark/>
          </w:tcPr>
          <w:p w:rsidR="00D23D8F" w:rsidRPr="00D15C2D" w:rsidRDefault="00D23D8F" w:rsidP="00387F9C">
            <w:pPr>
              <w:jc w:val="center"/>
              <w:rPr>
                <w:color w:val="000000"/>
              </w:rPr>
            </w:pPr>
            <w:r w:rsidRPr="00D15C2D">
              <w:rPr>
                <w:color w:val="000000"/>
              </w:rPr>
              <w:t>8,5</w:t>
            </w:r>
          </w:p>
        </w:tc>
        <w:tc>
          <w:tcPr>
            <w:tcW w:w="455" w:type="pct"/>
            <w:shd w:val="clear" w:color="auto" w:fill="auto"/>
            <w:vAlign w:val="center"/>
            <w:hideMark/>
          </w:tcPr>
          <w:p w:rsidR="00D23D8F" w:rsidRPr="00D15C2D" w:rsidRDefault="00D23D8F" w:rsidP="00387F9C">
            <w:pPr>
              <w:jc w:val="center"/>
              <w:rPr>
                <w:color w:val="000000"/>
              </w:rPr>
            </w:pPr>
            <w:r w:rsidRPr="00D15C2D">
              <w:rPr>
                <w:color w:val="000000"/>
              </w:rPr>
              <w:t>7,9</w:t>
            </w:r>
          </w:p>
        </w:tc>
        <w:tc>
          <w:tcPr>
            <w:tcW w:w="454" w:type="pct"/>
            <w:shd w:val="clear" w:color="auto" w:fill="auto"/>
            <w:vAlign w:val="center"/>
            <w:hideMark/>
          </w:tcPr>
          <w:p w:rsidR="00D23D8F" w:rsidRPr="00D15C2D" w:rsidRDefault="00D23D8F" w:rsidP="00387F9C">
            <w:pPr>
              <w:jc w:val="center"/>
              <w:rPr>
                <w:color w:val="000000"/>
              </w:rPr>
            </w:pPr>
            <w:r w:rsidRPr="00D15C2D">
              <w:rPr>
                <w:color w:val="000000"/>
              </w:rPr>
              <w:t>9,4</w:t>
            </w:r>
          </w:p>
        </w:tc>
        <w:tc>
          <w:tcPr>
            <w:tcW w:w="451" w:type="pct"/>
            <w:shd w:val="clear" w:color="auto" w:fill="auto"/>
            <w:vAlign w:val="center"/>
            <w:hideMark/>
          </w:tcPr>
          <w:p w:rsidR="00D23D8F" w:rsidRPr="00D15C2D" w:rsidRDefault="00D23D8F" w:rsidP="00387F9C">
            <w:pPr>
              <w:jc w:val="center"/>
              <w:rPr>
                <w:color w:val="000000"/>
              </w:rPr>
            </w:pPr>
            <w:r w:rsidRPr="00D15C2D">
              <w:rPr>
                <w:color w:val="000000"/>
              </w:rPr>
              <w:t>9,4</w:t>
            </w:r>
          </w:p>
        </w:tc>
        <w:tc>
          <w:tcPr>
            <w:tcW w:w="450" w:type="pct"/>
            <w:shd w:val="clear" w:color="auto" w:fill="auto"/>
            <w:vAlign w:val="center"/>
            <w:hideMark/>
          </w:tcPr>
          <w:p w:rsidR="00D23D8F" w:rsidRPr="00D15C2D" w:rsidRDefault="00D23D8F" w:rsidP="00387F9C">
            <w:pPr>
              <w:jc w:val="center"/>
              <w:rPr>
                <w:color w:val="000000"/>
              </w:rPr>
            </w:pPr>
            <w:r w:rsidRPr="00D15C2D">
              <w:rPr>
                <w:color w:val="000000"/>
              </w:rPr>
              <w:t>5,5</w:t>
            </w:r>
          </w:p>
        </w:tc>
        <w:tc>
          <w:tcPr>
            <w:tcW w:w="451" w:type="pct"/>
            <w:shd w:val="clear" w:color="auto" w:fill="auto"/>
            <w:vAlign w:val="center"/>
            <w:hideMark/>
          </w:tcPr>
          <w:p w:rsidR="00D23D8F" w:rsidRPr="00D15C2D" w:rsidRDefault="00D23D8F" w:rsidP="00387F9C">
            <w:pPr>
              <w:jc w:val="center"/>
              <w:rPr>
                <w:color w:val="000000"/>
              </w:rPr>
            </w:pPr>
            <w:r w:rsidRPr="00D15C2D">
              <w:rPr>
                <w:color w:val="000000"/>
              </w:rPr>
              <w:t>8,4</w:t>
            </w:r>
          </w:p>
        </w:tc>
        <w:tc>
          <w:tcPr>
            <w:tcW w:w="451" w:type="pct"/>
            <w:shd w:val="clear" w:color="auto" w:fill="auto"/>
            <w:vAlign w:val="center"/>
            <w:hideMark/>
          </w:tcPr>
          <w:p w:rsidR="00D23D8F" w:rsidRPr="00D15C2D" w:rsidRDefault="00D23D8F" w:rsidP="00387F9C">
            <w:pPr>
              <w:jc w:val="center"/>
              <w:rPr>
                <w:color w:val="000000"/>
              </w:rPr>
            </w:pPr>
            <w:r w:rsidRPr="00D15C2D">
              <w:rPr>
                <w:color w:val="000000"/>
              </w:rPr>
              <w:t>5,4</w:t>
            </w:r>
          </w:p>
        </w:tc>
        <w:tc>
          <w:tcPr>
            <w:tcW w:w="476" w:type="pct"/>
            <w:shd w:val="clear" w:color="auto" w:fill="auto"/>
            <w:vAlign w:val="center"/>
            <w:hideMark/>
          </w:tcPr>
          <w:p w:rsidR="00D23D8F" w:rsidRPr="00D15C2D" w:rsidRDefault="00D23D8F" w:rsidP="00387F9C">
            <w:pPr>
              <w:jc w:val="center"/>
              <w:rPr>
                <w:color w:val="000000"/>
              </w:rPr>
            </w:pPr>
            <w:r w:rsidRPr="00D15C2D">
              <w:rPr>
                <w:color w:val="000000"/>
              </w:rPr>
              <w:t>7,3</w:t>
            </w:r>
          </w:p>
        </w:tc>
        <w:tc>
          <w:tcPr>
            <w:tcW w:w="451" w:type="pct"/>
            <w:shd w:val="clear" w:color="auto" w:fill="auto"/>
            <w:vAlign w:val="center"/>
            <w:hideMark/>
          </w:tcPr>
          <w:p w:rsidR="00D23D8F" w:rsidRPr="00D15C2D" w:rsidRDefault="00D23D8F" w:rsidP="00387F9C">
            <w:pPr>
              <w:jc w:val="center"/>
              <w:rPr>
                <w:color w:val="000000"/>
              </w:rPr>
            </w:pPr>
            <w:r w:rsidRPr="00D15C2D">
              <w:rPr>
                <w:color w:val="000000"/>
              </w:rPr>
              <w:t>6,5</w:t>
            </w:r>
          </w:p>
        </w:tc>
      </w:tr>
      <w:tr w:rsidR="00D23D8F" w:rsidRPr="00D15C2D" w:rsidTr="00387F9C">
        <w:trPr>
          <w:cantSplit/>
        </w:trPr>
        <w:tc>
          <w:tcPr>
            <w:tcW w:w="908" w:type="pct"/>
            <w:shd w:val="clear" w:color="auto" w:fill="auto"/>
            <w:vAlign w:val="center"/>
            <w:hideMark/>
          </w:tcPr>
          <w:p w:rsidR="00D23D8F" w:rsidRPr="00D15C2D" w:rsidRDefault="00D23D8F" w:rsidP="00387F9C">
            <w:pPr>
              <w:rPr>
                <w:color w:val="000000"/>
              </w:rPr>
            </w:pPr>
            <w:r w:rsidRPr="00D15C2D">
              <w:rPr>
                <w:color w:val="000000"/>
              </w:rPr>
              <w:t>Профицит (+) / дефицит (-) бюджета, млн. руб.</w:t>
            </w:r>
          </w:p>
        </w:tc>
        <w:tc>
          <w:tcPr>
            <w:tcW w:w="454" w:type="pct"/>
            <w:shd w:val="clear" w:color="auto" w:fill="auto"/>
            <w:vAlign w:val="center"/>
            <w:hideMark/>
          </w:tcPr>
          <w:p w:rsidR="00D23D8F" w:rsidRPr="00D15C2D" w:rsidRDefault="00D23D8F" w:rsidP="00387F9C">
            <w:pPr>
              <w:jc w:val="center"/>
              <w:rPr>
                <w:color w:val="000000"/>
              </w:rPr>
            </w:pPr>
            <w:r w:rsidRPr="00D15C2D">
              <w:rPr>
                <w:color w:val="000000"/>
              </w:rPr>
              <w:t>-523,3</w:t>
            </w:r>
          </w:p>
        </w:tc>
        <w:tc>
          <w:tcPr>
            <w:tcW w:w="455" w:type="pct"/>
            <w:shd w:val="clear" w:color="auto" w:fill="auto"/>
            <w:vAlign w:val="center"/>
            <w:hideMark/>
          </w:tcPr>
          <w:p w:rsidR="00D23D8F" w:rsidRPr="00D15C2D" w:rsidRDefault="00D23D8F" w:rsidP="00387F9C">
            <w:pPr>
              <w:jc w:val="center"/>
              <w:rPr>
                <w:color w:val="000000"/>
              </w:rPr>
            </w:pPr>
            <w:r w:rsidRPr="00D15C2D">
              <w:rPr>
                <w:color w:val="000000"/>
              </w:rPr>
              <w:t>-104,9</w:t>
            </w:r>
          </w:p>
        </w:tc>
        <w:tc>
          <w:tcPr>
            <w:tcW w:w="454" w:type="pct"/>
            <w:shd w:val="clear" w:color="auto" w:fill="auto"/>
            <w:vAlign w:val="center"/>
            <w:hideMark/>
          </w:tcPr>
          <w:p w:rsidR="00D23D8F" w:rsidRPr="00D15C2D" w:rsidRDefault="00D23D8F" w:rsidP="00387F9C">
            <w:pPr>
              <w:jc w:val="center"/>
              <w:rPr>
                <w:color w:val="000000"/>
              </w:rPr>
            </w:pPr>
            <w:r w:rsidRPr="00D15C2D">
              <w:rPr>
                <w:color w:val="000000"/>
              </w:rPr>
              <w:t>-20,7</w:t>
            </w:r>
          </w:p>
        </w:tc>
        <w:tc>
          <w:tcPr>
            <w:tcW w:w="451" w:type="pct"/>
            <w:shd w:val="clear" w:color="auto" w:fill="auto"/>
            <w:vAlign w:val="center"/>
            <w:hideMark/>
          </w:tcPr>
          <w:p w:rsidR="00D23D8F" w:rsidRPr="00D15C2D" w:rsidRDefault="00D23D8F" w:rsidP="00387F9C">
            <w:pPr>
              <w:jc w:val="center"/>
              <w:rPr>
                <w:color w:val="000000"/>
              </w:rPr>
            </w:pPr>
            <w:r w:rsidRPr="00D15C2D">
              <w:rPr>
                <w:color w:val="000000"/>
              </w:rPr>
              <w:t>170,6</w:t>
            </w:r>
          </w:p>
        </w:tc>
        <w:tc>
          <w:tcPr>
            <w:tcW w:w="450" w:type="pct"/>
            <w:shd w:val="clear" w:color="auto" w:fill="auto"/>
            <w:vAlign w:val="center"/>
            <w:hideMark/>
          </w:tcPr>
          <w:p w:rsidR="00D23D8F" w:rsidRPr="00D15C2D" w:rsidRDefault="00D23D8F" w:rsidP="00387F9C">
            <w:pPr>
              <w:jc w:val="center"/>
              <w:rPr>
                <w:color w:val="000000"/>
              </w:rPr>
            </w:pPr>
            <w:r w:rsidRPr="00D15C2D">
              <w:rPr>
                <w:color w:val="000000"/>
              </w:rPr>
              <w:t>1 378,80</w:t>
            </w:r>
          </w:p>
        </w:tc>
        <w:tc>
          <w:tcPr>
            <w:tcW w:w="451" w:type="pct"/>
            <w:shd w:val="clear" w:color="auto" w:fill="auto"/>
            <w:vAlign w:val="center"/>
            <w:hideMark/>
          </w:tcPr>
          <w:p w:rsidR="00D23D8F" w:rsidRPr="00D15C2D" w:rsidRDefault="00D23D8F" w:rsidP="00387F9C">
            <w:pPr>
              <w:jc w:val="center"/>
              <w:rPr>
                <w:color w:val="000000"/>
              </w:rPr>
            </w:pPr>
            <w:r w:rsidRPr="00D15C2D">
              <w:rPr>
                <w:color w:val="000000"/>
              </w:rPr>
              <w:t>-49,8</w:t>
            </w:r>
          </w:p>
        </w:tc>
        <w:tc>
          <w:tcPr>
            <w:tcW w:w="451" w:type="pct"/>
            <w:shd w:val="clear" w:color="auto" w:fill="auto"/>
            <w:vAlign w:val="center"/>
            <w:hideMark/>
          </w:tcPr>
          <w:p w:rsidR="00D23D8F" w:rsidRPr="00D15C2D" w:rsidRDefault="00D23D8F" w:rsidP="00387F9C">
            <w:pPr>
              <w:jc w:val="center"/>
              <w:rPr>
                <w:color w:val="000000"/>
              </w:rPr>
            </w:pPr>
            <w:r w:rsidRPr="00D15C2D">
              <w:rPr>
                <w:color w:val="000000"/>
              </w:rPr>
              <w:t>-1 779,2</w:t>
            </w:r>
          </w:p>
        </w:tc>
        <w:tc>
          <w:tcPr>
            <w:tcW w:w="476" w:type="pct"/>
            <w:shd w:val="clear" w:color="auto" w:fill="auto"/>
            <w:vAlign w:val="center"/>
            <w:hideMark/>
          </w:tcPr>
          <w:p w:rsidR="00D23D8F" w:rsidRPr="00D15C2D" w:rsidRDefault="00D23D8F" w:rsidP="00387F9C">
            <w:pPr>
              <w:jc w:val="center"/>
              <w:rPr>
                <w:color w:val="000000"/>
              </w:rPr>
            </w:pPr>
            <w:r w:rsidRPr="00D15C2D">
              <w:rPr>
                <w:color w:val="000000"/>
              </w:rPr>
              <w:t>-1 051,3</w:t>
            </w:r>
          </w:p>
        </w:tc>
        <w:tc>
          <w:tcPr>
            <w:tcW w:w="451" w:type="pct"/>
            <w:shd w:val="clear" w:color="auto" w:fill="auto"/>
            <w:vAlign w:val="center"/>
            <w:hideMark/>
          </w:tcPr>
          <w:p w:rsidR="00D23D8F" w:rsidRPr="00D15C2D" w:rsidRDefault="00D23D8F" w:rsidP="00387F9C">
            <w:pPr>
              <w:jc w:val="center"/>
              <w:rPr>
                <w:color w:val="000000"/>
              </w:rPr>
            </w:pPr>
            <w:r w:rsidRPr="00D15C2D">
              <w:rPr>
                <w:color w:val="000000"/>
              </w:rPr>
              <w:t>-64,2</w:t>
            </w:r>
          </w:p>
        </w:tc>
      </w:tr>
      <w:tr w:rsidR="00D23D8F" w:rsidRPr="00D15C2D" w:rsidTr="00387F9C">
        <w:trPr>
          <w:cantSplit/>
        </w:trPr>
        <w:tc>
          <w:tcPr>
            <w:tcW w:w="908" w:type="pct"/>
            <w:shd w:val="clear" w:color="auto" w:fill="auto"/>
            <w:vAlign w:val="center"/>
            <w:hideMark/>
          </w:tcPr>
          <w:p w:rsidR="00D23D8F" w:rsidRPr="00D15C2D" w:rsidRDefault="00D23D8F" w:rsidP="00387F9C">
            <w:pPr>
              <w:rPr>
                <w:color w:val="000000"/>
              </w:rPr>
            </w:pPr>
            <w:r w:rsidRPr="00D15C2D">
              <w:rPr>
                <w:color w:val="000000"/>
              </w:rPr>
              <w:t>Резервный фонд, млн. руб.</w:t>
            </w:r>
          </w:p>
        </w:tc>
        <w:tc>
          <w:tcPr>
            <w:tcW w:w="454" w:type="pct"/>
            <w:shd w:val="clear" w:color="auto" w:fill="auto"/>
            <w:vAlign w:val="center"/>
            <w:hideMark/>
          </w:tcPr>
          <w:p w:rsidR="00D23D8F" w:rsidRPr="00D15C2D" w:rsidRDefault="00D23D8F" w:rsidP="00387F9C">
            <w:pPr>
              <w:jc w:val="center"/>
              <w:rPr>
                <w:color w:val="000000"/>
              </w:rPr>
            </w:pPr>
            <w:r w:rsidRPr="00D15C2D">
              <w:rPr>
                <w:color w:val="000000"/>
              </w:rPr>
              <w:t>0</w:t>
            </w:r>
          </w:p>
        </w:tc>
        <w:tc>
          <w:tcPr>
            <w:tcW w:w="455" w:type="pct"/>
            <w:shd w:val="clear" w:color="auto" w:fill="auto"/>
            <w:vAlign w:val="center"/>
            <w:hideMark/>
          </w:tcPr>
          <w:p w:rsidR="00D23D8F" w:rsidRPr="00D15C2D" w:rsidRDefault="00D23D8F" w:rsidP="00387F9C">
            <w:pPr>
              <w:jc w:val="center"/>
              <w:rPr>
                <w:color w:val="000000"/>
              </w:rPr>
            </w:pPr>
            <w:r w:rsidRPr="00D15C2D">
              <w:rPr>
                <w:color w:val="000000"/>
              </w:rPr>
              <w:t>0</w:t>
            </w:r>
          </w:p>
        </w:tc>
        <w:tc>
          <w:tcPr>
            <w:tcW w:w="454" w:type="pct"/>
            <w:shd w:val="clear" w:color="auto" w:fill="auto"/>
            <w:vAlign w:val="center"/>
            <w:hideMark/>
          </w:tcPr>
          <w:p w:rsidR="00D23D8F" w:rsidRPr="00D15C2D" w:rsidRDefault="00D23D8F" w:rsidP="00387F9C">
            <w:pPr>
              <w:jc w:val="center"/>
              <w:rPr>
                <w:color w:val="000000"/>
              </w:rPr>
            </w:pPr>
            <w:r w:rsidRPr="00D15C2D">
              <w:rPr>
                <w:color w:val="000000"/>
              </w:rPr>
              <w:t>0</w:t>
            </w:r>
          </w:p>
        </w:tc>
        <w:tc>
          <w:tcPr>
            <w:tcW w:w="451" w:type="pct"/>
            <w:shd w:val="clear" w:color="auto" w:fill="auto"/>
            <w:vAlign w:val="center"/>
            <w:hideMark/>
          </w:tcPr>
          <w:p w:rsidR="00D23D8F" w:rsidRPr="00D15C2D" w:rsidRDefault="00D23D8F" w:rsidP="00387F9C">
            <w:pPr>
              <w:jc w:val="center"/>
              <w:rPr>
                <w:color w:val="000000"/>
              </w:rPr>
            </w:pPr>
            <w:r w:rsidRPr="00D15C2D">
              <w:rPr>
                <w:color w:val="000000"/>
              </w:rPr>
              <w:t>0</w:t>
            </w:r>
          </w:p>
        </w:tc>
        <w:tc>
          <w:tcPr>
            <w:tcW w:w="450" w:type="pct"/>
            <w:shd w:val="clear" w:color="auto" w:fill="auto"/>
            <w:vAlign w:val="center"/>
            <w:hideMark/>
          </w:tcPr>
          <w:p w:rsidR="00D23D8F" w:rsidRPr="00D15C2D" w:rsidRDefault="00D23D8F" w:rsidP="00387F9C">
            <w:pPr>
              <w:jc w:val="center"/>
              <w:rPr>
                <w:color w:val="000000"/>
              </w:rPr>
            </w:pPr>
            <w:r w:rsidRPr="00D15C2D">
              <w:rPr>
                <w:color w:val="000000"/>
              </w:rPr>
              <w:t>0</w:t>
            </w:r>
          </w:p>
        </w:tc>
        <w:tc>
          <w:tcPr>
            <w:tcW w:w="451" w:type="pct"/>
            <w:shd w:val="clear" w:color="auto" w:fill="auto"/>
            <w:vAlign w:val="center"/>
            <w:hideMark/>
          </w:tcPr>
          <w:p w:rsidR="00D23D8F" w:rsidRPr="00D15C2D" w:rsidRDefault="00D23D8F" w:rsidP="00387F9C">
            <w:pPr>
              <w:jc w:val="center"/>
              <w:rPr>
                <w:color w:val="000000"/>
              </w:rPr>
            </w:pPr>
            <w:r w:rsidRPr="00D15C2D">
              <w:rPr>
                <w:color w:val="000000"/>
              </w:rPr>
              <w:t>0,5</w:t>
            </w:r>
          </w:p>
        </w:tc>
        <w:tc>
          <w:tcPr>
            <w:tcW w:w="451" w:type="pct"/>
            <w:shd w:val="clear" w:color="auto" w:fill="auto"/>
            <w:vAlign w:val="center"/>
            <w:hideMark/>
          </w:tcPr>
          <w:p w:rsidR="00D23D8F" w:rsidRPr="00D15C2D" w:rsidRDefault="00D23D8F" w:rsidP="00387F9C">
            <w:pPr>
              <w:jc w:val="center"/>
              <w:rPr>
                <w:color w:val="000000"/>
              </w:rPr>
            </w:pPr>
            <w:r w:rsidRPr="00D15C2D">
              <w:rPr>
                <w:color w:val="000000"/>
              </w:rPr>
              <w:t>0,5</w:t>
            </w:r>
          </w:p>
        </w:tc>
        <w:tc>
          <w:tcPr>
            <w:tcW w:w="476" w:type="pct"/>
            <w:shd w:val="clear" w:color="auto" w:fill="auto"/>
            <w:vAlign w:val="center"/>
            <w:hideMark/>
          </w:tcPr>
          <w:p w:rsidR="00D23D8F" w:rsidRPr="00D15C2D" w:rsidRDefault="00D23D8F" w:rsidP="00387F9C">
            <w:pPr>
              <w:jc w:val="center"/>
              <w:rPr>
                <w:color w:val="000000"/>
              </w:rPr>
            </w:pPr>
            <w:r w:rsidRPr="00D15C2D">
              <w:rPr>
                <w:color w:val="000000"/>
              </w:rPr>
              <w:t>0,0</w:t>
            </w:r>
          </w:p>
        </w:tc>
        <w:tc>
          <w:tcPr>
            <w:tcW w:w="451" w:type="pct"/>
            <w:shd w:val="clear" w:color="auto" w:fill="auto"/>
            <w:vAlign w:val="center"/>
            <w:hideMark/>
          </w:tcPr>
          <w:p w:rsidR="00D23D8F" w:rsidRPr="00D15C2D" w:rsidRDefault="00D23D8F" w:rsidP="00387F9C">
            <w:pPr>
              <w:jc w:val="center"/>
              <w:rPr>
                <w:color w:val="000000"/>
              </w:rPr>
            </w:pPr>
            <w:r w:rsidRPr="00D15C2D">
              <w:rPr>
                <w:color w:val="000000"/>
              </w:rPr>
              <w:t>0,5</w:t>
            </w:r>
          </w:p>
        </w:tc>
      </w:tr>
      <w:tr w:rsidR="00D23D8F" w:rsidRPr="00D15C2D" w:rsidTr="00387F9C">
        <w:trPr>
          <w:cantSplit/>
        </w:trPr>
        <w:tc>
          <w:tcPr>
            <w:tcW w:w="908" w:type="pct"/>
            <w:shd w:val="clear" w:color="auto" w:fill="auto"/>
            <w:vAlign w:val="center"/>
            <w:hideMark/>
          </w:tcPr>
          <w:p w:rsidR="00D23D8F" w:rsidRPr="00D15C2D" w:rsidRDefault="00D23D8F" w:rsidP="00387F9C">
            <w:pPr>
              <w:rPr>
                <w:color w:val="000000"/>
              </w:rPr>
            </w:pPr>
            <w:r w:rsidRPr="00D15C2D">
              <w:rPr>
                <w:color w:val="000000"/>
              </w:rPr>
              <w:t>Муниципальный долг, млн. руб.</w:t>
            </w:r>
          </w:p>
        </w:tc>
        <w:tc>
          <w:tcPr>
            <w:tcW w:w="454" w:type="pct"/>
            <w:shd w:val="clear" w:color="auto" w:fill="auto"/>
            <w:vAlign w:val="center"/>
            <w:hideMark/>
          </w:tcPr>
          <w:p w:rsidR="00D23D8F" w:rsidRPr="00D15C2D" w:rsidRDefault="00D23D8F" w:rsidP="00387F9C">
            <w:pPr>
              <w:jc w:val="center"/>
              <w:rPr>
                <w:color w:val="000000"/>
              </w:rPr>
            </w:pPr>
            <w:r w:rsidRPr="00D15C2D">
              <w:rPr>
                <w:color w:val="000000"/>
              </w:rPr>
              <w:t>348,2</w:t>
            </w:r>
          </w:p>
        </w:tc>
        <w:tc>
          <w:tcPr>
            <w:tcW w:w="455" w:type="pct"/>
            <w:shd w:val="clear" w:color="auto" w:fill="auto"/>
            <w:vAlign w:val="center"/>
            <w:hideMark/>
          </w:tcPr>
          <w:p w:rsidR="00D23D8F" w:rsidRPr="00D15C2D" w:rsidRDefault="00D23D8F" w:rsidP="00387F9C">
            <w:pPr>
              <w:jc w:val="center"/>
              <w:rPr>
                <w:color w:val="000000"/>
              </w:rPr>
            </w:pPr>
            <w:r w:rsidRPr="00D15C2D">
              <w:rPr>
                <w:color w:val="000000"/>
              </w:rPr>
              <w:t>220,6</w:t>
            </w:r>
          </w:p>
        </w:tc>
        <w:tc>
          <w:tcPr>
            <w:tcW w:w="454" w:type="pct"/>
            <w:shd w:val="clear" w:color="auto" w:fill="auto"/>
            <w:vAlign w:val="center"/>
            <w:hideMark/>
          </w:tcPr>
          <w:p w:rsidR="00D23D8F" w:rsidRPr="00D15C2D" w:rsidRDefault="00D23D8F" w:rsidP="00387F9C">
            <w:pPr>
              <w:jc w:val="center"/>
              <w:rPr>
                <w:color w:val="000000"/>
              </w:rPr>
            </w:pPr>
            <w:r w:rsidRPr="00D15C2D">
              <w:rPr>
                <w:color w:val="000000"/>
              </w:rPr>
              <w:t>261,6</w:t>
            </w:r>
          </w:p>
        </w:tc>
        <w:tc>
          <w:tcPr>
            <w:tcW w:w="451" w:type="pct"/>
            <w:shd w:val="clear" w:color="auto" w:fill="auto"/>
            <w:vAlign w:val="center"/>
            <w:hideMark/>
          </w:tcPr>
          <w:p w:rsidR="00D23D8F" w:rsidRPr="00D15C2D" w:rsidRDefault="00D23D8F" w:rsidP="00387F9C">
            <w:pPr>
              <w:jc w:val="center"/>
              <w:rPr>
                <w:color w:val="000000"/>
              </w:rPr>
            </w:pPr>
            <w:r w:rsidRPr="00D15C2D">
              <w:rPr>
                <w:color w:val="000000"/>
              </w:rPr>
              <w:t>168,3</w:t>
            </w:r>
          </w:p>
        </w:tc>
        <w:tc>
          <w:tcPr>
            <w:tcW w:w="450" w:type="pct"/>
            <w:shd w:val="clear" w:color="auto" w:fill="auto"/>
            <w:vAlign w:val="center"/>
            <w:hideMark/>
          </w:tcPr>
          <w:p w:rsidR="00D23D8F" w:rsidRPr="00D15C2D" w:rsidRDefault="00D23D8F" w:rsidP="00387F9C">
            <w:pPr>
              <w:jc w:val="center"/>
              <w:rPr>
                <w:color w:val="000000"/>
              </w:rPr>
            </w:pPr>
            <w:r w:rsidRPr="00D15C2D">
              <w:rPr>
                <w:color w:val="000000"/>
              </w:rPr>
              <w:t>176,3</w:t>
            </w:r>
          </w:p>
        </w:tc>
        <w:tc>
          <w:tcPr>
            <w:tcW w:w="451" w:type="pct"/>
            <w:shd w:val="clear" w:color="000000" w:fill="FFFFFF"/>
            <w:vAlign w:val="center"/>
            <w:hideMark/>
          </w:tcPr>
          <w:p w:rsidR="00D23D8F" w:rsidRPr="00D15C2D" w:rsidRDefault="00D23D8F" w:rsidP="00387F9C">
            <w:pPr>
              <w:jc w:val="center"/>
              <w:rPr>
                <w:color w:val="000000"/>
              </w:rPr>
            </w:pPr>
            <w:r w:rsidRPr="00D15C2D">
              <w:rPr>
                <w:color w:val="000000"/>
              </w:rPr>
              <w:t>85,5</w:t>
            </w:r>
          </w:p>
        </w:tc>
        <w:tc>
          <w:tcPr>
            <w:tcW w:w="451" w:type="pct"/>
            <w:shd w:val="clear" w:color="000000" w:fill="FFFFFF"/>
            <w:vAlign w:val="center"/>
            <w:hideMark/>
          </w:tcPr>
          <w:p w:rsidR="00D23D8F" w:rsidRPr="00D15C2D" w:rsidRDefault="00D23D8F" w:rsidP="00387F9C">
            <w:pPr>
              <w:jc w:val="center"/>
              <w:rPr>
                <w:color w:val="000000"/>
              </w:rPr>
            </w:pPr>
            <w:r w:rsidRPr="00D15C2D">
              <w:rPr>
                <w:color w:val="000000"/>
              </w:rPr>
              <w:t>107,1</w:t>
            </w:r>
          </w:p>
        </w:tc>
        <w:tc>
          <w:tcPr>
            <w:tcW w:w="476" w:type="pct"/>
            <w:shd w:val="clear" w:color="000000" w:fill="FFFFFF"/>
            <w:vAlign w:val="center"/>
            <w:hideMark/>
          </w:tcPr>
          <w:p w:rsidR="00D23D8F" w:rsidRPr="00D15C2D" w:rsidRDefault="00D23D8F" w:rsidP="00387F9C">
            <w:pPr>
              <w:jc w:val="center"/>
              <w:rPr>
                <w:color w:val="000000"/>
              </w:rPr>
            </w:pPr>
            <w:r w:rsidRPr="00D15C2D">
              <w:rPr>
                <w:color w:val="000000"/>
              </w:rPr>
              <w:t>119,0</w:t>
            </w:r>
          </w:p>
        </w:tc>
        <w:tc>
          <w:tcPr>
            <w:tcW w:w="451" w:type="pct"/>
            <w:shd w:val="clear" w:color="000000" w:fill="FFFFFF"/>
            <w:vAlign w:val="center"/>
            <w:hideMark/>
          </w:tcPr>
          <w:p w:rsidR="00D23D8F" w:rsidRPr="00D15C2D" w:rsidRDefault="00D23D8F" w:rsidP="00387F9C">
            <w:pPr>
              <w:jc w:val="center"/>
              <w:rPr>
                <w:color w:val="000000"/>
              </w:rPr>
            </w:pPr>
            <w:r w:rsidRPr="00D15C2D">
              <w:rPr>
                <w:color w:val="000000"/>
              </w:rPr>
              <w:t>64,2</w:t>
            </w:r>
          </w:p>
        </w:tc>
      </w:tr>
    </w:tbl>
    <w:p w:rsidR="00D15C2D" w:rsidRDefault="00D15C2D" w:rsidP="00D23D8F">
      <w:pPr>
        <w:jc w:val="right"/>
        <w:rPr>
          <w:sz w:val="28"/>
          <w:szCs w:val="28"/>
        </w:rPr>
      </w:pPr>
    </w:p>
    <w:p w:rsidR="00D15C2D" w:rsidRDefault="00D15C2D" w:rsidP="00D23D8F">
      <w:pPr>
        <w:jc w:val="right"/>
        <w:rPr>
          <w:sz w:val="28"/>
          <w:szCs w:val="28"/>
        </w:rPr>
      </w:pPr>
    </w:p>
    <w:p w:rsidR="00D15C2D" w:rsidRDefault="00D15C2D" w:rsidP="00D23D8F">
      <w:pPr>
        <w:jc w:val="right"/>
        <w:rPr>
          <w:sz w:val="28"/>
          <w:szCs w:val="28"/>
        </w:rPr>
      </w:pPr>
    </w:p>
    <w:p w:rsidR="00D15C2D" w:rsidRDefault="00D15C2D" w:rsidP="00D23D8F">
      <w:pPr>
        <w:jc w:val="right"/>
        <w:rPr>
          <w:sz w:val="28"/>
          <w:szCs w:val="28"/>
        </w:rPr>
      </w:pPr>
    </w:p>
    <w:p w:rsidR="00D15C2D" w:rsidRDefault="00D15C2D" w:rsidP="00D23D8F">
      <w:pPr>
        <w:jc w:val="right"/>
        <w:rPr>
          <w:sz w:val="28"/>
          <w:szCs w:val="28"/>
        </w:rPr>
      </w:pPr>
    </w:p>
    <w:p w:rsidR="00D15C2D" w:rsidRDefault="00D15C2D" w:rsidP="00D23D8F">
      <w:pPr>
        <w:jc w:val="right"/>
        <w:rPr>
          <w:sz w:val="28"/>
          <w:szCs w:val="28"/>
        </w:rPr>
      </w:pPr>
    </w:p>
    <w:p w:rsidR="00D15C2D" w:rsidRDefault="00D15C2D" w:rsidP="00D23D8F">
      <w:pPr>
        <w:jc w:val="right"/>
        <w:rPr>
          <w:sz w:val="28"/>
          <w:szCs w:val="28"/>
        </w:rPr>
      </w:pPr>
    </w:p>
    <w:p w:rsidR="00D15C2D" w:rsidRDefault="00D15C2D" w:rsidP="00D23D8F">
      <w:pPr>
        <w:jc w:val="right"/>
        <w:rPr>
          <w:sz w:val="28"/>
          <w:szCs w:val="28"/>
        </w:rPr>
      </w:pPr>
    </w:p>
    <w:p w:rsidR="00D15C2D" w:rsidRDefault="00D15C2D" w:rsidP="00D23D8F">
      <w:pPr>
        <w:jc w:val="right"/>
        <w:rPr>
          <w:sz w:val="28"/>
          <w:szCs w:val="28"/>
        </w:rPr>
      </w:pPr>
    </w:p>
    <w:p w:rsidR="00D15C2D" w:rsidRDefault="00D15C2D" w:rsidP="00D23D8F">
      <w:pPr>
        <w:jc w:val="right"/>
        <w:rPr>
          <w:sz w:val="28"/>
          <w:szCs w:val="28"/>
        </w:rPr>
      </w:pPr>
    </w:p>
    <w:p w:rsidR="00D15C2D" w:rsidRDefault="00D15C2D" w:rsidP="00D23D8F">
      <w:pPr>
        <w:jc w:val="right"/>
        <w:rPr>
          <w:sz w:val="28"/>
          <w:szCs w:val="28"/>
        </w:rPr>
      </w:pPr>
    </w:p>
    <w:p w:rsidR="00D15C2D" w:rsidRDefault="00D15C2D" w:rsidP="00D23D8F">
      <w:pPr>
        <w:jc w:val="right"/>
        <w:rPr>
          <w:sz w:val="28"/>
          <w:szCs w:val="28"/>
        </w:rPr>
      </w:pPr>
    </w:p>
    <w:p w:rsidR="00D15C2D" w:rsidRDefault="00D15C2D" w:rsidP="00D23D8F">
      <w:pPr>
        <w:jc w:val="right"/>
        <w:rPr>
          <w:sz w:val="28"/>
          <w:szCs w:val="28"/>
        </w:rPr>
      </w:pPr>
    </w:p>
    <w:p w:rsidR="00D23D8F" w:rsidRPr="00D15C2D" w:rsidRDefault="00D23D8F" w:rsidP="00D23D8F">
      <w:pPr>
        <w:jc w:val="right"/>
        <w:rPr>
          <w:sz w:val="28"/>
          <w:szCs w:val="28"/>
        </w:rPr>
      </w:pPr>
      <w:r w:rsidRPr="00D15C2D">
        <w:rPr>
          <w:sz w:val="28"/>
          <w:szCs w:val="28"/>
        </w:rPr>
        <w:t>Рис. 1</w:t>
      </w:r>
    </w:p>
    <w:p w:rsidR="00D23D8F" w:rsidRPr="00D15C2D" w:rsidRDefault="00D23D8F" w:rsidP="00D23D8F">
      <w:pPr>
        <w:jc w:val="center"/>
        <w:rPr>
          <w:sz w:val="28"/>
          <w:szCs w:val="28"/>
        </w:rPr>
      </w:pPr>
      <w:r w:rsidRPr="00D15C2D">
        <w:rPr>
          <w:sz w:val="28"/>
          <w:szCs w:val="28"/>
        </w:rPr>
        <w:t>Динамика доходов и расходов бюджета города Пыть-Яха</w:t>
      </w:r>
    </w:p>
    <w:p w:rsidR="00D23D8F" w:rsidRPr="00D15C2D" w:rsidRDefault="00D15C2D" w:rsidP="00D23D8F">
      <w:pPr>
        <w:jc w:val="right"/>
        <w:rPr>
          <w:sz w:val="28"/>
          <w:szCs w:val="28"/>
        </w:rPr>
      </w:pPr>
      <w:r w:rsidRPr="00D15C2D">
        <w:rPr>
          <w:noProof/>
          <w:sz w:val="28"/>
          <w:szCs w:val="28"/>
        </w:rPr>
        <w:drawing>
          <wp:inline distT="0" distB="0" distL="0" distR="0">
            <wp:extent cx="5943600" cy="2676525"/>
            <wp:effectExtent l="0" t="0" r="0" b="0"/>
            <wp:docPr id="1"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15C2D" w:rsidRDefault="00D15C2D" w:rsidP="00D23D8F">
      <w:pPr>
        <w:ind w:firstLine="425"/>
        <w:jc w:val="both"/>
        <w:rPr>
          <w:sz w:val="28"/>
          <w:szCs w:val="28"/>
        </w:rPr>
      </w:pPr>
    </w:p>
    <w:p w:rsidR="00D23D8F" w:rsidRPr="00D15C2D" w:rsidRDefault="00D23D8F" w:rsidP="00D23D8F">
      <w:pPr>
        <w:ind w:firstLine="425"/>
        <w:jc w:val="both"/>
        <w:rPr>
          <w:sz w:val="28"/>
          <w:szCs w:val="28"/>
        </w:rPr>
      </w:pPr>
      <w:r w:rsidRPr="00D15C2D">
        <w:rPr>
          <w:sz w:val="28"/>
          <w:szCs w:val="28"/>
        </w:rPr>
        <w:t>Доходная часть бюджета муниципального образования за 2019 год исполнена в сумме 2 996,3 млн. руб.  Исполнение оставило 79,2% к уточненному годовому плану по доходам, что обусловлено возвратом прочих остатков субсидий, субвенций и иных межбюджетных трансфертов, имеющих целевое назначение, прошлых лет в сумме (-) 1 240,3 млн.  рублей. Собственные доходы (налоговые и неналоговые поступления) исполнены в сумме 1 306,4 млн. рублей или 105,4%. В структуре доходов безвозмездные поступления составляют -  56%, 34%- налоговые доходы и 10% -неналоговые доходы.</w:t>
      </w:r>
    </w:p>
    <w:p w:rsidR="00D23D8F" w:rsidRPr="00D15C2D" w:rsidRDefault="00D23D8F" w:rsidP="00D23D8F">
      <w:pPr>
        <w:ind w:firstLine="426"/>
        <w:jc w:val="right"/>
        <w:rPr>
          <w:sz w:val="28"/>
          <w:szCs w:val="28"/>
        </w:rPr>
      </w:pPr>
      <w:r w:rsidRPr="00D15C2D">
        <w:rPr>
          <w:sz w:val="28"/>
          <w:szCs w:val="28"/>
        </w:rPr>
        <w:t>Рис. 2</w:t>
      </w:r>
    </w:p>
    <w:p w:rsidR="00D15C2D" w:rsidRDefault="00D23D8F" w:rsidP="00D23D8F">
      <w:pPr>
        <w:ind w:firstLine="426"/>
        <w:jc w:val="center"/>
        <w:rPr>
          <w:color w:val="595959"/>
          <w:sz w:val="28"/>
          <w:szCs w:val="28"/>
        </w:rPr>
      </w:pPr>
      <w:r w:rsidRPr="00D15C2D">
        <w:rPr>
          <w:color w:val="595959"/>
          <w:sz w:val="28"/>
          <w:szCs w:val="28"/>
        </w:rPr>
        <w:t>Структура доходов бюджета города Пыть-Яха за 2014-2019 годы и на 2020 год (млн. руб.)</w:t>
      </w:r>
    </w:p>
    <w:p w:rsidR="00D23D8F" w:rsidRPr="00D15C2D" w:rsidRDefault="00D15C2D" w:rsidP="00D23D8F">
      <w:pPr>
        <w:ind w:firstLine="426"/>
        <w:jc w:val="center"/>
        <w:rPr>
          <w:color w:val="00B050"/>
          <w:sz w:val="28"/>
          <w:szCs w:val="28"/>
        </w:rPr>
      </w:pPr>
      <w:r w:rsidRPr="00953B11">
        <w:rPr>
          <w:noProof/>
        </w:rPr>
        <w:drawing>
          <wp:inline distT="0" distB="0" distL="0" distR="0" wp14:anchorId="15713EC3" wp14:editId="34816F2B">
            <wp:extent cx="5940425" cy="3257550"/>
            <wp:effectExtent l="0" t="0" r="3175" b="0"/>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15C2D" w:rsidRDefault="00D15C2D" w:rsidP="00D23D8F">
      <w:pPr>
        <w:ind w:firstLine="708"/>
        <w:jc w:val="both"/>
        <w:rPr>
          <w:sz w:val="28"/>
          <w:szCs w:val="28"/>
        </w:rPr>
      </w:pPr>
    </w:p>
    <w:p w:rsidR="00D23D8F" w:rsidRPr="00D15C2D" w:rsidRDefault="00D23D8F" w:rsidP="00D23D8F">
      <w:pPr>
        <w:ind w:firstLine="708"/>
        <w:jc w:val="both"/>
        <w:rPr>
          <w:sz w:val="28"/>
          <w:szCs w:val="28"/>
        </w:rPr>
      </w:pPr>
      <w:r w:rsidRPr="00D15C2D">
        <w:rPr>
          <w:sz w:val="28"/>
          <w:szCs w:val="28"/>
        </w:rPr>
        <w:t>Расходная часть бюджета исполнена в сумме 4 047,6 млн. рублей. Установленные на 2019 год плановые показатели бюджета исполнены на 72,8%. Исполнение расходов не в полном объеме обусловлено следующими основными факторами:</w:t>
      </w:r>
    </w:p>
    <w:p w:rsidR="00D23D8F" w:rsidRPr="00D15C2D" w:rsidRDefault="00D23D8F" w:rsidP="00D23D8F">
      <w:pPr>
        <w:ind w:firstLine="708"/>
        <w:jc w:val="both"/>
        <w:rPr>
          <w:sz w:val="28"/>
          <w:szCs w:val="28"/>
        </w:rPr>
      </w:pPr>
      <w:r w:rsidRPr="00D15C2D">
        <w:rPr>
          <w:sz w:val="28"/>
          <w:szCs w:val="28"/>
        </w:rPr>
        <w:t>- поступление 31 декабря 2019 года денежных средств от ООО «РН-Нефтеюганск» в сумме 155 000,0 тыс. рублей</w:t>
      </w:r>
    </w:p>
    <w:p w:rsidR="00D23D8F" w:rsidRPr="00D15C2D" w:rsidRDefault="00D23D8F" w:rsidP="00D23D8F">
      <w:pPr>
        <w:ind w:firstLine="708"/>
        <w:jc w:val="both"/>
        <w:rPr>
          <w:sz w:val="28"/>
          <w:szCs w:val="28"/>
        </w:rPr>
      </w:pPr>
      <w:r w:rsidRPr="00D15C2D">
        <w:rPr>
          <w:sz w:val="28"/>
          <w:szCs w:val="28"/>
        </w:rPr>
        <w:t>- не освоены средства, предусмотренные на строительство физкультурно-строительного комплекса с ледовой ареной, так как возведение объекта по существующему проекту невозможно. Принято решение о проектировании нового объекта "Спортивно-досуговый комплекс", в состав которого войдут спортзалы, бассейн, хоккейный корт. Разработан дизайн - проект по данному объекту, строительство начнётся после вынесения решения суда;</w:t>
      </w:r>
    </w:p>
    <w:p w:rsidR="00D23D8F" w:rsidRPr="00D15C2D" w:rsidRDefault="00D23D8F" w:rsidP="00D23D8F">
      <w:pPr>
        <w:ind w:firstLine="708"/>
        <w:jc w:val="both"/>
        <w:rPr>
          <w:sz w:val="28"/>
          <w:szCs w:val="28"/>
        </w:rPr>
      </w:pPr>
      <w:r w:rsidRPr="00D15C2D">
        <w:rPr>
          <w:sz w:val="28"/>
          <w:szCs w:val="28"/>
        </w:rPr>
        <w:t>- в части реализации мероприятий по ликвидации и расселению приспособленных для проживания строений ряд аукционов признаны не состоявшимися по причине низких темпов строительства в 2019 году.</w:t>
      </w:r>
    </w:p>
    <w:p w:rsidR="00D23D8F" w:rsidRPr="00D15C2D" w:rsidRDefault="00D23D8F" w:rsidP="00D23D8F">
      <w:pPr>
        <w:ind w:firstLine="708"/>
        <w:jc w:val="both"/>
        <w:rPr>
          <w:sz w:val="28"/>
          <w:szCs w:val="28"/>
        </w:rPr>
      </w:pPr>
      <w:r w:rsidRPr="00D15C2D">
        <w:rPr>
          <w:sz w:val="28"/>
          <w:szCs w:val="28"/>
        </w:rPr>
        <w:t>Расходы бюджета города за 2019 год без учета безвозмездных поступлений, имеющих целевое назначение исполнены на 93,1%.</w:t>
      </w:r>
    </w:p>
    <w:p w:rsidR="00D23D8F" w:rsidRDefault="00D23D8F" w:rsidP="00D23D8F">
      <w:pPr>
        <w:jc w:val="right"/>
        <w:rPr>
          <w:sz w:val="28"/>
          <w:szCs w:val="28"/>
        </w:rPr>
      </w:pPr>
      <w:r w:rsidRPr="00D15C2D">
        <w:rPr>
          <w:sz w:val="28"/>
          <w:szCs w:val="28"/>
        </w:rPr>
        <w:t>Рис.3</w:t>
      </w:r>
    </w:p>
    <w:p w:rsidR="00D15C2D" w:rsidRDefault="00D15C2D" w:rsidP="00D23D8F">
      <w:pPr>
        <w:jc w:val="right"/>
        <w:rPr>
          <w:sz w:val="28"/>
          <w:szCs w:val="28"/>
        </w:rPr>
      </w:pPr>
      <w:r w:rsidRPr="00953B11">
        <w:rPr>
          <w:noProof/>
        </w:rPr>
        <w:drawing>
          <wp:inline distT="0" distB="0" distL="0" distR="0" wp14:anchorId="78220093" wp14:editId="4B7D0AFA">
            <wp:extent cx="5934075" cy="3752850"/>
            <wp:effectExtent l="0" t="0" r="0" b="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15C2D" w:rsidRDefault="00D15C2D" w:rsidP="00D23D8F">
      <w:pPr>
        <w:jc w:val="right"/>
        <w:rPr>
          <w:sz w:val="28"/>
          <w:szCs w:val="28"/>
        </w:rPr>
      </w:pPr>
    </w:p>
    <w:p w:rsidR="00D23D8F" w:rsidRPr="00D15C2D" w:rsidRDefault="00D23D8F" w:rsidP="00D23D8F">
      <w:pPr>
        <w:ind w:firstLine="709"/>
        <w:jc w:val="both"/>
        <w:rPr>
          <w:sz w:val="28"/>
          <w:szCs w:val="28"/>
        </w:rPr>
      </w:pPr>
      <w:bookmarkStart w:id="0" w:name="_GoBack"/>
      <w:bookmarkEnd w:id="0"/>
      <w:r w:rsidRPr="00D15C2D">
        <w:rPr>
          <w:sz w:val="28"/>
          <w:szCs w:val="28"/>
        </w:rPr>
        <w:t xml:space="preserve"> целом расходы на социальный блок за 2019 год составили 57,8 %, в общих расходах бюджета города или 2 340,4 млн. рублей. На протяжении последних лет наблюдается социальная направленность бюджета. Удельный вес расходов на социальную сферу в динамике составляет около 50 % от общих расходов бюджета города Пыть-Яха, что подтверждает приоритет </w:t>
      </w:r>
      <w:r w:rsidRPr="00D15C2D">
        <w:rPr>
          <w:sz w:val="28"/>
          <w:szCs w:val="28"/>
        </w:rPr>
        <w:lastRenderedPageBreak/>
        <w:t>использования ресурсов в человеческий капитал и свидетельствует о социальной ориентированности бюджета. В 2019 году расходы на социальную сферу в расчете на 1 жителя города Пыть-Яха сложился в сумме 58,8 тыс. рублей, что составляет 120,5% к аналогичному показателю прошлого года (48,8 тысяч рублей). Бюджетная политика в социальной сфере ориентирована на сохранение приоритетности в финансовом обеспечении обширного спектра задач в области образования, социальной политики, культуры, физической культуры и спорта. По отношению к предыдущему финансовому году расходы на социальную сферу увеличились на 388,3 млн. рублей.</w:t>
      </w:r>
    </w:p>
    <w:p w:rsidR="00D23D8F" w:rsidRPr="00D15C2D" w:rsidRDefault="00D23D8F" w:rsidP="00D23D8F">
      <w:pPr>
        <w:ind w:firstLine="709"/>
        <w:jc w:val="both"/>
        <w:rPr>
          <w:sz w:val="28"/>
          <w:szCs w:val="28"/>
        </w:rPr>
      </w:pPr>
      <w:r w:rsidRPr="00D15C2D">
        <w:rPr>
          <w:sz w:val="28"/>
          <w:szCs w:val="28"/>
        </w:rPr>
        <w:t>В структуре расходов бюджета за 2019 год расходы бюджета на жилищно-коммунальное хозяйство произведены в сумме 840,5 млн. рублей, что составляет 20,8 % в общих расходах бюджета города.</w:t>
      </w:r>
    </w:p>
    <w:p w:rsidR="00977F0A" w:rsidRPr="00D15C2D" w:rsidRDefault="00977F0A" w:rsidP="00977F0A">
      <w:pPr>
        <w:ind w:firstLine="709"/>
        <w:jc w:val="both"/>
        <w:rPr>
          <w:sz w:val="28"/>
          <w:szCs w:val="28"/>
        </w:rPr>
      </w:pPr>
      <w:r w:rsidRPr="00D15C2D">
        <w:rPr>
          <w:sz w:val="28"/>
          <w:szCs w:val="28"/>
        </w:rPr>
        <w:t>В соответствии со статьей 28 Федерального закона от 06.10.2003 № 131-ФЗ «Об общих принципах организации местного самоуправления в РФ» в обязательном порядке на публичные слушания выносятся проект местного бюджета и отчет о его исполнении.</w:t>
      </w:r>
    </w:p>
    <w:p w:rsidR="00977F0A" w:rsidRPr="00D15C2D" w:rsidRDefault="00977F0A" w:rsidP="00977F0A">
      <w:pPr>
        <w:ind w:firstLine="709"/>
        <w:jc w:val="both"/>
        <w:rPr>
          <w:sz w:val="28"/>
          <w:szCs w:val="28"/>
        </w:rPr>
      </w:pPr>
      <w:r w:rsidRPr="00D15C2D">
        <w:rPr>
          <w:sz w:val="28"/>
          <w:szCs w:val="28"/>
        </w:rPr>
        <w:t>Порядок организации и проведения публичных слушаний в муниципальном образовании городской округ город Пыть-Ях регламентируется решением Думы города Пыть-Яха от 03.03.2017 № 71.</w:t>
      </w:r>
    </w:p>
    <w:p w:rsidR="00977F0A" w:rsidRPr="00D15C2D" w:rsidRDefault="00977F0A" w:rsidP="00977F0A">
      <w:pPr>
        <w:ind w:firstLine="709"/>
        <w:jc w:val="both"/>
        <w:rPr>
          <w:sz w:val="28"/>
          <w:szCs w:val="28"/>
          <w:highlight w:val="yellow"/>
        </w:rPr>
      </w:pPr>
      <w:r w:rsidRPr="00D15C2D">
        <w:rPr>
          <w:sz w:val="28"/>
          <w:szCs w:val="28"/>
        </w:rPr>
        <w:t>Публичные слушания по проекту Решению Думы города Пыть-Яха «О бюджете города Пыть-Яха на 2019 год и плановый период 2020 и 2021 годов», назначены постановлением главы города Пыть-Яха от 20.11.2018 № 194-пг. Публичные слушания проведены 6 декабря 2018 года. Зарегистрировано 32 участников публичных слушаний. По результатам проведения публичных слушаний принято решение об одобрении проекта решения Думы города «О бюджете города Пыть-Яха на 2019 год и плановый период 2020 и 2021 годов».</w:t>
      </w:r>
    </w:p>
    <w:p w:rsidR="00977F0A" w:rsidRPr="00D15C2D" w:rsidRDefault="00977F0A" w:rsidP="00977F0A">
      <w:pPr>
        <w:ind w:firstLine="709"/>
        <w:jc w:val="both"/>
        <w:rPr>
          <w:sz w:val="28"/>
          <w:szCs w:val="28"/>
        </w:rPr>
      </w:pPr>
      <w:r w:rsidRPr="00D15C2D">
        <w:rPr>
          <w:sz w:val="28"/>
          <w:szCs w:val="28"/>
        </w:rPr>
        <w:t>Публичные слушания по проекту решения Думы города «Об исполнении бюджета города Пыть-Яха за 2018 год» назначены постановлением главы города Пыть-Яха от 02.04.2019 года № 11-пг. Публичные слушания проведены 22 апреля 2019года, 39 горожан приняли участие в обсуждении вопросов по исполнению бюджета города за 2018 год.</w:t>
      </w:r>
    </w:p>
    <w:p w:rsidR="00977F0A" w:rsidRPr="00D15C2D" w:rsidRDefault="00977F0A" w:rsidP="00977F0A">
      <w:pPr>
        <w:ind w:firstLine="709"/>
        <w:jc w:val="both"/>
        <w:rPr>
          <w:sz w:val="28"/>
          <w:szCs w:val="28"/>
        </w:rPr>
      </w:pPr>
      <w:r w:rsidRPr="00D15C2D">
        <w:rPr>
          <w:sz w:val="28"/>
          <w:szCs w:val="28"/>
        </w:rPr>
        <w:t xml:space="preserve">В 2019 году реализован 1 проект инициативного бюджетирования «Твоя инициатива-твой бюджет». Участие в проекте приняли 120 человек (количество благополучателей составило 1 037 человек). Инновации в том, что появляются дополнительные источники финансирования для решения вопросов местного значения, и альтернатива неработающему институту самообложения граждан, сумма самообложения составила 1,6% от общей стоимости проекта или 50,0 тыс. рублей. Кроме того, применен так называемый трудовой ресурс (трудовое участие граждан в реализации проекта) и оценивается это участие в сумме 215,7 тыс. рублей. В целом на благоустройство дворовой территории жилых домов № 25, 27 ул. Святослава Федорова, </w:t>
      </w:r>
      <w:proofErr w:type="spellStart"/>
      <w:r w:rsidRPr="00D15C2D">
        <w:rPr>
          <w:sz w:val="28"/>
          <w:szCs w:val="28"/>
        </w:rPr>
        <w:t>мкр</w:t>
      </w:r>
      <w:proofErr w:type="spellEnd"/>
      <w:r w:rsidRPr="00D15C2D">
        <w:rPr>
          <w:sz w:val="28"/>
          <w:szCs w:val="28"/>
        </w:rPr>
        <w:t xml:space="preserve"> 3 «Кедровый» направлено 3,4 млн. рублей, в том числе из бюджета города 3,1 млн. рублей. Достигнутый экономический эффект в том, что граждане самостоятельно определяют приоритетные проекты, решающих наиболее острые проблемы города, выбранные самими гражданами, как </w:t>
      </w:r>
      <w:r w:rsidRPr="00D15C2D">
        <w:rPr>
          <w:sz w:val="28"/>
          <w:szCs w:val="28"/>
        </w:rPr>
        <w:lastRenderedPageBreak/>
        <w:t>инструмент оптимизации бюджетных расходов. Социальный эффект заключается в вовлечение граждан в решение вопросов местного самоуправления совместно с органами муниципальной власти.</w:t>
      </w:r>
    </w:p>
    <w:p w:rsidR="00977F0A" w:rsidRPr="00D15C2D" w:rsidRDefault="00977F0A" w:rsidP="00977F0A">
      <w:pPr>
        <w:ind w:firstLine="709"/>
        <w:jc w:val="both"/>
        <w:rPr>
          <w:sz w:val="28"/>
          <w:szCs w:val="28"/>
        </w:rPr>
      </w:pPr>
      <w:r w:rsidRPr="00D15C2D">
        <w:rPr>
          <w:sz w:val="28"/>
          <w:szCs w:val="28"/>
        </w:rPr>
        <w:t>В конкурсном отборе могут быть представлены проекты в различных сферах, но в приоритете остается благоустройство территорий, озеленение дворов и площадей, уличное освещение и прочее.</w:t>
      </w:r>
    </w:p>
    <w:p w:rsidR="00977F0A" w:rsidRPr="00D15C2D" w:rsidRDefault="00977F0A" w:rsidP="00977F0A">
      <w:pPr>
        <w:ind w:firstLine="709"/>
        <w:jc w:val="both"/>
        <w:rPr>
          <w:sz w:val="28"/>
          <w:szCs w:val="28"/>
        </w:rPr>
      </w:pPr>
      <w:r w:rsidRPr="00D15C2D">
        <w:rPr>
          <w:sz w:val="28"/>
          <w:szCs w:val="28"/>
        </w:rPr>
        <w:t>При разработке проекта бюджета города Пыть-Яха на 2020 год и плановый период 2021 и 2022 годов годы на внедрение проектов инициативного бюджетирования, в соответствии с принятым постановлением администрации города от 26.09.2017 года № 237-па «О конкурсном отборе проектов инициативного бюджетирования «Твоя инициатива-твой бюджет» в муниципальном образовании городской округ город Пыть-Ях», запланировано по 5,0 млн. рублей ежегодно.</w:t>
      </w:r>
    </w:p>
    <w:p w:rsidR="00977F0A" w:rsidRPr="00D15C2D" w:rsidRDefault="00977F0A" w:rsidP="00977F0A">
      <w:pPr>
        <w:ind w:firstLine="709"/>
        <w:jc w:val="both"/>
        <w:rPr>
          <w:sz w:val="28"/>
          <w:szCs w:val="28"/>
        </w:rPr>
      </w:pPr>
      <w:r w:rsidRPr="00D15C2D">
        <w:rPr>
          <w:sz w:val="28"/>
          <w:szCs w:val="28"/>
        </w:rPr>
        <w:t xml:space="preserve">Кроме того, в связи с празднованием 30-летия образования города Пыть-Яха из бюджета автономного округа выделены средства в сумме 4,0 млн. рублей на изготовление и установку объектов монументально-декоративного искусства: памятников, монументов, памятных знаков, мемориальных досок, стел, скульптурных композиций; по обустройству и (или) оборудованию парков, скверов, площадей, направляемые на софинансирование проектов, отобранных на условиях инициативного бюджетирования. </w:t>
      </w:r>
    </w:p>
    <w:p w:rsidR="00977F0A" w:rsidRPr="00D15C2D" w:rsidRDefault="00977F0A" w:rsidP="00977F0A">
      <w:pPr>
        <w:ind w:firstLine="540"/>
        <w:jc w:val="both"/>
        <w:rPr>
          <w:b/>
          <w:sz w:val="28"/>
          <w:szCs w:val="28"/>
          <w:highlight w:val="yellow"/>
        </w:rPr>
      </w:pPr>
    </w:p>
    <w:p w:rsidR="00977F0A" w:rsidRPr="00D15C2D" w:rsidRDefault="00977F0A" w:rsidP="00D23D8F">
      <w:pPr>
        <w:ind w:firstLine="709"/>
        <w:jc w:val="both"/>
        <w:rPr>
          <w:sz w:val="28"/>
          <w:szCs w:val="28"/>
        </w:rPr>
      </w:pPr>
    </w:p>
    <w:p w:rsidR="009B624A" w:rsidRPr="00D15C2D" w:rsidRDefault="009B624A" w:rsidP="00426910">
      <w:pPr>
        <w:pStyle w:val="a3"/>
        <w:spacing w:before="0" w:beforeAutospacing="0" w:after="0" w:afterAutospacing="0"/>
        <w:ind w:firstLine="708"/>
        <w:jc w:val="both"/>
        <w:rPr>
          <w:sz w:val="28"/>
          <w:szCs w:val="28"/>
        </w:rPr>
      </w:pPr>
    </w:p>
    <w:p w:rsidR="0057353C" w:rsidRPr="00D15C2D" w:rsidRDefault="0057353C" w:rsidP="00426910">
      <w:pPr>
        <w:pStyle w:val="a3"/>
        <w:spacing w:before="0" w:beforeAutospacing="0" w:after="0" w:afterAutospacing="0"/>
        <w:ind w:firstLine="708"/>
        <w:jc w:val="both"/>
        <w:rPr>
          <w:sz w:val="28"/>
          <w:szCs w:val="28"/>
        </w:rPr>
      </w:pPr>
    </w:p>
    <w:p w:rsidR="009D75FB" w:rsidRPr="00D15C2D" w:rsidRDefault="009D75FB" w:rsidP="00591E86">
      <w:pPr>
        <w:pStyle w:val="a3"/>
        <w:spacing w:before="0" w:beforeAutospacing="0" w:after="0" w:afterAutospacing="0"/>
        <w:ind w:firstLine="708"/>
        <w:jc w:val="both"/>
        <w:rPr>
          <w:sz w:val="28"/>
          <w:szCs w:val="28"/>
        </w:rPr>
      </w:pPr>
    </w:p>
    <w:sectPr w:rsidR="009D75FB" w:rsidRPr="00D15C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022E"/>
    <w:multiLevelType w:val="hybridMultilevel"/>
    <w:tmpl w:val="9898714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05831088"/>
    <w:multiLevelType w:val="hybridMultilevel"/>
    <w:tmpl w:val="F2F092A0"/>
    <w:lvl w:ilvl="0" w:tplc="01CC6CB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15:restartNumberingAfterBreak="0">
    <w:nsid w:val="24016AC1"/>
    <w:multiLevelType w:val="hybridMultilevel"/>
    <w:tmpl w:val="55FC12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6081EBC"/>
    <w:multiLevelType w:val="hybridMultilevel"/>
    <w:tmpl w:val="69B4AD78"/>
    <w:lvl w:ilvl="0" w:tplc="173EE652">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639346CF"/>
    <w:multiLevelType w:val="hybridMultilevel"/>
    <w:tmpl w:val="21E22852"/>
    <w:lvl w:ilvl="0" w:tplc="4E1E2E0E">
      <w:start w:val="1"/>
      <w:numFmt w:val="decimal"/>
      <w:lvlText w:val="%1."/>
      <w:lvlJc w:val="left"/>
      <w:pPr>
        <w:tabs>
          <w:tab w:val="num" w:pos="1991"/>
        </w:tabs>
        <w:ind w:left="1991" w:hanging="1140"/>
      </w:pPr>
      <w:rPr>
        <w:rFonts w:hint="default"/>
        <w:u w:val="single"/>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1"/>
  </w:num>
  <w:num w:numId="2">
    <w:abstractNumId w:val="4"/>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416"/>
    <w:rsid w:val="00000AA4"/>
    <w:rsid w:val="00012738"/>
    <w:rsid w:val="00013B4E"/>
    <w:rsid w:val="00021D07"/>
    <w:rsid w:val="00033D45"/>
    <w:rsid w:val="000371B6"/>
    <w:rsid w:val="00054997"/>
    <w:rsid w:val="00065DC0"/>
    <w:rsid w:val="00065FEE"/>
    <w:rsid w:val="00070DCD"/>
    <w:rsid w:val="00073CAD"/>
    <w:rsid w:val="000829D7"/>
    <w:rsid w:val="000916D7"/>
    <w:rsid w:val="00097DB9"/>
    <w:rsid w:val="00097EB0"/>
    <w:rsid w:val="00097ED8"/>
    <w:rsid w:val="000B7BC5"/>
    <w:rsid w:val="000C1FC0"/>
    <w:rsid w:val="000C3256"/>
    <w:rsid w:val="000C3A25"/>
    <w:rsid w:val="000F2005"/>
    <w:rsid w:val="000F46BD"/>
    <w:rsid w:val="000F48AB"/>
    <w:rsid w:val="000F51A9"/>
    <w:rsid w:val="001149DA"/>
    <w:rsid w:val="00135AF3"/>
    <w:rsid w:val="001414C0"/>
    <w:rsid w:val="001522E1"/>
    <w:rsid w:val="001649AA"/>
    <w:rsid w:val="001761AE"/>
    <w:rsid w:val="00180B4E"/>
    <w:rsid w:val="00181912"/>
    <w:rsid w:val="00182700"/>
    <w:rsid w:val="00193A2B"/>
    <w:rsid w:val="0019613F"/>
    <w:rsid w:val="001B44D7"/>
    <w:rsid w:val="001B75C6"/>
    <w:rsid w:val="001C3BC7"/>
    <w:rsid w:val="001C3C1A"/>
    <w:rsid w:val="00201533"/>
    <w:rsid w:val="002069AB"/>
    <w:rsid w:val="00243871"/>
    <w:rsid w:val="00252C85"/>
    <w:rsid w:val="0026004E"/>
    <w:rsid w:val="00260416"/>
    <w:rsid w:val="00260C39"/>
    <w:rsid w:val="00277469"/>
    <w:rsid w:val="00286CB4"/>
    <w:rsid w:val="002914C5"/>
    <w:rsid w:val="00296773"/>
    <w:rsid w:val="002C1618"/>
    <w:rsid w:val="002D6AB9"/>
    <w:rsid w:val="002F19DE"/>
    <w:rsid w:val="003111DE"/>
    <w:rsid w:val="00314778"/>
    <w:rsid w:val="00314808"/>
    <w:rsid w:val="0033565B"/>
    <w:rsid w:val="00347B42"/>
    <w:rsid w:val="00357AA0"/>
    <w:rsid w:val="0036172F"/>
    <w:rsid w:val="003854B5"/>
    <w:rsid w:val="00385778"/>
    <w:rsid w:val="00387F9C"/>
    <w:rsid w:val="00390F31"/>
    <w:rsid w:val="00396DE9"/>
    <w:rsid w:val="003A44D9"/>
    <w:rsid w:val="003D160C"/>
    <w:rsid w:val="003D7132"/>
    <w:rsid w:val="003D7E0B"/>
    <w:rsid w:val="003E3D64"/>
    <w:rsid w:val="003F0053"/>
    <w:rsid w:val="003F6FE5"/>
    <w:rsid w:val="00400BFF"/>
    <w:rsid w:val="00406C1A"/>
    <w:rsid w:val="00424889"/>
    <w:rsid w:val="00426910"/>
    <w:rsid w:val="0043059B"/>
    <w:rsid w:val="00432779"/>
    <w:rsid w:val="00434062"/>
    <w:rsid w:val="00437E18"/>
    <w:rsid w:val="00447518"/>
    <w:rsid w:val="0046064E"/>
    <w:rsid w:val="00460D66"/>
    <w:rsid w:val="00464D0E"/>
    <w:rsid w:val="00480156"/>
    <w:rsid w:val="0048102C"/>
    <w:rsid w:val="004900CD"/>
    <w:rsid w:val="004906C3"/>
    <w:rsid w:val="004964F1"/>
    <w:rsid w:val="004A10CD"/>
    <w:rsid w:val="004A4FA6"/>
    <w:rsid w:val="004A75FA"/>
    <w:rsid w:val="004B6C68"/>
    <w:rsid w:val="004C42B4"/>
    <w:rsid w:val="004C6077"/>
    <w:rsid w:val="004E7A21"/>
    <w:rsid w:val="004F1455"/>
    <w:rsid w:val="004F693A"/>
    <w:rsid w:val="0050250F"/>
    <w:rsid w:val="00507F80"/>
    <w:rsid w:val="0051140D"/>
    <w:rsid w:val="005163C9"/>
    <w:rsid w:val="00521F26"/>
    <w:rsid w:val="0052285A"/>
    <w:rsid w:val="00546C31"/>
    <w:rsid w:val="00547D82"/>
    <w:rsid w:val="005536FB"/>
    <w:rsid w:val="0057353C"/>
    <w:rsid w:val="005750BB"/>
    <w:rsid w:val="00585A1A"/>
    <w:rsid w:val="00591E86"/>
    <w:rsid w:val="005A06DC"/>
    <w:rsid w:val="005B20CA"/>
    <w:rsid w:val="005C6B02"/>
    <w:rsid w:val="005D0089"/>
    <w:rsid w:val="005D1BA5"/>
    <w:rsid w:val="005E0106"/>
    <w:rsid w:val="005E3941"/>
    <w:rsid w:val="005E455D"/>
    <w:rsid w:val="005F5421"/>
    <w:rsid w:val="0060480D"/>
    <w:rsid w:val="00605E37"/>
    <w:rsid w:val="0060665E"/>
    <w:rsid w:val="0061739C"/>
    <w:rsid w:val="0062441A"/>
    <w:rsid w:val="00661124"/>
    <w:rsid w:val="00662D84"/>
    <w:rsid w:val="00664DEE"/>
    <w:rsid w:val="006702E0"/>
    <w:rsid w:val="00683AED"/>
    <w:rsid w:val="00690B3E"/>
    <w:rsid w:val="006956EE"/>
    <w:rsid w:val="006A227F"/>
    <w:rsid w:val="006C02D4"/>
    <w:rsid w:val="006C11F2"/>
    <w:rsid w:val="006D1CAF"/>
    <w:rsid w:val="006E45F4"/>
    <w:rsid w:val="006F355C"/>
    <w:rsid w:val="006F62E1"/>
    <w:rsid w:val="00720D12"/>
    <w:rsid w:val="007441B2"/>
    <w:rsid w:val="0074501F"/>
    <w:rsid w:val="00764758"/>
    <w:rsid w:val="00785102"/>
    <w:rsid w:val="00791449"/>
    <w:rsid w:val="007920BB"/>
    <w:rsid w:val="007A117D"/>
    <w:rsid w:val="007A18F8"/>
    <w:rsid w:val="007C56DA"/>
    <w:rsid w:val="007C5D74"/>
    <w:rsid w:val="007D309B"/>
    <w:rsid w:val="007E1C47"/>
    <w:rsid w:val="007E20CF"/>
    <w:rsid w:val="007E7D6B"/>
    <w:rsid w:val="008028AF"/>
    <w:rsid w:val="00806E74"/>
    <w:rsid w:val="00806F1F"/>
    <w:rsid w:val="008130D9"/>
    <w:rsid w:val="00813AC9"/>
    <w:rsid w:val="00830926"/>
    <w:rsid w:val="0084075A"/>
    <w:rsid w:val="0084268C"/>
    <w:rsid w:val="008429C9"/>
    <w:rsid w:val="00851012"/>
    <w:rsid w:val="00852125"/>
    <w:rsid w:val="0085515F"/>
    <w:rsid w:val="00864759"/>
    <w:rsid w:val="00870928"/>
    <w:rsid w:val="00874778"/>
    <w:rsid w:val="00897D15"/>
    <w:rsid w:val="008A12D2"/>
    <w:rsid w:val="008A5BDB"/>
    <w:rsid w:val="008C1FA0"/>
    <w:rsid w:val="008D2FD2"/>
    <w:rsid w:val="008E5B42"/>
    <w:rsid w:val="008F32CF"/>
    <w:rsid w:val="008F5F07"/>
    <w:rsid w:val="008F6E6C"/>
    <w:rsid w:val="00913F11"/>
    <w:rsid w:val="009203E0"/>
    <w:rsid w:val="00926BBB"/>
    <w:rsid w:val="009562FD"/>
    <w:rsid w:val="009575AE"/>
    <w:rsid w:val="00977F0A"/>
    <w:rsid w:val="0099099B"/>
    <w:rsid w:val="009914B3"/>
    <w:rsid w:val="0099435A"/>
    <w:rsid w:val="009960AB"/>
    <w:rsid w:val="009A0C26"/>
    <w:rsid w:val="009A1954"/>
    <w:rsid w:val="009A3198"/>
    <w:rsid w:val="009A4BFE"/>
    <w:rsid w:val="009B624A"/>
    <w:rsid w:val="009C3748"/>
    <w:rsid w:val="009D570E"/>
    <w:rsid w:val="009D75FB"/>
    <w:rsid w:val="00A06FB7"/>
    <w:rsid w:val="00A35FAA"/>
    <w:rsid w:val="00A36629"/>
    <w:rsid w:val="00A36893"/>
    <w:rsid w:val="00A54AA0"/>
    <w:rsid w:val="00A96866"/>
    <w:rsid w:val="00AA06D9"/>
    <w:rsid w:val="00AA0CCF"/>
    <w:rsid w:val="00AA7526"/>
    <w:rsid w:val="00AC6C35"/>
    <w:rsid w:val="00AC7E59"/>
    <w:rsid w:val="00AE6522"/>
    <w:rsid w:val="00AF3F96"/>
    <w:rsid w:val="00B044BA"/>
    <w:rsid w:val="00B04BCE"/>
    <w:rsid w:val="00B163A0"/>
    <w:rsid w:val="00B174BA"/>
    <w:rsid w:val="00B21B6A"/>
    <w:rsid w:val="00B33C66"/>
    <w:rsid w:val="00B41540"/>
    <w:rsid w:val="00B52F05"/>
    <w:rsid w:val="00B65FC0"/>
    <w:rsid w:val="00B708D5"/>
    <w:rsid w:val="00B74DA5"/>
    <w:rsid w:val="00B75226"/>
    <w:rsid w:val="00B75D69"/>
    <w:rsid w:val="00B901AE"/>
    <w:rsid w:val="00B93362"/>
    <w:rsid w:val="00BA173B"/>
    <w:rsid w:val="00BA395E"/>
    <w:rsid w:val="00BA79B7"/>
    <w:rsid w:val="00BB40E6"/>
    <w:rsid w:val="00BD1C9B"/>
    <w:rsid w:val="00BE1A71"/>
    <w:rsid w:val="00BF32D5"/>
    <w:rsid w:val="00C071F9"/>
    <w:rsid w:val="00C13B65"/>
    <w:rsid w:val="00C3093F"/>
    <w:rsid w:val="00C421DB"/>
    <w:rsid w:val="00C43FE5"/>
    <w:rsid w:val="00C46C81"/>
    <w:rsid w:val="00C574C6"/>
    <w:rsid w:val="00C6692E"/>
    <w:rsid w:val="00C72720"/>
    <w:rsid w:val="00C75513"/>
    <w:rsid w:val="00C76268"/>
    <w:rsid w:val="00C92833"/>
    <w:rsid w:val="00C9284A"/>
    <w:rsid w:val="00C92888"/>
    <w:rsid w:val="00C9515F"/>
    <w:rsid w:val="00CB10B1"/>
    <w:rsid w:val="00CD2451"/>
    <w:rsid w:val="00CF0494"/>
    <w:rsid w:val="00CF209A"/>
    <w:rsid w:val="00CF3C08"/>
    <w:rsid w:val="00D15C2D"/>
    <w:rsid w:val="00D23D8F"/>
    <w:rsid w:val="00D464AC"/>
    <w:rsid w:val="00D52057"/>
    <w:rsid w:val="00D5563C"/>
    <w:rsid w:val="00D55F40"/>
    <w:rsid w:val="00D62870"/>
    <w:rsid w:val="00D62FCD"/>
    <w:rsid w:val="00D65891"/>
    <w:rsid w:val="00D7188D"/>
    <w:rsid w:val="00D818DD"/>
    <w:rsid w:val="00D82A23"/>
    <w:rsid w:val="00DB7C1D"/>
    <w:rsid w:val="00DB7E4D"/>
    <w:rsid w:val="00DC5B0C"/>
    <w:rsid w:val="00DE2CA1"/>
    <w:rsid w:val="00DE55EE"/>
    <w:rsid w:val="00DF79EA"/>
    <w:rsid w:val="00E03259"/>
    <w:rsid w:val="00E12119"/>
    <w:rsid w:val="00E333AA"/>
    <w:rsid w:val="00E465A6"/>
    <w:rsid w:val="00E55629"/>
    <w:rsid w:val="00E56CE1"/>
    <w:rsid w:val="00E57A2E"/>
    <w:rsid w:val="00E623E5"/>
    <w:rsid w:val="00E6644E"/>
    <w:rsid w:val="00E6797E"/>
    <w:rsid w:val="00E74648"/>
    <w:rsid w:val="00E921C3"/>
    <w:rsid w:val="00E936AD"/>
    <w:rsid w:val="00EA3837"/>
    <w:rsid w:val="00EC0697"/>
    <w:rsid w:val="00EC7E4F"/>
    <w:rsid w:val="00ED5BCB"/>
    <w:rsid w:val="00EE487D"/>
    <w:rsid w:val="00EF463A"/>
    <w:rsid w:val="00F0628B"/>
    <w:rsid w:val="00F22D93"/>
    <w:rsid w:val="00F23EA0"/>
    <w:rsid w:val="00F349A1"/>
    <w:rsid w:val="00F5228A"/>
    <w:rsid w:val="00F70511"/>
    <w:rsid w:val="00F7381A"/>
    <w:rsid w:val="00F8456F"/>
    <w:rsid w:val="00F91D17"/>
    <w:rsid w:val="00F977C9"/>
    <w:rsid w:val="00FA1AF5"/>
    <w:rsid w:val="00FC7150"/>
    <w:rsid w:val="00FD4F94"/>
    <w:rsid w:val="00FD7E8C"/>
    <w:rsid w:val="00FE0280"/>
    <w:rsid w:val="00FE50AC"/>
    <w:rsid w:val="00FE5FC8"/>
    <w:rsid w:val="00FE7A68"/>
    <w:rsid w:val="00FF5175"/>
    <w:rsid w:val="00FF6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C5BF31C-7A3B-44CD-B4E7-F0BC8556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416"/>
    <w:pPr>
      <w:overflowPunct w:val="0"/>
      <w:autoSpaceDE w:val="0"/>
      <w:autoSpaceDN w:val="0"/>
      <w:adjustRightInd w:val="0"/>
      <w:textAlignment w:val="baseline"/>
    </w:pPr>
  </w:style>
  <w:style w:type="paragraph" w:styleId="1">
    <w:name w:val="heading 1"/>
    <w:basedOn w:val="a"/>
    <w:next w:val="a"/>
    <w:link w:val="10"/>
    <w:qFormat/>
    <w:rsid w:val="00193A2B"/>
    <w:pPr>
      <w:keepNext/>
      <w:spacing w:before="240" w:after="60"/>
      <w:outlineLvl w:val="0"/>
    </w:pPr>
    <w:rPr>
      <w:rFonts w:ascii="Cambria" w:hAnsi="Cambria"/>
      <w:b/>
      <w:bCs/>
      <w:kern w:val="32"/>
      <w:sz w:val="32"/>
      <w:szCs w:val="32"/>
    </w:rPr>
  </w:style>
  <w:style w:type="paragraph" w:styleId="3">
    <w:name w:val="heading 3"/>
    <w:basedOn w:val="a"/>
    <w:next w:val="a"/>
    <w:link w:val="30"/>
    <w:unhideWhenUsed/>
    <w:qFormat/>
    <w:rsid w:val="000371B6"/>
    <w:pPr>
      <w:keepNext/>
      <w:keepLines/>
      <w:overflowPunct/>
      <w:autoSpaceDE/>
      <w:autoSpaceDN/>
      <w:adjustRightInd/>
      <w:spacing w:before="200"/>
      <w:textAlignment w:val="auto"/>
      <w:outlineLvl w:val="2"/>
    </w:pPr>
    <w:rPr>
      <w:rFonts w:ascii="Cambria" w:hAnsi="Cambria"/>
      <w:b/>
      <w:bCs/>
      <w:color w:val="4F81BD"/>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99435A"/>
    <w:pPr>
      <w:overflowPunct/>
      <w:autoSpaceDE/>
      <w:autoSpaceDN/>
      <w:adjustRightInd/>
      <w:spacing w:after="200" w:line="276" w:lineRule="auto"/>
      <w:ind w:left="720"/>
      <w:contextualSpacing/>
      <w:textAlignment w:val="auto"/>
    </w:pPr>
    <w:rPr>
      <w:rFonts w:ascii="Calibri" w:hAnsi="Calibri"/>
      <w:sz w:val="22"/>
      <w:szCs w:val="22"/>
    </w:rPr>
  </w:style>
  <w:style w:type="paragraph" w:customStyle="1" w:styleId="5">
    <w:name w:val="Основной текст5"/>
    <w:basedOn w:val="a"/>
    <w:rsid w:val="00C92888"/>
    <w:pPr>
      <w:widowControl w:val="0"/>
      <w:shd w:val="clear" w:color="auto" w:fill="FFFFFF"/>
      <w:overflowPunct/>
      <w:autoSpaceDE/>
      <w:autoSpaceDN/>
      <w:adjustRightInd/>
      <w:spacing w:after="300" w:line="274" w:lineRule="exact"/>
      <w:ind w:hanging="360"/>
      <w:jc w:val="center"/>
      <w:textAlignment w:val="auto"/>
    </w:pPr>
    <w:rPr>
      <w:color w:val="000000"/>
      <w:spacing w:val="-1"/>
      <w:sz w:val="22"/>
      <w:szCs w:val="22"/>
    </w:rPr>
  </w:style>
  <w:style w:type="character" w:customStyle="1" w:styleId="FontStyle66">
    <w:name w:val="Font Style66"/>
    <w:rsid w:val="0062441A"/>
    <w:rPr>
      <w:rFonts w:ascii="Times New Roman" w:hAnsi="Times New Roman" w:cs="Times New Roman"/>
      <w:sz w:val="26"/>
      <w:szCs w:val="26"/>
    </w:rPr>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Знак Зна"/>
    <w:basedOn w:val="a"/>
    <w:link w:val="11"/>
    <w:qFormat/>
    <w:rsid w:val="00B04BCE"/>
    <w:pPr>
      <w:overflowPunct/>
      <w:autoSpaceDE/>
      <w:autoSpaceDN/>
      <w:adjustRightInd/>
      <w:spacing w:before="100" w:beforeAutospacing="1" w:after="100" w:afterAutospacing="1"/>
      <w:textAlignment w:val="auto"/>
    </w:pPr>
    <w:rPr>
      <w:sz w:val="24"/>
      <w:szCs w:val="24"/>
    </w:rPr>
  </w:style>
  <w:style w:type="paragraph" w:styleId="a4">
    <w:name w:val="List Paragraph"/>
    <w:basedOn w:val="a"/>
    <w:uiPriority w:val="34"/>
    <w:qFormat/>
    <w:rsid w:val="00BA395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5">
    <w:name w:val="Body Text Indent"/>
    <w:aliases w:val="Основной текст 1,Нумерованный список !!,Надин стиль"/>
    <w:basedOn w:val="a"/>
    <w:link w:val="a6"/>
    <w:rsid w:val="00437E18"/>
    <w:pPr>
      <w:overflowPunct/>
      <w:autoSpaceDE/>
      <w:autoSpaceDN/>
      <w:adjustRightInd/>
      <w:spacing w:after="120"/>
      <w:ind w:left="283"/>
      <w:textAlignment w:val="auto"/>
    </w:pPr>
    <w:rPr>
      <w:sz w:val="24"/>
      <w:szCs w:val="24"/>
    </w:rPr>
  </w:style>
  <w:style w:type="character" w:customStyle="1" w:styleId="1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Знак Зна Знак"/>
    <w:link w:val="a3"/>
    <w:rsid w:val="00DF79EA"/>
    <w:rPr>
      <w:sz w:val="24"/>
      <w:szCs w:val="24"/>
      <w:lang w:val="ru-RU" w:eastAsia="ru-RU" w:bidi="ar-SA"/>
    </w:rPr>
  </w:style>
  <w:style w:type="character" w:styleId="a7">
    <w:name w:val="Emphasis"/>
    <w:qFormat/>
    <w:rsid w:val="007D309B"/>
    <w:rPr>
      <w:i/>
      <w:iCs/>
    </w:rPr>
  </w:style>
  <w:style w:type="character" w:styleId="a8">
    <w:name w:val="Strong"/>
    <w:qFormat/>
    <w:rsid w:val="003111DE"/>
    <w:rPr>
      <w:b/>
      <w:bCs/>
    </w:rPr>
  </w:style>
  <w:style w:type="character" w:styleId="a9">
    <w:name w:val="Hyperlink"/>
    <w:rsid w:val="003111DE"/>
    <w:rPr>
      <w:color w:val="0000FF"/>
      <w:u w:val="single"/>
    </w:rPr>
  </w:style>
  <w:style w:type="paragraph" w:styleId="aa">
    <w:name w:val="Body Text"/>
    <w:basedOn w:val="a"/>
    <w:rsid w:val="00ED5BCB"/>
    <w:pPr>
      <w:spacing w:after="120"/>
    </w:pPr>
  </w:style>
  <w:style w:type="character" w:customStyle="1" w:styleId="a6">
    <w:name w:val="Основной текст с отступом Знак"/>
    <w:aliases w:val="Основной текст 1 Знак,Нумерованный список !! Знак,Надин стиль Знак"/>
    <w:link w:val="a5"/>
    <w:rsid w:val="00FD4F94"/>
    <w:rPr>
      <w:sz w:val="24"/>
      <w:szCs w:val="24"/>
      <w:lang w:val="ru-RU" w:eastAsia="ru-RU" w:bidi="ar-SA"/>
    </w:rPr>
  </w:style>
  <w:style w:type="paragraph" w:customStyle="1" w:styleId="ConsPlusNormal">
    <w:name w:val="ConsPlusNormal"/>
    <w:rsid w:val="00D818DD"/>
    <w:pPr>
      <w:widowControl w:val="0"/>
      <w:autoSpaceDE w:val="0"/>
      <w:autoSpaceDN w:val="0"/>
      <w:adjustRightInd w:val="0"/>
      <w:ind w:firstLine="720"/>
    </w:pPr>
    <w:rPr>
      <w:rFonts w:ascii="Arial" w:hAnsi="Arial" w:cs="Arial"/>
    </w:rPr>
  </w:style>
  <w:style w:type="paragraph" w:customStyle="1" w:styleId="ConsPlusTitle">
    <w:name w:val="ConsPlusTitle"/>
    <w:rsid w:val="0026004E"/>
    <w:pPr>
      <w:widowControl w:val="0"/>
      <w:autoSpaceDE w:val="0"/>
      <w:autoSpaceDN w:val="0"/>
    </w:pPr>
    <w:rPr>
      <w:rFonts w:eastAsia="Calibri"/>
      <w:b/>
      <w:sz w:val="24"/>
    </w:rPr>
  </w:style>
  <w:style w:type="paragraph" w:customStyle="1" w:styleId="ab">
    <w:name w:val="Знак Знак Знак Знак"/>
    <w:basedOn w:val="a"/>
    <w:rsid w:val="0060665E"/>
    <w:pPr>
      <w:overflowPunct/>
      <w:autoSpaceDE/>
      <w:autoSpaceDN/>
      <w:adjustRightInd/>
      <w:textAlignment w:val="auto"/>
    </w:pPr>
    <w:rPr>
      <w:rFonts w:ascii="Verdana" w:hAnsi="Verdana" w:cs="Verdana"/>
      <w:lang w:val="en-US" w:eastAsia="en-US"/>
    </w:rPr>
  </w:style>
  <w:style w:type="paragraph" w:styleId="ac">
    <w:name w:val="No Spacing"/>
    <w:uiPriority w:val="1"/>
    <w:qFormat/>
    <w:rsid w:val="004900CD"/>
    <w:rPr>
      <w:rFonts w:ascii="Calibri" w:eastAsia="Calibri" w:hAnsi="Calibri"/>
      <w:sz w:val="22"/>
      <w:szCs w:val="22"/>
      <w:lang w:eastAsia="en-US"/>
    </w:rPr>
  </w:style>
  <w:style w:type="character" w:customStyle="1" w:styleId="30">
    <w:name w:val="Заголовок 3 Знак"/>
    <w:link w:val="3"/>
    <w:rsid w:val="000371B6"/>
    <w:rPr>
      <w:rFonts w:ascii="Cambria" w:hAnsi="Cambria"/>
      <w:b/>
      <w:bCs/>
      <w:color w:val="4F81BD"/>
      <w:sz w:val="22"/>
      <w:szCs w:val="24"/>
    </w:rPr>
  </w:style>
  <w:style w:type="character" w:customStyle="1" w:styleId="postfulltxt">
    <w:name w:val="post_full_txt"/>
    <w:rsid w:val="008F32CF"/>
  </w:style>
  <w:style w:type="paragraph" w:customStyle="1" w:styleId="12">
    <w:name w:val=" Знак1"/>
    <w:basedOn w:val="a"/>
    <w:rsid w:val="009D75FB"/>
    <w:pPr>
      <w:overflowPunct/>
      <w:autoSpaceDE/>
      <w:autoSpaceDN/>
      <w:adjustRightInd/>
      <w:textAlignment w:val="auto"/>
    </w:pPr>
    <w:rPr>
      <w:rFonts w:ascii="Verdana" w:hAnsi="Verdana" w:cs="Verdana"/>
      <w:lang w:val="en-US" w:eastAsia="en-US"/>
    </w:rPr>
  </w:style>
  <w:style w:type="paragraph" w:styleId="2">
    <w:name w:val="Body Text 2"/>
    <w:basedOn w:val="a"/>
    <w:link w:val="20"/>
    <w:rsid w:val="000916D7"/>
    <w:pPr>
      <w:spacing w:after="120" w:line="480" w:lineRule="auto"/>
    </w:pPr>
  </w:style>
  <w:style w:type="character" w:customStyle="1" w:styleId="20">
    <w:name w:val="Основной текст 2 Знак"/>
    <w:basedOn w:val="a0"/>
    <w:link w:val="2"/>
    <w:rsid w:val="000916D7"/>
  </w:style>
  <w:style w:type="character" w:customStyle="1" w:styleId="10">
    <w:name w:val="Заголовок 1 Знак"/>
    <w:link w:val="1"/>
    <w:rsid w:val="00193A2B"/>
    <w:rPr>
      <w:rFonts w:ascii="Cambria" w:eastAsia="Times New Roman" w:hAnsi="Cambria" w:cs="Times New Roman"/>
      <w:b/>
      <w:bCs/>
      <w:kern w:val="32"/>
      <w:sz w:val="32"/>
      <w:szCs w:val="32"/>
    </w:rPr>
  </w:style>
  <w:style w:type="paragraph" w:customStyle="1" w:styleId="13">
    <w:name w:val="Абзац списка1"/>
    <w:basedOn w:val="a"/>
    <w:rsid w:val="00913F11"/>
    <w:pPr>
      <w:overflowPunct/>
      <w:autoSpaceDE/>
      <w:autoSpaceDN/>
      <w:adjustRightInd/>
      <w:spacing w:after="200" w:line="276" w:lineRule="auto"/>
      <w:ind w:left="720"/>
      <w:textAlignment w:val="auto"/>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18371">
      <w:bodyDiv w:val="1"/>
      <w:marLeft w:val="0"/>
      <w:marRight w:val="0"/>
      <w:marTop w:val="0"/>
      <w:marBottom w:val="0"/>
      <w:divBdr>
        <w:top w:val="none" w:sz="0" w:space="0" w:color="auto"/>
        <w:left w:val="none" w:sz="0" w:space="0" w:color="auto"/>
        <w:bottom w:val="none" w:sz="0" w:space="0" w:color="auto"/>
        <w:right w:val="none" w:sz="0" w:space="0" w:color="auto"/>
      </w:divBdr>
    </w:div>
    <w:div w:id="93791323">
      <w:bodyDiv w:val="1"/>
      <w:marLeft w:val="0"/>
      <w:marRight w:val="0"/>
      <w:marTop w:val="0"/>
      <w:marBottom w:val="0"/>
      <w:divBdr>
        <w:top w:val="none" w:sz="0" w:space="0" w:color="auto"/>
        <w:left w:val="none" w:sz="0" w:space="0" w:color="auto"/>
        <w:bottom w:val="none" w:sz="0" w:space="0" w:color="auto"/>
        <w:right w:val="none" w:sz="0" w:space="0" w:color="auto"/>
      </w:divBdr>
    </w:div>
    <w:div w:id="152726567">
      <w:bodyDiv w:val="1"/>
      <w:marLeft w:val="0"/>
      <w:marRight w:val="0"/>
      <w:marTop w:val="0"/>
      <w:marBottom w:val="0"/>
      <w:divBdr>
        <w:top w:val="none" w:sz="0" w:space="0" w:color="auto"/>
        <w:left w:val="none" w:sz="0" w:space="0" w:color="auto"/>
        <w:bottom w:val="none" w:sz="0" w:space="0" w:color="auto"/>
        <w:right w:val="none" w:sz="0" w:space="0" w:color="auto"/>
      </w:divBdr>
    </w:div>
    <w:div w:id="180316510">
      <w:bodyDiv w:val="1"/>
      <w:marLeft w:val="0"/>
      <w:marRight w:val="0"/>
      <w:marTop w:val="0"/>
      <w:marBottom w:val="0"/>
      <w:divBdr>
        <w:top w:val="none" w:sz="0" w:space="0" w:color="auto"/>
        <w:left w:val="none" w:sz="0" w:space="0" w:color="auto"/>
        <w:bottom w:val="none" w:sz="0" w:space="0" w:color="auto"/>
        <w:right w:val="none" w:sz="0" w:space="0" w:color="auto"/>
      </w:divBdr>
    </w:div>
    <w:div w:id="209152320">
      <w:bodyDiv w:val="1"/>
      <w:marLeft w:val="0"/>
      <w:marRight w:val="0"/>
      <w:marTop w:val="0"/>
      <w:marBottom w:val="0"/>
      <w:divBdr>
        <w:top w:val="none" w:sz="0" w:space="0" w:color="auto"/>
        <w:left w:val="none" w:sz="0" w:space="0" w:color="auto"/>
        <w:bottom w:val="none" w:sz="0" w:space="0" w:color="auto"/>
        <w:right w:val="none" w:sz="0" w:space="0" w:color="auto"/>
      </w:divBdr>
    </w:div>
    <w:div w:id="332025245">
      <w:bodyDiv w:val="1"/>
      <w:marLeft w:val="0"/>
      <w:marRight w:val="0"/>
      <w:marTop w:val="0"/>
      <w:marBottom w:val="0"/>
      <w:divBdr>
        <w:top w:val="none" w:sz="0" w:space="0" w:color="auto"/>
        <w:left w:val="none" w:sz="0" w:space="0" w:color="auto"/>
        <w:bottom w:val="none" w:sz="0" w:space="0" w:color="auto"/>
        <w:right w:val="none" w:sz="0" w:space="0" w:color="auto"/>
      </w:divBdr>
      <w:divsChild>
        <w:div w:id="438261403">
          <w:marLeft w:val="0"/>
          <w:marRight w:val="0"/>
          <w:marTop w:val="0"/>
          <w:marBottom w:val="0"/>
          <w:divBdr>
            <w:top w:val="none" w:sz="0" w:space="0" w:color="auto"/>
            <w:left w:val="none" w:sz="0" w:space="0" w:color="auto"/>
            <w:bottom w:val="none" w:sz="0" w:space="0" w:color="auto"/>
            <w:right w:val="none" w:sz="0" w:space="0" w:color="auto"/>
          </w:divBdr>
        </w:div>
        <w:div w:id="560948685">
          <w:marLeft w:val="0"/>
          <w:marRight w:val="0"/>
          <w:marTop w:val="0"/>
          <w:marBottom w:val="0"/>
          <w:divBdr>
            <w:top w:val="none" w:sz="0" w:space="0" w:color="auto"/>
            <w:left w:val="none" w:sz="0" w:space="0" w:color="auto"/>
            <w:bottom w:val="none" w:sz="0" w:space="0" w:color="auto"/>
            <w:right w:val="none" w:sz="0" w:space="0" w:color="auto"/>
          </w:divBdr>
        </w:div>
        <w:div w:id="710809651">
          <w:marLeft w:val="0"/>
          <w:marRight w:val="0"/>
          <w:marTop w:val="0"/>
          <w:marBottom w:val="0"/>
          <w:divBdr>
            <w:top w:val="none" w:sz="0" w:space="0" w:color="auto"/>
            <w:left w:val="none" w:sz="0" w:space="0" w:color="auto"/>
            <w:bottom w:val="none" w:sz="0" w:space="0" w:color="auto"/>
            <w:right w:val="none" w:sz="0" w:space="0" w:color="auto"/>
          </w:divBdr>
        </w:div>
        <w:div w:id="1297879723">
          <w:marLeft w:val="0"/>
          <w:marRight w:val="0"/>
          <w:marTop w:val="0"/>
          <w:marBottom w:val="0"/>
          <w:divBdr>
            <w:top w:val="none" w:sz="0" w:space="0" w:color="auto"/>
            <w:left w:val="none" w:sz="0" w:space="0" w:color="auto"/>
            <w:bottom w:val="none" w:sz="0" w:space="0" w:color="auto"/>
            <w:right w:val="none" w:sz="0" w:space="0" w:color="auto"/>
          </w:divBdr>
        </w:div>
        <w:div w:id="2072459072">
          <w:marLeft w:val="0"/>
          <w:marRight w:val="0"/>
          <w:marTop w:val="0"/>
          <w:marBottom w:val="0"/>
          <w:divBdr>
            <w:top w:val="none" w:sz="0" w:space="0" w:color="auto"/>
            <w:left w:val="none" w:sz="0" w:space="0" w:color="auto"/>
            <w:bottom w:val="none" w:sz="0" w:space="0" w:color="auto"/>
            <w:right w:val="none" w:sz="0" w:space="0" w:color="auto"/>
          </w:divBdr>
        </w:div>
      </w:divsChild>
    </w:div>
    <w:div w:id="380903887">
      <w:bodyDiv w:val="1"/>
      <w:marLeft w:val="0"/>
      <w:marRight w:val="0"/>
      <w:marTop w:val="0"/>
      <w:marBottom w:val="0"/>
      <w:divBdr>
        <w:top w:val="none" w:sz="0" w:space="0" w:color="auto"/>
        <w:left w:val="none" w:sz="0" w:space="0" w:color="auto"/>
        <w:bottom w:val="none" w:sz="0" w:space="0" w:color="auto"/>
        <w:right w:val="none" w:sz="0" w:space="0" w:color="auto"/>
      </w:divBdr>
    </w:div>
    <w:div w:id="544221004">
      <w:bodyDiv w:val="1"/>
      <w:marLeft w:val="0"/>
      <w:marRight w:val="0"/>
      <w:marTop w:val="0"/>
      <w:marBottom w:val="0"/>
      <w:divBdr>
        <w:top w:val="none" w:sz="0" w:space="0" w:color="auto"/>
        <w:left w:val="none" w:sz="0" w:space="0" w:color="auto"/>
        <w:bottom w:val="none" w:sz="0" w:space="0" w:color="auto"/>
        <w:right w:val="none" w:sz="0" w:space="0" w:color="auto"/>
      </w:divBdr>
    </w:div>
    <w:div w:id="572282642">
      <w:bodyDiv w:val="1"/>
      <w:marLeft w:val="0"/>
      <w:marRight w:val="0"/>
      <w:marTop w:val="0"/>
      <w:marBottom w:val="0"/>
      <w:divBdr>
        <w:top w:val="none" w:sz="0" w:space="0" w:color="auto"/>
        <w:left w:val="none" w:sz="0" w:space="0" w:color="auto"/>
        <w:bottom w:val="none" w:sz="0" w:space="0" w:color="auto"/>
        <w:right w:val="none" w:sz="0" w:space="0" w:color="auto"/>
      </w:divBdr>
      <w:divsChild>
        <w:div w:id="595853">
          <w:marLeft w:val="0"/>
          <w:marRight w:val="0"/>
          <w:marTop w:val="0"/>
          <w:marBottom w:val="0"/>
          <w:divBdr>
            <w:top w:val="none" w:sz="0" w:space="0" w:color="auto"/>
            <w:left w:val="none" w:sz="0" w:space="0" w:color="auto"/>
            <w:bottom w:val="none" w:sz="0" w:space="0" w:color="auto"/>
            <w:right w:val="none" w:sz="0" w:space="0" w:color="auto"/>
          </w:divBdr>
        </w:div>
        <w:div w:id="122357743">
          <w:marLeft w:val="0"/>
          <w:marRight w:val="0"/>
          <w:marTop w:val="0"/>
          <w:marBottom w:val="0"/>
          <w:divBdr>
            <w:top w:val="none" w:sz="0" w:space="0" w:color="auto"/>
            <w:left w:val="none" w:sz="0" w:space="0" w:color="auto"/>
            <w:bottom w:val="none" w:sz="0" w:space="0" w:color="auto"/>
            <w:right w:val="none" w:sz="0" w:space="0" w:color="auto"/>
          </w:divBdr>
        </w:div>
        <w:div w:id="683167088">
          <w:marLeft w:val="0"/>
          <w:marRight w:val="0"/>
          <w:marTop w:val="0"/>
          <w:marBottom w:val="0"/>
          <w:divBdr>
            <w:top w:val="none" w:sz="0" w:space="0" w:color="auto"/>
            <w:left w:val="none" w:sz="0" w:space="0" w:color="auto"/>
            <w:bottom w:val="none" w:sz="0" w:space="0" w:color="auto"/>
            <w:right w:val="none" w:sz="0" w:space="0" w:color="auto"/>
          </w:divBdr>
        </w:div>
        <w:div w:id="857742349">
          <w:marLeft w:val="0"/>
          <w:marRight w:val="0"/>
          <w:marTop w:val="0"/>
          <w:marBottom w:val="0"/>
          <w:divBdr>
            <w:top w:val="none" w:sz="0" w:space="0" w:color="auto"/>
            <w:left w:val="none" w:sz="0" w:space="0" w:color="auto"/>
            <w:bottom w:val="none" w:sz="0" w:space="0" w:color="auto"/>
            <w:right w:val="none" w:sz="0" w:space="0" w:color="auto"/>
          </w:divBdr>
        </w:div>
        <w:div w:id="976033187">
          <w:marLeft w:val="0"/>
          <w:marRight w:val="0"/>
          <w:marTop w:val="0"/>
          <w:marBottom w:val="0"/>
          <w:divBdr>
            <w:top w:val="none" w:sz="0" w:space="0" w:color="auto"/>
            <w:left w:val="none" w:sz="0" w:space="0" w:color="auto"/>
            <w:bottom w:val="none" w:sz="0" w:space="0" w:color="auto"/>
            <w:right w:val="none" w:sz="0" w:space="0" w:color="auto"/>
          </w:divBdr>
        </w:div>
        <w:div w:id="1635788337">
          <w:marLeft w:val="0"/>
          <w:marRight w:val="0"/>
          <w:marTop w:val="0"/>
          <w:marBottom w:val="0"/>
          <w:divBdr>
            <w:top w:val="none" w:sz="0" w:space="0" w:color="auto"/>
            <w:left w:val="none" w:sz="0" w:space="0" w:color="auto"/>
            <w:bottom w:val="none" w:sz="0" w:space="0" w:color="auto"/>
            <w:right w:val="none" w:sz="0" w:space="0" w:color="auto"/>
          </w:divBdr>
        </w:div>
        <w:div w:id="1714232090">
          <w:marLeft w:val="0"/>
          <w:marRight w:val="0"/>
          <w:marTop w:val="0"/>
          <w:marBottom w:val="0"/>
          <w:divBdr>
            <w:top w:val="none" w:sz="0" w:space="0" w:color="auto"/>
            <w:left w:val="none" w:sz="0" w:space="0" w:color="auto"/>
            <w:bottom w:val="none" w:sz="0" w:space="0" w:color="auto"/>
            <w:right w:val="none" w:sz="0" w:space="0" w:color="auto"/>
          </w:divBdr>
        </w:div>
      </w:divsChild>
    </w:div>
    <w:div w:id="619147333">
      <w:bodyDiv w:val="1"/>
      <w:marLeft w:val="0"/>
      <w:marRight w:val="0"/>
      <w:marTop w:val="0"/>
      <w:marBottom w:val="0"/>
      <w:divBdr>
        <w:top w:val="none" w:sz="0" w:space="0" w:color="auto"/>
        <w:left w:val="none" w:sz="0" w:space="0" w:color="auto"/>
        <w:bottom w:val="none" w:sz="0" w:space="0" w:color="auto"/>
        <w:right w:val="none" w:sz="0" w:space="0" w:color="auto"/>
      </w:divBdr>
    </w:div>
    <w:div w:id="651056900">
      <w:bodyDiv w:val="1"/>
      <w:marLeft w:val="0"/>
      <w:marRight w:val="0"/>
      <w:marTop w:val="0"/>
      <w:marBottom w:val="0"/>
      <w:divBdr>
        <w:top w:val="none" w:sz="0" w:space="0" w:color="auto"/>
        <w:left w:val="none" w:sz="0" w:space="0" w:color="auto"/>
        <w:bottom w:val="none" w:sz="0" w:space="0" w:color="auto"/>
        <w:right w:val="none" w:sz="0" w:space="0" w:color="auto"/>
      </w:divBdr>
    </w:div>
    <w:div w:id="770394815">
      <w:bodyDiv w:val="1"/>
      <w:marLeft w:val="0"/>
      <w:marRight w:val="0"/>
      <w:marTop w:val="0"/>
      <w:marBottom w:val="0"/>
      <w:divBdr>
        <w:top w:val="none" w:sz="0" w:space="0" w:color="auto"/>
        <w:left w:val="none" w:sz="0" w:space="0" w:color="auto"/>
        <w:bottom w:val="none" w:sz="0" w:space="0" w:color="auto"/>
        <w:right w:val="none" w:sz="0" w:space="0" w:color="auto"/>
      </w:divBdr>
    </w:div>
    <w:div w:id="882248394">
      <w:bodyDiv w:val="1"/>
      <w:marLeft w:val="0"/>
      <w:marRight w:val="0"/>
      <w:marTop w:val="0"/>
      <w:marBottom w:val="0"/>
      <w:divBdr>
        <w:top w:val="none" w:sz="0" w:space="0" w:color="auto"/>
        <w:left w:val="none" w:sz="0" w:space="0" w:color="auto"/>
        <w:bottom w:val="none" w:sz="0" w:space="0" w:color="auto"/>
        <w:right w:val="none" w:sz="0" w:space="0" w:color="auto"/>
      </w:divBdr>
    </w:div>
    <w:div w:id="1084229275">
      <w:bodyDiv w:val="1"/>
      <w:marLeft w:val="0"/>
      <w:marRight w:val="0"/>
      <w:marTop w:val="0"/>
      <w:marBottom w:val="0"/>
      <w:divBdr>
        <w:top w:val="none" w:sz="0" w:space="0" w:color="auto"/>
        <w:left w:val="none" w:sz="0" w:space="0" w:color="auto"/>
        <w:bottom w:val="none" w:sz="0" w:space="0" w:color="auto"/>
        <w:right w:val="none" w:sz="0" w:space="0" w:color="auto"/>
      </w:divBdr>
      <w:divsChild>
        <w:div w:id="139880813">
          <w:marLeft w:val="0"/>
          <w:marRight w:val="0"/>
          <w:marTop w:val="0"/>
          <w:marBottom w:val="0"/>
          <w:divBdr>
            <w:top w:val="none" w:sz="0" w:space="0" w:color="auto"/>
            <w:left w:val="none" w:sz="0" w:space="0" w:color="auto"/>
            <w:bottom w:val="none" w:sz="0" w:space="0" w:color="auto"/>
            <w:right w:val="none" w:sz="0" w:space="0" w:color="auto"/>
          </w:divBdr>
        </w:div>
        <w:div w:id="217593630">
          <w:marLeft w:val="0"/>
          <w:marRight w:val="0"/>
          <w:marTop w:val="0"/>
          <w:marBottom w:val="0"/>
          <w:divBdr>
            <w:top w:val="none" w:sz="0" w:space="0" w:color="auto"/>
            <w:left w:val="none" w:sz="0" w:space="0" w:color="auto"/>
            <w:bottom w:val="none" w:sz="0" w:space="0" w:color="auto"/>
            <w:right w:val="none" w:sz="0" w:space="0" w:color="auto"/>
          </w:divBdr>
        </w:div>
        <w:div w:id="358313627">
          <w:marLeft w:val="0"/>
          <w:marRight w:val="0"/>
          <w:marTop w:val="0"/>
          <w:marBottom w:val="0"/>
          <w:divBdr>
            <w:top w:val="none" w:sz="0" w:space="0" w:color="auto"/>
            <w:left w:val="none" w:sz="0" w:space="0" w:color="auto"/>
            <w:bottom w:val="none" w:sz="0" w:space="0" w:color="auto"/>
            <w:right w:val="none" w:sz="0" w:space="0" w:color="auto"/>
          </w:divBdr>
        </w:div>
        <w:div w:id="535049071">
          <w:marLeft w:val="0"/>
          <w:marRight w:val="0"/>
          <w:marTop w:val="0"/>
          <w:marBottom w:val="0"/>
          <w:divBdr>
            <w:top w:val="none" w:sz="0" w:space="0" w:color="auto"/>
            <w:left w:val="none" w:sz="0" w:space="0" w:color="auto"/>
            <w:bottom w:val="none" w:sz="0" w:space="0" w:color="auto"/>
            <w:right w:val="none" w:sz="0" w:space="0" w:color="auto"/>
          </w:divBdr>
        </w:div>
        <w:div w:id="536165395">
          <w:marLeft w:val="0"/>
          <w:marRight w:val="0"/>
          <w:marTop w:val="0"/>
          <w:marBottom w:val="0"/>
          <w:divBdr>
            <w:top w:val="none" w:sz="0" w:space="0" w:color="auto"/>
            <w:left w:val="none" w:sz="0" w:space="0" w:color="auto"/>
            <w:bottom w:val="none" w:sz="0" w:space="0" w:color="auto"/>
            <w:right w:val="none" w:sz="0" w:space="0" w:color="auto"/>
          </w:divBdr>
        </w:div>
        <w:div w:id="546574255">
          <w:marLeft w:val="0"/>
          <w:marRight w:val="0"/>
          <w:marTop w:val="0"/>
          <w:marBottom w:val="0"/>
          <w:divBdr>
            <w:top w:val="none" w:sz="0" w:space="0" w:color="auto"/>
            <w:left w:val="none" w:sz="0" w:space="0" w:color="auto"/>
            <w:bottom w:val="none" w:sz="0" w:space="0" w:color="auto"/>
            <w:right w:val="none" w:sz="0" w:space="0" w:color="auto"/>
          </w:divBdr>
        </w:div>
        <w:div w:id="616453980">
          <w:marLeft w:val="0"/>
          <w:marRight w:val="0"/>
          <w:marTop w:val="0"/>
          <w:marBottom w:val="0"/>
          <w:divBdr>
            <w:top w:val="none" w:sz="0" w:space="0" w:color="auto"/>
            <w:left w:val="none" w:sz="0" w:space="0" w:color="auto"/>
            <w:bottom w:val="none" w:sz="0" w:space="0" w:color="auto"/>
            <w:right w:val="none" w:sz="0" w:space="0" w:color="auto"/>
          </w:divBdr>
        </w:div>
        <w:div w:id="659698706">
          <w:marLeft w:val="0"/>
          <w:marRight w:val="0"/>
          <w:marTop w:val="0"/>
          <w:marBottom w:val="0"/>
          <w:divBdr>
            <w:top w:val="none" w:sz="0" w:space="0" w:color="auto"/>
            <w:left w:val="none" w:sz="0" w:space="0" w:color="auto"/>
            <w:bottom w:val="none" w:sz="0" w:space="0" w:color="auto"/>
            <w:right w:val="none" w:sz="0" w:space="0" w:color="auto"/>
          </w:divBdr>
        </w:div>
        <w:div w:id="727727413">
          <w:marLeft w:val="0"/>
          <w:marRight w:val="0"/>
          <w:marTop w:val="0"/>
          <w:marBottom w:val="0"/>
          <w:divBdr>
            <w:top w:val="none" w:sz="0" w:space="0" w:color="auto"/>
            <w:left w:val="none" w:sz="0" w:space="0" w:color="auto"/>
            <w:bottom w:val="none" w:sz="0" w:space="0" w:color="auto"/>
            <w:right w:val="none" w:sz="0" w:space="0" w:color="auto"/>
          </w:divBdr>
        </w:div>
        <w:div w:id="883446319">
          <w:marLeft w:val="0"/>
          <w:marRight w:val="0"/>
          <w:marTop w:val="0"/>
          <w:marBottom w:val="0"/>
          <w:divBdr>
            <w:top w:val="none" w:sz="0" w:space="0" w:color="auto"/>
            <w:left w:val="none" w:sz="0" w:space="0" w:color="auto"/>
            <w:bottom w:val="none" w:sz="0" w:space="0" w:color="auto"/>
            <w:right w:val="none" w:sz="0" w:space="0" w:color="auto"/>
          </w:divBdr>
        </w:div>
        <w:div w:id="949897897">
          <w:marLeft w:val="0"/>
          <w:marRight w:val="0"/>
          <w:marTop w:val="0"/>
          <w:marBottom w:val="0"/>
          <w:divBdr>
            <w:top w:val="none" w:sz="0" w:space="0" w:color="auto"/>
            <w:left w:val="none" w:sz="0" w:space="0" w:color="auto"/>
            <w:bottom w:val="none" w:sz="0" w:space="0" w:color="auto"/>
            <w:right w:val="none" w:sz="0" w:space="0" w:color="auto"/>
          </w:divBdr>
        </w:div>
        <w:div w:id="999314224">
          <w:marLeft w:val="0"/>
          <w:marRight w:val="0"/>
          <w:marTop w:val="0"/>
          <w:marBottom w:val="0"/>
          <w:divBdr>
            <w:top w:val="none" w:sz="0" w:space="0" w:color="auto"/>
            <w:left w:val="none" w:sz="0" w:space="0" w:color="auto"/>
            <w:bottom w:val="none" w:sz="0" w:space="0" w:color="auto"/>
            <w:right w:val="none" w:sz="0" w:space="0" w:color="auto"/>
          </w:divBdr>
        </w:div>
        <w:div w:id="1034618286">
          <w:marLeft w:val="0"/>
          <w:marRight w:val="0"/>
          <w:marTop w:val="0"/>
          <w:marBottom w:val="0"/>
          <w:divBdr>
            <w:top w:val="none" w:sz="0" w:space="0" w:color="auto"/>
            <w:left w:val="none" w:sz="0" w:space="0" w:color="auto"/>
            <w:bottom w:val="none" w:sz="0" w:space="0" w:color="auto"/>
            <w:right w:val="none" w:sz="0" w:space="0" w:color="auto"/>
          </w:divBdr>
        </w:div>
        <w:div w:id="1118531282">
          <w:marLeft w:val="0"/>
          <w:marRight w:val="0"/>
          <w:marTop w:val="0"/>
          <w:marBottom w:val="0"/>
          <w:divBdr>
            <w:top w:val="none" w:sz="0" w:space="0" w:color="auto"/>
            <w:left w:val="none" w:sz="0" w:space="0" w:color="auto"/>
            <w:bottom w:val="none" w:sz="0" w:space="0" w:color="auto"/>
            <w:right w:val="none" w:sz="0" w:space="0" w:color="auto"/>
          </w:divBdr>
        </w:div>
        <w:div w:id="1148090370">
          <w:marLeft w:val="0"/>
          <w:marRight w:val="0"/>
          <w:marTop w:val="0"/>
          <w:marBottom w:val="0"/>
          <w:divBdr>
            <w:top w:val="none" w:sz="0" w:space="0" w:color="auto"/>
            <w:left w:val="none" w:sz="0" w:space="0" w:color="auto"/>
            <w:bottom w:val="none" w:sz="0" w:space="0" w:color="auto"/>
            <w:right w:val="none" w:sz="0" w:space="0" w:color="auto"/>
          </w:divBdr>
        </w:div>
        <w:div w:id="1400129658">
          <w:marLeft w:val="0"/>
          <w:marRight w:val="0"/>
          <w:marTop w:val="0"/>
          <w:marBottom w:val="0"/>
          <w:divBdr>
            <w:top w:val="none" w:sz="0" w:space="0" w:color="auto"/>
            <w:left w:val="none" w:sz="0" w:space="0" w:color="auto"/>
            <w:bottom w:val="none" w:sz="0" w:space="0" w:color="auto"/>
            <w:right w:val="none" w:sz="0" w:space="0" w:color="auto"/>
          </w:divBdr>
        </w:div>
        <w:div w:id="1531801151">
          <w:marLeft w:val="0"/>
          <w:marRight w:val="0"/>
          <w:marTop w:val="0"/>
          <w:marBottom w:val="0"/>
          <w:divBdr>
            <w:top w:val="none" w:sz="0" w:space="0" w:color="auto"/>
            <w:left w:val="none" w:sz="0" w:space="0" w:color="auto"/>
            <w:bottom w:val="none" w:sz="0" w:space="0" w:color="auto"/>
            <w:right w:val="none" w:sz="0" w:space="0" w:color="auto"/>
          </w:divBdr>
        </w:div>
        <w:div w:id="1582371698">
          <w:marLeft w:val="0"/>
          <w:marRight w:val="0"/>
          <w:marTop w:val="0"/>
          <w:marBottom w:val="0"/>
          <w:divBdr>
            <w:top w:val="none" w:sz="0" w:space="0" w:color="auto"/>
            <w:left w:val="none" w:sz="0" w:space="0" w:color="auto"/>
            <w:bottom w:val="none" w:sz="0" w:space="0" w:color="auto"/>
            <w:right w:val="none" w:sz="0" w:space="0" w:color="auto"/>
          </w:divBdr>
        </w:div>
        <w:div w:id="1742561295">
          <w:marLeft w:val="0"/>
          <w:marRight w:val="0"/>
          <w:marTop w:val="0"/>
          <w:marBottom w:val="0"/>
          <w:divBdr>
            <w:top w:val="none" w:sz="0" w:space="0" w:color="auto"/>
            <w:left w:val="none" w:sz="0" w:space="0" w:color="auto"/>
            <w:bottom w:val="none" w:sz="0" w:space="0" w:color="auto"/>
            <w:right w:val="none" w:sz="0" w:space="0" w:color="auto"/>
          </w:divBdr>
        </w:div>
        <w:div w:id="2008168691">
          <w:marLeft w:val="0"/>
          <w:marRight w:val="0"/>
          <w:marTop w:val="0"/>
          <w:marBottom w:val="0"/>
          <w:divBdr>
            <w:top w:val="none" w:sz="0" w:space="0" w:color="auto"/>
            <w:left w:val="none" w:sz="0" w:space="0" w:color="auto"/>
            <w:bottom w:val="none" w:sz="0" w:space="0" w:color="auto"/>
            <w:right w:val="none" w:sz="0" w:space="0" w:color="auto"/>
          </w:divBdr>
        </w:div>
        <w:div w:id="2029594925">
          <w:marLeft w:val="0"/>
          <w:marRight w:val="0"/>
          <w:marTop w:val="0"/>
          <w:marBottom w:val="0"/>
          <w:divBdr>
            <w:top w:val="none" w:sz="0" w:space="0" w:color="auto"/>
            <w:left w:val="none" w:sz="0" w:space="0" w:color="auto"/>
            <w:bottom w:val="none" w:sz="0" w:space="0" w:color="auto"/>
            <w:right w:val="none" w:sz="0" w:space="0" w:color="auto"/>
          </w:divBdr>
        </w:div>
        <w:div w:id="2037003318">
          <w:marLeft w:val="0"/>
          <w:marRight w:val="0"/>
          <w:marTop w:val="0"/>
          <w:marBottom w:val="0"/>
          <w:divBdr>
            <w:top w:val="none" w:sz="0" w:space="0" w:color="auto"/>
            <w:left w:val="none" w:sz="0" w:space="0" w:color="auto"/>
            <w:bottom w:val="none" w:sz="0" w:space="0" w:color="auto"/>
            <w:right w:val="none" w:sz="0" w:space="0" w:color="auto"/>
          </w:divBdr>
        </w:div>
        <w:div w:id="2105375357">
          <w:marLeft w:val="0"/>
          <w:marRight w:val="0"/>
          <w:marTop w:val="0"/>
          <w:marBottom w:val="0"/>
          <w:divBdr>
            <w:top w:val="none" w:sz="0" w:space="0" w:color="auto"/>
            <w:left w:val="none" w:sz="0" w:space="0" w:color="auto"/>
            <w:bottom w:val="none" w:sz="0" w:space="0" w:color="auto"/>
            <w:right w:val="none" w:sz="0" w:space="0" w:color="auto"/>
          </w:divBdr>
        </w:div>
        <w:div w:id="2143694087">
          <w:marLeft w:val="0"/>
          <w:marRight w:val="0"/>
          <w:marTop w:val="0"/>
          <w:marBottom w:val="0"/>
          <w:divBdr>
            <w:top w:val="none" w:sz="0" w:space="0" w:color="auto"/>
            <w:left w:val="none" w:sz="0" w:space="0" w:color="auto"/>
            <w:bottom w:val="none" w:sz="0" w:space="0" w:color="auto"/>
            <w:right w:val="none" w:sz="0" w:space="0" w:color="auto"/>
          </w:divBdr>
        </w:div>
      </w:divsChild>
    </w:div>
    <w:div w:id="1232540260">
      <w:bodyDiv w:val="1"/>
      <w:marLeft w:val="0"/>
      <w:marRight w:val="0"/>
      <w:marTop w:val="0"/>
      <w:marBottom w:val="0"/>
      <w:divBdr>
        <w:top w:val="none" w:sz="0" w:space="0" w:color="auto"/>
        <w:left w:val="none" w:sz="0" w:space="0" w:color="auto"/>
        <w:bottom w:val="none" w:sz="0" w:space="0" w:color="auto"/>
        <w:right w:val="none" w:sz="0" w:space="0" w:color="auto"/>
      </w:divBdr>
      <w:divsChild>
        <w:div w:id="1325226">
          <w:marLeft w:val="0"/>
          <w:marRight w:val="0"/>
          <w:marTop w:val="0"/>
          <w:marBottom w:val="0"/>
          <w:divBdr>
            <w:top w:val="none" w:sz="0" w:space="0" w:color="auto"/>
            <w:left w:val="none" w:sz="0" w:space="0" w:color="auto"/>
            <w:bottom w:val="none" w:sz="0" w:space="0" w:color="auto"/>
            <w:right w:val="none" w:sz="0" w:space="0" w:color="auto"/>
          </w:divBdr>
        </w:div>
        <w:div w:id="1445348329">
          <w:marLeft w:val="0"/>
          <w:marRight w:val="0"/>
          <w:marTop w:val="0"/>
          <w:marBottom w:val="0"/>
          <w:divBdr>
            <w:top w:val="none" w:sz="0" w:space="0" w:color="auto"/>
            <w:left w:val="none" w:sz="0" w:space="0" w:color="auto"/>
            <w:bottom w:val="none" w:sz="0" w:space="0" w:color="auto"/>
            <w:right w:val="none" w:sz="0" w:space="0" w:color="auto"/>
          </w:divBdr>
        </w:div>
        <w:div w:id="1507983874">
          <w:marLeft w:val="0"/>
          <w:marRight w:val="0"/>
          <w:marTop w:val="0"/>
          <w:marBottom w:val="0"/>
          <w:divBdr>
            <w:top w:val="none" w:sz="0" w:space="0" w:color="auto"/>
            <w:left w:val="none" w:sz="0" w:space="0" w:color="auto"/>
            <w:bottom w:val="none" w:sz="0" w:space="0" w:color="auto"/>
            <w:right w:val="none" w:sz="0" w:space="0" w:color="auto"/>
          </w:divBdr>
        </w:div>
        <w:div w:id="1637637539">
          <w:marLeft w:val="0"/>
          <w:marRight w:val="0"/>
          <w:marTop w:val="0"/>
          <w:marBottom w:val="0"/>
          <w:divBdr>
            <w:top w:val="none" w:sz="0" w:space="0" w:color="auto"/>
            <w:left w:val="none" w:sz="0" w:space="0" w:color="auto"/>
            <w:bottom w:val="none" w:sz="0" w:space="0" w:color="auto"/>
            <w:right w:val="none" w:sz="0" w:space="0" w:color="auto"/>
          </w:divBdr>
        </w:div>
        <w:div w:id="2008314898">
          <w:marLeft w:val="0"/>
          <w:marRight w:val="0"/>
          <w:marTop w:val="0"/>
          <w:marBottom w:val="0"/>
          <w:divBdr>
            <w:top w:val="none" w:sz="0" w:space="0" w:color="auto"/>
            <w:left w:val="none" w:sz="0" w:space="0" w:color="auto"/>
            <w:bottom w:val="none" w:sz="0" w:space="0" w:color="auto"/>
            <w:right w:val="none" w:sz="0" w:space="0" w:color="auto"/>
          </w:divBdr>
        </w:div>
        <w:div w:id="2032996635">
          <w:marLeft w:val="0"/>
          <w:marRight w:val="0"/>
          <w:marTop w:val="0"/>
          <w:marBottom w:val="0"/>
          <w:divBdr>
            <w:top w:val="none" w:sz="0" w:space="0" w:color="auto"/>
            <w:left w:val="none" w:sz="0" w:space="0" w:color="auto"/>
            <w:bottom w:val="none" w:sz="0" w:space="0" w:color="auto"/>
            <w:right w:val="none" w:sz="0" w:space="0" w:color="auto"/>
          </w:divBdr>
        </w:div>
      </w:divsChild>
    </w:div>
    <w:div w:id="1389114607">
      <w:bodyDiv w:val="1"/>
      <w:marLeft w:val="0"/>
      <w:marRight w:val="0"/>
      <w:marTop w:val="0"/>
      <w:marBottom w:val="0"/>
      <w:divBdr>
        <w:top w:val="none" w:sz="0" w:space="0" w:color="auto"/>
        <w:left w:val="none" w:sz="0" w:space="0" w:color="auto"/>
        <w:bottom w:val="none" w:sz="0" w:space="0" w:color="auto"/>
        <w:right w:val="none" w:sz="0" w:space="0" w:color="auto"/>
      </w:divBdr>
    </w:div>
    <w:div w:id="1693534513">
      <w:bodyDiv w:val="1"/>
      <w:marLeft w:val="0"/>
      <w:marRight w:val="0"/>
      <w:marTop w:val="0"/>
      <w:marBottom w:val="0"/>
      <w:divBdr>
        <w:top w:val="none" w:sz="0" w:space="0" w:color="auto"/>
        <w:left w:val="none" w:sz="0" w:space="0" w:color="auto"/>
        <w:bottom w:val="none" w:sz="0" w:space="0" w:color="auto"/>
        <w:right w:val="none" w:sz="0" w:space="0" w:color="auto"/>
      </w:divBdr>
    </w:div>
    <w:div w:id="1832479283">
      <w:bodyDiv w:val="1"/>
      <w:marLeft w:val="0"/>
      <w:marRight w:val="0"/>
      <w:marTop w:val="0"/>
      <w:marBottom w:val="0"/>
      <w:divBdr>
        <w:top w:val="none" w:sz="0" w:space="0" w:color="auto"/>
        <w:left w:val="none" w:sz="0" w:space="0" w:color="auto"/>
        <w:bottom w:val="none" w:sz="0" w:space="0" w:color="auto"/>
        <w:right w:val="none" w:sz="0" w:space="0" w:color="auto"/>
      </w:divBdr>
    </w:div>
    <w:div w:id="1872382216">
      <w:bodyDiv w:val="1"/>
      <w:marLeft w:val="0"/>
      <w:marRight w:val="0"/>
      <w:marTop w:val="0"/>
      <w:marBottom w:val="0"/>
      <w:divBdr>
        <w:top w:val="none" w:sz="0" w:space="0" w:color="auto"/>
        <w:left w:val="none" w:sz="0" w:space="0" w:color="auto"/>
        <w:bottom w:val="none" w:sz="0" w:space="0" w:color="auto"/>
        <w:right w:val="none" w:sz="0" w:space="0" w:color="auto"/>
      </w:divBdr>
    </w:div>
    <w:div w:id="1926725197">
      <w:bodyDiv w:val="1"/>
      <w:marLeft w:val="0"/>
      <w:marRight w:val="0"/>
      <w:marTop w:val="0"/>
      <w:marBottom w:val="0"/>
      <w:divBdr>
        <w:top w:val="none" w:sz="0" w:space="0" w:color="auto"/>
        <w:left w:val="none" w:sz="0" w:space="0" w:color="auto"/>
        <w:bottom w:val="none" w:sz="0" w:space="0" w:color="auto"/>
        <w:right w:val="none" w:sz="0" w:space="0" w:color="auto"/>
      </w:divBdr>
    </w:div>
    <w:div w:id="1933509159">
      <w:bodyDiv w:val="1"/>
      <w:marLeft w:val="0"/>
      <w:marRight w:val="0"/>
      <w:marTop w:val="0"/>
      <w:marBottom w:val="0"/>
      <w:divBdr>
        <w:top w:val="none" w:sz="0" w:space="0" w:color="auto"/>
        <w:left w:val="none" w:sz="0" w:space="0" w:color="auto"/>
        <w:bottom w:val="none" w:sz="0" w:space="0" w:color="auto"/>
        <w:right w:val="none" w:sz="0" w:space="0" w:color="auto"/>
      </w:divBdr>
      <w:divsChild>
        <w:div w:id="11036409">
          <w:marLeft w:val="0"/>
          <w:marRight w:val="0"/>
          <w:marTop w:val="0"/>
          <w:marBottom w:val="0"/>
          <w:divBdr>
            <w:top w:val="none" w:sz="0" w:space="0" w:color="auto"/>
            <w:left w:val="none" w:sz="0" w:space="0" w:color="auto"/>
            <w:bottom w:val="none" w:sz="0" w:space="0" w:color="auto"/>
            <w:right w:val="none" w:sz="0" w:space="0" w:color="auto"/>
          </w:divBdr>
        </w:div>
        <w:div w:id="14811639">
          <w:marLeft w:val="0"/>
          <w:marRight w:val="0"/>
          <w:marTop w:val="0"/>
          <w:marBottom w:val="0"/>
          <w:divBdr>
            <w:top w:val="none" w:sz="0" w:space="0" w:color="auto"/>
            <w:left w:val="none" w:sz="0" w:space="0" w:color="auto"/>
            <w:bottom w:val="none" w:sz="0" w:space="0" w:color="auto"/>
            <w:right w:val="none" w:sz="0" w:space="0" w:color="auto"/>
          </w:divBdr>
        </w:div>
        <w:div w:id="333805192">
          <w:marLeft w:val="0"/>
          <w:marRight w:val="0"/>
          <w:marTop w:val="0"/>
          <w:marBottom w:val="0"/>
          <w:divBdr>
            <w:top w:val="none" w:sz="0" w:space="0" w:color="auto"/>
            <w:left w:val="none" w:sz="0" w:space="0" w:color="auto"/>
            <w:bottom w:val="none" w:sz="0" w:space="0" w:color="auto"/>
            <w:right w:val="none" w:sz="0" w:space="0" w:color="auto"/>
          </w:divBdr>
        </w:div>
        <w:div w:id="469128084">
          <w:marLeft w:val="0"/>
          <w:marRight w:val="0"/>
          <w:marTop w:val="0"/>
          <w:marBottom w:val="0"/>
          <w:divBdr>
            <w:top w:val="none" w:sz="0" w:space="0" w:color="auto"/>
            <w:left w:val="none" w:sz="0" w:space="0" w:color="auto"/>
            <w:bottom w:val="none" w:sz="0" w:space="0" w:color="auto"/>
            <w:right w:val="none" w:sz="0" w:space="0" w:color="auto"/>
          </w:divBdr>
        </w:div>
        <w:div w:id="760374471">
          <w:marLeft w:val="0"/>
          <w:marRight w:val="0"/>
          <w:marTop w:val="0"/>
          <w:marBottom w:val="0"/>
          <w:divBdr>
            <w:top w:val="none" w:sz="0" w:space="0" w:color="auto"/>
            <w:left w:val="none" w:sz="0" w:space="0" w:color="auto"/>
            <w:bottom w:val="none" w:sz="0" w:space="0" w:color="auto"/>
            <w:right w:val="none" w:sz="0" w:space="0" w:color="auto"/>
          </w:divBdr>
        </w:div>
        <w:div w:id="871649259">
          <w:marLeft w:val="0"/>
          <w:marRight w:val="0"/>
          <w:marTop w:val="0"/>
          <w:marBottom w:val="0"/>
          <w:divBdr>
            <w:top w:val="none" w:sz="0" w:space="0" w:color="auto"/>
            <w:left w:val="none" w:sz="0" w:space="0" w:color="auto"/>
            <w:bottom w:val="none" w:sz="0" w:space="0" w:color="auto"/>
            <w:right w:val="none" w:sz="0" w:space="0" w:color="auto"/>
          </w:divBdr>
        </w:div>
        <w:div w:id="958605579">
          <w:marLeft w:val="0"/>
          <w:marRight w:val="0"/>
          <w:marTop w:val="0"/>
          <w:marBottom w:val="0"/>
          <w:divBdr>
            <w:top w:val="none" w:sz="0" w:space="0" w:color="auto"/>
            <w:left w:val="none" w:sz="0" w:space="0" w:color="auto"/>
            <w:bottom w:val="none" w:sz="0" w:space="0" w:color="auto"/>
            <w:right w:val="none" w:sz="0" w:space="0" w:color="auto"/>
          </w:divBdr>
        </w:div>
        <w:div w:id="1098019482">
          <w:marLeft w:val="0"/>
          <w:marRight w:val="0"/>
          <w:marTop w:val="0"/>
          <w:marBottom w:val="0"/>
          <w:divBdr>
            <w:top w:val="none" w:sz="0" w:space="0" w:color="auto"/>
            <w:left w:val="none" w:sz="0" w:space="0" w:color="auto"/>
            <w:bottom w:val="none" w:sz="0" w:space="0" w:color="auto"/>
            <w:right w:val="none" w:sz="0" w:space="0" w:color="auto"/>
          </w:divBdr>
        </w:div>
        <w:div w:id="1213882224">
          <w:marLeft w:val="0"/>
          <w:marRight w:val="0"/>
          <w:marTop w:val="0"/>
          <w:marBottom w:val="0"/>
          <w:divBdr>
            <w:top w:val="none" w:sz="0" w:space="0" w:color="auto"/>
            <w:left w:val="none" w:sz="0" w:space="0" w:color="auto"/>
            <w:bottom w:val="none" w:sz="0" w:space="0" w:color="auto"/>
            <w:right w:val="none" w:sz="0" w:space="0" w:color="auto"/>
          </w:divBdr>
        </w:div>
        <w:div w:id="1523787859">
          <w:marLeft w:val="0"/>
          <w:marRight w:val="0"/>
          <w:marTop w:val="0"/>
          <w:marBottom w:val="0"/>
          <w:divBdr>
            <w:top w:val="none" w:sz="0" w:space="0" w:color="auto"/>
            <w:left w:val="none" w:sz="0" w:space="0" w:color="auto"/>
            <w:bottom w:val="none" w:sz="0" w:space="0" w:color="auto"/>
            <w:right w:val="none" w:sz="0" w:space="0" w:color="auto"/>
          </w:divBdr>
        </w:div>
        <w:div w:id="1765299067">
          <w:marLeft w:val="0"/>
          <w:marRight w:val="0"/>
          <w:marTop w:val="0"/>
          <w:marBottom w:val="0"/>
          <w:divBdr>
            <w:top w:val="none" w:sz="0" w:space="0" w:color="auto"/>
            <w:left w:val="none" w:sz="0" w:space="0" w:color="auto"/>
            <w:bottom w:val="none" w:sz="0" w:space="0" w:color="auto"/>
            <w:right w:val="none" w:sz="0" w:space="0" w:color="auto"/>
          </w:divBdr>
        </w:div>
        <w:div w:id="1898853427">
          <w:marLeft w:val="0"/>
          <w:marRight w:val="0"/>
          <w:marTop w:val="0"/>
          <w:marBottom w:val="0"/>
          <w:divBdr>
            <w:top w:val="none" w:sz="0" w:space="0" w:color="auto"/>
            <w:left w:val="none" w:sz="0" w:space="0" w:color="auto"/>
            <w:bottom w:val="none" w:sz="0" w:space="0" w:color="auto"/>
            <w:right w:val="none" w:sz="0" w:space="0" w:color="auto"/>
          </w:divBdr>
        </w:div>
        <w:div w:id="1998219410">
          <w:marLeft w:val="0"/>
          <w:marRight w:val="0"/>
          <w:marTop w:val="0"/>
          <w:marBottom w:val="0"/>
          <w:divBdr>
            <w:top w:val="none" w:sz="0" w:space="0" w:color="auto"/>
            <w:left w:val="none" w:sz="0" w:space="0" w:color="auto"/>
            <w:bottom w:val="none" w:sz="0" w:space="0" w:color="auto"/>
            <w:right w:val="none" w:sz="0" w:space="0" w:color="auto"/>
          </w:divBdr>
        </w:div>
        <w:div w:id="2046635955">
          <w:marLeft w:val="0"/>
          <w:marRight w:val="0"/>
          <w:marTop w:val="0"/>
          <w:marBottom w:val="0"/>
          <w:divBdr>
            <w:top w:val="none" w:sz="0" w:space="0" w:color="auto"/>
            <w:left w:val="none" w:sz="0" w:space="0" w:color="auto"/>
            <w:bottom w:val="none" w:sz="0" w:space="0" w:color="auto"/>
            <w:right w:val="none" w:sz="0" w:space="0" w:color="auto"/>
          </w:divBdr>
        </w:div>
        <w:div w:id="2126730408">
          <w:marLeft w:val="0"/>
          <w:marRight w:val="0"/>
          <w:marTop w:val="0"/>
          <w:marBottom w:val="0"/>
          <w:divBdr>
            <w:top w:val="none" w:sz="0" w:space="0" w:color="auto"/>
            <w:left w:val="none" w:sz="0" w:space="0" w:color="auto"/>
            <w:bottom w:val="none" w:sz="0" w:space="0" w:color="auto"/>
            <w:right w:val="none" w:sz="0" w:space="0" w:color="auto"/>
          </w:divBdr>
        </w:div>
      </w:divsChild>
    </w:div>
    <w:div w:id="1978215546">
      <w:bodyDiv w:val="1"/>
      <w:marLeft w:val="0"/>
      <w:marRight w:val="0"/>
      <w:marTop w:val="0"/>
      <w:marBottom w:val="0"/>
      <w:divBdr>
        <w:top w:val="none" w:sz="0" w:space="0" w:color="auto"/>
        <w:left w:val="none" w:sz="0" w:space="0" w:color="auto"/>
        <w:bottom w:val="none" w:sz="0" w:space="0" w:color="auto"/>
        <w:right w:val="none" w:sz="0" w:space="0" w:color="auto"/>
      </w:divBdr>
    </w:div>
    <w:div w:id="2057658778">
      <w:bodyDiv w:val="1"/>
      <w:marLeft w:val="0"/>
      <w:marRight w:val="0"/>
      <w:marTop w:val="0"/>
      <w:marBottom w:val="0"/>
      <w:divBdr>
        <w:top w:val="none" w:sz="0" w:space="0" w:color="auto"/>
        <w:left w:val="none" w:sz="0" w:space="0" w:color="auto"/>
        <w:bottom w:val="none" w:sz="0" w:space="0" w:color="auto"/>
        <w:right w:val="none" w:sz="0" w:space="0" w:color="auto"/>
      </w:divBdr>
      <w:divsChild>
        <w:div w:id="76633617">
          <w:marLeft w:val="0"/>
          <w:marRight w:val="0"/>
          <w:marTop w:val="0"/>
          <w:marBottom w:val="0"/>
          <w:divBdr>
            <w:top w:val="none" w:sz="0" w:space="0" w:color="auto"/>
            <w:left w:val="none" w:sz="0" w:space="0" w:color="auto"/>
            <w:bottom w:val="none" w:sz="0" w:space="0" w:color="auto"/>
            <w:right w:val="none" w:sz="0" w:space="0" w:color="auto"/>
          </w:divBdr>
        </w:div>
        <w:div w:id="109396168">
          <w:marLeft w:val="0"/>
          <w:marRight w:val="0"/>
          <w:marTop w:val="0"/>
          <w:marBottom w:val="0"/>
          <w:divBdr>
            <w:top w:val="none" w:sz="0" w:space="0" w:color="auto"/>
            <w:left w:val="none" w:sz="0" w:space="0" w:color="auto"/>
            <w:bottom w:val="none" w:sz="0" w:space="0" w:color="auto"/>
            <w:right w:val="none" w:sz="0" w:space="0" w:color="auto"/>
          </w:divBdr>
        </w:div>
        <w:div w:id="210311457">
          <w:marLeft w:val="0"/>
          <w:marRight w:val="0"/>
          <w:marTop w:val="0"/>
          <w:marBottom w:val="0"/>
          <w:divBdr>
            <w:top w:val="none" w:sz="0" w:space="0" w:color="auto"/>
            <w:left w:val="none" w:sz="0" w:space="0" w:color="auto"/>
            <w:bottom w:val="none" w:sz="0" w:space="0" w:color="auto"/>
            <w:right w:val="none" w:sz="0" w:space="0" w:color="auto"/>
          </w:divBdr>
        </w:div>
        <w:div w:id="252935304">
          <w:marLeft w:val="0"/>
          <w:marRight w:val="0"/>
          <w:marTop w:val="0"/>
          <w:marBottom w:val="0"/>
          <w:divBdr>
            <w:top w:val="none" w:sz="0" w:space="0" w:color="auto"/>
            <w:left w:val="none" w:sz="0" w:space="0" w:color="auto"/>
            <w:bottom w:val="none" w:sz="0" w:space="0" w:color="auto"/>
            <w:right w:val="none" w:sz="0" w:space="0" w:color="auto"/>
          </w:divBdr>
        </w:div>
        <w:div w:id="283537904">
          <w:marLeft w:val="0"/>
          <w:marRight w:val="0"/>
          <w:marTop w:val="0"/>
          <w:marBottom w:val="0"/>
          <w:divBdr>
            <w:top w:val="none" w:sz="0" w:space="0" w:color="auto"/>
            <w:left w:val="none" w:sz="0" w:space="0" w:color="auto"/>
            <w:bottom w:val="none" w:sz="0" w:space="0" w:color="auto"/>
            <w:right w:val="none" w:sz="0" w:space="0" w:color="auto"/>
          </w:divBdr>
        </w:div>
        <w:div w:id="411581593">
          <w:marLeft w:val="0"/>
          <w:marRight w:val="0"/>
          <w:marTop w:val="0"/>
          <w:marBottom w:val="0"/>
          <w:divBdr>
            <w:top w:val="none" w:sz="0" w:space="0" w:color="auto"/>
            <w:left w:val="none" w:sz="0" w:space="0" w:color="auto"/>
            <w:bottom w:val="none" w:sz="0" w:space="0" w:color="auto"/>
            <w:right w:val="none" w:sz="0" w:space="0" w:color="auto"/>
          </w:divBdr>
        </w:div>
        <w:div w:id="452021565">
          <w:marLeft w:val="0"/>
          <w:marRight w:val="0"/>
          <w:marTop w:val="0"/>
          <w:marBottom w:val="0"/>
          <w:divBdr>
            <w:top w:val="none" w:sz="0" w:space="0" w:color="auto"/>
            <w:left w:val="none" w:sz="0" w:space="0" w:color="auto"/>
            <w:bottom w:val="none" w:sz="0" w:space="0" w:color="auto"/>
            <w:right w:val="none" w:sz="0" w:space="0" w:color="auto"/>
          </w:divBdr>
        </w:div>
        <w:div w:id="482701345">
          <w:marLeft w:val="0"/>
          <w:marRight w:val="0"/>
          <w:marTop w:val="0"/>
          <w:marBottom w:val="0"/>
          <w:divBdr>
            <w:top w:val="none" w:sz="0" w:space="0" w:color="auto"/>
            <w:left w:val="none" w:sz="0" w:space="0" w:color="auto"/>
            <w:bottom w:val="none" w:sz="0" w:space="0" w:color="auto"/>
            <w:right w:val="none" w:sz="0" w:space="0" w:color="auto"/>
          </w:divBdr>
        </w:div>
        <w:div w:id="693194537">
          <w:marLeft w:val="0"/>
          <w:marRight w:val="0"/>
          <w:marTop w:val="0"/>
          <w:marBottom w:val="0"/>
          <w:divBdr>
            <w:top w:val="none" w:sz="0" w:space="0" w:color="auto"/>
            <w:left w:val="none" w:sz="0" w:space="0" w:color="auto"/>
            <w:bottom w:val="none" w:sz="0" w:space="0" w:color="auto"/>
            <w:right w:val="none" w:sz="0" w:space="0" w:color="auto"/>
          </w:divBdr>
        </w:div>
        <w:div w:id="698162517">
          <w:marLeft w:val="0"/>
          <w:marRight w:val="0"/>
          <w:marTop w:val="0"/>
          <w:marBottom w:val="0"/>
          <w:divBdr>
            <w:top w:val="none" w:sz="0" w:space="0" w:color="auto"/>
            <w:left w:val="none" w:sz="0" w:space="0" w:color="auto"/>
            <w:bottom w:val="none" w:sz="0" w:space="0" w:color="auto"/>
            <w:right w:val="none" w:sz="0" w:space="0" w:color="auto"/>
          </w:divBdr>
        </w:div>
        <w:div w:id="728768249">
          <w:marLeft w:val="0"/>
          <w:marRight w:val="0"/>
          <w:marTop w:val="0"/>
          <w:marBottom w:val="0"/>
          <w:divBdr>
            <w:top w:val="none" w:sz="0" w:space="0" w:color="auto"/>
            <w:left w:val="none" w:sz="0" w:space="0" w:color="auto"/>
            <w:bottom w:val="none" w:sz="0" w:space="0" w:color="auto"/>
            <w:right w:val="none" w:sz="0" w:space="0" w:color="auto"/>
          </w:divBdr>
        </w:div>
        <w:div w:id="750201735">
          <w:marLeft w:val="0"/>
          <w:marRight w:val="0"/>
          <w:marTop w:val="0"/>
          <w:marBottom w:val="0"/>
          <w:divBdr>
            <w:top w:val="none" w:sz="0" w:space="0" w:color="auto"/>
            <w:left w:val="none" w:sz="0" w:space="0" w:color="auto"/>
            <w:bottom w:val="none" w:sz="0" w:space="0" w:color="auto"/>
            <w:right w:val="none" w:sz="0" w:space="0" w:color="auto"/>
          </w:divBdr>
        </w:div>
        <w:div w:id="991517795">
          <w:marLeft w:val="0"/>
          <w:marRight w:val="0"/>
          <w:marTop w:val="0"/>
          <w:marBottom w:val="0"/>
          <w:divBdr>
            <w:top w:val="none" w:sz="0" w:space="0" w:color="auto"/>
            <w:left w:val="none" w:sz="0" w:space="0" w:color="auto"/>
            <w:bottom w:val="none" w:sz="0" w:space="0" w:color="auto"/>
            <w:right w:val="none" w:sz="0" w:space="0" w:color="auto"/>
          </w:divBdr>
        </w:div>
        <w:div w:id="1008602505">
          <w:marLeft w:val="0"/>
          <w:marRight w:val="0"/>
          <w:marTop w:val="0"/>
          <w:marBottom w:val="0"/>
          <w:divBdr>
            <w:top w:val="none" w:sz="0" w:space="0" w:color="auto"/>
            <w:left w:val="none" w:sz="0" w:space="0" w:color="auto"/>
            <w:bottom w:val="none" w:sz="0" w:space="0" w:color="auto"/>
            <w:right w:val="none" w:sz="0" w:space="0" w:color="auto"/>
          </w:divBdr>
        </w:div>
        <w:div w:id="1156460128">
          <w:marLeft w:val="0"/>
          <w:marRight w:val="0"/>
          <w:marTop w:val="0"/>
          <w:marBottom w:val="0"/>
          <w:divBdr>
            <w:top w:val="none" w:sz="0" w:space="0" w:color="auto"/>
            <w:left w:val="none" w:sz="0" w:space="0" w:color="auto"/>
            <w:bottom w:val="none" w:sz="0" w:space="0" w:color="auto"/>
            <w:right w:val="none" w:sz="0" w:space="0" w:color="auto"/>
          </w:divBdr>
        </w:div>
        <w:div w:id="1169447435">
          <w:marLeft w:val="0"/>
          <w:marRight w:val="0"/>
          <w:marTop w:val="0"/>
          <w:marBottom w:val="0"/>
          <w:divBdr>
            <w:top w:val="none" w:sz="0" w:space="0" w:color="auto"/>
            <w:left w:val="none" w:sz="0" w:space="0" w:color="auto"/>
            <w:bottom w:val="none" w:sz="0" w:space="0" w:color="auto"/>
            <w:right w:val="none" w:sz="0" w:space="0" w:color="auto"/>
          </w:divBdr>
        </w:div>
        <w:div w:id="1198161839">
          <w:marLeft w:val="0"/>
          <w:marRight w:val="0"/>
          <w:marTop w:val="0"/>
          <w:marBottom w:val="0"/>
          <w:divBdr>
            <w:top w:val="none" w:sz="0" w:space="0" w:color="auto"/>
            <w:left w:val="none" w:sz="0" w:space="0" w:color="auto"/>
            <w:bottom w:val="none" w:sz="0" w:space="0" w:color="auto"/>
            <w:right w:val="none" w:sz="0" w:space="0" w:color="auto"/>
          </w:divBdr>
        </w:div>
        <w:div w:id="1223129735">
          <w:marLeft w:val="0"/>
          <w:marRight w:val="0"/>
          <w:marTop w:val="0"/>
          <w:marBottom w:val="0"/>
          <w:divBdr>
            <w:top w:val="none" w:sz="0" w:space="0" w:color="auto"/>
            <w:left w:val="none" w:sz="0" w:space="0" w:color="auto"/>
            <w:bottom w:val="none" w:sz="0" w:space="0" w:color="auto"/>
            <w:right w:val="none" w:sz="0" w:space="0" w:color="auto"/>
          </w:divBdr>
        </w:div>
        <w:div w:id="1236011399">
          <w:marLeft w:val="0"/>
          <w:marRight w:val="0"/>
          <w:marTop w:val="0"/>
          <w:marBottom w:val="0"/>
          <w:divBdr>
            <w:top w:val="none" w:sz="0" w:space="0" w:color="auto"/>
            <w:left w:val="none" w:sz="0" w:space="0" w:color="auto"/>
            <w:bottom w:val="none" w:sz="0" w:space="0" w:color="auto"/>
            <w:right w:val="none" w:sz="0" w:space="0" w:color="auto"/>
          </w:divBdr>
        </w:div>
        <w:div w:id="1317028956">
          <w:marLeft w:val="0"/>
          <w:marRight w:val="0"/>
          <w:marTop w:val="0"/>
          <w:marBottom w:val="0"/>
          <w:divBdr>
            <w:top w:val="none" w:sz="0" w:space="0" w:color="auto"/>
            <w:left w:val="none" w:sz="0" w:space="0" w:color="auto"/>
            <w:bottom w:val="none" w:sz="0" w:space="0" w:color="auto"/>
            <w:right w:val="none" w:sz="0" w:space="0" w:color="auto"/>
          </w:divBdr>
        </w:div>
        <w:div w:id="1339967329">
          <w:marLeft w:val="0"/>
          <w:marRight w:val="0"/>
          <w:marTop w:val="0"/>
          <w:marBottom w:val="0"/>
          <w:divBdr>
            <w:top w:val="none" w:sz="0" w:space="0" w:color="auto"/>
            <w:left w:val="none" w:sz="0" w:space="0" w:color="auto"/>
            <w:bottom w:val="none" w:sz="0" w:space="0" w:color="auto"/>
            <w:right w:val="none" w:sz="0" w:space="0" w:color="auto"/>
          </w:divBdr>
        </w:div>
        <w:div w:id="1381826872">
          <w:marLeft w:val="0"/>
          <w:marRight w:val="0"/>
          <w:marTop w:val="0"/>
          <w:marBottom w:val="0"/>
          <w:divBdr>
            <w:top w:val="none" w:sz="0" w:space="0" w:color="auto"/>
            <w:left w:val="none" w:sz="0" w:space="0" w:color="auto"/>
            <w:bottom w:val="none" w:sz="0" w:space="0" w:color="auto"/>
            <w:right w:val="none" w:sz="0" w:space="0" w:color="auto"/>
          </w:divBdr>
        </w:div>
        <w:div w:id="1384596789">
          <w:marLeft w:val="0"/>
          <w:marRight w:val="0"/>
          <w:marTop w:val="0"/>
          <w:marBottom w:val="0"/>
          <w:divBdr>
            <w:top w:val="none" w:sz="0" w:space="0" w:color="auto"/>
            <w:left w:val="none" w:sz="0" w:space="0" w:color="auto"/>
            <w:bottom w:val="none" w:sz="0" w:space="0" w:color="auto"/>
            <w:right w:val="none" w:sz="0" w:space="0" w:color="auto"/>
          </w:divBdr>
        </w:div>
        <w:div w:id="1403598071">
          <w:marLeft w:val="0"/>
          <w:marRight w:val="0"/>
          <w:marTop w:val="0"/>
          <w:marBottom w:val="0"/>
          <w:divBdr>
            <w:top w:val="none" w:sz="0" w:space="0" w:color="auto"/>
            <w:left w:val="none" w:sz="0" w:space="0" w:color="auto"/>
            <w:bottom w:val="none" w:sz="0" w:space="0" w:color="auto"/>
            <w:right w:val="none" w:sz="0" w:space="0" w:color="auto"/>
          </w:divBdr>
        </w:div>
        <w:div w:id="1423451562">
          <w:marLeft w:val="0"/>
          <w:marRight w:val="0"/>
          <w:marTop w:val="0"/>
          <w:marBottom w:val="0"/>
          <w:divBdr>
            <w:top w:val="none" w:sz="0" w:space="0" w:color="auto"/>
            <w:left w:val="none" w:sz="0" w:space="0" w:color="auto"/>
            <w:bottom w:val="none" w:sz="0" w:space="0" w:color="auto"/>
            <w:right w:val="none" w:sz="0" w:space="0" w:color="auto"/>
          </w:divBdr>
        </w:div>
        <w:div w:id="1448961136">
          <w:marLeft w:val="0"/>
          <w:marRight w:val="0"/>
          <w:marTop w:val="0"/>
          <w:marBottom w:val="0"/>
          <w:divBdr>
            <w:top w:val="none" w:sz="0" w:space="0" w:color="auto"/>
            <w:left w:val="none" w:sz="0" w:space="0" w:color="auto"/>
            <w:bottom w:val="none" w:sz="0" w:space="0" w:color="auto"/>
            <w:right w:val="none" w:sz="0" w:space="0" w:color="auto"/>
          </w:divBdr>
        </w:div>
        <w:div w:id="1538469228">
          <w:marLeft w:val="0"/>
          <w:marRight w:val="0"/>
          <w:marTop w:val="0"/>
          <w:marBottom w:val="0"/>
          <w:divBdr>
            <w:top w:val="none" w:sz="0" w:space="0" w:color="auto"/>
            <w:left w:val="none" w:sz="0" w:space="0" w:color="auto"/>
            <w:bottom w:val="none" w:sz="0" w:space="0" w:color="auto"/>
            <w:right w:val="none" w:sz="0" w:space="0" w:color="auto"/>
          </w:divBdr>
        </w:div>
        <w:div w:id="1634480398">
          <w:marLeft w:val="0"/>
          <w:marRight w:val="0"/>
          <w:marTop w:val="0"/>
          <w:marBottom w:val="0"/>
          <w:divBdr>
            <w:top w:val="none" w:sz="0" w:space="0" w:color="auto"/>
            <w:left w:val="none" w:sz="0" w:space="0" w:color="auto"/>
            <w:bottom w:val="none" w:sz="0" w:space="0" w:color="auto"/>
            <w:right w:val="none" w:sz="0" w:space="0" w:color="auto"/>
          </w:divBdr>
        </w:div>
        <w:div w:id="1723601031">
          <w:marLeft w:val="0"/>
          <w:marRight w:val="0"/>
          <w:marTop w:val="0"/>
          <w:marBottom w:val="0"/>
          <w:divBdr>
            <w:top w:val="none" w:sz="0" w:space="0" w:color="auto"/>
            <w:left w:val="none" w:sz="0" w:space="0" w:color="auto"/>
            <w:bottom w:val="none" w:sz="0" w:space="0" w:color="auto"/>
            <w:right w:val="none" w:sz="0" w:space="0" w:color="auto"/>
          </w:divBdr>
        </w:div>
        <w:div w:id="1741823444">
          <w:marLeft w:val="0"/>
          <w:marRight w:val="0"/>
          <w:marTop w:val="0"/>
          <w:marBottom w:val="0"/>
          <w:divBdr>
            <w:top w:val="none" w:sz="0" w:space="0" w:color="auto"/>
            <w:left w:val="none" w:sz="0" w:space="0" w:color="auto"/>
            <w:bottom w:val="none" w:sz="0" w:space="0" w:color="auto"/>
            <w:right w:val="none" w:sz="0" w:space="0" w:color="auto"/>
          </w:divBdr>
        </w:div>
        <w:div w:id="1744985216">
          <w:marLeft w:val="0"/>
          <w:marRight w:val="0"/>
          <w:marTop w:val="0"/>
          <w:marBottom w:val="0"/>
          <w:divBdr>
            <w:top w:val="none" w:sz="0" w:space="0" w:color="auto"/>
            <w:left w:val="none" w:sz="0" w:space="0" w:color="auto"/>
            <w:bottom w:val="none" w:sz="0" w:space="0" w:color="auto"/>
            <w:right w:val="none" w:sz="0" w:space="0" w:color="auto"/>
          </w:divBdr>
        </w:div>
        <w:div w:id="1816679747">
          <w:marLeft w:val="0"/>
          <w:marRight w:val="0"/>
          <w:marTop w:val="0"/>
          <w:marBottom w:val="0"/>
          <w:divBdr>
            <w:top w:val="none" w:sz="0" w:space="0" w:color="auto"/>
            <w:left w:val="none" w:sz="0" w:space="0" w:color="auto"/>
            <w:bottom w:val="none" w:sz="0" w:space="0" w:color="auto"/>
            <w:right w:val="none" w:sz="0" w:space="0" w:color="auto"/>
          </w:divBdr>
        </w:div>
        <w:div w:id="1877426242">
          <w:marLeft w:val="0"/>
          <w:marRight w:val="0"/>
          <w:marTop w:val="0"/>
          <w:marBottom w:val="0"/>
          <w:divBdr>
            <w:top w:val="none" w:sz="0" w:space="0" w:color="auto"/>
            <w:left w:val="none" w:sz="0" w:space="0" w:color="auto"/>
            <w:bottom w:val="none" w:sz="0" w:space="0" w:color="auto"/>
            <w:right w:val="none" w:sz="0" w:space="0" w:color="auto"/>
          </w:divBdr>
        </w:div>
        <w:div w:id="1919436045">
          <w:marLeft w:val="0"/>
          <w:marRight w:val="0"/>
          <w:marTop w:val="0"/>
          <w:marBottom w:val="0"/>
          <w:divBdr>
            <w:top w:val="none" w:sz="0" w:space="0" w:color="auto"/>
            <w:left w:val="none" w:sz="0" w:space="0" w:color="auto"/>
            <w:bottom w:val="none" w:sz="0" w:space="0" w:color="auto"/>
            <w:right w:val="none" w:sz="0" w:space="0" w:color="auto"/>
          </w:divBdr>
        </w:div>
        <w:div w:id="1975796827">
          <w:marLeft w:val="0"/>
          <w:marRight w:val="0"/>
          <w:marTop w:val="0"/>
          <w:marBottom w:val="0"/>
          <w:divBdr>
            <w:top w:val="none" w:sz="0" w:space="0" w:color="auto"/>
            <w:left w:val="none" w:sz="0" w:space="0" w:color="auto"/>
            <w:bottom w:val="none" w:sz="0" w:space="0" w:color="auto"/>
            <w:right w:val="none" w:sz="0" w:space="0" w:color="auto"/>
          </w:divBdr>
        </w:div>
        <w:div w:id="2016568302">
          <w:marLeft w:val="0"/>
          <w:marRight w:val="0"/>
          <w:marTop w:val="0"/>
          <w:marBottom w:val="0"/>
          <w:divBdr>
            <w:top w:val="none" w:sz="0" w:space="0" w:color="auto"/>
            <w:left w:val="none" w:sz="0" w:space="0" w:color="auto"/>
            <w:bottom w:val="none" w:sz="0" w:space="0" w:color="auto"/>
            <w:right w:val="none" w:sz="0" w:space="0" w:color="auto"/>
          </w:divBdr>
        </w:div>
        <w:div w:id="2085225689">
          <w:marLeft w:val="0"/>
          <w:marRight w:val="0"/>
          <w:marTop w:val="0"/>
          <w:marBottom w:val="0"/>
          <w:divBdr>
            <w:top w:val="none" w:sz="0" w:space="0" w:color="auto"/>
            <w:left w:val="none" w:sz="0" w:space="0" w:color="auto"/>
            <w:bottom w:val="none" w:sz="0" w:space="0" w:color="auto"/>
            <w:right w:val="none" w:sz="0" w:space="0" w:color="auto"/>
          </w:divBdr>
        </w:div>
      </w:divsChild>
    </w:div>
    <w:div w:id="2075229097">
      <w:bodyDiv w:val="1"/>
      <w:marLeft w:val="0"/>
      <w:marRight w:val="0"/>
      <w:marTop w:val="0"/>
      <w:marBottom w:val="0"/>
      <w:divBdr>
        <w:top w:val="none" w:sz="0" w:space="0" w:color="auto"/>
        <w:left w:val="none" w:sz="0" w:space="0" w:color="auto"/>
        <w:bottom w:val="none" w:sz="0" w:space="0" w:color="auto"/>
        <w:right w:val="none" w:sz="0" w:space="0" w:color="auto"/>
      </w:divBdr>
    </w:div>
    <w:div w:id="210078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m.gov86.org/files/2016/finkom/2014-otchet-kf.doc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39" b="1" i="0" u="none" strike="noStrike" kern="1200" baseline="0">
                <a:solidFill>
                  <a:schemeClr val="tx1">
                    <a:lumMod val="65000"/>
                    <a:lumOff val="35000"/>
                  </a:schemeClr>
                </a:solidFill>
                <a:latin typeface="+mn-lt"/>
                <a:ea typeface="+mn-ea"/>
                <a:cs typeface="+mn-cs"/>
              </a:defRPr>
            </a:pPr>
            <a:r>
              <a:rPr lang="ru-RU"/>
              <a:t>млн. рублей</a:t>
            </a:r>
          </a:p>
        </c:rich>
      </c:tx>
      <c:layout>
        <c:manualLayout>
          <c:xMode val="edge"/>
          <c:yMode val="edge"/>
          <c:x val="0.81840731070496076"/>
          <c:y val="0"/>
        </c:manualLayout>
      </c:layout>
      <c:overlay val="0"/>
      <c:spPr>
        <a:noFill/>
        <a:ln>
          <a:noFill/>
        </a:ln>
        <a:effectLst/>
      </c:spPr>
    </c:title>
    <c:autoTitleDeleted val="0"/>
    <c:plotArea>
      <c:layout>
        <c:manualLayout>
          <c:layoutTarget val="inner"/>
          <c:xMode val="edge"/>
          <c:yMode val="edge"/>
          <c:x val="0.10420836892983246"/>
          <c:y val="0.10452149219052537"/>
          <c:w val="0.93670039649984915"/>
          <c:h val="0.78800407360500047"/>
        </c:manualLayout>
      </c:layout>
      <c:lineChart>
        <c:grouping val="standard"/>
        <c:varyColors val="0"/>
        <c:ser>
          <c:idx val="0"/>
          <c:order val="0"/>
          <c:tx>
            <c:strRef>
              <c:f>Лист1!$B$1</c:f>
              <c:strCache>
                <c:ptCount val="1"/>
                <c:pt idx="0">
                  <c:v>Доходы</c:v>
                </c:pt>
              </c:strCache>
            </c:strRef>
          </c:tx>
          <c:spPr>
            <a:ln w="34890" cap="rnd">
              <a:solidFill>
                <a:schemeClr val="accent1"/>
              </a:solidFill>
              <a:round/>
            </a:ln>
            <a:effectLst>
              <a:outerShdw blurRad="57150" dist="19050" dir="5400000" algn="ctr" rotWithShape="0">
                <a:srgbClr val="000000">
                  <a:alpha val="63000"/>
                </a:srgbClr>
              </a:outerShdw>
            </a:effectLst>
          </c:spPr>
          <c:marker>
            <c:symbol val="triangle"/>
            <c:size val="9"/>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15">
                <a:solidFill>
                  <a:schemeClr val="accent1"/>
                </a:solidFill>
                <a:round/>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marker>
          <c:dLbls>
            <c:dLbl>
              <c:idx val="0"/>
              <c:layout>
                <c:manualLayout>
                  <c:x val="-6.7235930089177123E-2"/>
                  <c:y val="6.585706294909857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4045417625843273E-2"/>
                  <c:y val="8.3968848156275464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1907523451604891E-2"/>
                  <c:y val="8.834043285572909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6.4300449883636354E-2"/>
                  <c:y val="-7.519228948840411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3810080928553087E-2"/>
                  <c:y val="-6.420859687621016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6.6319329004237912E-2"/>
                  <c:y val="8.462561851899659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2.1322043456486698E-2"/>
                  <c:y val="9.6714599199690124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4.1257659233347906E-2"/>
                  <c:y val="-8.424479244822459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9"/>
              <c:layout>
                <c:manualLayout>
                  <c:x val="-3.0891780112974627E-2"/>
                  <c:y val="8.436923319116433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0"/>
              <c:layout>
                <c:manualLayout>
                  <c:x val="-3.0891780112974627E-2"/>
                  <c:y val="8.899725671172734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1"/>
              <c:layout>
                <c:manualLayout>
                  <c:x val="-3.201147555581417E-2"/>
                  <c:y val="6.585713910891233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2"/>
              <c:layout>
                <c:manualLayout>
                  <c:x val="-2.9372278093572256E-2"/>
                  <c:y val="7.4261258936020785E-2"/>
                </c:manualLayout>
              </c:layout>
              <c:dLblPos val="r"/>
              <c:showLegendKey val="0"/>
              <c:showVal val="1"/>
              <c:showCatName val="0"/>
              <c:showSerName val="0"/>
              <c:showPercent val="0"/>
              <c:showBubbleSize val="0"/>
              <c:extLst>
                <c:ext xmlns:c15="http://schemas.microsoft.com/office/drawing/2012/chart" uri="{CE6537A1-D6FC-4f65-9D91-7224C49458BB}"/>
              </c:extLst>
            </c:dLbl>
            <c:spPr>
              <a:solidFill>
                <a:schemeClr val="lt1"/>
              </a:solidFill>
              <a:ln w="19031" cap="flat" cmpd="sng" algn="ctr">
                <a:solidFill>
                  <a:schemeClr val="accent1"/>
                </a:solidFill>
                <a:prstDash val="solid"/>
                <a:miter lim="800000"/>
              </a:ln>
              <a:effectLst/>
            </c:spPr>
            <c:txPr>
              <a:bodyPr rot="0" spcFirstLastPara="1" vertOverflow="clip" horzOverflow="clip" vert="horz" wrap="square" lIns="38100" tIns="19050" rIns="38100" bIns="19050" anchor="ctr" anchorCtr="1">
                <a:spAutoFit/>
              </a:bodyPr>
              <a:lstStyle/>
              <a:p>
                <a:pPr>
                  <a:defRPr sz="1199" b="0" i="0" u="none" strike="noStrike" kern="1200" baseline="0">
                    <a:solidFill>
                      <a:schemeClr val="dk1">
                        <a:lumMod val="65000"/>
                        <a:lumOff val="3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Лист1!$A$2:$A$8</c:f>
              <c:numCache>
                <c:formatCode>General</c:formatCode>
                <c:ptCount val="7"/>
                <c:pt idx="0">
                  <c:v>2014</c:v>
                </c:pt>
                <c:pt idx="1">
                  <c:v>2015</c:v>
                </c:pt>
                <c:pt idx="2">
                  <c:v>2016</c:v>
                </c:pt>
                <c:pt idx="3">
                  <c:v>2017</c:v>
                </c:pt>
                <c:pt idx="4">
                  <c:v>2018</c:v>
                </c:pt>
                <c:pt idx="5">
                  <c:v>2019</c:v>
                </c:pt>
                <c:pt idx="6">
                  <c:v>2020</c:v>
                </c:pt>
              </c:numCache>
            </c:numRef>
          </c:cat>
          <c:val>
            <c:numRef>
              <c:f>Лист1!$B$2:$B$8</c:f>
              <c:numCache>
                <c:formatCode>#\ ##0.0</c:formatCode>
                <c:ptCount val="7"/>
                <c:pt idx="0">
                  <c:v>2811</c:v>
                </c:pt>
                <c:pt idx="1">
                  <c:v>3532.9</c:v>
                </c:pt>
                <c:pt idx="2">
                  <c:v>3188.4</c:v>
                </c:pt>
                <c:pt idx="3">
                  <c:v>3248.7</c:v>
                </c:pt>
                <c:pt idx="4">
                  <c:v>5342.4</c:v>
                </c:pt>
                <c:pt idx="5">
                  <c:v>2996.3</c:v>
                </c:pt>
                <c:pt idx="6">
                  <c:v>3601.6</c:v>
                </c:pt>
              </c:numCache>
            </c:numRef>
          </c:val>
          <c:smooth val="0"/>
        </c:ser>
        <c:ser>
          <c:idx val="1"/>
          <c:order val="1"/>
          <c:tx>
            <c:strRef>
              <c:f>Лист1!$C$1</c:f>
              <c:strCache>
                <c:ptCount val="1"/>
                <c:pt idx="0">
                  <c:v>Расходы</c:v>
                </c:pt>
              </c:strCache>
            </c:strRef>
          </c:tx>
          <c:spPr>
            <a:ln w="34890" cap="rnd">
              <a:solidFill>
                <a:schemeClr val="accent2"/>
              </a:solidFill>
              <a:round/>
            </a:ln>
            <a:effectLst>
              <a:outerShdw blurRad="57150" dist="19050" dir="5400000" algn="ctr" rotWithShape="0">
                <a:srgbClr val="000000">
                  <a:alpha val="63000"/>
                </a:srgbClr>
              </a:outerShdw>
            </a:effectLst>
          </c:spPr>
          <c:marker>
            <c:symbol val="diamond"/>
            <c:size val="9"/>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15">
                <a:solidFill>
                  <a:schemeClr val="accent2"/>
                </a:solidFill>
                <a:round/>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marker>
          <c:dLbls>
            <c:dLbl>
              <c:idx val="1"/>
              <c:layout>
                <c:manualLayout>
                  <c:x val="-6.4079926941254237E-2"/>
                  <c:y val="-7.814878877845186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7886767360921146E-2"/>
                  <c:y val="-8.453646572866924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9769629277366516E-2"/>
                  <c:y val="6.648250935846125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2.977208467013516E-2"/>
                  <c:y val="6.585713910891233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8"/>
              <c:layout>
                <c:manualLayout>
                  <c:x val="-3.3712869844046055E-2"/>
                  <c:y val="8.442526355384021E-2"/>
                </c:manualLayout>
              </c:layout>
              <c:dLblPos val="r"/>
              <c:showLegendKey val="0"/>
              <c:showVal val="1"/>
              <c:showCatName val="0"/>
              <c:showSerName val="0"/>
              <c:showPercent val="0"/>
              <c:showBubbleSize val="0"/>
              <c:extLst>
                <c:ext xmlns:c15="http://schemas.microsoft.com/office/drawing/2012/chart" uri="{CE6537A1-D6FC-4f65-9D91-7224C49458BB}"/>
              </c:extLst>
            </c:dLbl>
            <c:spPr>
              <a:solidFill>
                <a:schemeClr val="lt1"/>
              </a:solidFill>
              <a:ln w="19031" cap="flat" cmpd="sng" algn="ctr">
                <a:solidFill>
                  <a:schemeClr val="accent6"/>
                </a:solidFill>
                <a:prstDash val="solid"/>
                <a:miter lim="800000"/>
              </a:ln>
              <a:effectLst/>
            </c:spPr>
            <c:txPr>
              <a:bodyPr rot="0" spcFirstLastPara="1" vertOverflow="clip" horzOverflow="clip" vert="horz" wrap="square" lIns="38100" tIns="19050" rIns="38100" bIns="19050" anchor="ctr" anchorCtr="1">
                <a:spAutoFit/>
              </a:bodyPr>
              <a:lstStyle/>
              <a:p>
                <a:pPr>
                  <a:defRPr sz="1199" b="0" i="0" u="none" strike="noStrike" kern="1200" baseline="0">
                    <a:solidFill>
                      <a:schemeClr val="dk1">
                        <a:lumMod val="65000"/>
                        <a:lumOff val="3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Лист1!$A$2:$A$8</c:f>
              <c:numCache>
                <c:formatCode>General</c:formatCode>
                <c:ptCount val="7"/>
                <c:pt idx="0">
                  <c:v>2014</c:v>
                </c:pt>
                <c:pt idx="1">
                  <c:v>2015</c:v>
                </c:pt>
                <c:pt idx="2">
                  <c:v>2016</c:v>
                </c:pt>
                <c:pt idx="3">
                  <c:v>2017</c:v>
                </c:pt>
                <c:pt idx="4">
                  <c:v>2018</c:v>
                </c:pt>
                <c:pt idx="5">
                  <c:v>2019</c:v>
                </c:pt>
                <c:pt idx="6">
                  <c:v>2020</c:v>
                </c:pt>
              </c:numCache>
            </c:numRef>
          </c:cat>
          <c:val>
            <c:numRef>
              <c:f>Лист1!$C$2:$C$8</c:f>
              <c:numCache>
                <c:formatCode>#\ ##0.0</c:formatCode>
                <c:ptCount val="7"/>
                <c:pt idx="0">
                  <c:v>3334.3</c:v>
                </c:pt>
                <c:pt idx="1">
                  <c:v>3637.8</c:v>
                </c:pt>
                <c:pt idx="2">
                  <c:v>3209.1</c:v>
                </c:pt>
                <c:pt idx="3">
                  <c:v>3078.1</c:v>
                </c:pt>
                <c:pt idx="4">
                  <c:v>3963.6</c:v>
                </c:pt>
                <c:pt idx="5">
                  <c:v>4047.6</c:v>
                </c:pt>
                <c:pt idx="6">
                  <c:v>3665.8</c:v>
                </c:pt>
              </c:numCache>
            </c:numRef>
          </c:val>
          <c:smooth val="0"/>
        </c:ser>
        <c:dLbls>
          <c:showLegendKey val="0"/>
          <c:showVal val="0"/>
          <c:showCatName val="0"/>
          <c:showSerName val="0"/>
          <c:showPercent val="0"/>
          <c:showBubbleSize val="0"/>
        </c:dLbls>
        <c:marker val="1"/>
        <c:smooth val="0"/>
        <c:axId val="268962176"/>
        <c:axId val="268962736"/>
      </c:lineChart>
      <c:catAx>
        <c:axId val="268962176"/>
        <c:scaling>
          <c:orientation val="minMax"/>
        </c:scaling>
        <c:delete val="0"/>
        <c:axPos val="b"/>
        <c:numFmt formatCode="General" sourceLinked="1"/>
        <c:majorTickMark val="out"/>
        <c:minorTickMark val="none"/>
        <c:tickLblPos val="nextTo"/>
        <c:spPr>
          <a:noFill/>
          <a:ln w="12687" cap="flat" cmpd="sng" algn="ctr">
            <a:solidFill>
              <a:schemeClr val="bg2"/>
            </a:solidFill>
            <a:round/>
          </a:ln>
          <a:effectLst/>
        </c:spPr>
        <c:txPr>
          <a:bodyPr rot="-60000000" spcFirstLastPara="1" vertOverflow="ellipsis" vert="horz" wrap="square" anchor="ctr" anchorCtr="1"/>
          <a:lstStyle/>
          <a:p>
            <a:pPr>
              <a:defRPr sz="1199" b="0" i="0" u="none" strike="noStrike" kern="1200" baseline="0">
                <a:solidFill>
                  <a:schemeClr val="tx1">
                    <a:lumMod val="65000"/>
                    <a:lumOff val="35000"/>
                  </a:schemeClr>
                </a:solidFill>
                <a:latin typeface="+mn-lt"/>
                <a:ea typeface="+mn-ea"/>
                <a:cs typeface="+mn-cs"/>
              </a:defRPr>
            </a:pPr>
            <a:endParaRPr lang="ru-RU"/>
          </a:p>
        </c:txPr>
        <c:crossAx val="268962736"/>
        <c:crosses val="autoZero"/>
        <c:auto val="1"/>
        <c:lblAlgn val="ctr"/>
        <c:lblOffset val="100"/>
        <c:noMultiLvlLbl val="0"/>
      </c:catAx>
      <c:valAx>
        <c:axId val="268962736"/>
        <c:scaling>
          <c:orientation val="minMax"/>
          <c:min val="2000"/>
        </c:scaling>
        <c:delete val="0"/>
        <c:axPos val="l"/>
        <c:majorGridlines>
          <c:spPr>
            <a:ln w="9515" cap="flat" cmpd="sng" algn="ctr">
              <a:solidFill>
                <a:schemeClr val="tx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1199" b="0" i="0" u="none" strike="noStrike" kern="1200" baseline="0">
                <a:solidFill>
                  <a:schemeClr val="tx1">
                    <a:lumMod val="65000"/>
                    <a:lumOff val="35000"/>
                  </a:schemeClr>
                </a:solidFill>
                <a:latin typeface="+mn-lt"/>
                <a:ea typeface="+mn-ea"/>
                <a:cs typeface="+mn-cs"/>
              </a:defRPr>
            </a:pPr>
            <a:endParaRPr lang="ru-RU"/>
          </a:p>
        </c:txPr>
        <c:crossAx val="268962176"/>
        <c:crosses val="autoZero"/>
        <c:crossBetween val="between"/>
      </c:valAx>
      <c:spPr>
        <a:noFill/>
        <a:ln w="25375">
          <a:noFill/>
        </a:ln>
      </c:spPr>
    </c:plotArea>
    <c:legend>
      <c:legendPos val="r"/>
      <c:layout>
        <c:manualLayout>
          <c:xMode val="edge"/>
          <c:yMode val="edge"/>
          <c:x val="0"/>
          <c:y val="0"/>
          <c:w val="0.30618892508143325"/>
          <c:h val="7.4576271186440682E-2"/>
        </c:manualLayout>
      </c:layout>
      <c:overlay val="0"/>
      <c:spPr>
        <a:noFill/>
        <a:ln>
          <a:noFill/>
        </a:ln>
        <a:effectLst/>
      </c:spPr>
      <c:txPr>
        <a:bodyPr rot="0" spcFirstLastPara="1" vertOverflow="ellipsis" vert="horz" wrap="square" anchor="ctr" anchorCtr="1"/>
        <a:lstStyle/>
        <a:p>
          <a:pPr>
            <a:defRPr sz="1199"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a:noFill/>
    </a:ln>
    <a:effectLst/>
  </c:spPr>
  <c:txPr>
    <a:bodyPr/>
    <a:lstStyle/>
    <a:p>
      <a:pPr>
        <a:defRPr sz="1199"/>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7325738478307519E-2"/>
          <c:y val="5.146198830409357E-2"/>
          <c:w val="0.87246855233421849"/>
          <c:h val="0.83825328851437431"/>
        </c:manualLayout>
      </c:layout>
      <c:barChart>
        <c:barDir val="bar"/>
        <c:grouping val="stacked"/>
        <c:varyColors val="0"/>
        <c:ser>
          <c:idx val="0"/>
          <c:order val="0"/>
          <c:tx>
            <c:strRef>
              <c:f>Лист1!$B$1</c:f>
              <c:strCache>
                <c:ptCount val="1"/>
                <c:pt idx="0">
                  <c:v>Налоговые доходы</c:v>
                </c:pt>
              </c:strCache>
            </c:strRef>
          </c:tx>
          <c:spPr>
            <a:solidFill>
              <a:schemeClr val="accent1">
                <a:alpha val="70000"/>
              </a:schemeClr>
            </a:solidFill>
            <a:ln>
              <a:noFill/>
            </a:ln>
            <a:effectLst/>
          </c:spPr>
          <c:invertIfNegative val="0"/>
          <c:dLbls>
            <c:dLbl>
              <c:idx val="0"/>
              <c:layout/>
              <c:tx>
                <c:rich>
                  <a:bodyPr/>
                  <a:lstStyle/>
                  <a:p>
                    <a:fld id="{EFC83308-FC15-4E3F-9578-A41BC697011D}" type="CELLRANGE">
                      <a:rPr lang="en-US"/>
                      <a:pPr/>
                      <a:t>[ДИАПАЗОН ЯЧЕЕК]</a:t>
                    </a:fld>
                    <a:endParaRPr lang="ru-RU"/>
                  </a:p>
                </c:rich>
              </c:tx>
              <c:dLblPos val="ctr"/>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1"/>
              <c:layout/>
              <c:tx>
                <c:rich>
                  <a:bodyPr/>
                  <a:lstStyle/>
                  <a:p>
                    <a:fld id="{5A1D1D6B-FC26-410B-852C-391336B7BF8B}" type="CELLRANGE">
                      <a:rPr lang="ru-RU"/>
                      <a:pPr/>
                      <a:t>[ДИАПАЗОН ЯЧЕЕК]</a:t>
                    </a:fld>
                    <a:endParaRPr lang="ru-RU"/>
                  </a:p>
                </c:rich>
              </c:tx>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2"/>
              <c:layout/>
              <c:tx>
                <c:rich>
                  <a:bodyPr/>
                  <a:lstStyle/>
                  <a:p>
                    <a:fld id="{7A43779F-0D3B-4714-BFE4-7CE8901A838F}" type="CELLRANGE">
                      <a:rPr lang="ru-RU"/>
                      <a:pPr/>
                      <a:t>[ДИАПАЗОН ЯЧЕЕК]</a:t>
                    </a:fld>
                    <a:endParaRPr lang="ru-RU"/>
                  </a:p>
                </c:rich>
              </c:tx>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3"/>
              <c:layout/>
              <c:tx>
                <c:rich>
                  <a:bodyPr/>
                  <a:lstStyle/>
                  <a:p>
                    <a:fld id="{57B22F0F-C559-4961-AD84-07FC86B810FE}" type="CELLRANGE">
                      <a:rPr lang="ru-RU"/>
                      <a:pPr/>
                      <a:t>[ДИАПАЗОН ЯЧЕЕК]</a:t>
                    </a:fld>
                    <a:endParaRPr lang="ru-RU"/>
                  </a:p>
                </c:rich>
              </c:tx>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4"/>
              <c:layout/>
              <c:tx>
                <c:rich>
                  <a:bodyPr/>
                  <a:lstStyle/>
                  <a:p>
                    <a:fld id="{3452C924-32EB-48F4-9ABC-9045D603AD18}" type="CELLRANGE">
                      <a:rPr lang="ru-RU"/>
                      <a:pPr/>
                      <a:t>[ДИАПАЗОН ЯЧЕЕК]</a:t>
                    </a:fld>
                    <a:endParaRPr lang="ru-RU"/>
                  </a:p>
                </c:rich>
              </c:tx>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5"/>
              <c:layout/>
              <c:tx>
                <c:rich>
                  <a:bodyPr/>
                  <a:lstStyle/>
                  <a:p>
                    <a:fld id="{FBFBAEAF-3EA7-419D-A064-B3C09503C87D}" type="CELLRANGE">
                      <a:rPr lang="ru-RU"/>
                      <a:pPr/>
                      <a:t>[ДИАПАЗОН ЯЧЕЕК]</a:t>
                    </a:fld>
                    <a:endParaRPr lang="ru-RU"/>
                  </a:p>
                </c:rich>
              </c:tx>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6"/>
              <c:layout/>
              <c:tx>
                <c:rich>
                  <a:bodyPr/>
                  <a:lstStyle/>
                  <a:p>
                    <a:fld id="{94B97D1E-5D20-4BAC-823E-FAFD5763BDFA}" type="CELLRANGE">
                      <a:rPr lang="ru-RU"/>
                      <a:pPr/>
                      <a:t>[ДИАПАЗОН ЯЧЕЕК]</a:t>
                    </a:fld>
                    <a:endParaRPr lang="ru-RU"/>
                  </a:p>
                </c:rich>
              </c:tx>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spPr>
              <a:noFill/>
              <a:ln>
                <a:noFill/>
              </a:ln>
              <a:effectLst/>
            </c:spPr>
            <c:dLblPos val="ctr"/>
            <c:showLegendKey val="0"/>
            <c:showVal val="0"/>
            <c:showCatName val="0"/>
            <c:showSerName val="0"/>
            <c:showPercent val="0"/>
            <c:showBubbleSize val="0"/>
            <c:showLeaderLines val="0"/>
            <c:extLst>
              <c:ext xmlns:c15="http://schemas.microsoft.com/office/drawing/2012/chart" uri="{CE6537A1-D6FC-4f65-9D91-7224C49458BB}">
                <c15:layout/>
                <c15:showDataLabelsRange val="1"/>
                <c15:showLeaderLines val="1"/>
              </c:ext>
            </c:extLst>
          </c:dLbls>
          <c:cat>
            <c:numRef>
              <c:f>Лист1!$A$2:$A$8</c:f>
              <c:numCache>
                <c:formatCode>General</c:formatCode>
                <c:ptCount val="7"/>
                <c:pt idx="0">
                  <c:v>2020</c:v>
                </c:pt>
                <c:pt idx="1">
                  <c:v>2019</c:v>
                </c:pt>
                <c:pt idx="2">
                  <c:v>2018</c:v>
                </c:pt>
                <c:pt idx="3">
                  <c:v>2017</c:v>
                </c:pt>
                <c:pt idx="4">
                  <c:v>2016</c:v>
                </c:pt>
                <c:pt idx="5">
                  <c:v>2015</c:v>
                </c:pt>
                <c:pt idx="6">
                  <c:v>2014</c:v>
                </c:pt>
              </c:numCache>
            </c:numRef>
          </c:cat>
          <c:val>
            <c:numRef>
              <c:f>Лист1!$B$2:$B$8</c:f>
              <c:numCache>
                <c:formatCode>General</c:formatCode>
                <c:ptCount val="7"/>
                <c:pt idx="0">
                  <c:v>1016.7</c:v>
                </c:pt>
                <c:pt idx="1">
                  <c:v>1003.5</c:v>
                </c:pt>
                <c:pt idx="2">
                  <c:v>843</c:v>
                </c:pt>
                <c:pt idx="3">
                  <c:v>813.4</c:v>
                </c:pt>
                <c:pt idx="4">
                  <c:v>675.1</c:v>
                </c:pt>
                <c:pt idx="5">
                  <c:v>833.8</c:v>
                </c:pt>
                <c:pt idx="6">
                  <c:v>891.7</c:v>
                </c:pt>
              </c:numCache>
            </c:numRef>
          </c:val>
          <c:extLst>
            <c:ext xmlns:c15="http://schemas.microsoft.com/office/drawing/2012/chart" uri="{02D57815-91ED-43cb-92C2-25804820EDAC}">
              <c15:datalabelsRange>
                <c15:f>Лист1!$B$10:$B$16</c15:f>
                <c15:dlblRangeCache>
                  <c:ptCount val="7"/>
                  <c:pt idx="0">
                    <c:v>28,2%</c:v>
                  </c:pt>
                  <c:pt idx="1">
                    <c:v>33,5%</c:v>
                  </c:pt>
                  <c:pt idx="2">
                    <c:v>15,8%</c:v>
                  </c:pt>
                  <c:pt idx="3">
                    <c:v>25,0%</c:v>
                  </c:pt>
                  <c:pt idx="4">
                    <c:v>21,2%</c:v>
                  </c:pt>
                  <c:pt idx="5">
                    <c:v>23,6%</c:v>
                  </c:pt>
                  <c:pt idx="6">
                    <c:v>31,7%</c:v>
                  </c:pt>
                </c15:dlblRangeCache>
              </c15:datalabelsRange>
            </c:ext>
          </c:extLst>
        </c:ser>
        <c:ser>
          <c:idx val="1"/>
          <c:order val="1"/>
          <c:tx>
            <c:strRef>
              <c:f>Лист1!$C$1</c:f>
              <c:strCache>
                <c:ptCount val="1"/>
                <c:pt idx="0">
                  <c:v>Неналоговые доходы</c:v>
                </c:pt>
              </c:strCache>
            </c:strRef>
          </c:tx>
          <c:spPr>
            <a:solidFill>
              <a:schemeClr val="accent2">
                <a:alpha val="70000"/>
              </a:schemeClr>
            </a:solidFill>
            <a:ln>
              <a:noFill/>
            </a:ln>
            <a:effectLst/>
          </c:spPr>
          <c:invertIfNegative val="0"/>
          <c:dLbls>
            <c:dLbl>
              <c:idx val="0"/>
              <c:layout/>
              <c:tx>
                <c:rich>
                  <a:bodyPr/>
                  <a:lstStyle/>
                  <a:p>
                    <a:fld id="{1E7A9CC6-B6A4-408E-A27C-06FD9D6D3596}" type="CELLRANGE">
                      <a:rPr lang="en-US"/>
                      <a:pPr/>
                      <a:t>[ДИАПАЗОН ЯЧЕЕК]</a:t>
                    </a:fld>
                    <a:endParaRPr lang="ru-RU"/>
                  </a:p>
                </c:rich>
              </c:tx>
              <c:dLblPos val="ctr"/>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1"/>
              <c:layout/>
              <c:tx>
                <c:rich>
                  <a:bodyPr/>
                  <a:lstStyle/>
                  <a:p>
                    <a:fld id="{D77BC0A6-2317-44D1-AAAD-E6D37F8AAD6E}" type="CELLRANGE">
                      <a:rPr lang="ru-RU"/>
                      <a:pPr/>
                      <a:t>[ДИАПАЗОН ЯЧЕЕК]</a:t>
                    </a:fld>
                    <a:endParaRPr lang="ru-RU"/>
                  </a:p>
                </c:rich>
              </c:tx>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2"/>
              <c:layout/>
              <c:tx>
                <c:rich>
                  <a:bodyPr/>
                  <a:lstStyle/>
                  <a:p>
                    <a:fld id="{58060ACF-4A4F-4E7D-A6A0-4EFF3ADFBEED}" type="CELLRANGE">
                      <a:rPr lang="ru-RU"/>
                      <a:pPr/>
                      <a:t>[ДИАПАЗОН ЯЧЕЕК]</a:t>
                    </a:fld>
                    <a:endParaRPr lang="ru-RU"/>
                  </a:p>
                </c:rich>
              </c:tx>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3"/>
              <c:layout/>
              <c:tx>
                <c:rich>
                  <a:bodyPr/>
                  <a:lstStyle/>
                  <a:p>
                    <a:fld id="{8586FD23-5172-40DF-8F69-DF23292C4644}" type="CELLRANGE">
                      <a:rPr lang="ru-RU"/>
                      <a:pPr/>
                      <a:t>[ДИАПАЗОН ЯЧЕЕК]</a:t>
                    </a:fld>
                    <a:endParaRPr lang="ru-RU"/>
                  </a:p>
                </c:rich>
              </c:tx>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4"/>
              <c:layout/>
              <c:tx>
                <c:rich>
                  <a:bodyPr/>
                  <a:lstStyle/>
                  <a:p>
                    <a:fld id="{410B4769-971F-4D1E-A17E-282503945137}" type="CELLRANGE">
                      <a:rPr lang="ru-RU"/>
                      <a:pPr/>
                      <a:t>[ДИАПАЗОН ЯЧЕЕК]</a:t>
                    </a:fld>
                    <a:endParaRPr lang="ru-RU"/>
                  </a:p>
                </c:rich>
              </c:tx>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5"/>
              <c:layout/>
              <c:tx>
                <c:rich>
                  <a:bodyPr/>
                  <a:lstStyle/>
                  <a:p>
                    <a:fld id="{0A9A0B03-5996-41EF-8D2F-2021A4E2830C}" type="CELLRANGE">
                      <a:rPr lang="ru-RU"/>
                      <a:pPr/>
                      <a:t>[ДИАПАЗОН ЯЧЕЕК]</a:t>
                    </a:fld>
                    <a:endParaRPr lang="ru-RU"/>
                  </a:p>
                </c:rich>
              </c:tx>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6"/>
              <c:layout/>
              <c:tx>
                <c:rich>
                  <a:bodyPr/>
                  <a:lstStyle/>
                  <a:p>
                    <a:fld id="{08A73911-ECB7-4158-978D-836156D5170D}" type="CELLRANGE">
                      <a:rPr lang="ru-RU"/>
                      <a:pPr/>
                      <a:t>[ДИАПАЗОН ЯЧЕЕК]</a:t>
                    </a:fld>
                    <a:endParaRPr lang="ru-RU"/>
                  </a:p>
                </c:rich>
              </c:tx>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spPr>
              <a:noFill/>
              <a:ln>
                <a:noFill/>
              </a:ln>
              <a:effectLst/>
            </c:spPr>
            <c:dLblPos val="ctr"/>
            <c:showLegendKey val="0"/>
            <c:showVal val="0"/>
            <c:showCatName val="0"/>
            <c:showSerName val="0"/>
            <c:showPercent val="0"/>
            <c:showBubbleSize val="0"/>
            <c:showLeaderLines val="0"/>
            <c:extLst>
              <c:ext xmlns:c15="http://schemas.microsoft.com/office/drawing/2012/chart" uri="{CE6537A1-D6FC-4f65-9D91-7224C49458BB}">
                <c15:layout/>
                <c15:showDataLabelsRange val="1"/>
                <c15:showLeaderLines val="1"/>
              </c:ext>
            </c:extLst>
          </c:dLbls>
          <c:cat>
            <c:numRef>
              <c:f>Лист1!$A$2:$A$8</c:f>
              <c:numCache>
                <c:formatCode>General</c:formatCode>
                <c:ptCount val="7"/>
                <c:pt idx="0">
                  <c:v>2020</c:v>
                </c:pt>
                <c:pt idx="1">
                  <c:v>2019</c:v>
                </c:pt>
                <c:pt idx="2">
                  <c:v>2018</c:v>
                </c:pt>
                <c:pt idx="3">
                  <c:v>2017</c:v>
                </c:pt>
                <c:pt idx="4">
                  <c:v>2016</c:v>
                </c:pt>
                <c:pt idx="5">
                  <c:v>2015</c:v>
                </c:pt>
                <c:pt idx="6">
                  <c:v>2014</c:v>
                </c:pt>
              </c:numCache>
            </c:numRef>
          </c:cat>
          <c:val>
            <c:numRef>
              <c:f>Лист1!$C$2:$C$8</c:f>
              <c:numCache>
                <c:formatCode>General</c:formatCode>
                <c:ptCount val="7"/>
                <c:pt idx="0">
                  <c:v>220.5</c:v>
                </c:pt>
                <c:pt idx="1">
                  <c:v>302.8</c:v>
                </c:pt>
                <c:pt idx="2">
                  <c:v>442.3</c:v>
                </c:pt>
                <c:pt idx="3">
                  <c:v>256.2</c:v>
                </c:pt>
                <c:pt idx="4">
                  <c:v>236.9</c:v>
                </c:pt>
                <c:pt idx="5">
                  <c:v>236</c:v>
                </c:pt>
                <c:pt idx="6">
                  <c:v>248.1</c:v>
                </c:pt>
              </c:numCache>
            </c:numRef>
          </c:val>
          <c:extLst>
            <c:ext xmlns:c15="http://schemas.microsoft.com/office/drawing/2012/chart" uri="{02D57815-91ED-43cb-92C2-25804820EDAC}">
              <c15:datalabelsRange>
                <c15:f>Лист1!$C$10:$C$16</c15:f>
                <c15:dlblRangeCache>
                  <c:ptCount val="7"/>
                  <c:pt idx="0">
                    <c:v>6,1%</c:v>
                  </c:pt>
                  <c:pt idx="1">
                    <c:v>10,1%</c:v>
                  </c:pt>
                  <c:pt idx="2">
                    <c:v>8,3%</c:v>
                  </c:pt>
                  <c:pt idx="3">
                    <c:v>7,9%</c:v>
                  </c:pt>
                  <c:pt idx="4">
                    <c:v>7,4%</c:v>
                  </c:pt>
                  <c:pt idx="5">
                    <c:v>6,7%</c:v>
                  </c:pt>
                  <c:pt idx="6">
                    <c:v>8,8%</c:v>
                  </c:pt>
                </c15:dlblRangeCache>
              </c15:datalabelsRange>
            </c:ext>
          </c:extLst>
        </c:ser>
        <c:ser>
          <c:idx val="2"/>
          <c:order val="2"/>
          <c:tx>
            <c:strRef>
              <c:f>Лист1!$D$1</c:f>
              <c:strCache>
                <c:ptCount val="1"/>
                <c:pt idx="0">
                  <c:v>Безвозмездные поступления</c:v>
                </c:pt>
              </c:strCache>
            </c:strRef>
          </c:tx>
          <c:spPr>
            <a:solidFill>
              <a:schemeClr val="accent3">
                <a:alpha val="70000"/>
              </a:schemeClr>
            </a:solidFill>
            <a:ln>
              <a:noFill/>
            </a:ln>
            <a:effectLst/>
          </c:spPr>
          <c:invertIfNegative val="0"/>
          <c:dLbls>
            <c:dLbl>
              <c:idx val="0"/>
              <c:layout/>
              <c:tx>
                <c:rich>
                  <a:bodyPr/>
                  <a:lstStyle/>
                  <a:p>
                    <a:fld id="{8342E2ED-1E99-4203-9C44-9E0227397D79}" type="CELLRANGE">
                      <a:rPr lang="en-US"/>
                      <a:pPr/>
                      <a:t>[ДИАПАЗОН ЯЧЕЕК]</a:t>
                    </a:fld>
                    <a:endParaRPr lang="ru-RU"/>
                  </a:p>
                </c:rich>
              </c:tx>
              <c:dLblPos val="ctr"/>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1"/>
              <c:layout/>
              <c:tx>
                <c:rich>
                  <a:bodyPr/>
                  <a:lstStyle/>
                  <a:p>
                    <a:fld id="{B7B8AAD5-CBDC-41F1-958E-417685E55884}" type="CELLRANGE">
                      <a:rPr lang="ru-RU"/>
                      <a:pPr/>
                      <a:t>[ДИАПАЗОН ЯЧЕЕК]</a:t>
                    </a:fld>
                    <a:endParaRPr lang="ru-RU"/>
                  </a:p>
                </c:rich>
              </c:tx>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2"/>
              <c:layout/>
              <c:tx>
                <c:rich>
                  <a:bodyPr/>
                  <a:lstStyle/>
                  <a:p>
                    <a:fld id="{3F6FB898-F1DA-4EB4-981D-4F9A32E098A8}" type="CELLRANGE">
                      <a:rPr lang="ru-RU"/>
                      <a:pPr/>
                      <a:t>[ДИАПАЗОН ЯЧЕЕК]</a:t>
                    </a:fld>
                    <a:endParaRPr lang="ru-RU"/>
                  </a:p>
                </c:rich>
              </c:tx>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3"/>
              <c:layout/>
              <c:tx>
                <c:rich>
                  <a:bodyPr/>
                  <a:lstStyle/>
                  <a:p>
                    <a:fld id="{0962A535-1835-4466-B709-EFB3275267CC}" type="CELLRANGE">
                      <a:rPr lang="ru-RU"/>
                      <a:pPr/>
                      <a:t>[ДИАПАЗОН ЯЧЕЕК]</a:t>
                    </a:fld>
                    <a:endParaRPr lang="ru-RU"/>
                  </a:p>
                </c:rich>
              </c:tx>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4"/>
              <c:layout/>
              <c:tx>
                <c:rich>
                  <a:bodyPr/>
                  <a:lstStyle/>
                  <a:p>
                    <a:fld id="{9693DCC8-1594-4880-ABB4-80C9EB04591F}" type="CELLRANGE">
                      <a:rPr lang="ru-RU"/>
                      <a:pPr/>
                      <a:t>[ДИАПАЗОН ЯЧЕЕК]</a:t>
                    </a:fld>
                    <a:endParaRPr lang="ru-RU"/>
                  </a:p>
                </c:rich>
              </c:tx>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5"/>
              <c:layout/>
              <c:tx>
                <c:rich>
                  <a:bodyPr/>
                  <a:lstStyle/>
                  <a:p>
                    <a:fld id="{23EFE5F7-E04A-4803-97F8-EED9DD457BA7}" type="CELLRANGE">
                      <a:rPr lang="ru-RU"/>
                      <a:pPr/>
                      <a:t>[ДИАПАЗОН ЯЧЕЕК]</a:t>
                    </a:fld>
                    <a:endParaRPr lang="ru-RU"/>
                  </a:p>
                </c:rich>
              </c:tx>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6"/>
              <c:layout/>
              <c:tx>
                <c:rich>
                  <a:bodyPr/>
                  <a:lstStyle/>
                  <a:p>
                    <a:fld id="{C3FF6DCF-802A-4602-8131-5966E298C988}" type="CELLRANGE">
                      <a:rPr lang="ru-RU"/>
                      <a:pPr/>
                      <a:t>[ДИАПАЗОН ЯЧЕЕК]</a:t>
                    </a:fld>
                    <a:endParaRPr lang="ru-RU"/>
                  </a:p>
                </c:rich>
              </c:tx>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spPr>
              <a:noFill/>
              <a:ln>
                <a:noFill/>
              </a:ln>
              <a:effectLst/>
            </c:spPr>
            <c:dLblPos val="ctr"/>
            <c:showLegendKey val="0"/>
            <c:showVal val="0"/>
            <c:showCatName val="0"/>
            <c:showSerName val="0"/>
            <c:showPercent val="0"/>
            <c:showBubbleSize val="0"/>
            <c:showLeaderLines val="0"/>
            <c:extLst>
              <c:ext xmlns:c15="http://schemas.microsoft.com/office/drawing/2012/chart" uri="{CE6537A1-D6FC-4f65-9D91-7224C49458BB}">
                <c15:layout/>
                <c15:showDataLabelsRange val="1"/>
                <c15:showLeaderLines val="1"/>
              </c:ext>
            </c:extLst>
          </c:dLbls>
          <c:cat>
            <c:numRef>
              <c:f>Лист1!$A$2:$A$8</c:f>
              <c:numCache>
                <c:formatCode>General</c:formatCode>
                <c:ptCount val="7"/>
                <c:pt idx="0">
                  <c:v>2020</c:v>
                </c:pt>
                <c:pt idx="1">
                  <c:v>2019</c:v>
                </c:pt>
                <c:pt idx="2">
                  <c:v>2018</c:v>
                </c:pt>
                <c:pt idx="3">
                  <c:v>2017</c:v>
                </c:pt>
                <c:pt idx="4">
                  <c:v>2016</c:v>
                </c:pt>
                <c:pt idx="5">
                  <c:v>2015</c:v>
                </c:pt>
                <c:pt idx="6">
                  <c:v>2014</c:v>
                </c:pt>
              </c:numCache>
            </c:numRef>
          </c:cat>
          <c:val>
            <c:numRef>
              <c:f>Лист1!$D$2:$D$8</c:f>
              <c:numCache>
                <c:formatCode>General</c:formatCode>
                <c:ptCount val="7"/>
                <c:pt idx="0">
                  <c:v>2364.3000000000002</c:v>
                </c:pt>
                <c:pt idx="1">
                  <c:v>1690</c:v>
                </c:pt>
                <c:pt idx="2">
                  <c:v>4057.1</c:v>
                </c:pt>
                <c:pt idx="3">
                  <c:v>2179.1</c:v>
                </c:pt>
                <c:pt idx="4">
                  <c:v>2276.4</c:v>
                </c:pt>
                <c:pt idx="5">
                  <c:v>2463.1</c:v>
                </c:pt>
                <c:pt idx="6">
                  <c:v>1671.2</c:v>
                </c:pt>
              </c:numCache>
            </c:numRef>
          </c:val>
          <c:extLst>
            <c:ext xmlns:c15="http://schemas.microsoft.com/office/drawing/2012/chart" uri="{02D57815-91ED-43cb-92C2-25804820EDAC}">
              <c15:datalabelsRange>
                <c15:f>Лист1!$D$10:$D$16</c15:f>
                <c15:dlblRangeCache>
                  <c:ptCount val="7"/>
                  <c:pt idx="0">
                    <c:v>65,6%</c:v>
                  </c:pt>
                  <c:pt idx="1">
                    <c:v>56,4%</c:v>
                  </c:pt>
                  <c:pt idx="2">
                    <c:v>75,9%</c:v>
                  </c:pt>
                  <c:pt idx="3">
                    <c:v>67,1%</c:v>
                  </c:pt>
                  <c:pt idx="4">
                    <c:v>71,4%</c:v>
                  </c:pt>
                  <c:pt idx="5">
                    <c:v>69,7%</c:v>
                  </c:pt>
                  <c:pt idx="6">
                    <c:v>59,5%</c:v>
                  </c:pt>
                </c15:dlblRangeCache>
              </c15:datalabelsRange>
            </c:ext>
          </c:extLst>
        </c:ser>
        <c:dLbls>
          <c:dLblPos val="ctr"/>
          <c:showLegendKey val="0"/>
          <c:showVal val="1"/>
          <c:showCatName val="0"/>
          <c:showSerName val="0"/>
          <c:showPercent val="0"/>
          <c:showBubbleSize val="0"/>
        </c:dLbls>
        <c:gapWidth val="50"/>
        <c:overlap val="100"/>
        <c:serLines>
          <c:spPr>
            <a:ln w="9509">
              <a:solidFill>
                <a:schemeClr val="tx1">
                  <a:lumMod val="35000"/>
                  <a:lumOff val="65000"/>
                </a:schemeClr>
              </a:solidFill>
              <a:round/>
            </a:ln>
            <a:effectLst/>
          </c:spPr>
        </c:serLines>
        <c:axId val="467173296"/>
        <c:axId val="467173856"/>
      </c:barChart>
      <c:catAx>
        <c:axId val="467173296"/>
        <c:scaling>
          <c:orientation val="minMax"/>
        </c:scaling>
        <c:delete val="0"/>
        <c:axPos val="l"/>
        <c:numFmt formatCode="General" sourceLinked="1"/>
        <c:majorTickMark val="none"/>
        <c:minorTickMark val="none"/>
        <c:tickLblPos val="nextTo"/>
        <c:spPr>
          <a:noFill/>
          <a:ln w="9509" cap="flat" cmpd="sng" algn="ctr">
            <a:solidFill>
              <a:schemeClr val="tx1">
                <a:lumMod val="25000"/>
                <a:lumOff val="75000"/>
              </a:schemeClr>
            </a:solidFill>
            <a:round/>
            <a:headEnd type="none" w="sm" len="sm"/>
            <a:tailEnd type="none" w="sm" len="sm"/>
          </a:ln>
          <a:effectLst/>
        </c:spPr>
        <c:txPr>
          <a:bodyPr rot="-60000000" vert="horz"/>
          <a:lstStyle/>
          <a:p>
            <a:pPr>
              <a:defRPr/>
            </a:pPr>
            <a:endParaRPr lang="ru-RU"/>
          </a:p>
        </c:txPr>
        <c:crossAx val="467173856"/>
        <c:crosses val="autoZero"/>
        <c:auto val="1"/>
        <c:lblAlgn val="ctr"/>
        <c:lblOffset val="100"/>
        <c:noMultiLvlLbl val="0"/>
      </c:catAx>
      <c:valAx>
        <c:axId val="467173856"/>
        <c:scaling>
          <c:orientation val="minMax"/>
          <c:max val="5500"/>
          <c:min val="0"/>
        </c:scaling>
        <c:delete val="1"/>
        <c:axPos val="b"/>
        <c:numFmt formatCode="#,##0.0" sourceLinked="0"/>
        <c:majorTickMark val="none"/>
        <c:minorTickMark val="none"/>
        <c:tickLblPos val="nextTo"/>
        <c:crossAx val="467173296"/>
        <c:crosses val="autoZero"/>
        <c:crossBetween val="between"/>
      </c:valAx>
      <c:spPr>
        <a:noFill/>
        <a:ln w="25359">
          <a:noFill/>
        </a:ln>
      </c:spPr>
    </c:plotArea>
    <c:legend>
      <c:legendPos val="b"/>
      <c:layout/>
      <c:overlay val="0"/>
      <c:spPr>
        <a:noFill/>
        <a:ln>
          <a:noFill/>
        </a:ln>
        <a:effectLst/>
      </c:spPr>
      <c:txPr>
        <a:bodyPr rot="0" vert="horz"/>
        <a:lstStyle/>
        <a:p>
          <a:pPr>
            <a:defRPr/>
          </a:pPr>
          <a:endParaRPr lang="ru-RU"/>
        </a:p>
      </c:txPr>
    </c:legend>
    <c:plotVisOnly val="1"/>
    <c:dispBlanksAs val="gap"/>
    <c:showDLblsOverMax val="0"/>
  </c:chart>
  <c:spPr>
    <a:solidFill>
      <a:schemeClr val="bg1"/>
    </a:solidFill>
    <a:ln>
      <a:noFill/>
    </a:ln>
    <a:effectLst/>
  </c:spPr>
  <c:txPr>
    <a:bodyPr/>
    <a:lstStyle/>
    <a:p>
      <a:pPr>
        <a:defRPr sz="1100"/>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2" b="0" i="0" u="none" strike="noStrike" kern="1200" spc="0" baseline="0">
                <a:solidFill>
                  <a:schemeClr val="tx1">
                    <a:lumMod val="65000"/>
                    <a:lumOff val="35000"/>
                  </a:schemeClr>
                </a:solidFill>
                <a:latin typeface="+mn-lt"/>
                <a:ea typeface="+mn-ea"/>
                <a:cs typeface="+mn-cs"/>
              </a:defRPr>
            </a:pPr>
            <a:r>
              <a:rPr lang="ru-RU" sz="1402" b="0" i="0" u="none" strike="noStrike" baseline="0">
                <a:effectLst/>
                <a:latin typeface="Times New Roman" panose="02020603050405020304" pitchFamily="18" charset="0"/>
                <a:cs typeface="Times New Roman" panose="02020603050405020304" pitchFamily="18" charset="0"/>
              </a:rPr>
              <a:t>Структура расходов бюджета города Пыть-Яха в 2014-2020 годах, (млн. рублей)</a:t>
            </a:r>
            <a:endParaRPr lang="ru-RU">
              <a:latin typeface="Times New Roman" panose="02020603050405020304" pitchFamily="18" charset="0"/>
              <a:cs typeface="Times New Roman" panose="02020603050405020304" pitchFamily="18" charset="0"/>
            </a:endParaRPr>
          </a:p>
        </c:rich>
      </c:tx>
      <c:layout>
        <c:manualLayout>
          <c:xMode val="edge"/>
          <c:yMode val="edge"/>
          <c:x val="0.11704284234361499"/>
          <c:y val="0"/>
        </c:manualLayout>
      </c:layout>
      <c:overlay val="0"/>
      <c:spPr>
        <a:noFill/>
        <a:ln w="25439">
          <a:noFill/>
        </a:ln>
      </c:spPr>
    </c:title>
    <c:autoTitleDeleted val="0"/>
    <c:plotArea>
      <c:layout>
        <c:manualLayout>
          <c:layoutTarget val="inner"/>
          <c:xMode val="edge"/>
          <c:yMode val="edge"/>
          <c:x val="7.0141248242220913E-2"/>
          <c:y val="0.12614079728583547"/>
          <c:w val="0.8978078773539635"/>
          <c:h val="0.66538251420862471"/>
        </c:manualLayout>
      </c:layout>
      <c:barChart>
        <c:barDir val="bar"/>
        <c:grouping val="stacked"/>
        <c:varyColors val="0"/>
        <c:ser>
          <c:idx val="0"/>
          <c:order val="0"/>
          <c:tx>
            <c:strRef>
              <c:f>Лист1!$A$2</c:f>
              <c:strCache>
                <c:ptCount val="1"/>
                <c:pt idx="0">
                  <c:v>Социальная сфера</c:v>
                </c:pt>
              </c:strCache>
            </c:strRef>
          </c:tx>
          <c:spPr>
            <a:solidFill>
              <a:srgbClr val="5B9BD5"/>
            </a:solidFill>
            <a:ln w="25439">
              <a:noFill/>
            </a:ln>
          </c:spPr>
          <c:invertIfNegative val="0"/>
          <c:dLbls>
            <c:dLbl>
              <c:idx val="0"/>
              <c:layout/>
              <c:tx>
                <c:rich>
                  <a:bodyPr/>
                  <a:lstStyle/>
                  <a:p>
                    <a:fld id="{6483078B-4078-4E4A-A28D-FE1A028F0462}" type="CELLRANGE">
                      <a:rPr lang="en-US"/>
                      <a:pPr/>
                      <a:t>[ДИАПАЗОН ЯЧЕЕК]</a:t>
                    </a:fld>
                    <a:endParaRPr lang="ru-RU"/>
                  </a:p>
                </c:rich>
              </c:tx>
              <c:dLblPos val="ctr"/>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1"/>
              <c:layout/>
              <c:tx>
                <c:rich>
                  <a:bodyPr/>
                  <a:lstStyle/>
                  <a:p>
                    <a:fld id="{99D285E4-B17F-4EE2-A0F1-BE9C4F60776C}" type="CELLRANGE">
                      <a:rPr lang="ru-RU"/>
                      <a:pPr/>
                      <a:t>[ДИАПАЗОН ЯЧЕЕК]</a:t>
                    </a:fld>
                    <a:endParaRPr lang="ru-RU"/>
                  </a:p>
                </c:rich>
              </c:tx>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2"/>
              <c:layout/>
              <c:tx>
                <c:rich>
                  <a:bodyPr/>
                  <a:lstStyle/>
                  <a:p>
                    <a:fld id="{4E88E965-9855-4834-B171-97512974D2D5}" type="CELLRANGE">
                      <a:rPr lang="ru-RU"/>
                      <a:pPr/>
                      <a:t>[ДИАПАЗОН ЯЧЕЕК]</a:t>
                    </a:fld>
                    <a:endParaRPr lang="ru-RU"/>
                  </a:p>
                </c:rich>
              </c:tx>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3"/>
              <c:layout/>
              <c:tx>
                <c:rich>
                  <a:bodyPr/>
                  <a:lstStyle/>
                  <a:p>
                    <a:fld id="{39CE96A1-5EE5-4E73-BC36-592E6009445A}" type="CELLRANGE">
                      <a:rPr lang="ru-RU"/>
                      <a:pPr/>
                      <a:t>[ДИАПАЗОН ЯЧЕЕК]</a:t>
                    </a:fld>
                    <a:endParaRPr lang="ru-RU"/>
                  </a:p>
                </c:rich>
              </c:tx>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4"/>
              <c:layout/>
              <c:tx>
                <c:rich>
                  <a:bodyPr/>
                  <a:lstStyle/>
                  <a:p>
                    <a:fld id="{0595A49F-0E16-48EC-9B0F-DEDCDA199E99}" type="CELLRANGE">
                      <a:rPr lang="ru-RU"/>
                      <a:pPr/>
                      <a:t>[ДИАПАЗОН ЯЧЕЕК]</a:t>
                    </a:fld>
                    <a:endParaRPr lang="ru-RU"/>
                  </a:p>
                </c:rich>
              </c:tx>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5"/>
              <c:layout/>
              <c:tx>
                <c:rich>
                  <a:bodyPr/>
                  <a:lstStyle/>
                  <a:p>
                    <a:fld id="{FB4E88EC-3F74-4C21-AB08-C880AABB4E7C}" type="CELLRANGE">
                      <a:rPr lang="ru-RU"/>
                      <a:pPr/>
                      <a:t>[ДИАПАЗОН ЯЧЕЕК]</a:t>
                    </a:fld>
                    <a:endParaRPr lang="ru-RU"/>
                  </a:p>
                </c:rich>
              </c:tx>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6"/>
              <c:layout/>
              <c:tx>
                <c:rich>
                  <a:bodyPr/>
                  <a:lstStyle/>
                  <a:p>
                    <a:fld id="{F42919E5-16B2-45B9-A0E8-F0501EA47070}" type="CELLRANGE">
                      <a:rPr lang="ru-RU"/>
                      <a:pPr/>
                      <a:t>[ДИАПАЗОН ЯЧЕЕК]</a:t>
                    </a:fld>
                    <a:endParaRPr lang="ru-RU"/>
                  </a:p>
                </c:rich>
              </c:tx>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spPr>
              <a:noFill/>
              <a:ln w="25439">
                <a:noFill/>
              </a:ln>
            </c:spPr>
            <c:txPr>
              <a:bodyPr rot="0" spcFirstLastPara="1" vertOverflow="ellipsis" vert="horz" wrap="square" lIns="38100" tIns="19050" rIns="38100" bIns="19050" anchor="ctr" anchorCtr="1">
                <a:spAutoFit/>
              </a:bodyPr>
              <a:lstStyle/>
              <a:p>
                <a:pPr>
                  <a:defRPr sz="901" b="1" i="0" u="none" strike="noStrike" kern="1200" baseline="0">
                    <a:solidFill>
                      <a:schemeClr val="tx1">
                        <a:lumMod val="75000"/>
                        <a:lumOff val="25000"/>
                      </a:schemeClr>
                    </a:solidFill>
                    <a:latin typeface="+mn-lt"/>
                    <a:ea typeface="+mn-ea"/>
                    <a:cs typeface="+mn-cs"/>
                  </a:defRPr>
                </a:pPr>
                <a:endParaRPr lang="ru-RU"/>
              </a:p>
            </c:txPr>
            <c:dLblPos val="ctr"/>
            <c:showLegendKey val="0"/>
            <c:showVal val="0"/>
            <c:showCatName val="0"/>
            <c:showSerName val="0"/>
            <c:showPercent val="0"/>
            <c:showBubbleSize val="0"/>
            <c:showLeaderLines val="0"/>
            <c:extLst>
              <c:ext xmlns:c15="http://schemas.microsoft.com/office/drawing/2012/chart" uri="{CE6537A1-D6FC-4f65-9D91-7224C49458BB}">
                <c15:layout/>
                <c15:showDataLabelsRange val="1"/>
                <c15:showLeaderLines val="0"/>
              </c:ext>
            </c:extLst>
          </c:dLbls>
          <c:cat>
            <c:strRef>
              <c:f>Лист1!$B$1:$H$1</c:f>
              <c:strCache>
                <c:ptCount val="7"/>
                <c:pt idx="0">
                  <c:v>2014</c:v>
                </c:pt>
                <c:pt idx="1">
                  <c:v>2015</c:v>
                </c:pt>
                <c:pt idx="2">
                  <c:v>2016</c:v>
                </c:pt>
                <c:pt idx="3">
                  <c:v>2017</c:v>
                </c:pt>
                <c:pt idx="4">
                  <c:v>2018</c:v>
                </c:pt>
                <c:pt idx="5">
                  <c:v>2019</c:v>
                </c:pt>
                <c:pt idx="6">
                  <c:v>2020</c:v>
                </c:pt>
              </c:strCache>
            </c:strRef>
          </c:cat>
          <c:val>
            <c:numRef>
              <c:f>Лист1!$B$2:$H$2</c:f>
              <c:numCache>
                <c:formatCode>General</c:formatCode>
                <c:ptCount val="7"/>
                <c:pt idx="0">
                  <c:v>1686.7</c:v>
                </c:pt>
                <c:pt idx="1">
                  <c:v>1852</c:v>
                </c:pt>
                <c:pt idx="2">
                  <c:v>1949.3</c:v>
                </c:pt>
                <c:pt idx="3">
                  <c:v>1662.8</c:v>
                </c:pt>
                <c:pt idx="4">
                  <c:v>1952.1</c:v>
                </c:pt>
                <c:pt idx="5">
                  <c:v>2340.4</c:v>
                </c:pt>
                <c:pt idx="6">
                  <c:v>2067.6999999999998</c:v>
                </c:pt>
              </c:numCache>
            </c:numRef>
          </c:val>
          <c:extLst>
            <c:ext xmlns:c15="http://schemas.microsoft.com/office/drawing/2012/chart" uri="{02D57815-91ED-43cb-92C2-25804820EDAC}">
              <c15:datalabelsRange>
                <c15:f>Лист1!$B$9:$H$9</c15:f>
                <c15:dlblRangeCache>
                  <c:ptCount val="7"/>
                  <c:pt idx="0">
                    <c:v>50,6%</c:v>
                  </c:pt>
                  <c:pt idx="1">
                    <c:v>50,9%</c:v>
                  </c:pt>
                  <c:pt idx="2">
                    <c:v>60,7%</c:v>
                  </c:pt>
                  <c:pt idx="3">
                    <c:v>54,0%</c:v>
                  </c:pt>
                  <c:pt idx="4">
                    <c:v>49,3%</c:v>
                  </c:pt>
                  <c:pt idx="5">
                    <c:v>57,8%</c:v>
                  </c:pt>
                  <c:pt idx="6">
                    <c:v>66,4%</c:v>
                  </c:pt>
                </c15:dlblRangeCache>
              </c15:datalabelsRange>
            </c:ext>
          </c:extLst>
        </c:ser>
        <c:ser>
          <c:idx val="1"/>
          <c:order val="1"/>
          <c:tx>
            <c:strRef>
              <c:f>Лист1!$A$3</c:f>
              <c:strCache>
                <c:ptCount val="1"/>
                <c:pt idx="0">
                  <c:v>Развитие отраслей экономики</c:v>
                </c:pt>
              </c:strCache>
            </c:strRef>
          </c:tx>
          <c:spPr>
            <a:solidFill>
              <a:srgbClr val="ED7D31"/>
            </a:solidFill>
            <a:ln w="25439">
              <a:noFill/>
            </a:ln>
          </c:spPr>
          <c:invertIfNegative val="0"/>
          <c:dLbls>
            <c:dLbl>
              <c:idx val="0"/>
              <c:layout/>
              <c:tx>
                <c:rich>
                  <a:bodyPr/>
                  <a:lstStyle/>
                  <a:p>
                    <a:fld id="{53FD5438-0F09-4D97-A3E0-36BAB06B1E0F}" type="CELLRANGE">
                      <a:rPr lang="en-US"/>
                      <a:pPr/>
                      <a:t>[ДИАПАЗОН ЯЧЕЕК]</a:t>
                    </a:fld>
                    <a:endParaRPr lang="ru-RU"/>
                  </a:p>
                </c:rich>
              </c:tx>
              <c:dLblPos val="ctr"/>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1"/>
              <c:layout/>
              <c:tx>
                <c:rich>
                  <a:bodyPr/>
                  <a:lstStyle/>
                  <a:p>
                    <a:fld id="{AE9690A0-6E87-41CD-846D-B1F221C87779}" type="CELLRANGE">
                      <a:rPr lang="ru-RU"/>
                      <a:pPr/>
                      <a:t>[ДИАПАЗОН ЯЧЕЕК]</a:t>
                    </a:fld>
                    <a:endParaRPr lang="ru-RU"/>
                  </a:p>
                </c:rich>
              </c:tx>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2"/>
              <c:layout/>
              <c:tx>
                <c:rich>
                  <a:bodyPr/>
                  <a:lstStyle/>
                  <a:p>
                    <a:fld id="{5B9437E9-90FB-4688-92D6-37E678520B0D}" type="CELLRANGE">
                      <a:rPr lang="ru-RU"/>
                      <a:pPr/>
                      <a:t>[ДИАПАЗОН ЯЧЕЕК]</a:t>
                    </a:fld>
                    <a:endParaRPr lang="ru-RU"/>
                  </a:p>
                </c:rich>
              </c:tx>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3"/>
              <c:layout/>
              <c:tx>
                <c:rich>
                  <a:bodyPr/>
                  <a:lstStyle/>
                  <a:p>
                    <a:fld id="{557FDD43-DE67-4917-8457-B0811DD5B242}" type="CELLRANGE">
                      <a:rPr lang="ru-RU"/>
                      <a:pPr/>
                      <a:t>[ДИАПАЗОН ЯЧЕЕК]</a:t>
                    </a:fld>
                    <a:endParaRPr lang="ru-RU"/>
                  </a:p>
                </c:rich>
              </c:tx>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4"/>
              <c:layout/>
              <c:tx>
                <c:rich>
                  <a:bodyPr/>
                  <a:lstStyle/>
                  <a:p>
                    <a:fld id="{34262732-3F05-4A9B-834D-CF6E347D1AA5}" type="CELLRANGE">
                      <a:rPr lang="ru-RU"/>
                      <a:pPr/>
                      <a:t>[ДИАПАЗОН ЯЧЕЕК]</a:t>
                    </a:fld>
                    <a:endParaRPr lang="ru-RU"/>
                  </a:p>
                </c:rich>
              </c:tx>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5"/>
              <c:layout/>
              <c:tx>
                <c:rich>
                  <a:bodyPr/>
                  <a:lstStyle/>
                  <a:p>
                    <a:fld id="{5DD15F42-68A6-41CD-85FE-DDF3E0F73710}" type="CELLRANGE">
                      <a:rPr lang="ru-RU"/>
                      <a:pPr/>
                      <a:t>[ДИАПАЗОН ЯЧЕЕК]</a:t>
                    </a:fld>
                    <a:endParaRPr lang="ru-RU"/>
                  </a:p>
                </c:rich>
              </c:tx>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6"/>
              <c:layout/>
              <c:tx>
                <c:rich>
                  <a:bodyPr/>
                  <a:lstStyle/>
                  <a:p>
                    <a:fld id="{0AFCA92E-9C05-41A3-B2AA-C7C95CCDA85A}" type="CELLRANGE">
                      <a:rPr lang="ru-RU"/>
                      <a:pPr/>
                      <a:t>[ДИАПАЗОН ЯЧЕЕК]</a:t>
                    </a:fld>
                    <a:endParaRPr lang="ru-RU"/>
                  </a:p>
                </c:rich>
              </c:tx>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spPr>
              <a:noFill/>
              <a:ln w="25439">
                <a:noFill/>
              </a:ln>
            </c:spPr>
            <c:txPr>
              <a:bodyPr rot="0" spcFirstLastPara="1" vertOverflow="ellipsis" vert="horz" wrap="square" lIns="38100" tIns="19050" rIns="38100" bIns="19050" anchor="ctr" anchorCtr="1">
                <a:spAutoFit/>
              </a:bodyPr>
              <a:lstStyle/>
              <a:p>
                <a:pPr>
                  <a:defRPr sz="901" b="1" i="0" u="none" strike="noStrike" kern="1200" baseline="0">
                    <a:solidFill>
                      <a:schemeClr val="tx1">
                        <a:lumMod val="75000"/>
                        <a:lumOff val="25000"/>
                      </a:schemeClr>
                    </a:solidFill>
                    <a:latin typeface="+mn-lt"/>
                    <a:ea typeface="+mn-ea"/>
                    <a:cs typeface="+mn-cs"/>
                  </a:defRPr>
                </a:pPr>
                <a:endParaRPr lang="ru-RU"/>
              </a:p>
            </c:txPr>
            <c:dLblPos val="ctr"/>
            <c:showLegendKey val="0"/>
            <c:showVal val="0"/>
            <c:showCatName val="0"/>
            <c:showSerName val="0"/>
            <c:showPercent val="0"/>
            <c:showBubbleSize val="0"/>
            <c:showLeaderLines val="0"/>
            <c:extLst>
              <c:ext xmlns:c15="http://schemas.microsoft.com/office/drawing/2012/chart" uri="{CE6537A1-D6FC-4f65-9D91-7224C49458BB}">
                <c15:layout/>
                <c15:showDataLabelsRange val="1"/>
                <c15:showLeaderLines val="0"/>
              </c:ext>
            </c:extLst>
          </c:dLbls>
          <c:cat>
            <c:strRef>
              <c:f>Лист1!$B$1:$H$1</c:f>
              <c:strCache>
                <c:ptCount val="7"/>
                <c:pt idx="0">
                  <c:v>2014</c:v>
                </c:pt>
                <c:pt idx="1">
                  <c:v>2015</c:v>
                </c:pt>
                <c:pt idx="2">
                  <c:v>2016</c:v>
                </c:pt>
                <c:pt idx="3">
                  <c:v>2017</c:v>
                </c:pt>
                <c:pt idx="4">
                  <c:v>2018</c:v>
                </c:pt>
                <c:pt idx="5">
                  <c:v>2019</c:v>
                </c:pt>
                <c:pt idx="6">
                  <c:v>2020</c:v>
                </c:pt>
              </c:strCache>
            </c:strRef>
          </c:cat>
          <c:val>
            <c:numRef>
              <c:f>Лист1!$B$3:$H$3</c:f>
              <c:numCache>
                <c:formatCode>General</c:formatCode>
                <c:ptCount val="7"/>
                <c:pt idx="0">
                  <c:v>282.2</c:v>
                </c:pt>
                <c:pt idx="1">
                  <c:v>286.8</c:v>
                </c:pt>
                <c:pt idx="2">
                  <c:v>302.3</c:v>
                </c:pt>
                <c:pt idx="3">
                  <c:v>288.7</c:v>
                </c:pt>
                <c:pt idx="4">
                  <c:v>216.5</c:v>
                </c:pt>
                <c:pt idx="5">
                  <c:v>294.3</c:v>
                </c:pt>
                <c:pt idx="6">
                  <c:v>261.5</c:v>
                </c:pt>
              </c:numCache>
            </c:numRef>
          </c:val>
          <c:extLst>
            <c:ext xmlns:c15="http://schemas.microsoft.com/office/drawing/2012/chart" uri="{02D57815-91ED-43cb-92C2-25804820EDAC}">
              <c15:datalabelsRange>
                <c15:f>Лист1!$B$10:$H$10</c15:f>
                <c15:dlblRangeCache>
                  <c:ptCount val="7"/>
                  <c:pt idx="0">
                    <c:v>8,5%</c:v>
                  </c:pt>
                  <c:pt idx="1">
                    <c:v>7,9%</c:v>
                  </c:pt>
                  <c:pt idx="2">
                    <c:v>9,4%</c:v>
                  </c:pt>
                  <c:pt idx="3">
                    <c:v>9,4%</c:v>
                  </c:pt>
                  <c:pt idx="4">
                    <c:v>5,5%</c:v>
                  </c:pt>
                  <c:pt idx="5">
                    <c:v>7,3%</c:v>
                  </c:pt>
                  <c:pt idx="6">
                    <c:v>8,4%</c:v>
                  </c:pt>
                </c15:dlblRangeCache>
              </c15:datalabelsRange>
            </c:ext>
          </c:extLst>
        </c:ser>
        <c:ser>
          <c:idx val="2"/>
          <c:order val="2"/>
          <c:tx>
            <c:strRef>
              <c:f>Лист1!$A$4</c:f>
              <c:strCache>
                <c:ptCount val="1"/>
                <c:pt idx="0">
                  <c:v>Жилищно-коммунальное хозяйство</c:v>
                </c:pt>
              </c:strCache>
            </c:strRef>
          </c:tx>
          <c:spPr>
            <a:solidFill>
              <a:srgbClr val="A5A5A5"/>
            </a:solidFill>
            <a:ln w="25439">
              <a:noFill/>
            </a:ln>
          </c:spPr>
          <c:invertIfNegative val="0"/>
          <c:dLbls>
            <c:dLbl>
              <c:idx val="0"/>
              <c:layout/>
              <c:tx>
                <c:rich>
                  <a:bodyPr/>
                  <a:lstStyle/>
                  <a:p>
                    <a:fld id="{C20B664B-E087-4F33-ACE7-EDC3B1A3E12E}" type="CELLRANGE">
                      <a:rPr lang="en-US"/>
                      <a:pPr/>
                      <a:t>[ДИАПАЗОН ЯЧЕЕК]</a:t>
                    </a:fld>
                    <a:endParaRPr lang="ru-RU"/>
                  </a:p>
                </c:rich>
              </c:tx>
              <c:dLblPos val="ctr"/>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1"/>
              <c:layout>
                <c:manualLayout>
                  <c:x val="-5.040955451038419E-3"/>
                  <c:y val="-9.6517600371723872E-3"/>
                </c:manualLayout>
              </c:layout>
              <c:tx>
                <c:rich>
                  <a:bodyPr/>
                  <a:lstStyle/>
                  <a:p>
                    <a:fld id="{9B7A7226-E566-42B7-804A-199F713833CE}" type="CELLRANGE">
                      <a:rPr lang="en-US"/>
                      <a:pPr/>
                      <a:t>[ДИАПАЗОН ЯЧЕЕК]</a:t>
                    </a:fld>
                    <a:endParaRPr lang="ru-RU"/>
                  </a:p>
                </c:rich>
              </c:tx>
              <c:dLblPos val="ctr"/>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2"/>
              <c:layout>
                <c:manualLayout>
                  <c:x val="0"/>
                  <c:y val="-7.4244307978250587E-4"/>
                </c:manualLayout>
              </c:layout>
              <c:tx>
                <c:rich>
                  <a:bodyPr/>
                  <a:lstStyle/>
                  <a:p>
                    <a:fld id="{3A3026C7-EECF-4E00-B29E-9B72F9B0064E}" type="CELLRANGE">
                      <a:rPr lang="en-US"/>
                      <a:pPr/>
                      <a:t>[ДИАПАЗОН ЯЧЕЕК]</a:t>
                    </a:fld>
                    <a:endParaRPr lang="ru-RU"/>
                  </a:p>
                </c:rich>
              </c:tx>
              <c:dLblPos val="ctr"/>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3"/>
              <c:layout/>
              <c:tx>
                <c:rich>
                  <a:bodyPr/>
                  <a:lstStyle/>
                  <a:p>
                    <a:fld id="{A22CCA38-1B86-4579-A3CB-8E6C7399643D}" type="CELLRANGE">
                      <a:rPr lang="ru-RU"/>
                      <a:pPr/>
                      <a:t>[ДИАПАЗОН ЯЧЕЕК]</a:t>
                    </a:fld>
                    <a:endParaRPr lang="ru-RU"/>
                  </a:p>
                </c:rich>
              </c:tx>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4"/>
              <c:layout/>
              <c:tx>
                <c:rich>
                  <a:bodyPr/>
                  <a:lstStyle/>
                  <a:p>
                    <a:fld id="{0034A39A-212B-4707-A9B6-F4325FADEEF6}" type="CELLRANGE">
                      <a:rPr lang="ru-RU"/>
                      <a:pPr/>
                      <a:t>[ДИАПАЗОН ЯЧЕЕК]</a:t>
                    </a:fld>
                    <a:endParaRPr lang="ru-RU"/>
                  </a:p>
                </c:rich>
              </c:tx>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5"/>
              <c:layout/>
              <c:tx>
                <c:rich>
                  <a:bodyPr/>
                  <a:lstStyle/>
                  <a:p>
                    <a:fld id="{E1F9582F-4E47-425B-AE2A-BFB8479CBFD5}" type="CELLRANGE">
                      <a:rPr lang="ru-RU"/>
                      <a:pPr/>
                      <a:t>[ДИАПАЗОН ЯЧЕЕК]</a:t>
                    </a:fld>
                    <a:endParaRPr lang="ru-RU"/>
                  </a:p>
                </c:rich>
              </c:tx>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6"/>
              <c:layout/>
              <c:tx>
                <c:rich>
                  <a:bodyPr/>
                  <a:lstStyle/>
                  <a:p>
                    <a:fld id="{6BA9B73A-4146-4819-B8F4-1E180E646272}" type="CELLRANGE">
                      <a:rPr lang="ru-RU"/>
                      <a:pPr/>
                      <a:t>[ДИАПАЗОН ЯЧЕЕК]</a:t>
                    </a:fld>
                    <a:endParaRPr lang="ru-RU"/>
                  </a:p>
                </c:rich>
              </c:tx>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spPr>
              <a:noFill/>
              <a:ln w="25439">
                <a:noFill/>
              </a:ln>
            </c:spPr>
            <c:txPr>
              <a:bodyPr rot="0" spcFirstLastPara="1" vertOverflow="ellipsis" vert="horz" wrap="square" lIns="38100" tIns="19050" rIns="38100" bIns="19050" anchor="ctr" anchorCtr="1">
                <a:spAutoFit/>
              </a:bodyPr>
              <a:lstStyle/>
              <a:p>
                <a:pPr>
                  <a:defRPr sz="901" b="1" i="0" u="none" strike="noStrike" kern="1200" baseline="0">
                    <a:solidFill>
                      <a:schemeClr val="tx1">
                        <a:lumMod val="75000"/>
                        <a:lumOff val="25000"/>
                      </a:schemeClr>
                    </a:solidFill>
                    <a:latin typeface="+mn-lt"/>
                    <a:ea typeface="+mn-ea"/>
                    <a:cs typeface="+mn-cs"/>
                  </a:defRPr>
                </a:pPr>
                <a:endParaRPr lang="ru-RU"/>
              </a:p>
            </c:txPr>
            <c:dLblPos val="ctr"/>
            <c:showLegendKey val="0"/>
            <c:showVal val="0"/>
            <c:showCatName val="0"/>
            <c:showSerName val="0"/>
            <c:showPercent val="0"/>
            <c:showBubbleSize val="0"/>
            <c:showLeaderLines val="0"/>
            <c:extLst>
              <c:ext xmlns:c15="http://schemas.microsoft.com/office/drawing/2012/chart" uri="{CE6537A1-D6FC-4f65-9D91-7224C49458BB}">
                <c15:layout/>
                <c15:showDataLabelsRange val="1"/>
                <c15:showLeaderLines val="0"/>
              </c:ext>
            </c:extLst>
          </c:dLbls>
          <c:cat>
            <c:strRef>
              <c:f>Лист1!$B$1:$H$1</c:f>
              <c:strCache>
                <c:ptCount val="7"/>
                <c:pt idx="0">
                  <c:v>2014</c:v>
                </c:pt>
                <c:pt idx="1">
                  <c:v>2015</c:v>
                </c:pt>
                <c:pt idx="2">
                  <c:v>2016</c:v>
                </c:pt>
                <c:pt idx="3">
                  <c:v>2017</c:v>
                </c:pt>
                <c:pt idx="4">
                  <c:v>2018</c:v>
                </c:pt>
                <c:pt idx="5">
                  <c:v>2019</c:v>
                </c:pt>
                <c:pt idx="6">
                  <c:v>2020</c:v>
                </c:pt>
              </c:strCache>
            </c:strRef>
          </c:cat>
          <c:val>
            <c:numRef>
              <c:f>Лист1!$B$4:$H$4</c:f>
              <c:numCache>
                <c:formatCode>General</c:formatCode>
                <c:ptCount val="7"/>
                <c:pt idx="0">
                  <c:v>987.3</c:v>
                </c:pt>
                <c:pt idx="1">
                  <c:v>1120.8</c:v>
                </c:pt>
                <c:pt idx="2">
                  <c:v>536.1</c:v>
                </c:pt>
                <c:pt idx="3">
                  <c:v>627.30000000000007</c:v>
                </c:pt>
                <c:pt idx="4">
                  <c:v>1263.4000000000001</c:v>
                </c:pt>
                <c:pt idx="5">
                  <c:v>840.5</c:v>
                </c:pt>
                <c:pt idx="6">
                  <c:v>249.5</c:v>
                </c:pt>
              </c:numCache>
            </c:numRef>
          </c:val>
          <c:extLst>
            <c:ext xmlns:c15="http://schemas.microsoft.com/office/drawing/2012/chart" uri="{02D57815-91ED-43cb-92C2-25804820EDAC}">
              <c15:datalabelsRange>
                <c15:f>Лист1!$B$11:$H$11</c15:f>
                <c15:dlblRangeCache>
                  <c:ptCount val="7"/>
                  <c:pt idx="0">
                    <c:v>29,6%</c:v>
                  </c:pt>
                  <c:pt idx="1">
                    <c:v>30,8%</c:v>
                  </c:pt>
                  <c:pt idx="2">
                    <c:v>16,7%</c:v>
                  </c:pt>
                  <c:pt idx="3">
                    <c:v>20,4%</c:v>
                  </c:pt>
                  <c:pt idx="4">
                    <c:v>31,9%</c:v>
                  </c:pt>
                  <c:pt idx="5">
                    <c:v>20,8%</c:v>
                  </c:pt>
                  <c:pt idx="6">
                    <c:v>8,0%</c:v>
                  </c:pt>
                </c15:dlblRangeCache>
              </c15:datalabelsRange>
            </c:ext>
          </c:extLst>
        </c:ser>
        <c:ser>
          <c:idx val="3"/>
          <c:order val="3"/>
          <c:tx>
            <c:strRef>
              <c:f>Лист1!$A$5</c:f>
              <c:strCache>
                <c:ptCount val="1"/>
                <c:pt idx="0">
                  <c:v>Остальные расходы</c:v>
                </c:pt>
              </c:strCache>
            </c:strRef>
          </c:tx>
          <c:spPr>
            <a:solidFill>
              <a:srgbClr val="FFC000"/>
            </a:solidFill>
            <a:ln w="25439">
              <a:noFill/>
            </a:ln>
          </c:spPr>
          <c:invertIfNegative val="0"/>
          <c:dLbls>
            <c:dLbl>
              <c:idx val="0"/>
              <c:layout/>
              <c:tx>
                <c:rich>
                  <a:bodyPr/>
                  <a:lstStyle/>
                  <a:p>
                    <a:fld id="{2E01B66F-509A-42D6-AD62-EDDE84BE6BC4}" type="CELLRANGE">
                      <a:rPr lang="en-US"/>
                      <a:pPr/>
                      <a:t>[ДИАПАЗОН ЯЧЕЕК]</a:t>
                    </a:fld>
                    <a:endParaRPr lang="ru-RU"/>
                  </a:p>
                </c:rich>
              </c:tx>
              <c:dLblPos val="ctr"/>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1"/>
              <c:layout/>
              <c:tx>
                <c:rich>
                  <a:bodyPr/>
                  <a:lstStyle/>
                  <a:p>
                    <a:fld id="{2781118D-36F6-4EB9-B951-E1D6A3747FD5}" type="CELLRANGE">
                      <a:rPr lang="ru-RU"/>
                      <a:pPr/>
                      <a:t>[ДИАПАЗОН ЯЧЕЕК]</a:t>
                    </a:fld>
                    <a:endParaRPr lang="ru-RU"/>
                  </a:p>
                </c:rich>
              </c:tx>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2"/>
              <c:layout/>
              <c:tx>
                <c:rich>
                  <a:bodyPr/>
                  <a:lstStyle/>
                  <a:p>
                    <a:fld id="{B90AB546-DD2E-477D-8F9C-09210CA9C9ED}" type="CELLRANGE">
                      <a:rPr lang="ru-RU"/>
                      <a:pPr/>
                      <a:t>[ДИАПАЗОН ЯЧЕЕК]</a:t>
                    </a:fld>
                    <a:endParaRPr lang="ru-RU"/>
                  </a:p>
                </c:rich>
              </c:tx>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3"/>
              <c:layout/>
              <c:tx>
                <c:rich>
                  <a:bodyPr/>
                  <a:lstStyle/>
                  <a:p>
                    <a:fld id="{26DBC411-E885-4C85-87A4-382DDA49F968}" type="CELLRANGE">
                      <a:rPr lang="ru-RU"/>
                      <a:pPr/>
                      <a:t>[ДИАПАЗОН ЯЧЕЕК]</a:t>
                    </a:fld>
                    <a:endParaRPr lang="ru-RU"/>
                  </a:p>
                </c:rich>
              </c:tx>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4"/>
              <c:layout/>
              <c:tx>
                <c:rich>
                  <a:bodyPr/>
                  <a:lstStyle/>
                  <a:p>
                    <a:fld id="{7519CE8C-3624-4D05-9E76-09E364E6EE20}" type="CELLRANGE">
                      <a:rPr lang="ru-RU"/>
                      <a:pPr/>
                      <a:t>[ДИАПАЗОН ЯЧЕЕК]</a:t>
                    </a:fld>
                    <a:endParaRPr lang="ru-RU"/>
                  </a:p>
                </c:rich>
              </c:tx>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5"/>
              <c:layout/>
              <c:tx>
                <c:rich>
                  <a:bodyPr/>
                  <a:lstStyle/>
                  <a:p>
                    <a:fld id="{C6C48C3D-78D8-4BE1-86E6-C816753B6203}" type="CELLRANGE">
                      <a:rPr lang="ru-RU"/>
                      <a:pPr/>
                      <a:t>[ДИАПАЗОН ЯЧЕЕК]</a:t>
                    </a:fld>
                    <a:endParaRPr lang="ru-RU"/>
                  </a:p>
                </c:rich>
              </c:tx>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6"/>
              <c:layout/>
              <c:tx>
                <c:rich>
                  <a:bodyPr/>
                  <a:lstStyle/>
                  <a:p>
                    <a:fld id="{8A5EFAE0-2DB1-448B-9A87-5929E90A16F2}" type="CELLRANGE">
                      <a:rPr lang="ru-RU"/>
                      <a:pPr/>
                      <a:t>[ДИАПАЗОН ЯЧЕЕК]</a:t>
                    </a:fld>
                    <a:endParaRPr lang="ru-RU"/>
                  </a:p>
                </c:rich>
              </c:tx>
              <c:dLblPos val="ctr"/>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spPr>
              <a:noFill/>
              <a:ln w="25439">
                <a:noFill/>
              </a:ln>
            </c:spPr>
            <c:txPr>
              <a:bodyPr rot="0" spcFirstLastPara="1" vertOverflow="ellipsis" vert="horz" wrap="square" lIns="38100" tIns="19050" rIns="38100" bIns="19050" anchor="ctr" anchorCtr="1">
                <a:spAutoFit/>
              </a:bodyPr>
              <a:lstStyle/>
              <a:p>
                <a:pPr>
                  <a:defRPr sz="901" b="1" i="0" u="none" strike="noStrike" kern="1200" baseline="0">
                    <a:solidFill>
                      <a:schemeClr val="tx1">
                        <a:lumMod val="75000"/>
                        <a:lumOff val="25000"/>
                      </a:schemeClr>
                    </a:solidFill>
                    <a:latin typeface="+mn-lt"/>
                    <a:ea typeface="+mn-ea"/>
                    <a:cs typeface="+mn-cs"/>
                  </a:defRPr>
                </a:pPr>
                <a:endParaRPr lang="ru-RU"/>
              </a:p>
            </c:txPr>
            <c:dLblPos val="ctr"/>
            <c:showLegendKey val="0"/>
            <c:showVal val="0"/>
            <c:showCatName val="0"/>
            <c:showSerName val="0"/>
            <c:showPercent val="0"/>
            <c:showBubbleSize val="0"/>
            <c:showLeaderLines val="0"/>
            <c:extLst>
              <c:ext xmlns:c15="http://schemas.microsoft.com/office/drawing/2012/chart" uri="{CE6537A1-D6FC-4f65-9D91-7224C49458BB}">
                <c15:layout/>
                <c15:showDataLabelsRange val="1"/>
                <c15:showLeaderLines val="0"/>
              </c:ext>
            </c:extLst>
          </c:dLbls>
          <c:cat>
            <c:strRef>
              <c:f>Лист1!$B$1:$H$1</c:f>
              <c:strCache>
                <c:ptCount val="7"/>
                <c:pt idx="0">
                  <c:v>2014</c:v>
                </c:pt>
                <c:pt idx="1">
                  <c:v>2015</c:v>
                </c:pt>
                <c:pt idx="2">
                  <c:v>2016</c:v>
                </c:pt>
                <c:pt idx="3">
                  <c:v>2017</c:v>
                </c:pt>
                <c:pt idx="4">
                  <c:v>2018</c:v>
                </c:pt>
                <c:pt idx="5">
                  <c:v>2019</c:v>
                </c:pt>
                <c:pt idx="6">
                  <c:v>2020</c:v>
                </c:pt>
              </c:strCache>
            </c:strRef>
          </c:cat>
          <c:val>
            <c:numRef>
              <c:f>Лист1!$B$5:$H$5</c:f>
              <c:numCache>
                <c:formatCode>General</c:formatCode>
                <c:ptCount val="7"/>
                <c:pt idx="0">
                  <c:v>378.1</c:v>
                </c:pt>
                <c:pt idx="1">
                  <c:v>378.2</c:v>
                </c:pt>
                <c:pt idx="2">
                  <c:v>421.4</c:v>
                </c:pt>
                <c:pt idx="3">
                  <c:v>499.3</c:v>
                </c:pt>
                <c:pt idx="4">
                  <c:v>531.6</c:v>
                </c:pt>
                <c:pt idx="5">
                  <c:v>572.4</c:v>
                </c:pt>
                <c:pt idx="6">
                  <c:v>533.5</c:v>
                </c:pt>
              </c:numCache>
            </c:numRef>
          </c:val>
          <c:extLst>
            <c:ext xmlns:c15="http://schemas.microsoft.com/office/drawing/2012/chart" uri="{02D57815-91ED-43cb-92C2-25804820EDAC}">
              <c15:datalabelsRange>
                <c15:f>Лист1!$B$12:$H$12</c15:f>
                <c15:dlblRangeCache>
                  <c:ptCount val="7"/>
                  <c:pt idx="0">
                    <c:v>11,3%</c:v>
                  </c:pt>
                  <c:pt idx="1">
                    <c:v>10,4%</c:v>
                  </c:pt>
                  <c:pt idx="2">
                    <c:v>13,1%</c:v>
                  </c:pt>
                  <c:pt idx="3">
                    <c:v>16,2%</c:v>
                  </c:pt>
                  <c:pt idx="4">
                    <c:v>13,4%</c:v>
                  </c:pt>
                  <c:pt idx="5">
                    <c:v>14,1%</c:v>
                  </c:pt>
                  <c:pt idx="6">
                    <c:v>17,1%</c:v>
                  </c:pt>
                </c15:dlblRangeCache>
              </c15:datalabelsRange>
            </c:ext>
          </c:extLst>
        </c:ser>
        <c:dLbls>
          <c:showLegendKey val="0"/>
          <c:showVal val="0"/>
          <c:showCatName val="0"/>
          <c:showSerName val="0"/>
          <c:showPercent val="0"/>
          <c:showBubbleSize val="0"/>
        </c:dLbls>
        <c:gapWidth val="100"/>
        <c:overlap val="100"/>
        <c:serLines>
          <c:spPr>
            <a:ln w="9540" cap="flat" cmpd="sng" algn="ctr">
              <a:solidFill>
                <a:schemeClr val="tx1">
                  <a:lumMod val="35000"/>
                  <a:lumOff val="65000"/>
                </a:schemeClr>
              </a:solidFill>
              <a:round/>
            </a:ln>
            <a:effectLst/>
          </c:spPr>
        </c:serLines>
        <c:axId val="467169376"/>
        <c:axId val="467177776"/>
      </c:barChart>
      <c:catAx>
        <c:axId val="467169376"/>
        <c:scaling>
          <c:orientation val="minMax"/>
        </c:scaling>
        <c:delete val="0"/>
        <c:axPos val="l"/>
        <c:numFmt formatCode="General" sourceLinked="1"/>
        <c:majorTickMark val="out"/>
        <c:minorTickMark val="none"/>
        <c:tickLblPos val="nextTo"/>
        <c:spPr>
          <a:noFill/>
          <a:ln w="6360" cap="flat" cmpd="sng" algn="ctr">
            <a:solidFill>
              <a:schemeClr val="dk1"/>
            </a:solidFill>
            <a:prstDash val="solid"/>
            <a:miter lim="800000"/>
          </a:ln>
          <a:effectLst/>
        </c:spPr>
        <c:txPr>
          <a:bodyPr rot="-60000000" spcFirstLastPara="1" vertOverflow="ellipsis" vert="horz" wrap="square" anchor="ctr" anchorCtr="1"/>
          <a:lstStyle/>
          <a:p>
            <a:pPr>
              <a:defRPr sz="901" b="0" i="0" u="none" strike="noStrike" kern="1200" baseline="0">
                <a:solidFill>
                  <a:schemeClr val="tx1"/>
                </a:solidFill>
                <a:latin typeface="+mn-lt"/>
                <a:ea typeface="+mn-ea"/>
                <a:cs typeface="+mn-cs"/>
              </a:defRPr>
            </a:pPr>
            <a:endParaRPr lang="ru-RU"/>
          </a:p>
        </c:txPr>
        <c:crossAx val="467177776"/>
        <c:crosses val="autoZero"/>
        <c:auto val="1"/>
        <c:lblAlgn val="ctr"/>
        <c:lblOffset val="100"/>
        <c:noMultiLvlLbl val="0"/>
      </c:catAx>
      <c:valAx>
        <c:axId val="467177776"/>
        <c:scaling>
          <c:orientation val="minMax"/>
        </c:scaling>
        <c:delete val="0"/>
        <c:axPos val="b"/>
        <c:numFmt formatCode="General" sourceLinked="1"/>
        <c:majorTickMark val="out"/>
        <c:minorTickMark val="none"/>
        <c:tickLblPos val="nextTo"/>
        <c:spPr>
          <a:ln w="6360">
            <a:noFill/>
          </a:ln>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ru-RU"/>
          </a:p>
        </c:txPr>
        <c:crossAx val="467169376"/>
        <c:crosses val="autoZero"/>
        <c:crossBetween val="between"/>
      </c:valAx>
      <c:spPr>
        <a:noFill/>
        <a:ln w="25439">
          <a:noFill/>
        </a:ln>
      </c:spPr>
    </c:plotArea>
    <c:legend>
      <c:legendPos val="b"/>
      <c:layout/>
      <c:overlay val="0"/>
      <c:spPr>
        <a:noFill/>
        <a:ln w="25439">
          <a:noFill/>
        </a:ln>
      </c:spPr>
      <c:txPr>
        <a:bodyPr rot="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a:noFill/>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D3D7A-4BD6-404E-BF07-D6DF07B9C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2874</Words>
  <Characters>19963</Characters>
  <Application>Microsoft Office Word</Application>
  <DocSecurity>0</DocSecurity>
  <Lines>166</Lines>
  <Paragraphs>45</Paragraphs>
  <ScaleCrop>false</ScaleCrop>
  <HeadingPairs>
    <vt:vector size="2" baseType="variant">
      <vt:variant>
        <vt:lpstr>Название</vt:lpstr>
      </vt:variant>
      <vt:variant>
        <vt:i4>1</vt:i4>
      </vt:variant>
    </vt:vector>
  </HeadingPairs>
  <TitlesOfParts>
    <vt:vector size="1" baseType="lpstr">
      <vt:lpstr>Годовой отчет о ходе реализации муниципальной программы</vt:lpstr>
    </vt:vector>
  </TitlesOfParts>
  <Company>MoBIL GROUP</Company>
  <LinksUpToDate>false</LinksUpToDate>
  <CharactersWithSpaces>22792</CharactersWithSpaces>
  <SharedDoc>false</SharedDoc>
  <HLinks>
    <vt:vector size="6" baseType="variant">
      <vt:variant>
        <vt:i4>6946917</vt:i4>
      </vt:variant>
      <vt:variant>
        <vt:i4>0</vt:i4>
      </vt:variant>
      <vt:variant>
        <vt:i4>0</vt:i4>
      </vt:variant>
      <vt:variant>
        <vt:i4>5</vt:i4>
      </vt:variant>
      <vt:variant>
        <vt:lpwstr>http://adm.gov86.org/files/2016/finkom/2014-otchet-kf.docm</vt:lpwstr>
      </vt:variant>
      <vt:variant>
        <vt:lpwstr>Par684#Par684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Годовой отчет о ходе реализации муниципальной программы</dc:title>
  <dc:subject/>
  <dc:creator>Batrakova</dc:creator>
  <cp:keywords/>
  <dc:description/>
  <cp:lastModifiedBy>Сергей Медведев</cp:lastModifiedBy>
  <cp:revision>2</cp:revision>
  <cp:lastPrinted>2018-01-24T10:55:00Z</cp:lastPrinted>
  <dcterms:created xsi:type="dcterms:W3CDTF">2020-02-10T12:18:00Z</dcterms:created>
  <dcterms:modified xsi:type="dcterms:W3CDTF">2020-02-10T12:18:00Z</dcterms:modified>
</cp:coreProperties>
</file>