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6F" w:rsidRDefault="007405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056F" w:rsidRDefault="0074056F">
      <w:pPr>
        <w:pStyle w:val="ConsPlusNormal"/>
        <w:jc w:val="both"/>
        <w:outlineLvl w:val="0"/>
      </w:pPr>
    </w:p>
    <w:p w:rsidR="0074056F" w:rsidRDefault="0074056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056F" w:rsidRDefault="0074056F">
      <w:pPr>
        <w:pStyle w:val="ConsPlusTitle"/>
        <w:jc w:val="center"/>
      </w:pPr>
    </w:p>
    <w:p w:rsidR="0074056F" w:rsidRDefault="0074056F">
      <w:pPr>
        <w:pStyle w:val="ConsPlusTitle"/>
        <w:jc w:val="center"/>
      </w:pPr>
      <w:r>
        <w:t>ПОСТАНОВЛЕНИЕ</w:t>
      </w:r>
    </w:p>
    <w:p w:rsidR="0074056F" w:rsidRDefault="0074056F">
      <w:pPr>
        <w:pStyle w:val="ConsPlusTitle"/>
        <w:jc w:val="center"/>
      </w:pPr>
      <w:r>
        <w:t>от 7 июня 2001 г. N 444</w:t>
      </w:r>
    </w:p>
    <w:p w:rsidR="0074056F" w:rsidRDefault="0074056F">
      <w:pPr>
        <w:pStyle w:val="ConsPlusTitle"/>
        <w:jc w:val="center"/>
      </w:pPr>
    </w:p>
    <w:p w:rsidR="0074056F" w:rsidRDefault="0074056F">
      <w:pPr>
        <w:pStyle w:val="ConsPlusTitle"/>
        <w:jc w:val="center"/>
      </w:pPr>
      <w:r>
        <w:t>ОБ УТВЕРЖДЕНИИ ПРАВИЛ СКУПКИ</w:t>
      </w:r>
    </w:p>
    <w:p w:rsidR="0074056F" w:rsidRDefault="0074056F">
      <w:pPr>
        <w:pStyle w:val="ConsPlusTitle"/>
        <w:jc w:val="center"/>
      </w:pPr>
      <w:r>
        <w:t>У ГРАЖДАН ЮВЕЛИРНЫХ И ДРУГИХ ИЗДЕЛИЙ</w:t>
      </w:r>
    </w:p>
    <w:p w:rsidR="0074056F" w:rsidRDefault="0074056F">
      <w:pPr>
        <w:pStyle w:val="ConsPlusTitle"/>
        <w:jc w:val="center"/>
      </w:pPr>
      <w:r>
        <w:t>ИЗ ДРАГОЦЕННЫХ МЕТАЛЛОВ И ДРАГОЦЕННЫХ КАМНЕЙ</w:t>
      </w:r>
    </w:p>
    <w:p w:rsidR="0074056F" w:rsidRDefault="0074056F">
      <w:pPr>
        <w:pStyle w:val="ConsPlusTitle"/>
        <w:jc w:val="center"/>
      </w:pPr>
      <w:r>
        <w:t>И ЛОМА ТАКИХ ИЗДЕЛИЙ</w:t>
      </w:r>
    </w:p>
    <w:p w:rsidR="0074056F" w:rsidRDefault="007405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05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6F" w:rsidRDefault="007405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6F" w:rsidRDefault="007405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056F" w:rsidRDefault="00740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056F" w:rsidRDefault="00740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08.05.2002 </w:t>
            </w:r>
            <w:hyperlink r:id="rId5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74056F" w:rsidRDefault="00740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12.09.2020 </w:t>
            </w:r>
            <w:hyperlink r:id="rId6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6F" w:rsidRDefault="0074056F">
            <w:pPr>
              <w:spacing w:after="1" w:line="0" w:lineRule="atLeast"/>
            </w:pPr>
          </w:p>
        </w:tc>
      </w:tr>
    </w:tbl>
    <w:p w:rsidR="0074056F" w:rsidRDefault="0074056F">
      <w:pPr>
        <w:pStyle w:val="ConsPlusNormal"/>
        <w:jc w:val="center"/>
      </w:pPr>
    </w:p>
    <w:p w:rsidR="0074056F" w:rsidRDefault="0074056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скупки у граждан ювелирных и других изделий из драгоценных металлов и </w:t>
      </w:r>
      <w:proofErr w:type="gramStart"/>
      <w:r>
        <w:t>драгоценных камней</w:t>
      </w:r>
      <w:proofErr w:type="gramEnd"/>
      <w:r>
        <w:t xml:space="preserve"> и лома таких изделий.</w:t>
      </w:r>
    </w:p>
    <w:p w:rsidR="0074056F" w:rsidRDefault="0074056F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12.09.2020 N 1418)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сентября 1994 г. N 1089 "Об утверждении Правил скупки у населения драгоценных металлов, драгоценных камней в изделиях и ломе" (Собрание законодательства Российской Федерации, 1994, N 23, ст. 2568).</w:t>
      </w:r>
    </w:p>
    <w:p w:rsidR="0074056F" w:rsidRDefault="0074056F">
      <w:pPr>
        <w:pStyle w:val="ConsPlusNormal"/>
      </w:pPr>
    </w:p>
    <w:p w:rsidR="0074056F" w:rsidRDefault="0074056F">
      <w:pPr>
        <w:pStyle w:val="ConsPlusNormal"/>
        <w:jc w:val="right"/>
      </w:pPr>
      <w:r>
        <w:t>Председатель Правительства</w:t>
      </w:r>
    </w:p>
    <w:p w:rsidR="0074056F" w:rsidRDefault="0074056F">
      <w:pPr>
        <w:pStyle w:val="ConsPlusNormal"/>
        <w:jc w:val="right"/>
      </w:pPr>
      <w:r>
        <w:t>Российской Федерации</w:t>
      </w:r>
    </w:p>
    <w:p w:rsidR="0074056F" w:rsidRDefault="0074056F">
      <w:pPr>
        <w:pStyle w:val="ConsPlusNormal"/>
        <w:jc w:val="right"/>
      </w:pPr>
      <w:r>
        <w:t>М.КАСЬЯНОВ</w:t>
      </w:r>
    </w:p>
    <w:p w:rsidR="0074056F" w:rsidRDefault="0074056F">
      <w:pPr>
        <w:pStyle w:val="ConsPlusNormal"/>
      </w:pPr>
    </w:p>
    <w:p w:rsidR="0074056F" w:rsidRDefault="0074056F">
      <w:pPr>
        <w:pStyle w:val="ConsPlusNormal"/>
      </w:pPr>
    </w:p>
    <w:p w:rsidR="0074056F" w:rsidRDefault="0074056F">
      <w:pPr>
        <w:pStyle w:val="ConsPlusNormal"/>
      </w:pPr>
    </w:p>
    <w:p w:rsidR="0074056F" w:rsidRDefault="0074056F">
      <w:pPr>
        <w:pStyle w:val="ConsPlusNormal"/>
      </w:pPr>
    </w:p>
    <w:p w:rsidR="0074056F" w:rsidRDefault="0074056F">
      <w:pPr>
        <w:pStyle w:val="ConsPlusNormal"/>
      </w:pPr>
    </w:p>
    <w:p w:rsidR="0074056F" w:rsidRDefault="0074056F">
      <w:pPr>
        <w:pStyle w:val="ConsPlusNormal"/>
        <w:jc w:val="right"/>
        <w:outlineLvl w:val="0"/>
      </w:pPr>
      <w:r>
        <w:t>Утверждены</w:t>
      </w:r>
    </w:p>
    <w:p w:rsidR="0074056F" w:rsidRDefault="0074056F">
      <w:pPr>
        <w:pStyle w:val="ConsPlusNormal"/>
        <w:jc w:val="right"/>
      </w:pPr>
      <w:r>
        <w:t>Постановлением Правительства</w:t>
      </w:r>
    </w:p>
    <w:p w:rsidR="0074056F" w:rsidRDefault="0074056F">
      <w:pPr>
        <w:pStyle w:val="ConsPlusNormal"/>
        <w:jc w:val="right"/>
      </w:pPr>
      <w:r>
        <w:t>Российской Федерации</w:t>
      </w:r>
    </w:p>
    <w:p w:rsidR="0074056F" w:rsidRDefault="0074056F">
      <w:pPr>
        <w:pStyle w:val="ConsPlusNormal"/>
        <w:jc w:val="right"/>
      </w:pPr>
      <w:r>
        <w:t>от 7 июня 2001 г. N 444</w:t>
      </w:r>
    </w:p>
    <w:p w:rsidR="0074056F" w:rsidRDefault="0074056F">
      <w:pPr>
        <w:pStyle w:val="ConsPlusNormal"/>
      </w:pPr>
    </w:p>
    <w:p w:rsidR="0074056F" w:rsidRDefault="0074056F">
      <w:pPr>
        <w:pStyle w:val="ConsPlusTitle"/>
        <w:jc w:val="center"/>
      </w:pPr>
      <w:bookmarkStart w:id="0" w:name="P32"/>
      <w:bookmarkEnd w:id="0"/>
      <w:r>
        <w:t>ПРАВИЛА</w:t>
      </w:r>
    </w:p>
    <w:p w:rsidR="0074056F" w:rsidRDefault="0074056F">
      <w:pPr>
        <w:pStyle w:val="ConsPlusTitle"/>
        <w:jc w:val="center"/>
      </w:pPr>
      <w:r>
        <w:t>СКУПКИ У ГРАЖДАН ЮВЕЛИРНЫХ И ДРУГИХ</w:t>
      </w:r>
    </w:p>
    <w:p w:rsidR="0074056F" w:rsidRDefault="0074056F">
      <w:pPr>
        <w:pStyle w:val="ConsPlusTitle"/>
        <w:jc w:val="center"/>
      </w:pPr>
      <w:r>
        <w:t>ИЗДЕЛИЙ ИЗ ДРАГОЦЕННЫХ МЕТАЛЛОВ И ДРАГОЦЕННЫХ</w:t>
      </w:r>
    </w:p>
    <w:p w:rsidR="0074056F" w:rsidRDefault="0074056F">
      <w:pPr>
        <w:pStyle w:val="ConsPlusTitle"/>
        <w:jc w:val="center"/>
      </w:pPr>
      <w:r>
        <w:t>КАМНЕЙ И ЛОМА ТАКИХ ИЗДЕЛИЙ</w:t>
      </w:r>
    </w:p>
    <w:p w:rsidR="0074056F" w:rsidRDefault="007405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05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6F" w:rsidRDefault="007405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6F" w:rsidRDefault="007405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056F" w:rsidRDefault="007405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056F" w:rsidRDefault="007405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08.05.2002 </w:t>
            </w:r>
            <w:hyperlink r:id="rId9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</w:p>
          <w:p w:rsidR="0074056F" w:rsidRDefault="007405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12.09.2020 </w:t>
            </w:r>
            <w:hyperlink r:id="rId10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56F" w:rsidRDefault="0074056F">
            <w:pPr>
              <w:spacing w:after="1" w:line="0" w:lineRule="atLeast"/>
            </w:pPr>
          </w:p>
        </w:tc>
      </w:tr>
    </w:tbl>
    <w:p w:rsidR="0074056F" w:rsidRDefault="0074056F">
      <w:pPr>
        <w:pStyle w:val="ConsPlusNormal"/>
      </w:pPr>
    </w:p>
    <w:p w:rsidR="0074056F" w:rsidRDefault="0074056F">
      <w:pPr>
        <w:pStyle w:val="ConsPlusNormal"/>
        <w:ind w:firstLine="540"/>
        <w:jc w:val="both"/>
      </w:pPr>
      <w:r>
        <w:t xml:space="preserve">1. Настоящие Правила устанавливают порядок скупки организациями независимо от организационно - правовой формы и индивидуальными предпринимателями (далее именуются - </w:t>
      </w:r>
      <w:r>
        <w:lastRenderedPageBreak/>
        <w:t xml:space="preserve">скупщик) у граждан (далее именуются - сдатчик) находящихся в их собственности ювелирных и других изделий из драгоценных металлов и </w:t>
      </w:r>
      <w:proofErr w:type="gramStart"/>
      <w:r>
        <w:t>драгоценных камней</w:t>
      </w:r>
      <w:proofErr w:type="gramEnd"/>
      <w:r>
        <w:t xml:space="preserve"> и лома таких изделий.</w:t>
      </w:r>
    </w:p>
    <w:p w:rsidR="0074056F" w:rsidRDefault="0074056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12.09.2020 N 1418)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08.05.2002 N 302.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3. Скупщик должен располагать необходимыми помещениями, оборудованием, инвентарем и системой охраны помещений, обеспечивать в соответствии с установленными требованиями оформление, учет, хранение скупаемых ценностей и необходимые условия для обслуживания сдатчиков, а также выполнять обязательные требования государственных стандартов, экологических, санитарно-эпидемиологических, гигиенических, противопожарных и других правил и норм.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4. Для проведения операций по приему и опробованию ценностей скупщик должен иметь: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а) весовое и иное соответствующее оборудование, а также необходимые инструменты;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б) реактивы, необходимые для определения наименования и пробы драгоценных металлов в изделиях и ломе.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5. Организация - скупщик должна иметь экспертов, обладающих соответствующей квалификацией в вопросах экспертизы и оценки ценностей.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Индивидуальный предприниматель - скупщик должен иметь необходимую квалификацию в вопросах экспертизы и оценки ценностей.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6. Скупщик обязан довести до сведения сдатчика: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а) фирменное наименование (наименование) своей организации, место ее нахождения и режим работы, индивидуальный предприниматель - информацию о государственной регистрации и наименовании зарегистрировавшего его органа;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08.05.2002 N 302;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в) сведения о документах, устанавливающих требования к клеймению ценностей, их приему и оформлению;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г) настоящие Правила;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д) сведения об органах, осуществляющих контроль за соблюдением настоящих Правил.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Указанная информация помещается в удобных для ознакомления местах.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7. Прием ценностей в скупку осуществляется независимо от наличия на них именников изготовителей и оттисков государственных пробирных клейм, а памятных и юбилейных (именных) медалей - по предъявлении сдатчиком соответствующих удостоверений на право владения такими медалями.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8. Расчеты со сдатчиками ценностей производятся на договорной основе.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9. Не подлежат скупке: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а) алмазное сырье и полуфабрикаты;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б) драгоценные металлы в самородном и аффинированном виде, а также в сырье, сплавах, полуфабрикатах, промышленных продуктах, химических соединениях и отходах производства и потребления;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lastRenderedPageBreak/>
        <w:t>в) полуфабрикаты ювелирного и зубопротезного производства (кроме коронок и дисков);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г) изделия производственно-технического назначения из золота, платины, палладия и серебра (пластины, проволока, контакты, лабораторная посуда и др.);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д) драгоценные камни - рубины, сапфиры, изумруды, александриты, а также природный жемчуг в необработанном виде;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е) ордена и медали, кроме памятных и юбилейных (именных), содержащие драгоценные металлы;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 xml:space="preserve">ж) изделия, </w:t>
      </w:r>
      <w:proofErr w:type="gramStart"/>
      <w:r>
        <w:t>содержащие драгоценные металлы и драгоценные камни</w:t>
      </w:r>
      <w:proofErr w:type="gramEnd"/>
      <w:r>
        <w:t xml:space="preserve"> изъятые из гражданского оборота или ограниченные в обороте (холодное, огнестрельное оружие с отделкой и др.).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10. Все операции, связанные со скупкой ценностей (определение наименования драгоценных металлов и драгоценных камней, определение пробы драгоценного металла, взвешивание, удаление штифтов и др.), должны быть произведены в присутствии сдатчика методами, позволяющими не нарушать целости ценностей.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11. Взвешивание ценностей производится с точностью: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изделий из золота, платины и палладия - до 0,01 грамма;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изделий из серебра - до 0,1 грамма;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изделий из драгоценных камней без оправы - до 0,01 карата.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Масса драгоценных камней, которые при скупке не могут быть выкреплены из изделий или которые нецелесообразно выкреплять из изделия, определяется приборами с точностью до 0,1 карата.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Сдатчику должна быть предоставлена возможность убедиться в правильности определения массы сдаваемых им ценностей. Скупщик несет ответственность за правильность оценки принимаемых ценностей в соответствии с законодательством Российской Федерации.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 xml:space="preserve">12. При согласии сдатчика с оценкой принимаемых ценностей скупщик выдает сдатчику </w:t>
      </w:r>
      <w:proofErr w:type="gramStart"/>
      <w:r>
        <w:t>для выплаты</w:t>
      </w:r>
      <w:proofErr w:type="gramEnd"/>
      <w:r>
        <w:t xml:space="preserve"> причитающейся ему суммы квитанцию в 2 экземплярах, подписанную скупщиком и сдатчиком. После выплаты сдатчику причитающейся суммы ему передается 1 экземпляр квитанции со штампом "оплачено".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13. В квитанции указываются: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а) наименование организации или фамилия и инициалы индивидуального предпринимателя - скупщика;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б) фамилия и инициалы сдатчика с указанием данных документа, удостоверяющего его личность;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в) наименование изделия, частей изделия и их количество, описание оттисков именника (для дореволюционных изделий - оттиска именника мастера) и пробирного клейма (для импортных изделий - оттиска импортного клейма);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г) наименование драгоценных металлов, проба, масса, договорная цена за грамм и стоимость;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 xml:space="preserve">д) наименование драгоценных камней, их количество и масса, договорная цена за карат, </w:t>
      </w:r>
      <w:r>
        <w:lastRenderedPageBreak/>
        <w:t>стоимость, в том числе в отношении: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бриллиантов крупных (от одного карата и выше), средних (от 0,30 до 0,99 карата), изумрудов, сапфиров, рубинов, александритов - также их размерно - весовая группа, группа цвета и чистоты;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алмазов огранки типа "Роза", бриллиантов мелких (до 0,29 карата) и бриллиантов упрощенной огранки - также их группа цвета и чистоты;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жемчуга природного и культивированного - количество жемчужин и их масса;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е) общая масса изделия;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ж) сумма, подлежащая выплате сдатчику ценностей.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14. Принятые ценности после их оплаты возврату не подлежат.</w:t>
      </w:r>
    </w:p>
    <w:p w:rsidR="0074056F" w:rsidRDefault="0074056F">
      <w:pPr>
        <w:pStyle w:val="ConsPlusNormal"/>
        <w:spacing w:before="220"/>
        <w:ind w:firstLine="540"/>
        <w:jc w:val="both"/>
      </w:pPr>
      <w:r>
        <w:t>15. Контроль за соблюдением настоящих Правил осуществляют уполномоченные в соответствии с законодательством Российской Федерации федеральные органы исполнительной власти и их территориальные органы.</w:t>
      </w:r>
    </w:p>
    <w:p w:rsidR="0074056F" w:rsidRDefault="0074056F">
      <w:pPr>
        <w:pStyle w:val="ConsPlusNormal"/>
      </w:pPr>
    </w:p>
    <w:p w:rsidR="0074056F" w:rsidRDefault="0074056F">
      <w:pPr>
        <w:pStyle w:val="ConsPlusNormal"/>
      </w:pPr>
    </w:p>
    <w:p w:rsidR="0074056F" w:rsidRDefault="007405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5D1" w:rsidRDefault="008E35D1">
      <w:bookmarkStart w:id="1" w:name="_GoBack"/>
      <w:bookmarkEnd w:id="1"/>
    </w:p>
    <w:sectPr w:rsidR="008E35D1" w:rsidSect="0050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6F"/>
    <w:rsid w:val="0074056F"/>
    <w:rsid w:val="008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5E51D-42F8-475B-833B-0E90A75E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0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9F95CD9966831B2EC930197590638D6517C06B4CE197E09B3BFC241A9A4CF7613A9861BB76811F53297J5S7E" TargetMode="External"/><Relationship Id="rId13" Type="http://schemas.openxmlformats.org/officeDocument/2006/relationships/hyperlink" Target="consultantplus://offline/ref=4629F95CD9966831B2EC930197590638D1517207B69D4E7C58E6B1C749F9FEDF605AA68405B76D09F139C104A04FB94E25CC6AB036301F7DJ2S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29F95CD9966831B2EC930197590638D6547B0CBF994E7C58E6B1C749F9FEDF605AA68405B76D06F739C104A04FB94E25CC6AB036301F7DJ2S0E" TargetMode="External"/><Relationship Id="rId12" Type="http://schemas.openxmlformats.org/officeDocument/2006/relationships/hyperlink" Target="consultantplus://offline/ref=4629F95CD9966831B2EC930197590638D1517207B69D4E7C58E6B1C749F9FEDF605AA68405B76D09F139C104A04FB94E25CC6AB036301F7DJ2S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9F95CD9966831B2EC930197590638D6547B0CBF994E7C58E6B1C749F9FEDF605AA68405B76D07FF39C104A04FB94E25CC6AB036301F7DJ2S0E" TargetMode="External"/><Relationship Id="rId11" Type="http://schemas.openxmlformats.org/officeDocument/2006/relationships/hyperlink" Target="consultantplus://offline/ref=4629F95CD9966831B2EC930197590638D6547B0CBF994E7C58E6B1C749F9FEDF605AA68405B76D06F439C104A04FB94E25CC6AB036301F7DJ2S0E" TargetMode="External"/><Relationship Id="rId5" Type="http://schemas.openxmlformats.org/officeDocument/2006/relationships/hyperlink" Target="consultantplus://offline/ref=4629F95CD9966831B2EC930197590638D1517207B69D4E7C58E6B1C749F9FEDF605AA68405B76D09F139C104A04FB94E25CC6AB036301F7DJ2S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29F95CD9966831B2EC930197590638D6547B0CBF994E7C58E6B1C749F9FEDF605AA68405B76D06F639C104A04FB94E25CC6AB036301F7DJ2S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29F95CD9966831B2EC930197590638D1517207B69D4E7C58E6B1C749F9FEDF605AA68405B76D09F139C104A04FB94E25CC6AB036301F7DJ2S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1</cp:revision>
  <dcterms:created xsi:type="dcterms:W3CDTF">2022-05-23T04:18:00Z</dcterms:created>
  <dcterms:modified xsi:type="dcterms:W3CDTF">2022-05-23T04:18:00Z</dcterms:modified>
</cp:coreProperties>
</file>