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Льготы при оплате коммунальных услуг по ТКО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  <w:t xml:space="preserve">После перехода на новую систему обращения с ТКО жители городов и поселков Югры  увидят в квитанциях ЖКХ новую строку «обращение с ТКО». 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ab/>
        <w:t>Ра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ньше услуга по обращению с отходами считалась жилищной, оплата формировалась, исходя из расчёта на квадратный метр. Теперь услуга стала коммунальной – сумма в квитанции рассчитывается на количество проживающих. И, к примеру, для многодетных семей плата увеличилась.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ab/>
        <w:t>В Югре законодательно предусмотрены субсидии и компенсации расходов на коммунальные услуги для различных категорий граждан.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  <w:t>Между АО«Югра-Экология» и Центром социальных выплат Югры достигнуты договоренности о взаимодействии в работе и порядке предоставления компенсации на оплату услуги по обращению с твердыми коммунальными отходами.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  <w:t>Право на компенсацию расходов имеют следующие категории: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инвалиды и участники Великой Отечественной войны 1941-1945 гг.;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труженики тыла;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лица, награжденные знаком «Жителю блокадного Ленинграда», ставшие инвалидами;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бывшие узники фашистских концлагерей;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 xml:space="preserve">члены семей погибших (умерших) инвалидов (участников) Великой Отечественной войны 1941- 45 гг. и ветеранов боевых действий;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граждане, пострадавшие от воздействия радиации;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инвалиды 1,2,3 групп  и дети-инвалиды в возрасте до 18 лет;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реабилитированные лица и лица, пострадавшие от политических репрессий;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ветераны труда и лица, приравненные к ним по состоянию на 31.12.2004;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ветераны труда Ханты-Мансийского автономного округа – Югры;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многодетные семьи;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>граждане, проживающие и работающие в сельской местности в учреждениях здравоохранения, ветеринарии, социального обслуживания, образовательных учреждениях, учреждениях молодежной политики, культуры, физкультуры и спорта.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  <w:t>Размер компенсации, в зависимости от категории, может составлять от 50 до 100%. Так, для многодетной семьи из 5 человек затраты на оплату услуги по обращению с ТКО компенсируют полностью.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  <w:t xml:space="preserve">Для жителей округа, ранее получавших компенсации «за коммуналку» никаких дополнительных заявлений писать не нужно. В  Центре  социальных выплат Югры уже есть необходимая информация. Ожидается, что эту компенсацию в беззаявительном порядке будут получать около ста пятидесяти тысяч человек.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ab/>
        <w:t xml:space="preserve">Также законодательством округа предусмотрена субсидия на оплату коммунальных услуг, в том числе и за обращение с ТКО, если расходы семьи на это составляют более 22% от совокупных доходов. Для этого нужно подать необходимые документы в Центр социальных выплат по месту жительства - </w:t>
      </w:r>
      <w:hyperlink r:id="rId2">
        <w:r>
          <w:rPr>
            <w:rStyle w:val="Style15"/>
            <w:rFonts w:eastAsia="Times New Roman" w:cs="Times New Roman" w:ascii="Times New Roman" w:hAnsi="Times New Roman"/>
            <w:lang w:eastAsia="ru-RU"/>
          </w:rPr>
          <w:t>http://csvhmao.ru</w:t>
        </w:r>
      </w:hyperlink>
      <w:r>
        <w:rPr>
          <w:rFonts w:eastAsia="Times New Roman" w:cs="Times New Roman" w:ascii="Times New Roman" w:hAnsi="Times New Roman"/>
          <w:lang w:eastAsia="ru-RU"/>
        </w:rPr>
        <w:t>, либо с помощью многофу</w:t>
      </w:r>
      <w:r>
        <w:rPr>
          <w:rFonts w:eastAsia="Times New Roman" w:cs="Times New Roman" w:ascii="Times" w:hAnsi="Times"/>
          <w:b w:val="false"/>
          <w:bCs w:val="false"/>
          <w:lang w:eastAsia="ru-RU"/>
        </w:rPr>
        <w:t xml:space="preserve">нкционального центра предоставления государственных и муниципальных услуг (МФЦ) — </w:t>
      </w:r>
      <w:hyperlink r:id="rId3">
        <w:r>
          <w:rPr>
            <w:rStyle w:val="Style15"/>
            <w:rFonts w:eastAsia="Times New Roman" w:cs="Times New Roman" w:ascii="Times" w:hAnsi="Times"/>
            <w:b w:val="false"/>
            <w:bCs w:val="false"/>
            <w:lang w:eastAsia="ru-RU"/>
          </w:rPr>
          <w:t>http://mfc.admhmao.ru</w:t>
        </w:r>
      </w:hyperlink>
      <w:r>
        <w:rPr>
          <w:rFonts w:eastAsia="Times New Roman" w:cs="Times New Roman" w:ascii="Times" w:hAnsi="Times"/>
          <w:b w:val="false"/>
          <w:bCs w:val="false"/>
          <w:lang w:eastAsia="ru-RU"/>
        </w:rPr>
        <w:t xml:space="preserve">, или с </w:t>
      </w:r>
      <w:r>
        <w:rPr>
          <w:rFonts w:eastAsia="Times New Roman" w:cs="Times New Roman" w:ascii="Times" w:hAnsi="Time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u w:val="none"/>
          <w:em w:val="none"/>
          <w:lang w:eastAsia="ru-RU"/>
        </w:rPr>
        <w:t xml:space="preserve">с использованием </w:t>
      </w:r>
      <w:r>
        <w:rPr>
          <w:rFonts w:eastAsia="Times New Roman" w:cs="Times New Roman" w:ascii="Times" w:hAnsi="Time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6"/>
          <w:u w:val="none"/>
          <w:em w:val="none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- </w:t>
      </w:r>
      <w:r>
        <w:rPr>
          <w:rFonts w:eastAsia="Times New Roman" w:cs="Times New Roman" w:ascii="Times" w:hAnsi="Times"/>
          <w:b w:val="false"/>
          <w:bCs w:val="false"/>
          <w:lang w:eastAsia="ru-RU"/>
        </w:rPr>
        <w:t xml:space="preserve">. </w:t>
      </w:r>
      <w:r>
        <w:rPr>
          <w:rFonts w:eastAsia="Times New Roman" w:cs="Times New Roman" w:ascii="Times" w:hAnsi="Times"/>
          <w:b w:val="false"/>
          <w:bCs w:val="false"/>
          <w:lang w:eastAsia="ru-RU"/>
        </w:rPr>
        <w:t xml:space="preserve">  </w:t>
      </w:r>
      <w:hyperlink r:id="rId4">
        <w:r>
          <w:rPr>
            <w:rStyle w:val="Style15"/>
            <w:rFonts w:eastAsia="Times New Roman" w:cs="Times New Roman" w:ascii="Times" w:hAnsi="Times"/>
            <w:b w:val="false"/>
            <w:bCs w:val="false"/>
            <w:lang w:eastAsia="ru-RU"/>
          </w:rPr>
          <w:t>https://www.gosuslugi.ru</w:t>
        </w:r>
      </w:hyperlink>
      <w:r>
        <w:rPr>
          <w:rFonts w:eastAsia="Times New Roman" w:cs="Times New Roman" w:ascii="Times" w:hAnsi="Times"/>
          <w:b w:val="false"/>
          <w:bCs w:val="false"/>
          <w:lang w:eastAsia="ru-RU"/>
        </w:rPr>
        <w:t xml:space="preserve">. </w:t>
      </w:r>
    </w:p>
    <w:p>
      <w:pPr>
        <w:pStyle w:val="Normal"/>
        <w:jc w:val="both"/>
        <w:rPr/>
      </w:pPr>
      <w:r>
        <w:rPr>
          <w:rFonts w:eastAsia="Times New Roman" w:cs="Times New Roman" w:ascii="Times" w:hAnsi="Times"/>
          <w:b w:val="false"/>
          <w:bCs w:val="false"/>
          <w:lang w:eastAsia="ru-RU"/>
        </w:rPr>
        <w:tab/>
        <w:t>В рамках догов</w:t>
      </w:r>
      <w:r>
        <w:rPr>
          <w:rFonts w:eastAsia="Times New Roman" w:cs="Times New Roman" w:ascii="Times New Roman" w:hAnsi="Times New Roman"/>
          <w:lang w:eastAsia="ru-RU"/>
        </w:rPr>
        <w:t>оренностей региональный оператор «Югра-Экология» предоставляет  Центру социальных выплат Югры сведения о наличии или отсутствии задолженности по оплате услуги по обращению с ТКО, так как должникам компенсация не выплачивается.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ab/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ab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0bfe"/>
    <w:pPr>
      <w:widowControl/>
      <w:bidi w:val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 списка"/>
    <w:qFormat/>
    <w:rsid w:val="00f90bfe"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b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b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b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b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b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b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b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rsid w:val="00f90bfe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7">
    <w:name w:val="Body Text"/>
    <w:basedOn w:val="Normal"/>
    <w:rsid w:val="00f90bfe"/>
    <w:pPr>
      <w:spacing w:lineRule="auto" w:line="276" w:before="0" w:after="140"/>
    </w:pPr>
    <w:rPr/>
  </w:style>
  <w:style w:type="paragraph" w:styleId="Style18">
    <w:name w:val="List"/>
    <w:basedOn w:val="Style17"/>
    <w:rsid w:val="00f90bfe"/>
    <w:pPr/>
    <w:rPr/>
  </w:style>
  <w:style w:type="paragraph" w:styleId="Style19" w:customStyle="1">
    <w:name w:val="Caption"/>
    <w:basedOn w:val="Normal"/>
    <w:qFormat/>
    <w:rsid w:val="00f90bfe"/>
    <w:pPr>
      <w:suppressLineNumbers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f90bfe"/>
    <w:pPr>
      <w:suppressLineNumbers/>
    </w:pPr>
    <w:rPr/>
  </w:style>
  <w:style w:type="paragraph" w:styleId="Style21">
    <w:name w:val="Обычный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2">
    <w:name w:val="Объект со стрелкой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3">
    <w:name w:val="Объект с тенью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4">
    <w:name w:val="Объект без заливки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5">
    <w:name w:val="Объект без заливки и линий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6">
    <w:name w:val="Выравнивание текста по ширине"/>
    <w:basedOn w:val="Style21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21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21"/>
    <w:qFormat/>
    <w:pPr>
      <w:spacing w:lineRule="atLeast" w:line="200" w:before="57" w:after="57"/>
      <w:ind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7">
    <w:name w:val="Размерная линия"/>
    <w:basedOn w:val="Style21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TGliederung1">
    <w:name w:val="Заголовок и объект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szCs w:val="24"/>
      <w:u w:val="none"/>
      <w:em w:val="none"/>
      <w:lang w:val="ru-RU" w:eastAsia="zh-CN" w:bidi="hi-IN"/>
    </w:rPr>
  </w:style>
  <w:style w:type="paragraph" w:styleId="LTGliederung2">
    <w:name w:val="Заголовок и объект~LT~Gliederung 2"/>
    <w:basedOn w:val="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LTGliederung3">
    <w:name w:val="Заголовок и объект~LT~Gliederung 3"/>
    <w:basedOn w:val="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LTGliederung4">
    <w:name w:val="Заголовок и объект~LT~Gliederung 4"/>
    <w:basedOn w:val="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LTGliederung5">
    <w:name w:val="Заголовок и объект~LT~Gliederung 5"/>
    <w:basedOn w:val="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Заголовок и объект~LT~Gliederung 6"/>
    <w:basedOn w:val="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Заголовок и объект~LT~Gliederung 7"/>
    <w:basedOn w:val="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Заголовок и объект~LT~Gliederung 8"/>
    <w:basedOn w:val="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Заголовок и объект~LT~Gliederung 9"/>
    <w:basedOn w:val="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Заголовок и объект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">
    <w:name w:val="Заголовок и объект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Заголовок и объект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Заголовок и объект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>
    <w:name w:val="Заголовок и объект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tyle28">
    <w:name w:val="Объекты фона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9">
    <w:name w:val="Фон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30">
    <w:name w:val="Примечания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3">
    <w:name w:val="Структура 3"/>
    <w:basedOn w:val="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4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5">
    <w:name w:val="Структура 5"/>
    <w:basedOn w:val="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svhmao.ru/" TargetMode="External"/><Relationship Id="rId3" Type="http://schemas.openxmlformats.org/officeDocument/2006/relationships/hyperlink" Target="http://mfc.admhmao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LibreOffice/6.0.6.2$Linux_X86_64 LibreOffice_project/00m0$Build-2</Application>
  <Pages>1</Pages>
  <Words>395</Words>
  <Characters>2643</Characters>
  <CharactersWithSpaces>3029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2018-11-14T08:49:00Z</dcterms:created>
  <dc:creator/>
  <dc:description/>
  <dc:language>ru-RU</dc:language>
  <cp:lastModifiedBy/>
  <dcterms:modified xsi:type="dcterms:W3CDTF">2018-11-28T11:17:22Z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