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BC7" w:rsidRPr="00A67714" w:rsidRDefault="009B7BC7" w:rsidP="00A67714">
      <w:pPr>
        <w:jc w:val="center"/>
        <w:rPr>
          <w:bCs/>
          <w:sz w:val="28"/>
          <w:szCs w:val="28"/>
        </w:rPr>
      </w:pPr>
      <w:r w:rsidRPr="00A67714">
        <w:rPr>
          <w:bCs/>
          <w:sz w:val="28"/>
          <w:szCs w:val="28"/>
        </w:rPr>
        <w:t xml:space="preserve">Паспорт  </w:t>
      </w:r>
    </w:p>
    <w:p w:rsidR="009B7BC7" w:rsidRPr="00A67714" w:rsidRDefault="009B7BC7" w:rsidP="00A67714">
      <w:pPr>
        <w:jc w:val="center"/>
        <w:rPr>
          <w:bCs/>
          <w:sz w:val="28"/>
          <w:szCs w:val="28"/>
        </w:rPr>
      </w:pPr>
      <w:r w:rsidRPr="00A67714">
        <w:rPr>
          <w:bCs/>
          <w:sz w:val="28"/>
          <w:szCs w:val="28"/>
        </w:rPr>
        <w:t>муниципальной программы</w:t>
      </w:r>
    </w:p>
    <w:p w:rsidR="00A67714" w:rsidRDefault="00A67714" w:rsidP="00A67714">
      <w:pPr>
        <w:jc w:val="center"/>
        <w:rPr>
          <w:sz w:val="28"/>
          <w:szCs w:val="28"/>
        </w:rPr>
      </w:pPr>
      <w:r w:rsidRPr="00A67714">
        <w:rPr>
          <w:sz w:val="28"/>
          <w:szCs w:val="28"/>
        </w:rPr>
        <w:t>«Управление муниципальными финансами в городе Пыть-Яхе»</w:t>
      </w:r>
    </w:p>
    <w:p w:rsidR="00A67714" w:rsidRPr="00794306" w:rsidRDefault="00A67714" w:rsidP="00A67714">
      <w:pPr>
        <w:jc w:val="center"/>
        <w:rPr>
          <w:sz w:val="28"/>
          <w:szCs w:val="28"/>
        </w:rPr>
      </w:pPr>
      <w:r w:rsidRPr="004D67B1">
        <w:rPr>
          <w:sz w:val="28"/>
          <w:szCs w:val="28"/>
        </w:rPr>
        <w:t>(далее – муниципальная программа)</w:t>
      </w:r>
    </w:p>
    <w:p w:rsidR="009B7BC7" w:rsidRPr="00A67714" w:rsidRDefault="009B7BC7" w:rsidP="009B7BC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tbl>
      <w:tblPr>
        <w:tblW w:w="507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76"/>
        <w:gridCol w:w="6073"/>
      </w:tblGrid>
      <w:tr w:rsidR="009B7BC7" w:rsidRPr="00A67714" w:rsidTr="001C5B52">
        <w:trPr>
          <w:cantSplit/>
          <w:trHeight w:val="20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af3"/>
              <w:ind w:left="0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  <w:lang w:val="ru-RU" w:eastAsia="ru-RU"/>
              </w:rPr>
              <w:t>Наименование муниципальной</w:t>
            </w:r>
          </w:p>
          <w:p w:rsidR="009B7BC7" w:rsidRPr="00A67714" w:rsidRDefault="009B7BC7" w:rsidP="009950B0">
            <w:pPr>
              <w:pStyle w:val="af3"/>
              <w:ind w:left="0"/>
              <w:rPr>
                <w:b/>
                <w:sz w:val="28"/>
                <w:szCs w:val="28"/>
              </w:rPr>
            </w:pPr>
            <w:r w:rsidRPr="00A67714">
              <w:rPr>
                <w:sz w:val="28"/>
                <w:szCs w:val="28"/>
                <w:lang w:val="ru-RU" w:eastAsia="ru-RU"/>
              </w:rPr>
              <w:t>программы</w:t>
            </w:r>
          </w:p>
        </w:tc>
        <w:tc>
          <w:tcPr>
            <w:tcW w:w="2934" w:type="pct"/>
            <w:shd w:val="clear" w:color="auto" w:fill="auto"/>
          </w:tcPr>
          <w:p w:rsidR="009B7BC7" w:rsidRPr="00A67714" w:rsidRDefault="00A67714" w:rsidP="009950B0">
            <w:pPr>
              <w:pStyle w:val="af5"/>
              <w:spacing w:before="0"/>
              <w:ind w:left="88" w:hanging="1"/>
            </w:pPr>
            <w:r w:rsidRPr="00A67714">
              <w:t>«</w:t>
            </w:r>
            <w:r w:rsidR="009B7BC7" w:rsidRPr="00A67714">
              <w:t>Управление муниципальными финансами в городе Пыть-Яхе»</w:t>
            </w:r>
          </w:p>
        </w:tc>
      </w:tr>
      <w:tr w:rsidR="009B7BC7" w:rsidRPr="00A67714" w:rsidTr="001C5B52">
        <w:trPr>
          <w:cantSplit/>
          <w:trHeight w:val="20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7714">
              <w:rPr>
                <w:rFonts w:ascii="Times New Roman" w:hAnsi="Times New Roman" w:cs="Times New Roman"/>
                <w:sz w:val="28"/>
                <w:szCs w:val="28"/>
              </w:rPr>
              <w:t>Дата утверждения муниципальной программы</w:t>
            </w:r>
          </w:p>
          <w:p w:rsidR="009B7BC7" w:rsidRPr="00A67714" w:rsidRDefault="009B7BC7" w:rsidP="009950B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7714">
              <w:rPr>
                <w:rFonts w:ascii="Times New Roman" w:hAnsi="Times New Roman" w:cs="Times New Roman"/>
                <w:sz w:val="28"/>
                <w:szCs w:val="28"/>
              </w:rPr>
              <w:t>(наименование и номер соответствующего</w:t>
            </w:r>
          </w:p>
          <w:p w:rsidR="009B7BC7" w:rsidRPr="00A67714" w:rsidRDefault="009B7BC7" w:rsidP="009950B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67714">
              <w:rPr>
                <w:rFonts w:ascii="Times New Roman" w:hAnsi="Times New Roman" w:cs="Times New Roman"/>
                <w:sz w:val="28"/>
                <w:szCs w:val="28"/>
              </w:rPr>
              <w:t>нормативного акта)</w:t>
            </w:r>
          </w:p>
        </w:tc>
        <w:tc>
          <w:tcPr>
            <w:tcW w:w="2934" w:type="pct"/>
            <w:shd w:val="clear" w:color="auto" w:fill="auto"/>
          </w:tcPr>
          <w:p w:rsidR="009B7BC7" w:rsidRPr="00A67714" w:rsidRDefault="009B7BC7" w:rsidP="009950B0">
            <w:pPr>
              <w:pStyle w:val="af5"/>
              <w:spacing w:before="0"/>
              <w:ind w:left="88" w:hanging="1"/>
            </w:pPr>
            <w:r w:rsidRPr="00A67714">
              <w:t>Постановление администрации города от        04.12.2018 года № 410-па «О муниципальной программе «Управление муниципальными финансами в городе Пыть-Яхе».</w:t>
            </w:r>
          </w:p>
        </w:tc>
      </w:tr>
      <w:tr w:rsidR="009B7BC7" w:rsidRPr="00A67714" w:rsidTr="001C5B52">
        <w:trPr>
          <w:cantSplit/>
          <w:trHeight w:val="20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af3"/>
              <w:ind w:left="0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  <w:lang w:val="ru-RU" w:eastAsia="ru-RU"/>
              </w:rPr>
              <w:t xml:space="preserve">Ответственный исполнитель </w:t>
            </w:r>
          </w:p>
          <w:p w:rsidR="009B7BC7" w:rsidRPr="00A67714" w:rsidRDefault="009B7BC7" w:rsidP="009950B0">
            <w:pPr>
              <w:pStyle w:val="af3"/>
              <w:ind w:left="0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</w:rPr>
              <w:t>муниципальной</w:t>
            </w:r>
            <w:r w:rsidRPr="00A67714">
              <w:rPr>
                <w:sz w:val="28"/>
                <w:szCs w:val="28"/>
                <w:lang w:val="ru-RU" w:eastAsia="ru-RU"/>
              </w:rPr>
              <w:t xml:space="preserve"> программы</w:t>
            </w:r>
          </w:p>
        </w:tc>
        <w:tc>
          <w:tcPr>
            <w:tcW w:w="2934" w:type="pct"/>
            <w:shd w:val="clear" w:color="auto" w:fill="auto"/>
          </w:tcPr>
          <w:p w:rsidR="009B7BC7" w:rsidRPr="00A67714" w:rsidRDefault="009B7BC7" w:rsidP="009950B0">
            <w:pPr>
              <w:pStyle w:val="af5"/>
              <w:spacing w:before="0"/>
              <w:ind w:left="88" w:hanging="1"/>
            </w:pPr>
            <w:r w:rsidRPr="00A67714">
              <w:t>Комитет по финансам администрации города Пыть-Яха</w:t>
            </w:r>
          </w:p>
        </w:tc>
      </w:tr>
      <w:tr w:rsidR="009B7BC7" w:rsidRPr="00A67714" w:rsidTr="001C5B52">
        <w:trPr>
          <w:cantSplit/>
          <w:trHeight w:val="20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af3"/>
              <w:ind w:left="0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</w:rPr>
              <w:t xml:space="preserve">Соисполнители  муниципальной программы  </w:t>
            </w:r>
          </w:p>
        </w:tc>
        <w:tc>
          <w:tcPr>
            <w:tcW w:w="2934" w:type="pct"/>
            <w:shd w:val="clear" w:color="auto" w:fill="auto"/>
          </w:tcPr>
          <w:p w:rsidR="009B7BC7" w:rsidRPr="00A67714" w:rsidRDefault="009B7BC7" w:rsidP="009950B0">
            <w:pPr>
              <w:pStyle w:val="af5"/>
              <w:spacing w:before="0"/>
              <w:ind w:left="88" w:hanging="1"/>
            </w:pPr>
            <w:r w:rsidRPr="00A67714">
              <w:t>Отдел по информационным ресурсам администрации города Пыть-Яха</w:t>
            </w:r>
          </w:p>
        </w:tc>
      </w:tr>
      <w:tr w:rsidR="009B7BC7" w:rsidRPr="00A67714" w:rsidTr="001C5B52">
        <w:trPr>
          <w:cantSplit/>
          <w:trHeight w:val="20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af3"/>
              <w:ind w:left="0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  <w:lang w:val="ru-RU" w:eastAsia="ru-RU"/>
              </w:rPr>
              <w:t xml:space="preserve">Цель </w:t>
            </w:r>
            <w:r w:rsidRPr="00A67714">
              <w:rPr>
                <w:sz w:val="28"/>
                <w:szCs w:val="28"/>
              </w:rPr>
              <w:t>муниципальной</w:t>
            </w:r>
            <w:r w:rsidRPr="00A67714">
              <w:rPr>
                <w:sz w:val="28"/>
                <w:szCs w:val="28"/>
                <w:lang w:val="ru-RU" w:eastAsia="ru-RU"/>
              </w:rPr>
              <w:t xml:space="preserve"> прогр</w:t>
            </w:r>
            <w:bookmarkStart w:id="0" w:name="_GoBack"/>
            <w:bookmarkEnd w:id="0"/>
            <w:r w:rsidRPr="00A67714">
              <w:rPr>
                <w:sz w:val="28"/>
                <w:szCs w:val="28"/>
                <w:lang w:val="ru-RU" w:eastAsia="ru-RU"/>
              </w:rPr>
              <w:t>аммы</w:t>
            </w:r>
          </w:p>
        </w:tc>
        <w:tc>
          <w:tcPr>
            <w:tcW w:w="2934" w:type="pct"/>
            <w:shd w:val="clear" w:color="auto" w:fill="auto"/>
          </w:tcPr>
          <w:p w:rsidR="009B7BC7" w:rsidRPr="00A67714" w:rsidRDefault="009B7BC7" w:rsidP="009950B0">
            <w:pPr>
              <w:pStyle w:val="ConsPlusCell"/>
              <w:ind w:left="1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714">
              <w:rPr>
                <w:rFonts w:ascii="Times New Roman" w:hAnsi="Times New Roman" w:cs="Times New Roman"/>
                <w:sz w:val="28"/>
                <w:szCs w:val="28"/>
              </w:rPr>
              <w:t>Повышение качества управления муниципальными финансами муниципального образования городской округ город Пыть-Ях</w:t>
            </w:r>
          </w:p>
        </w:tc>
      </w:tr>
      <w:tr w:rsidR="009B7BC7" w:rsidRPr="00A67714" w:rsidTr="001C5B52">
        <w:trPr>
          <w:cantSplit/>
          <w:trHeight w:val="20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af3"/>
              <w:ind w:left="0" w:hanging="1"/>
              <w:rPr>
                <w:sz w:val="28"/>
                <w:szCs w:val="28"/>
                <w:lang w:val="ru-RU" w:eastAsia="ru-RU"/>
              </w:rPr>
            </w:pPr>
          </w:p>
          <w:p w:rsidR="009B7BC7" w:rsidRPr="00A67714" w:rsidRDefault="009B7BC7" w:rsidP="009950B0">
            <w:pPr>
              <w:pStyle w:val="af3"/>
              <w:ind w:left="0" w:hanging="1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  <w:lang w:val="ru-RU" w:eastAsia="ru-RU"/>
              </w:rPr>
              <w:t xml:space="preserve">Задачи </w:t>
            </w:r>
            <w:r w:rsidRPr="00A67714">
              <w:rPr>
                <w:sz w:val="28"/>
                <w:szCs w:val="28"/>
              </w:rPr>
              <w:t>муниципальной</w:t>
            </w:r>
            <w:r w:rsidRPr="00A67714">
              <w:rPr>
                <w:sz w:val="28"/>
                <w:szCs w:val="28"/>
                <w:lang w:val="ru-RU" w:eastAsia="ru-RU"/>
              </w:rPr>
              <w:t xml:space="preserve"> программы</w:t>
            </w:r>
          </w:p>
        </w:tc>
        <w:tc>
          <w:tcPr>
            <w:tcW w:w="2934" w:type="pct"/>
            <w:shd w:val="clear" w:color="auto" w:fill="auto"/>
          </w:tcPr>
          <w:p w:rsidR="009B7BC7" w:rsidRPr="00A67714" w:rsidRDefault="009B7BC7" w:rsidP="009B7BC7">
            <w:pPr>
              <w:pStyle w:val="af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91" w:hanging="1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  <w:lang w:val="ru-RU" w:eastAsia="ru-RU"/>
              </w:rPr>
              <w:t>Обеспечение сбалансированности бюджета муниципального образования городской округ город Пыть-Яха.</w:t>
            </w:r>
          </w:p>
          <w:p w:rsidR="009B7BC7" w:rsidRPr="00A67714" w:rsidRDefault="009B7BC7" w:rsidP="009B7BC7">
            <w:pPr>
              <w:pStyle w:val="af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91" w:hanging="1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  <w:lang w:val="ru-RU" w:eastAsia="ru-RU"/>
              </w:rPr>
              <w:t>Эффективное управление муниципальным долгом городского округа.</w:t>
            </w:r>
          </w:p>
          <w:p w:rsidR="009B7BC7" w:rsidRPr="00A67714" w:rsidRDefault="009B7BC7" w:rsidP="009B7BC7">
            <w:pPr>
              <w:pStyle w:val="af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33" w:firstLine="0"/>
              <w:contextualSpacing/>
              <w:jc w:val="both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  <w:lang w:val="ru-RU" w:eastAsia="ru-RU"/>
              </w:rPr>
              <w:t>Управление резервным фондом администрации города и иным образом зарезервированными в бюджете города в соответствии с действующим законодательством бюджетными ассигнованиями.</w:t>
            </w:r>
          </w:p>
        </w:tc>
      </w:tr>
      <w:tr w:rsidR="009B7BC7" w:rsidRPr="00A67714" w:rsidTr="001C5B52">
        <w:trPr>
          <w:cantSplit/>
          <w:trHeight w:val="20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af6"/>
              <w:spacing w:before="0"/>
              <w:jc w:val="left"/>
              <w:rPr>
                <w:b w:val="0"/>
              </w:rPr>
            </w:pPr>
            <w:r w:rsidRPr="00A67714">
              <w:rPr>
                <w:b w:val="0"/>
              </w:rPr>
              <w:t xml:space="preserve">Подпрограммы </w:t>
            </w:r>
          </w:p>
        </w:tc>
        <w:tc>
          <w:tcPr>
            <w:tcW w:w="2934" w:type="pct"/>
            <w:shd w:val="clear" w:color="auto" w:fill="auto"/>
          </w:tcPr>
          <w:p w:rsidR="009B7BC7" w:rsidRPr="00A67714" w:rsidRDefault="009B7BC7" w:rsidP="009950B0">
            <w:pPr>
              <w:pStyle w:val="ConsPlusCell"/>
              <w:widowControl/>
              <w:ind w:left="88"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714">
              <w:rPr>
                <w:rFonts w:ascii="Times New Roman" w:hAnsi="Times New Roman" w:cs="Times New Roman"/>
                <w:sz w:val="28"/>
                <w:szCs w:val="28"/>
              </w:rPr>
              <w:t>Подпрограмма 1. «Организация бюджетного процесса в муниципальном образовании городской округ город Пыть-Ях».</w:t>
            </w:r>
          </w:p>
          <w:p w:rsidR="009B7BC7" w:rsidRPr="00A67714" w:rsidRDefault="009B7BC7" w:rsidP="009950B0">
            <w:pPr>
              <w:pStyle w:val="ConsPlusCell"/>
              <w:widowControl/>
              <w:ind w:left="88"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714">
              <w:rPr>
                <w:rFonts w:ascii="Times New Roman" w:hAnsi="Times New Roman" w:cs="Times New Roman"/>
                <w:sz w:val="28"/>
                <w:szCs w:val="28"/>
              </w:rPr>
              <w:t>Подпрограмма 2. «Управление муниципальным долгом в муниципальном образовании городской округ город Пыть-Ях».</w:t>
            </w:r>
          </w:p>
          <w:p w:rsidR="009B7BC7" w:rsidRPr="00A67714" w:rsidRDefault="009B7BC7" w:rsidP="009950B0">
            <w:pPr>
              <w:pStyle w:val="ConsPlusCell"/>
              <w:widowControl/>
              <w:ind w:left="88"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714">
              <w:rPr>
                <w:rFonts w:ascii="Times New Roman" w:hAnsi="Times New Roman" w:cs="Times New Roman"/>
                <w:sz w:val="28"/>
                <w:szCs w:val="28"/>
              </w:rPr>
              <w:t>Подпрограмма 3. «Формирование резервных средств в бюджете города».</w:t>
            </w:r>
          </w:p>
          <w:p w:rsidR="009B7BC7" w:rsidRPr="00A67714" w:rsidRDefault="009B7BC7" w:rsidP="009950B0">
            <w:pPr>
              <w:pStyle w:val="ConsPlusCell"/>
              <w:widowControl/>
              <w:ind w:left="88"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BC7" w:rsidRPr="00A67714" w:rsidTr="001C5B52">
        <w:trPr>
          <w:cantSplit/>
          <w:trHeight w:val="5424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af6"/>
              <w:spacing w:before="0"/>
              <w:jc w:val="left"/>
              <w:rPr>
                <w:b w:val="0"/>
              </w:rPr>
            </w:pPr>
            <w:r w:rsidRPr="00A67714">
              <w:rPr>
                <w:b w:val="0"/>
              </w:rPr>
              <w:t xml:space="preserve">Целевые показатели муниципальной программы  </w:t>
            </w:r>
          </w:p>
        </w:tc>
        <w:tc>
          <w:tcPr>
            <w:tcW w:w="2934" w:type="pct"/>
            <w:shd w:val="clear" w:color="auto" w:fill="auto"/>
          </w:tcPr>
          <w:p w:rsidR="009B7BC7" w:rsidRPr="00A67714" w:rsidRDefault="009B7BC7" w:rsidP="009950B0">
            <w:pPr>
              <w:tabs>
                <w:tab w:val="left" w:pos="671"/>
              </w:tabs>
              <w:ind w:left="88" w:firstLine="69"/>
              <w:jc w:val="both"/>
              <w:rPr>
                <w:sz w:val="28"/>
                <w:szCs w:val="28"/>
              </w:rPr>
            </w:pPr>
            <w:r w:rsidRPr="00A67714">
              <w:rPr>
                <w:sz w:val="28"/>
                <w:szCs w:val="28"/>
              </w:rPr>
              <w:t>1. Исполнение плана по налоговым и неналоговым доходам, утверждённого решением о бюджете городского округа на уровне не менее 95%. </w:t>
            </w:r>
          </w:p>
          <w:p w:rsidR="009B7BC7" w:rsidRPr="00A67714" w:rsidRDefault="009B7BC7" w:rsidP="009950B0">
            <w:pPr>
              <w:pStyle w:val="ConsPlusNormal"/>
              <w:tabs>
                <w:tab w:val="left" w:pos="791"/>
              </w:tabs>
              <w:ind w:left="88" w:firstLine="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714">
              <w:rPr>
                <w:rFonts w:ascii="Times New Roman" w:hAnsi="Times New Roman" w:cs="Times New Roman"/>
                <w:sz w:val="28"/>
                <w:szCs w:val="28"/>
              </w:rPr>
              <w:t>2. Исполнение расходных обязательств городского округа за отчётный финансовый год в размере не менее 95% от бюджетных ассигнований, утверждённых решением о бюджете города.</w:t>
            </w:r>
          </w:p>
          <w:p w:rsidR="009B7BC7" w:rsidRPr="00A67714" w:rsidRDefault="009B7BC7" w:rsidP="009950B0">
            <w:pPr>
              <w:ind w:left="88" w:hanging="1"/>
              <w:jc w:val="both"/>
              <w:rPr>
                <w:sz w:val="28"/>
                <w:szCs w:val="28"/>
              </w:rPr>
            </w:pPr>
            <w:r w:rsidRPr="00A67714">
              <w:rPr>
                <w:sz w:val="28"/>
                <w:szCs w:val="28"/>
              </w:rPr>
              <w:t xml:space="preserve">3.  Увеличение доли главных распорядителей бюджетных средств городского округа, имеющих итоговую оценку качества финансового менеджмента более 70 баллов до 100%. </w:t>
            </w:r>
          </w:p>
          <w:p w:rsidR="009B7BC7" w:rsidRPr="00A67714" w:rsidRDefault="009B7BC7" w:rsidP="009950B0">
            <w:pPr>
              <w:ind w:left="88" w:hanging="1"/>
              <w:jc w:val="both"/>
              <w:rPr>
                <w:sz w:val="28"/>
                <w:szCs w:val="28"/>
              </w:rPr>
            </w:pPr>
            <w:r w:rsidRPr="00A67714">
              <w:rPr>
                <w:sz w:val="28"/>
                <w:szCs w:val="28"/>
              </w:rPr>
              <w:t>4. Сохранение доли муниципальных учреждений, обеспеченных возможностью доступа к муниципальному сегменту государственной интегрированной информационной системы управления общественными финансами «Электронный бюджет,100%.</w:t>
            </w:r>
          </w:p>
        </w:tc>
      </w:tr>
      <w:tr w:rsidR="009B7BC7" w:rsidRPr="00A67714" w:rsidTr="001C5B52">
        <w:trPr>
          <w:cantSplit/>
          <w:trHeight w:val="6279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af6"/>
              <w:spacing w:before="0"/>
              <w:jc w:val="left"/>
              <w:rPr>
                <w:b w:val="0"/>
              </w:rPr>
            </w:pPr>
          </w:p>
        </w:tc>
        <w:tc>
          <w:tcPr>
            <w:tcW w:w="2934" w:type="pct"/>
            <w:shd w:val="clear" w:color="auto" w:fill="auto"/>
          </w:tcPr>
          <w:p w:rsidR="009B7BC7" w:rsidRPr="00A67714" w:rsidRDefault="009B7BC7" w:rsidP="009950B0">
            <w:pPr>
              <w:ind w:left="88" w:hanging="1"/>
              <w:jc w:val="both"/>
              <w:rPr>
                <w:sz w:val="28"/>
                <w:szCs w:val="28"/>
              </w:rPr>
            </w:pPr>
            <w:r w:rsidRPr="00A67714">
              <w:rPr>
                <w:sz w:val="28"/>
                <w:szCs w:val="28"/>
              </w:rPr>
              <w:t>5. Достижение отношения муниципального долга городского округа к доходам бюджета городского округа, без учёта безвозмездных поступлений до 0,0 %.</w:t>
            </w:r>
          </w:p>
          <w:p w:rsidR="009B7BC7" w:rsidRPr="00A67714" w:rsidRDefault="009B7BC7" w:rsidP="009950B0">
            <w:pPr>
              <w:jc w:val="both"/>
              <w:rPr>
                <w:sz w:val="28"/>
                <w:szCs w:val="28"/>
              </w:rPr>
            </w:pPr>
            <w:r w:rsidRPr="00A67714">
              <w:rPr>
                <w:sz w:val="28"/>
                <w:szCs w:val="28"/>
              </w:rPr>
              <w:t xml:space="preserve">6.  Внедрение механизмов инициативного бюджетирования, направленных на вовлечение населения города в обсуждение и принятие решений в сфере управления общественными финансами, стимулирование интереса граждан к вопросам формирования и исполнения бюджета, обеспечение общественного контроля за эффективностью расходования бюджетных средств до 100%. </w:t>
            </w:r>
          </w:p>
          <w:p w:rsidR="009B7BC7" w:rsidRPr="00A67714" w:rsidRDefault="009B7BC7" w:rsidP="009950B0">
            <w:pPr>
              <w:jc w:val="both"/>
              <w:rPr>
                <w:sz w:val="28"/>
                <w:szCs w:val="28"/>
              </w:rPr>
            </w:pPr>
            <w:r w:rsidRPr="00A67714">
              <w:rPr>
                <w:sz w:val="28"/>
                <w:szCs w:val="28"/>
              </w:rPr>
              <w:t>7. Соблюдение ограничений по предельному размеру резервного фонда администрации города, установленного Бюджетным Кодексом Российской Федерации, да/нет.</w:t>
            </w:r>
          </w:p>
          <w:p w:rsidR="009B7BC7" w:rsidRPr="00A67714" w:rsidRDefault="009B7BC7" w:rsidP="009950B0">
            <w:pPr>
              <w:jc w:val="both"/>
              <w:rPr>
                <w:sz w:val="28"/>
                <w:szCs w:val="28"/>
              </w:rPr>
            </w:pPr>
            <w:r w:rsidRPr="00A67714">
              <w:rPr>
                <w:sz w:val="28"/>
                <w:szCs w:val="28"/>
              </w:rPr>
              <w:t>8.Соблюдение условий, установленных решением Думы города о бюджете города для внесения изменений в сводную бюджетную роспись в части иным образом зарезервированных бюджетных ассигнований, в целях распределения их между главными распорядителями бюджетных средств, да/нет.</w:t>
            </w:r>
          </w:p>
        </w:tc>
      </w:tr>
      <w:tr w:rsidR="009B7BC7" w:rsidRPr="00A67714" w:rsidTr="001C5B52">
        <w:trPr>
          <w:cantSplit/>
          <w:trHeight w:val="20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af3"/>
              <w:ind w:left="0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  <w:lang w:val="ru-RU" w:eastAsia="ru-RU"/>
              </w:rPr>
              <w:t xml:space="preserve">Сроки реализации </w:t>
            </w:r>
          </w:p>
          <w:p w:rsidR="009B7BC7" w:rsidRPr="00A67714" w:rsidRDefault="009B7BC7" w:rsidP="009950B0">
            <w:pPr>
              <w:pStyle w:val="af3"/>
              <w:ind w:left="0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  <w:lang w:val="ru-RU" w:eastAsia="ru-RU"/>
              </w:rPr>
              <w:t>муниципальной программы (разрабатывается на срок до трёх лет)</w:t>
            </w:r>
          </w:p>
        </w:tc>
        <w:tc>
          <w:tcPr>
            <w:tcW w:w="2934" w:type="pct"/>
            <w:shd w:val="clear" w:color="auto" w:fill="auto"/>
          </w:tcPr>
          <w:p w:rsidR="009B7BC7" w:rsidRPr="00A67714" w:rsidRDefault="009B7BC7" w:rsidP="009950B0">
            <w:pPr>
              <w:pStyle w:val="af5"/>
              <w:spacing w:before="0"/>
              <w:ind w:left="157"/>
            </w:pPr>
            <w:r w:rsidRPr="00A67714">
              <w:t xml:space="preserve">2019 - 2025 годы и на плановый период до 2030 года. </w:t>
            </w:r>
          </w:p>
        </w:tc>
      </w:tr>
      <w:tr w:rsidR="009B7BC7" w:rsidRPr="00A67714" w:rsidTr="001C5B52">
        <w:trPr>
          <w:cantSplit/>
          <w:trHeight w:val="2967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af3"/>
              <w:ind w:left="0"/>
              <w:rPr>
                <w:sz w:val="28"/>
                <w:szCs w:val="28"/>
                <w:lang w:val="ru-RU" w:eastAsia="ru-RU"/>
              </w:rPr>
            </w:pPr>
            <w:r w:rsidRPr="00A67714">
              <w:rPr>
                <w:sz w:val="28"/>
                <w:szCs w:val="28"/>
                <w:lang w:val="ru-RU" w:eastAsia="ru-RU"/>
              </w:rPr>
              <w:t xml:space="preserve">Параметры финансового обеспечения </w:t>
            </w:r>
            <w:r w:rsidRPr="00A67714">
              <w:rPr>
                <w:sz w:val="28"/>
                <w:szCs w:val="28"/>
              </w:rPr>
              <w:t>муниципальной</w:t>
            </w:r>
            <w:r w:rsidRPr="00A67714">
              <w:rPr>
                <w:sz w:val="28"/>
                <w:szCs w:val="28"/>
                <w:lang w:val="ru-RU" w:eastAsia="ru-RU"/>
              </w:rPr>
              <w:t xml:space="preserve"> программы</w:t>
            </w:r>
          </w:p>
          <w:p w:rsidR="009B7BC7" w:rsidRPr="00A67714" w:rsidRDefault="009B7BC7" w:rsidP="009950B0">
            <w:pPr>
              <w:pStyle w:val="af6"/>
              <w:spacing w:before="0"/>
              <w:jc w:val="left"/>
              <w:rPr>
                <w:b w:val="0"/>
                <w:i/>
              </w:rPr>
            </w:pPr>
          </w:p>
          <w:p w:rsidR="009B7BC7" w:rsidRPr="00A67714" w:rsidRDefault="009B7BC7" w:rsidP="009950B0">
            <w:pPr>
              <w:pStyle w:val="af6"/>
              <w:spacing w:before="0"/>
              <w:jc w:val="left"/>
              <w:rPr>
                <w:b w:val="0"/>
                <w:i/>
              </w:rPr>
            </w:pPr>
          </w:p>
          <w:p w:rsidR="009B7BC7" w:rsidRPr="00A67714" w:rsidRDefault="009B7BC7" w:rsidP="009950B0">
            <w:pPr>
              <w:pStyle w:val="af6"/>
              <w:spacing w:before="0"/>
              <w:jc w:val="left"/>
              <w:rPr>
                <w:b w:val="0"/>
                <w:i/>
              </w:rPr>
            </w:pPr>
          </w:p>
        </w:tc>
        <w:tc>
          <w:tcPr>
            <w:tcW w:w="2934" w:type="pct"/>
            <w:shd w:val="clear" w:color="auto" w:fill="auto"/>
          </w:tcPr>
          <w:p w:rsidR="009B7BC7" w:rsidRPr="00801261" w:rsidRDefault="009B7BC7" w:rsidP="00A6771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126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142 869,5 тыс. рублей, в том числе:</w:t>
            </w:r>
          </w:p>
          <w:p w:rsidR="009B7BC7" w:rsidRPr="00801261" w:rsidRDefault="009B7BC7" w:rsidP="009950B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1261">
              <w:rPr>
                <w:rFonts w:ascii="Times New Roman" w:hAnsi="Times New Roman" w:cs="Times New Roman"/>
                <w:sz w:val="28"/>
                <w:szCs w:val="28"/>
              </w:rPr>
              <w:t>2019 – 40 887,2 тыс. рублей;</w:t>
            </w:r>
          </w:p>
          <w:p w:rsidR="009B7BC7" w:rsidRPr="00801261" w:rsidRDefault="009B7BC7" w:rsidP="009950B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1261">
              <w:rPr>
                <w:rFonts w:ascii="Times New Roman" w:hAnsi="Times New Roman" w:cs="Times New Roman"/>
                <w:sz w:val="28"/>
                <w:szCs w:val="28"/>
              </w:rPr>
              <w:t>2020 – 6 982,3тыс. рублей;</w:t>
            </w:r>
          </w:p>
          <w:p w:rsidR="009B7BC7" w:rsidRPr="00801261" w:rsidRDefault="009B7BC7" w:rsidP="009950B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1261">
              <w:rPr>
                <w:rFonts w:ascii="Times New Roman" w:hAnsi="Times New Roman" w:cs="Times New Roman"/>
                <w:sz w:val="28"/>
                <w:szCs w:val="28"/>
              </w:rPr>
              <w:t>2021 – 5 500,0 тыс. рублей;</w:t>
            </w:r>
          </w:p>
          <w:p w:rsidR="009B7BC7" w:rsidRPr="00801261" w:rsidRDefault="009B7BC7" w:rsidP="009950B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1261">
              <w:rPr>
                <w:rFonts w:ascii="Times New Roman" w:hAnsi="Times New Roman" w:cs="Times New Roman"/>
                <w:sz w:val="28"/>
                <w:szCs w:val="28"/>
              </w:rPr>
              <w:t>2022 – 5 500,0 тыс. рублей;</w:t>
            </w:r>
          </w:p>
          <w:p w:rsidR="009B7BC7" w:rsidRPr="00801261" w:rsidRDefault="009B7BC7" w:rsidP="009950B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1261">
              <w:rPr>
                <w:rFonts w:ascii="Times New Roman" w:hAnsi="Times New Roman" w:cs="Times New Roman"/>
                <w:sz w:val="28"/>
                <w:szCs w:val="28"/>
              </w:rPr>
              <w:t>2023 – 10 500,0 тыс. рублей;</w:t>
            </w:r>
          </w:p>
          <w:p w:rsidR="009B7BC7" w:rsidRPr="00801261" w:rsidRDefault="009B7BC7" w:rsidP="009950B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1261">
              <w:rPr>
                <w:rFonts w:ascii="Times New Roman" w:hAnsi="Times New Roman" w:cs="Times New Roman"/>
                <w:sz w:val="28"/>
                <w:szCs w:val="28"/>
              </w:rPr>
              <w:t>2024 – 10 500,0 тыс. рублей;</w:t>
            </w:r>
          </w:p>
          <w:p w:rsidR="009B7BC7" w:rsidRPr="00801261" w:rsidRDefault="009B7BC7" w:rsidP="009950B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1261">
              <w:rPr>
                <w:rFonts w:ascii="Times New Roman" w:hAnsi="Times New Roman" w:cs="Times New Roman"/>
                <w:sz w:val="28"/>
                <w:szCs w:val="28"/>
              </w:rPr>
              <w:t>2025 – 10 500,0 тыс. рублей;</w:t>
            </w:r>
          </w:p>
          <w:p w:rsidR="009B7BC7" w:rsidRPr="00A67714" w:rsidRDefault="009B7BC7" w:rsidP="009950B0">
            <w:pPr>
              <w:pStyle w:val="af5"/>
              <w:spacing w:before="0" w:line="360" w:lineRule="auto"/>
            </w:pPr>
            <w:r w:rsidRPr="00801261">
              <w:t>2026 -  2030 – 52 500,0 тыс. рублей.».</w:t>
            </w:r>
          </w:p>
        </w:tc>
      </w:tr>
      <w:tr w:rsidR="009B7BC7" w:rsidRPr="00A67714" w:rsidTr="001C5B52">
        <w:trPr>
          <w:cantSplit/>
          <w:trHeight w:val="20"/>
        </w:trPr>
        <w:tc>
          <w:tcPr>
            <w:tcW w:w="2066" w:type="pct"/>
            <w:shd w:val="clear" w:color="auto" w:fill="auto"/>
          </w:tcPr>
          <w:p w:rsidR="009B7BC7" w:rsidRPr="00A67714" w:rsidRDefault="009B7BC7" w:rsidP="009950B0">
            <w:pPr>
              <w:pStyle w:val="af6"/>
              <w:spacing w:before="0"/>
              <w:jc w:val="left"/>
            </w:pPr>
            <w:r w:rsidRPr="00A67714">
              <w:rPr>
                <w:b w:val="0"/>
              </w:rPr>
              <w:t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Федерации, реализуемых в составе муниципальной программы</w:t>
            </w:r>
          </w:p>
        </w:tc>
        <w:tc>
          <w:tcPr>
            <w:tcW w:w="2934" w:type="pct"/>
            <w:shd w:val="clear" w:color="auto" w:fill="auto"/>
          </w:tcPr>
          <w:p w:rsidR="009B7BC7" w:rsidRPr="00A67714" w:rsidRDefault="009B7BC7" w:rsidP="009950B0">
            <w:pPr>
              <w:pStyle w:val="af5"/>
              <w:spacing w:before="0"/>
            </w:pPr>
            <w:r w:rsidRPr="00A67714">
              <w:t>Муниципальная программа не содержит финансового обеспечения портфеля проектов, направленных в том числе на реализацию в автономном округе национальных проектов (программ) Российской Федерации, реализуемых в составе государственной программы.</w:t>
            </w:r>
          </w:p>
          <w:p w:rsidR="009B7BC7" w:rsidRPr="00A67714" w:rsidRDefault="009B7BC7" w:rsidP="009950B0">
            <w:pPr>
              <w:pStyle w:val="af5"/>
              <w:spacing w:before="0" w:line="360" w:lineRule="auto"/>
            </w:pPr>
          </w:p>
        </w:tc>
      </w:tr>
    </w:tbl>
    <w:p w:rsidR="005957A3" w:rsidRPr="00A67714" w:rsidRDefault="005957A3">
      <w:pPr>
        <w:rPr>
          <w:sz w:val="28"/>
          <w:szCs w:val="28"/>
        </w:rPr>
      </w:pPr>
    </w:p>
    <w:sectPr w:rsidR="005957A3" w:rsidRPr="00A67714" w:rsidSect="001C5B52">
      <w:headerReference w:type="default" r:id="rId7"/>
      <w:pgSz w:w="11906" w:h="16838"/>
      <w:pgMar w:top="851" w:right="851" w:bottom="851" w:left="851" w:header="708" w:footer="708" w:gutter="0"/>
      <w:pgNumType w:start="5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B52" w:rsidRDefault="001C5B52" w:rsidP="001C5B52">
      <w:r>
        <w:separator/>
      </w:r>
    </w:p>
  </w:endnote>
  <w:endnote w:type="continuationSeparator" w:id="0">
    <w:p w:rsidR="001C5B52" w:rsidRDefault="001C5B52" w:rsidP="001C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B52" w:rsidRDefault="001C5B52" w:rsidP="001C5B52">
      <w:r>
        <w:separator/>
      </w:r>
    </w:p>
  </w:footnote>
  <w:footnote w:type="continuationSeparator" w:id="0">
    <w:p w:rsidR="001C5B52" w:rsidRDefault="001C5B52" w:rsidP="001C5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8403370"/>
      <w:docPartObj>
        <w:docPartGallery w:val="Page Numbers (Top of Page)"/>
        <w:docPartUnique/>
      </w:docPartObj>
    </w:sdtPr>
    <w:sdtContent>
      <w:p w:rsidR="001C5B52" w:rsidRDefault="001C5B52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506</w:t>
        </w:r>
        <w:r>
          <w:fldChar w:fldCharType="end"/>
        </w:r>
      </w:p>
    </w:sdtContent>
  </w:sdt>
  <w:p w:rsidR="001C5B52" w:rsidRDefault="001C5B52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41128"/>
    <w:multiLevelType w:val="hybridMultilevel"/>
    <w:tmpl w:val="A618652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C7"/>
    <w:rsid w:val="001C5B52"/>
    <w:rsid w:val="005957A3"/>
    <w:rsid w:val="00801261"/>
    <w:rsid w:val="009B7BC7"/>
    <w:rsid w:val="00A67714"/>
    <w:rsid w:val="00C97A6E"/>
    <w:rsid w:val="00DA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16445-509D-4A20-9B51-3839B579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97A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7A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7A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A6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7A6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7A6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7A6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7A6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7A6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7A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C97A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C97A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C97A6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link w:val="5"/>
    <w:uiPriority w:val="9"/>
    <w:semiHidden/>
    <w:rsid w:val="00C97A6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link w:val="6"/>
    <w:uiPriority w:val="9"/>
    <w:semiHidden/>
    <w:rsid w:val="00C97A6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C97A6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link w:val="8"/>
    <w:uiPriority w:val="9"/>
    <w:semiHidden/>
    <w:rsid w:val="00C97A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C97A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C97A6E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97A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link w:val="a4"/>
    <w:uiPriority w:val="10"/>
    <w:rsid w:val="00C97A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C97A6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link w:val="a6"/>
    <w:uiPriority w:val="11"/>
    <w:rsid w:val="00C97A6E"/>
    <w:rPr>
      <w:rFonts w:eastAsiaTheme="minorEastAsia"/>
      <w:color w:val="5A5A5A" w:themeColor="text1" w:themeTint="A5"/>
      <w:spacing w:val="15"/>
    </w:rPr>
  </w:style>
  <w:style w:type="character" w:styleId="a8">
    <w:name w:val="Strong"/>
    <w:uiPriority w:val="22"/>
    <w:qFormat/>
    <w:rsid w:val="00C97A6E"/>
    <w:rPr>
      <w:b/>
      <w:bCs/>
    </w:rPr>
  </w:style>
  <w:style w:type="character" w:styleId="a9">
    <w:name w:val="Emphasis"/>
    <w:uiPriority w:val="20"/>
    <w:qFormat/>
    <w:rsid w:val="00C97A6E"/>
    <w:rPr>
      <w:i/>
      <w:iCs/>
    </w:rPr>
  </w:style>
  <w:style w:type="paragraph" w:styleId="aa">
    <w:name w:val="No Spacing"/>
    <w:uiPriority w:val="1"/>
    <w:qFormat/>
    <w:rsid w:val="00C97A6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C97A6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link w:val="21"/>
    <w:uiPriority w:val="29"/>
    <w:rsid w:val="00C97A6E"/>
    <w:rPr>
      <w:i/>
      <w:iCs/>
      <w:color w:val="404040" w:themeColor="text1" w:themeTint="BF"/>
    </w:rPr>
  </w:style>
  <w:style w:type="paragraph" w:styleId="ab">
    <w:name w:val="Intense Quote"/>
    <w:basedOn w:val="a"/>
    <w:next w:val="a"/>
    <w:link w:val="ac"/>
    <w:uiPriority w:val="30"/>
    <w:qFormat/>
    <w:rsid w:val="00C97A6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c">
    <w:name w:val="Выделенная цитата Знак"/>
    <w:link w:val="ab"/>
    <w:uiPriority w:val="30"/>
    <w:rsid w:val="00C97A6E"/>
    <w:rPr>
      <w:i/>
      <w:iCs/>
      <w:color w:val="5B9BD5" w:themeColor="accent1"/>
    </w:rPr>
  </w:style>
  <w:style w:type="character" w:styleId="ad">
    <w:name w:val="Subtle Emphasis"/>
    <w:uiPriority w:val="19"/>
    <w:qFormat/>
    <w:rsid w:val="00C97A6E"/>
    <w:rPr>
      <w:i/>
      <w:iCs/>
      <w:color w:val="404040" w:themeColor="text1" w:themeTint="BF"/>
    </w:rPr>
  </w:style>
  <w:style w:type="character" w:styleId="ae">
    <w:name w:val="Intense Emphasis"/>
    <w:uiPriority w:val="21"/>
    <w:qFormat/>
    <w:rsid w:val="00C97A6E"/>
    <w:rPr>
      <w:i/>
      <w:iCs/>
      <w:color w:val="5B9BD5" w:themeColor="accent1"/>
    </w:rPr>
  </w:style>
  <w:style w:type="character" w:styleId="af">
    <w:name w:val="Subtle Reference"/>
    <w:uiPriority w:val="31"/>
    <w:qFormat/>
    <w:rsid w:val="00C97A6E"/>
    <w:rPr>
      <w:smallCaps/>
      <w:color w:val="5A5A5A" w:themeColor="text1" w:themeTint="A5"/>
    </w:rPr>
  </w:style>
  <w:style w:type="character" w:styleId="af0">
    <w:name w:val="Intense Reference"/>
    <w:uiPriority w:val="32"/>
    <w:qFormat/>
    <w:rsid w:val="00C97A6E"/>
    <w:rPr>
      <w:b/>
      <w:bCs/>
      <w:smallCaps/>
      <w:color w:val="5B9BD5" w:themeColor="accent1"/>
      <w:spacing w:val="5"/>
    </w:rPr>
  </w:style>
  <w:style w:type="character" w:styleId="af1">
    <w:name w:val="Book Title"/>
    <w:uiPriority w:val="33"/>
    <w:qFormat/>
    <w:rsid w:val="00C97A6E"/>
    <w:rPr>
      <w:b/>
      <w:bCs/>
      <w:i/>
      <w:iC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C97A6E"/>
    <w:pPr>
      <w:outlineLvl w:val="9"/>
    </w:pPr>
  </w:style>
  <w:style w:type="paragraph" w:customStyle="1" w:styleId="ConsPlusNonformat">
    <w:name w:val="ConsPlusNonformat"/>
    <w:uiPriority w:val="99"/>
    <w:rsid w:val="009B7B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9B7B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9B7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link w:val="af4"/>
    <w:uiPriority w:val="34"/>
    <w:qFormat/>
    <w:rsid w:val="009B7BC7"/>
    <w:pPr>
      <w:ind w:left="708"/>
    </w:pPr>
    <w:rPr>
      <w:lang w:val="x-none" w:eastAsia="x-none"/>
    </w:rPr>
  </w:style>
  <w:style w:type="paragraph" w:customStyle="1" w:styleId="af5">
    <w:name w:val="Обычный (паспорт)"/>
    <w:basedOn w:val="a"/>
    <w:rsid w:val="009B7BC7"/>
    <w:pPr>
      <w:spacing w:before="120"/>
      <w:jc w:val="both"/>
    </w:pPr>
    <w:rPr>
      <w:sz w:val="28"/>
      <w:szCs w:val="28"/>
    </w:rPr>
  </w:style>
  <w:style w:type="paragraph" w:customStyle="1" w:styleId="af6">
    <w:name w:val="Жирный (паспорт)"/>
    <w:basedOn w:val="a"/>
    <w:rsid w:val="009B7BC7"/>
    <w:pPr>
      <w:spacing w:before="120"/>
      <w:jc w:val="both"/>
    </w:pPr>
    <w:rPr>
      <w:b/>
      <w:sz w:val="28"/>
      <w:szCs w:val="28"/>
    </w:rPr>
  </w:style>
  <w:style w:type="character" w:customStyle="1" w:styleId="af4">
    <w:name w:val="Абзац списка Знак"/>
    <w:link w:val="af3"/>
    <w:uiPriority w:val="34"/>
    <w:locked/>
    <w:rsid w:val="009B7BC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9B7BC7"/>
    <w:rPr>
      <w:rFonts w:ascii="Arial" w:eastAsia="Times New Roman" w:hAnsi="Arial" w:cs="Arial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C5B5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C5B5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C5B52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C5B52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1C5B52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1C5B5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клавдия Шаталова</dc:creator>
  <cp:keywords/>
  <dc:description/>
  <cp:lastModifiedBy>Сергей Медведев</cp:lastModifiedBy>
  <cp:revision>5</cp:revision>
  <cp:lastPrinted>2019-11-12T12:23:00Z</cp:lastPrinted>
  <dcterms:created xsi:type="dcterms:W3CDTF">2019-11-06T05:29:00Z</dcterms:created>
  <dcterms:modified xsi:type="dcterms:W3CDTF">2019-11-12T12:23:00Z</dcterms:modified>
</cp:coreProperties>
</file>