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21" w:rsidRDefault="00245A2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bookmarkStart w:id="0" w:name="_GoBack"/>
      <w:bookmarkEnd w:id="0"/>
      <w:r>
        <w:br/>
      </w:r>
    </w:p>
    <w:p w:rsidR="00245A21" w:rsidRDefault="00245A2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45A2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5A21" w:rsidRDefault="00245A21">
            <w:pPr>
              <w:pStyle w:val="ConsPlusNormal"/>
            </w:pPr>
            <w:r>
              <w:t>26 ноября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5A21" w:rsidRDefault="00245A21">
            <w:pPr>
              <w:pStyle w:val="ConsPlusNormal"/>
              <w:jc w:val="right"/>
            </w:pPr>
            <w:r>
              <w:t>N 115-оз</w:t>
            </w:r>
          </w:p>
        </w:tc>
      </w:tr>
    </w:tbl>
    <w:p w:rsidR="00245A21" w:rsidRDefault="00245A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5A21" w:rsidRDefault="00245A21">
      <w:pPr>
        <w:pStyle w:val="ConsPlusNormal"/>
        <w:jc w:val="both"/>
      </w:pPr>
    </w:p>
    <w:p w:rsidR="00245A21" w:rsidRDefault="00245A21">
      <w:pPr>
        <w:pStyle w:val="ConsPlusTitle"/>
        <w:jc w:val="center"/>
      </w:pPr>
      <w:r>
        <w:t>ХАНТЫ-МАНСИЙСКИЙ АВТОНОМНЫЙ ОКРУГ - ЮГРА</w:t>
      </w:r>
    </w:p>
    <w:p w:rsidR="00245A21" w:rsidRDefault="00245A21">
      <w:pPr>
        <w:pStyle w:val="ConsPlusTitle"/>
        <w:jc w:val="center"/>
      </w:pPr>
    </w:p>
    <w:p w:rsidR="00245A21" w:rsidRDefault="00245A21">
      <w:pPr>
        <w:pStyle w:val="ConsPlusTitle"/>
        <w:jc w:val="center"/>
      </w:pPr>
      <w:r>
        <w:t>ЗАКОН</w:t>
      </w:r>
    </w:p>
    <w:p w:rsidR="00245A21" w:rsidRDefault="00245A21">
      <w:pPr>
        <w:pStyle w:val="ConsPlusTitle"/>
        <w:jc w:val="center"/>
      </w:pPr>
    </w:p>
    <w:p w:rsidR="00245A21" w:rsidRDefault="00245A21">
      <w:pPr>
        <w:pStyle w:val="ConsPlusTitle"/>
        <w:jc w:val="center"/>
      </w:pPr>
      <w:r>
        <w:t>О ВНЕСЕНИИ ИЗМЕНЕНИЙ В ЗАКОН ХАНТЫ-МАНСИЙСКОГО АВТОНОМНОГО</w:t>
      </w:r>
    </w:p>
    <w:p w:rsidR="00245A21" w:rsidRDefault="00245A21">
      <w:pPr>
        <w:pStyle w:val="ConsPlusTitle"/>
        <w:jc w:val="center"/>
      </w:pPr>
      <w:r>
        <w:t>ОКРУГА - ЮГРЫ "О РЕГУЛИРОВАНИИ ОТДЕЛЬНЫХ ВОПРОСОВ В ОБЛАСТИ</w:t>
      </w:r>
    </w:p>
    <w:p w:rsidR="00245A21" w:rsidRDefault="00245A21">
      <w:pPr>
        <w:pStyle w:val="ConsPlusTitle"/>
        <w:jc w:val="center"/>
      </w:pPr>
      <w:r>
        <w:t>ОБОРОТА ЭТИЛОВОГО СПИРТА, АЛКОГОЛЬНОЙ И СПИРТОСОДЕРЖАЩЕЙ</w:t>
      </w:r>
    </w:p>
    <w:p w:rsidR="00245A21" w:rsidRDefault="00245A21">
      <w:pPr>
        <w:pStyle w:val="ConsPlusTitle"/>
        <w:jc w:val="center"/>
      </w:pPr>
      <w:r>
        <w:t>ПРОДУКЦИИ В ХАНТЫ-МАНСИЙСКОМ АВТОНОМНОМ ОКРУГЕ - ЮГРЕ"</w:t>
      </w:r>
    </w:p>
    <w:p w:rsidR="00245A21" w:rsidRDefault="00245A21">
      <w:pPr>
        <w:pStyle w:val="ConsPlusNormal"/>
        <w:jc w:val="both"/>
      </w:pPr>
    </w:p>
    <w:p w:rsidR="00245A21" w:rsidRDefault="00245A21">
      <w:pPr>
        <w:pStyle w:val="ConsPlusNormal"/>
        <w:jc w:val="center"/>
      </w:pPr>
      <w:r>
        <w:t>Принят Думой Ханты-Мансийского</w:t>
      </w:r>
    </w:p>
    <w:p w:rsidR="00245A21" w:rsidRDefault="00245A21">
      <w:pPr>
        <w:pStyle w:val="ConsPlusNormal"/>
        <w:jc w:val="center"/>
      </w:pPr>
      <w:r>
        <w:t>автономного округа - Югры 26 ноября 2020 года</w:t>
      </w:r>
    </w:p>
    <w:p w:rsidR="00245A21" w:rsidRDefault="00245A21">
      <w:pPr>
        <w:pStyle w:val="ConsPlusNormal"/>
        <w:jc w:val="both"/>
      </w:pPr>
    </w:p>
    <w:p w:rsidR="00245A21" w:rsidRDefault="00245A21">
      <w:pPr>
        <w:pStyle w:val="ConsPlusNormal"/>
        <w:ind w:firstLine="540"/>
        <w:jc w:val="both"/>
        <w:outlineLvl w:val="0"/>
      </w:pPr>
      <w:r>
        <w:t xml:space="preserve">Статья 1. Внести в </w:t>
      </w:r>
      <w:hyperlink r:id="rId5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16 июня 2016 года N 46-оз "О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Югре" (с изменениями, внесенными Законами Ханты-Мансийского автономного округа - Югры от 31 марта 2017 года N 12-оз, 23 ноября 2017 года N 77-оз, 23 февраля 2018 года N 13-оз, 4 августа 2020 года N 72-оз) (Собрание законодательства Ханты-Мансийского автономного округа - Югры, 2016, N 6 (ч. 2, т. 1), ст. 659; 2017, N 3 (ч. 2, т. 2), ст. 251; N 11 (с., т. 2), ст. 1185; 2018, N 2 (ч. 2), ст. 118; 2020, N 8 (ч. 1), ст. 933) следующие изменения:</w:t>
      </w:r>
    </w:p>
    <w:p w:rsidR="00245A21" w:rsidRDefault="00245A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5A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5A21" w:rsidRDefault="00245A21">
            <w:pPr>
              <w:pStyle w:val="ConsPlusNormal"/>
              <w:jc w:val="both"/>
            </w:pPr>
            <w:r>
              <w:rPr>
                <w:color w:val="392C69"/>
              </w:rPr>
              <w:t xml:space="preserve">П. 1 </w:t>
            </w:r>
            <w:hyperlink w:anchor="P58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</w:tr>
    </w:tbl>
    <w:p w:rsidR="00245A21" w:rsidRDefault="00245A21">
      <w:pPr>
        <w:pStyle w:val="ConsPlusNormal"/>
        <w:spacing w:before="280"/>
        <w:ind w:firstLine="540"/>
        <w:jc w:val="both"/>
      </w:pPr>
      <w:bookmarkStart w:id="1" w:name="P18"/>
      <w:bookmarkEnd w:id="1"/>
      <w:r>
        <w:t xml:space="preserve">1. </w:t>
      </w:r>
      <w:hyperlink r:id="rId6" w:history="1">
        <w:r>
          <w:rPr>
            <w:color w:val="0000FF"/>
          </w:rPr>
          <w:t>Статью 2</w:t>
        </w:r>
      </w:hyperlink>
      <w:r>
        <w:t xml:space="preserve"> изложить в следующей редакции:</w:t>
      </w:r>
    </w:p>
    <w:p w:rsidR="00245A21" w:rsidRDefault="00245A21">
      <w:pPr>
        <w:pStyle w:val="ConsPlusNormal"/>
        <w:spacing w:before="220"/>
        <w:ind w:firstLine="540"/>
        <w:jc w:val="both"/>
      </w:pPr>
      <w:r>
        <w:t>"Статья 2. Основные понятия, используемые в настоящем Законе</w:t>
      </w:r>
    </w:p>
    <w:p w:rsidR="00245A21" w:rsidRDefault="00245A21">
      <w:pPr>
        <w:pStyle w:val="ConsPlusNormal"/>
        <w:jc w:val="both"/>
      </w:pPr>
    </w:p>
    <w:p w:rsidR="00245A21" w:rsidRDefault="00245A21">
      <w:pPr>
        <w:pStyle w:val="ConsPlusNormal"/>
        <w:ind w:firstLine="540"/>
        <w:jc w:val="both"/>
      </w:pPr>
      <w:r>
        <w:t>1. В целях настоящего Закона используются следующие основные понятия:</w:t>
      </w:r>
    </w:p>
    <w:p w:rsidR="00245A21" w:rsidRDefault="00245A21">
      <w:pPr>
        <w:pStyle w:val="ConsPlusNormal"/>
        <w:spacing w:before="220"/>
        <w:ind w:firstLine="540"/>
        <w:jc w:val="both"/>
      </w:pPr>
      <w:r>
        <w:t>1) придомовая территория - земельный участок, на котором расположен многоквартирный дом и который относится к общему имуществу собственников помещений в многоквартирном доме, в границах, определенных на основании данных Единого государственного реестра недвижимости. В случае, если земельный участок не образован, под придомовой территорией понимается территория, прилегающая к одному или нескольким многоквартирным домам, необходимая для эксплуатации данных домов собственниками помещений в многоквартирном доме (многоквартирных домах), а также объектов, относящихся к общему имуществу собственников помещений в таком многоквартирном доме (многоквартирных домах). На придомовой территории размещаются пешеходные пути к входам, подъезды к дому и площадки (детские игровые (спортивные), для отдыха, для контейнеров, для выгула собак), места для отдыха, сушки белья, парковки автомобилей, зеленые насаждения и иные объекты общественного пользования;</w:t>
      </w:r>
    </w:p>
    <w:p w:rsidR="00245A21" w:rsidRDefault="00245A21">
      <w:pPr>
        <w:pStyle w:val="ConsPlusNormal"/>
        <w:spacing w:before="220"/>
        <w:ind w:firstLine="540"/>
        <w:jc w:val="both"/>
      </w:pPr>
      <w:r>
        <w:t xml:space="preserve">2) минимальное расстояние от детской игровой (спортивной) площадки - расстояние от детской игровой (спортивной) площадки до входа в торговый объект, равное 30 метрам, при условии нахождения такого входа в пределах прямой видимости с территории детской игровой (спортивной) площадки, находящейся на придомовой территории или на территории общего пользования, измеряемое по прямой линии от ограждения или покрытия детской игровой (спортивной) площадки, а при отсутствии четких границ - от ближайшего элемента оборудования </w:t>
      </w:r>
      <w:r>
        <w:lastRenderedPageBreak/>
        <w:t>детской игровой (спортивной) площадки до входа в торговый объект. В случае, если вход в торговый объект находится на расстоянии тридцати и менее метров от детской игровой (спортивной) площадки и вне пределов прямой видимости с территории детской игровой (спортивной) площадки из-за объектов, права на которые не зарегистрированы в Едином государственном реестре недвижимости, из-за малых архитектурных форм, ограждающих конструкций, заборов, оград, изгородей, такой вход в торговый объект считается находящимся в пределах минимального расстояния от детской игровой (спортивной) площадки.</w:t>
      </w:r>
    </w:p>
    <w:p w:rsidR="00245A21" w:rsidRDefault="00245A21">
      <w:pPr>
        <w:pStyle w:val="ConsPlusNormal"/>
        <w:spacing w:before="220"/>
        <w:ind w:firstLine="540"/>
        <w:jc w:val="both"/>
      </w:pPr>
      <w:r>
        <w:t>2. Иные понятия, используемые в настоящем Законе, применяются в том же значении, что и в Федеральном законе.".</w:t>
      </w:r>
    </w:p>
    <w:p w:rsidR="00245A21" w:rsidRDefault="00245A21">
      <w:pPr>
        <w:pStyle w:val="ConsPlusNormal"/>
        <w:spacing w:before="220"/>
        <w:ind w:firstLine="540"/>
        <w:jc w:val="both"/>
      </w:pPr>
      <w:r>
        <w:t xml:space="preserve">2. </w:t>
      </w:r>
      <w:hyperlink r:id="rId7" w:history="1">
        <w:r>
          <w:rPr>
            <w:color w:val="0000FF"/>
          </w:rPr>
          <w:t>Статьи 4</w:t>
        </w:r>
      </w:hyperlink>
      <w:r>
        <w:t xml:space="preserve"> и </w:t>
      </w:r>
      <w:hyperlink r:id="rId8" w:history="1">
        <w:r>
          <w:rPr>
            <w:color w:val="0000FF"/>
          </w:rPr>
          <w:t>5</w:t>
        </w:r>
      </w:hyperlink>
      <w:r>
        <w:t xml:space="preserve"> изложить в следующей редакции:</w:t>
      </w:r>
    </w:p>
    <w:p w:rsidR="00245A21" w:rsidRDefault="00245A21">
      <w:pPr>
        <w:pStyle w:val="ConsPlusNormal"/>
        <w:spacing w:before="220"/>
        <w:ind w:firstLine="540"/>
        <w:jc w:val="both"/>
      </w:pPr>
      <w:r>
        <w:t>"Статья 4. Дополнительные ограничения времени, условий и мест розничной продажи алкогольной продукции (за исключением розничной продажи алкогольной продукции при оказании услуг общественного питания)</w:t>
      </w:r>
    </w:p>
    <w:p w:rsidR="00245A21" w:rsidRDefault="00245A21">
      <w:pPr>
        <w:pStyle w:val="ConsPlusNormal"/>
        <w:jc w:val="both"/>
      </w:pPr>
    </w:p>
    <w:p w:rsidR="00245A21" w:rsidRDefault="00245A21">
      <w:pPr>
        <w:pStyle w:val="ConsPlusNormal"/>
        <w:ind w:firstLine="540"/>
        <w:jc w:val="both"/>
      </w:pPr>
      <w:bookmarkStart w:id="2" w:name="P28"/>
      <w:bookmarkEnd w:id="2"/>
      <w:r>
        <w:t xml:space="preserve">1. В Ханты-Мансийском автономном округе - Югре не допускается розничная продажа алкогольной продукции с 20.00 до 08.00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розничной продажи пива, пивных напитков, сидра, </w:t>
      </w:r>
      <w:proofErr w:type="spellStart"/>
      <w:r>
        <w:t>пуаре</w:t>
      </w:r>
      <w:proofErr w:type="spellEnd"/>
      <w:r>
        <w:t>, медовухи, осуществляемой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розничной продажи алкогольной продукции в случае, если указанная продукция размещена на бортах водных и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деле, и розничной продажи алкогольной продукции, осуществляемой в магазинах беспошлинной торговли.</w:t>
      </w:r>
    </w:p>
    <w:p w:rsidR="00245A21" w:rsidRDefault="00245A21">
      <w:pPr>
        <w:pStyle w:val="ConsPlusNormal"/>
        <w:spacing w:before="220"/>
        <w:ind w:firstLine="540"/>
        <w:jc w:val="both"/>
      </w:pPr>
      <w:r>
        <w:t>2. В Ханты-Мансийском автономном округе - Югре не допускается розничная продажа алкогольной продукции:</w:t>
      </w:r>
    </w:p>
    <w:p w:rsidR="00245A21" w:rsidRDefault="00245A21">
      <w:pPr>
        <w:pStyle w:val="ConsPlusNormal"/>
        <w:spacing w:before="220"/>
        <w:ind w:firstLine="540"/>
        <w:jc w:val="both"/>
      </w:pPr>
      <w:r>
        <w:t>1) на территориях месторождений углеводородного сырья в пределах лицензионных участков недр, за исключением территорий населенных пунктов;</w:t>
      </w:r>
    </w:p>
    <w:p w:rsidR="00245A21" w:rsidRDefault="00245A21">
      <w:pPr>
        <w:pStyle w:val="ConsPlusNormal"/>
        <w:spacing w:before="220"/>
        <w:ind w:firstLine="540"/>
        <w:jc w:val="both"/>
      </w:pPr>
      <w:r>
        <w:t>2) на автомобильных и железнодорожных мостах;</w:t>
      </w:r>
    </w:p>
    <w:p w:rsidR="00245A21" w:rsidRDefault="00245A21">
      <w:pPr>
        <w:pStyle w:val="ConsPlusNormal"/>
        <w:spacing w:before="220"/>
        <w:ind w:firstLine="540"/>
        <w:jc w:val="both"/>
      </w:pPr>
      <w:r>
        <w:t>3) в культовых зданиях и сооружениях, находящихся в пользовании религиозных организаций;</w:t>
      </w:r>
    </w:p>
    <w:p w:rsidR="00245A21" w:rsidRDefault="00245A21">
      <w:pPr>
        <w:pStyle w:val="ConsPlusNormal"/>
        <w:spacing w:before="220"/>
        <w:ind w:firstLine="540"/>
        <w:jc w:val="both"/>
      </w:pPr>
      <w:r>
        <w:t>4) в зоне чрезвычайной ситуации в случае введения в автономном округе режима чрезвычайной ситуации;</w:t>
      </w:r>
    </w:p>
    <w:p w:rsidR="00245A21" w:rsidRDefault="00245A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5A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5A21" w:rsidRDefault="00245A2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9 п. 2 ст. 1 </w:t>
            </w:r>
            <w:hyperlink w:anchor="P58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</w:tr>
    </w:tbl>
    <w:p w:rsidR="00245A21" w:rsidRDefault="00245A21">
      <w:pPr>
        <w:pStyle w:val="ConsPlusNormal"/>
        <w:spacing w:before="280"/>
        <w:ind w:firstLine="540"/>
        <w:jc w:val="both"/>
      </w:pPr>
      <w:bookmarkStart w:id="3" w:name="P35"/>
      <w:bookmarkEnd w:id="3"/>
      <w:r>
        <w:t>5) в нежилых помещениях, расположенных в многоквартирных домах, в пристроенных, встроенных, встроенно-пристроенных помещениях многоквартирных домов, за исключением случая, когда вход для посетителей в торговый объект организован со стороны красных линий улично-дорожной сети за пределами минимального расстояния от детской игровой (спортивной) площадки;</w:t>
      </w:r>
    </w:p>
    <w:p w:rsidR="00245A21" w:rsidRDefault="00245A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5A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5A21" w:rsidRDefault="00245A2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10 п. 2 ст. 1 </w:t>
            </w:r>
            <w:hyperlink w:anchor="P58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</w:tr>
    </w:tbl>
    <w:p w:rsidR="00245A21" w:rsidRDefault="00245A21">
      <w:pPr>
        <w:pStyle w:val="ConsPlusNormal"/>
        <w:spacing w:before="280"/>
        <w:ind w:firstLine="540"/>
        <w:jc w:val="both"/>
      </w:pPr>
      <w:bookmarkStart w:id="4" w:name="P37"/>
      <w:bookmarkEnd w:id="4"/>
      <w:r>
        <w:lastRenderedPageBreak/>
        <w:t>6) в отдельно стоящих зданиях, расположенных на земельных участках, граничащих с придомовой территорией многоквартирного дома, если вход для посетителей в торговый объект организован со стороны подъездов этого многоквартирного дома, а также в отдельно стоящих зданиях, если вход для посетителей в торговый объект организован в пределах минимального расстояния от детской игровой (спортивной) площадки, расположенной на придомовой территории или на территории общего пользования.</w:t>
      </w:r>
    </w:p>
    <w:p w:rsidR="00245A21" w:rsidRDefault="00245A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5A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5A21" w:rsidRDefault="00245A2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11 п. 2 ст. 1 </w:t>
            </w:r>
            <w:hyperlink w:anchor="P58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</w:tr>
    </w:tbl>
    <w:p w:rsidR="00245A21" w:rsidRDefault="00245A21">
      <w:pPr>
        <w:pStyle w:val="ConsPlusNormal"/>
        <w:spacing w:before="280"/>
        <w:ind w:firstLine="540"/>
        <w:jc w:val="both"/>
      </w:pPr>
      <w:r>
        <w:t xml:space="preserve">3. Осуществляемая в торговом объекте розничная продажа алкогольной продукции должна быть прекращена в случаях, предусмотренных </w:t>
      </w:r>
      <w:hyperlink w:anchor="P35" w:history="1">
        <w:r>
          <w:rPr>
            <w:color w:val="0000FF"/>
          </w:rPr>
          <w:t>подпунктами 5</w:t>
        </w:r>
      </w:hyperlink>
      <w:r>
        <w:t xml:space="preserve"> и </w:t>
      </w:r>
      <w:hyperlink w:anchor="P37" w:history="1">
        <w:r>
          <w:rPr>
            <w:color w:val="0000FF"/>
          </w:rPr>
          <w:t>6 пункта 2</w:t>
        </w:r>
      </w:hyperlink>
      <w:r>
        <w:t xml:space="preserve"> настоящей статьи, при условии, что эта деятельность осуществлялась до момента наступления следующих обстоятельств (при отсутствии других ограничений) не позднее чем через год со дня:</w:t>
      </w:r>
    </w:p>
    <w:p w:rsidR="00245A21" w:rsidRDefault="00245A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5A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5A21" w:rsidRDefault="00245A2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12 п. 2 ст. 1 </w:t>
            </w:r>
            <w:hyperlink w:anchor="P58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</w:tr>
    </w:tbl>
    <w:p w:rsidR="00245A21" w:rsidRDefault="00245A21">
      <w:pPr>
        <w:pStyle w:val="ConsPlusNormal"/>
        <w:spacing w:before="280"/>
        <w:ind w:firstLine="540"/>
        <w:jc w:val="both"/>
      </w:pPr>
      <w:r>
        <w:t>1) утверждения документации по планировке территории, предусматривающей изменение красных линий улично-дорожной сети;</w:t>
      </w:r>
    </w:p>
    <w:p w:rsidR="00245A21" w:rsidRDefault="00245A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5A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5A21" w:rsidRDefault="00245A2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13 п. 2 ст. 1 </w:t>
            </w:r>
            <w:hyperlink w:anchor="P58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</w:tr>
    </w:tbl>
    <w:p w:rsidR="00245A21" w:rsidRDefault="00245A21">
      <w:pPr>
        <w:pStyle w:val="ConsPlusNormal"/>
        <w:spacing w:before="280"/>
        <w:ind w:firstLine="540"/>
        <w:jc w:val="both"/>
      </w:pPr>
      <w:r>
        <w:t>2) сдачи в эксплуатацию многоквартирного дома (в том числе после реконструкции), на придомовой территории которого размещена детская игровая (спортивная) площадка;</w:t>
      </w:r>
    </w:p>
    <w:p w:rsidR="00245A21" w:rsidRDefault="00245A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5A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5A21" w:rsidRDefault="00245A2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14 п. 2 ст. 1 </w:t>
            </w:r>
            <w:hyperlink w:anchor="P58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</w:tr>
    </w:tbl>
    <w:p w:rsidR="00245A21" w:rsidRDefault="00245A21">
      <w:pPr>
        <w:pStyle w:val="ConsPlusNormal"/>
        <w:spacing w:before="280"/>
        <w:ind w:firstLine="540"/>
        <w:jc w:val="both"/>
      </w:pPr>
      <w:r>
        <w:t>3) сдачи в эксплуатацию детской игровой (спортивной) площадки, возведенной на территории общего пользования;</w:t>
      </w:r>
    </w:p>
    <w:p w:rsidR="00245A21" w:rsidRDefault="00245A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5A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5A21" w:rsidRDefault="00245A2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15 п. 2 ст. 1 </w:t>
            </w:r>
            <w:hyperlink w:anchor="P58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A21" w:rsidRDefault="00245A21">
            <w:pPr>
              <w:spacing w:after="1" w:line="0" w:lineRule="atLeast"/>
            </w:pPr>
          </w:p>
        </w:tc>
      </w:tr>
    </w:tbl>
    <w:p w:rsidR="00245A21" w:rsidRDefault="00245A21">
      <w:pPr>
        <w:pStyle w:val="ConsPlusNormal"/>
        <w:spacing w:before="280"/>
        <w:ind w:firstLine="540"/>
        <w:jc w:val="both"/>
      </w:pPr>
      <w:bookmarkStart w:id="5" w:name="P47"/>
      <w:bookmarkEnd w:id="5"/>
      <w:r>
        <w:t>4) принятия в состав общего имущества собственников помещений в многоквартирном доме детской игровой (спортивной) площадки, размещенной на придомовой территории, в соответствии с решением общего собрания собственников помещений в многоквартирном доме.</w:t>
      </w:r>
    </w:p>
    <w:p w:rsidR="00245A21" w:rsidRDefault="00245A21">
      <w:pPr>
        <w:pStyle w:val="ConsPlusNormal"/>
        <w:spacing w:before="220"/>
        <w:ind w:firstLine="540"/>
        <w:jc w:val="both"/>
      </w:pPr>
      <w:r>
        <w:t>4. В Ханты-Мансийском автономном округе - Югре розничная продажа алкогольной продукции не допускается в торговых объектах в случаях, если:</w:t>
      </w:r>
    </w:p>
    <w:p w:rsidR="00245A21" w:rsidRDefault="00245A21">
      <w:pPr>
        <w:pStyle w:val="ConsPlusNormal"/>
        <w:spacing w:before="220"/>
        <w:ind w:firstLine="540"/>
        <w:jc w:val="both"/>
      </w:pPr>
      <w:r>
        <w:t>1) в торговом зале наряду с розничной продажей алкогольной продукции осуществляется розничная продажа алкогольной продукции при оказании услуг общественного питания;</w:t>
      </w:r>
    </w:p>
    <w:p w:rsidR="00245A21" w:rsidRDefault="00245A21">
      <w:pPr>
        <w:pStyle w:val="ConsPlusNormal"/>
        <w:spacing w:before="220"/>
        <w:ind w:firstLine="540"/>
        <w:jc w:val="both"/>
      </w:pPr>
      <w:r>
        <w:t>2) размещенная в торговом зале и (или) на вывеске, в рекламе, в информационно-телекоммуникационной сети "Интернет" информация содержит сведения о розничной продаже в торговом объекте алкогольной продукции при оказании услуг общественного питания, в том числе имеются указания на тип объекта общественного питания, режим работы после 20.00 часов по местному времени;</w:t>
      </w:r>
    </w:p>
    <w:p w:rsidR="00245A21" w:rsidRDefault="00245A21">
      <w:pPr>
        <w:pStyle w:val="ConsPlusNormal"/>
        <w:spacing w:before="220"/>
        <w:ind w:firstLine="540"/>
        <w:jc w:val="both"/>
      </w:pPr>
      <w:r>
        <w:t xml:space="preserve">3) в доступном для обозрения покупателей месте в торговом зале отсутствует объявление об установленном </w:t>
      </w:r>
      <w:hyperlink w:anchor="P28" w:history="1">
        <w:r>
          <w:rPr>
            <w:color w:val="0000FF"/>
          </w:rPr>
          <w:t>пунктом 1</w:t>
        </w:r>
      </w:hyperlink>
      <w:r>
        <w:t xml:space="preserve"> настоящей статьи дополнительном ограничении розничной продажи алкогольной продукции, на оборудовании для демонстрации и выкладки алкогольной продукции </w:t>
      </w:r>
      <w:r>
        <w:lastRenderedPageBreak/>
        <w:t>отсутствует явное обозначение того, что алкогольная продукция после 20.00 часов по местному времени не продается, и при этом торговый объект осуществляет обслуживание покупателей после 20.00 часов по местному времени.</w:t>
      </w:r>
    </w:p>
    <w:p w:rsidR="00245A21" w:rsidRDefault="00245A21">
      <w:pPr>
        <w:pStyle w:val="ConsPlusNormal"/>
        <w:spacing w:before="220"/>
        <w:ind w:firstLine="540"/>
        <w:jc w:val="both"/>
      </w:pPr>
      <w:r>
        <w:t>5. В Ханты-Мансийском автономном округе - Югре не допускается розничная продажа алкогольной продукции в объектах общественного питания без оказания услуг общественного питания, в том числе розничная продажа алкогольной продукции посредством розлива в потребительскую тару (включая бутылки, банки), позволяющую осуществлять вынос приобретенной алкогольной продукции.</w:t>
      </w:r>
    </w:p>
    <w:p w:rsidR="00245A21" w:rsidRDefault="00245A21">
      <w:pPr>
        <w:pStyle w:val="ConsPlusNormal"/>
        <w:jc w:val="both"/>
      </w:pPr>
    </w:p>
    <w:p w:rsidR="00245A21" w:rsidRDefault="00245A21">
      <w:pPr>
        <w:pStyle w:val="ConsPlusNormal"/>
        <w:ind w:firstLine="540"/>
        <w:jc w:val="both"/>
      </w:pPr>
      <w:r>
        <w:t>Статья 5. Дополнительное ограничение розничной продажи алкогольной продукции при оказании услуг общественного питания</w:t>
      </w:r>
    </w:p>
    <w:p w:rsidR="00245A21" w:rsidRDefault="00245A21">
      <w:pPr>
        <w:pStyle w:val="ConsPlusNormal"/>
        <w:jc w:val="both"/>
      </w:pPr>
    </w:p>
    <w:p w:rsidR="00245A21" w:rsidRDefault="00245A21">
      <w:pPr>
        <w:pStyle w:val="ConsPlusNormal"/>
        <w:ind w:firstLine="540"/>
        <w:jc w:val="both"/>
      </w:pPr>
      <w:r>
        <w:t>В Ханты-Мансийском автономном округе - Югре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допускается только в указанных объектах общественного питания, имеющих зал обслуживания посетителей общей площадью не менее 50 квадратных метров.".</w:t>
      </w:r>
    </w:p>
    <w:p w:rsidR="00245A21" w:rsidRDefault="00245A21">
      <w:pPr>
        <w:pStyle w:val="ConsPlusNormal"/>
        <w:jc w:val="both"/>
      </w:pPr>
    </w:p>
    <w:p w:rsidR="00245A21" w:rsidRDefault="00245A21">
      <w:pPr>
        <w:pStyle w:val="ConsPlusNormal"/>
        <w:ind w:firstLine="540"/>
        <w:jc w:val="both"/>
        <w:outlineLvl w:val="0"/>
      </w:pPr>
      <w:bookmarkStart w:id="6" w:name="P58"/>
      <w:bookmarkEnd w:id="6"/>
      <w:r>
        <w:t xml:space="preserve">Статья 2. Настоящий Закон вступает в силу по истечении десяти дней со дня его официального опубликования, за исключением </w:t>
      </w:r>
      <w:hyperlink w:anchor="P18" w:history="1">
        <w:r>
          <w:rPr>
            <w:color w:val="0000FF"/>
          </w:rPr>
          <w:t>пункта 1</w:t>
        </w:r>
      </w:hyperlink>
      <w:r>
        <w:t xml:space="preserve">, </w:t>
      </w:r>
      <w:hyperlink w:anchor="P35" w:history="1">
        <w:r>
          <w:rPr>
            <w:color w:val="0000FF"/>
          </w:rPr>
          <w:t>абзацев с девятого</w:t>
        </w:r>
      </w:hyperlink>
      <w:r>
        <w:t xml:space="preserve"> по </w:t>
      </w:r>
      <w:hyperlink w:anchor="P47" w:history="1">
        <w:r>
          <w:rPr>
            <w:color w:val="0000FF"/>
          </w:rPr>
          <w:t>пятнадцатый пункта 2 статьи 1</w:t>
        </w:r>
      </w:hyperlink>
      <w:r>
        <w:t>, вступающих в силу с 1 сентября 2022 года.</w:t>
      </w:r>
    </w:p>
    <w:p w:rsidR="00245A21" w:rsidRDefault="00245A21">
      <w:pPr>
        <w:pStyle w:val="ConsPlusNormal"/>
        <w:jc w:val="both"/>
      </w:pPr>
    </w:p>
    <w:p w:rsidR="00245A21" w:rsidRDefault="00245A21">
      <w:pPr>
        <w:pStyle w:val="ConsPlusNormal"/>
        <w:jc w:val="right"/>
      </w:pPr>
      <w:r>
        <w:t>Губернатор</w:t>
      </w:r>
    </w:p>
    <w:p w:rsidR="00245A21" w:rsidRDefault="00245A21">
      <w:pPr>
        <w:pStyle w:val="ConsPlusNormal"/>
        <w:jc w:val="right"/>
      </w:pPr>
      <w:r>
        <w:t>Ханты-Мансийского</w:t>
      </w:r>
    </w:p>
    <w:p w:rsidR="00245A21" w:rsidRDefault="00245A21">
      <w:pPr>
        <w:pStyle w:val="ConsPlusNormal"/>
        <w:jc w:val="right"/>
      </w:pPr>
      <w:r>
        <w:t>автономного округа - Югры</w:t>
      </w:r>
    </w:p>
    <w:p w:rsidR="00245A21" w:rsidRDefault="00245A21">
      <w:pPr>
        <w:pStyle w:val="ConsPlusNormal"/>
        <w:jc w:val="right"/>
      </w:pPr>
      <w:r>
        <w:t>Н.В.КОМАРОВА</w:t>
      </w:r>
    </w:p>
    <w:p w:rsidR="00245A21" w:rsidRDefault="00245A21">
      <w:pPr>
        <w:pStyle w:val="ConsPlusNormal"/>
      </w:pPr>
      <w:r>
        <w:t>г. Ханты-Мансийск</w:t>
      </w:r>
    </w:p>
    <w:p w:rsidR="00245A21" w:rsidRDefault="00245A21">
      <w:pPr>
        <w:pStyle w:val="ConsPlusNormal"/>
        <w:spacing w:before="220"/>
      </w:pPr>
      <w:r>
        <w:t>26 ноября 2020 года</w:t>
      </w:r>
    </w:p>
    <w:p w:rsidR="00245A21" w:rsidRDefault="00245A21">
      <w:pPr>
        <w:pStyle w:val="ConsPlusNormal"/>
        <w:spacing w:before="220"/>
      </w:pPr>
      <w:r>
        <w:t>N 115-оз</w:t>
      </w:r>
    </w:p>
    <w:p w:rsidR="00245A21" w:rsidRDefault="00245A21">
      <w:pPr>
        <w:pStyle w:val="ConsPlusNormal"/>
        <w:jc w:val="both"/>
      </w:pPr>
    </w:p>
    <w:p w:rsidR="00245A21" w:rsidRDefault="00245A21">
      <w:pPr>
        <w:pStyle w:val="ConsPlusNormal"/>
        <w:jc w:val="both"/>
      </w:pPr>
    </w:p>
    <w:p w:rsidR="00245A21" w:rsidRDefault="00245A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4CEF" w:rsidRDefault="008E4CEF"/>
    <w:sectPr w:rsidR="008E4CEF" w:rsidSect="0062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21"/>
    <w:rsid w:val="00245A21"/>
    <w:rsid w:val="008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34B74-A328-4844-8C19-EF856AF9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5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5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5A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407D0F83F0CB2628153B2A5226D069D914B1AF547206A1FB5BBA986ACE0DEAA78344584385D62D600E4CACA20A4A9ABBC2041675F3143E6AD721FCy1q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407D0F83F0CB2628153B2A5226D069D914B1AF547206A1FB5BBA986ACE0DEAA78344584385D62D600E4CA8A10A4A9ABBC2041675F3143E6AD721FCy1q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407D0F83F0CB2628153B2A5226D069D914B1AF54700AA6FF5ABA986ACE0DEAA78344584385D62E6B5A1DEBF30C1CCAE1970F0A76ED16y3qAJ" TargetMode="External"/><Relationship Id="rId5" Type="http://schemas.openxmlformats.org/officeDocument/2006/relationships/hyperlink" Target="consultantplus://offline/ref=5A407D0F83F0CB2628153B2A5226D069D914B1AF547206A1FB5BBA986ACE0DEAA783445851858E21620F52AFA01F1CCBFDy9q5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2</cp:revision>
  <dcterms:created xsi:type="dcterms:W3CDTF">2022-06-21T09:42:00Z</dcterms:created>
  <dcterms:modified xsi:type="dcterms:W3CDTF">2022-06-21T09:43:00Z</dcterms:modified>
</cp:coreProperties>
</file>