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76C" w:rsidRPr="00E85473" w:rsidRDefault="002D676C" w:rsidP="002D676C">
      <w:pPr>
        <w:jc w:val="center"/>
        <w:rPr>
          <w:sz w:val="26"/>
          <w:szCs w:val="26"/>
        </w:rPr>
      </w:pPr>
      <w:r w:rsidRPr="00E85473">
        <w:rPr>
          <w:sz w:val="26"/>
          <w:szCs w:val="26"/>
        </w:rPr>
        <w:t>С</w:t>
      </w:r>
      <w:r w:rsidR="00270DB7" w:rsidRPr="00E85473">
        <w:rPr>
          <w:sz w:val="26"/>
          <w:szCs w:val="26"/>
        </w:rPr>
        <w:t>вод</w:t>
      </w:r>
      <w:r w:rsidRPr="00E85473">
        <w:rPr>
          <w:sz w:val="26"/>
          <w:szCs w:val="26"/>
        </w:rPr>
        <w:t xml:space="preserve"> предложений</w:t>
      </w:r>
    </w:p>
    <w:p w:rsidR="002D676C" w:rsidRPr="00E85473" w:rsidRDefault="002D676C" w:rsidP="002D676C">
      <w:pPr>
        <w:jc w:val="center"/>
        <w:rPr>
          <w:sz w:val="26"/>
          <w:szCs w:val="26"/>
        </w:rPr>
      </w:pPr>
      <w:r w:rsidRPr="00E85473">
        <w:rPr>
          <w:sz w:val="26"/>
          <w:szCs w:val="26"/>
        </w:rPr>
        <w:t xml:space="preserve">по итогам проведения публичных консультаций </w:t>
      </w:r>
    </w:p>
    <w:p w:rsidR="002D676C" w:rsidRPr="00E85473" w:rsidRDefault="002D676C" w:rsidP="002D676C">
      <w:pPr>
        <w:jc w:val="both"/>
        <w:rPr>
          <w:sz w:val="26"/>
          <w:szCs w:val="26"/>
        </w:rPr>
      </w:pPr>
    </w:p>
    <w:p w:rsidR="002D676C" w:rsidRPr="00E85473" w:rsidRDefault="002D676C" w:rsidP="00E85473">
      <w:pPr>
        <w:ind w:firstLine="708"/>
        <w:jc w:val="both"/>
        <w:rPr>
          <w:sz w:val="26"/>
          <w:szCs w:val="26"/>
        </w:rPr>
      </w:pPr>
      <w:r w:rsidRPr="00E85473">
        <w:rPr>
          <w:sz w:val="26"/>
          <w:szCs w:val="26"/>
        </w:rPr>
        <w:t>В соответствии с пунктом 12 Порядка проведения оценки регулирующего воздействия проектов муниципальных нормативных правовых актов и экспертизы принятых муниципальных нормативных правовых актов, затрагивающих вопросы, осуществления предпринимательской и инвестиционной деятельности, утвержденного постановлением администрации города от 31.12.2019 № 547-па «</w:t>
      </w:r>
      <w:r w:rsidR="00E85473" w:rsidRPr="00E85473">
        <w:rPr>
          <w:sz w:val="26"/>
          <w:szCs w:val="26"/>
        </w:rPr>
        <w:t xml:space="preserve">Об </w:t>
      </w:r>
      <w:r w:rsidRPr="00E85473">
        <w:rPr>
          <w:sz w:val="26"/>
          <w:szCs w:val="26"/>
        </w:rPr>
        <w:t xml:space="preserve">утверждении порядка проведения оценки регулирующего воздействия проектов муниципальных нормативных правовых актов, экспертизы и оценки фактического воздействия муниципальных нормативных правовых актов, затрагивающих вопросы осуществления предпринимательской и инвестиционной деятельности, в администрации города Пыть-Яха», </w:t>
      </w:r>
      <w:r w:rsidR="00E85473" w:rsidRPr="00E85473">
        <w:rPr>
          <w:sz w:val="26"/>
          <w:szCs w:val="26"/>
        </w:rPr>
        <w:t>управлением по экономике администрации</w:t>
      </w:r>
      <w:r w:rsidR="00E85473" w:rsidRPr="00E85473">
        <w:rPr>
          <w:sz w:val="26"/>
          <w:szCs w:val="26"/>
          <w:u w:val="single"/>
        </w:rPr>
        <w:t xml:space="preserve"> города Пыть-Яха</w:t>
      </w:r>
      <w:r w:rsidR="00E85473">
        <w:rPr>
          <w:sz w:val="26"/>
          <w:szCs w:val="26"/>
        </w:rPr>
        <w:t>_____</w:t>
      </w:r>
      <w:r w:rsidRPr="00E85473">
        <w:rPr>
          <w:sz w:val="26"/>
          <w:szCs w:val="26"/>
        </w:rPr>
        <w:t>____________</w:t>
      </w:r>
      <w:r w:rsidR="00E85473">
        <w:rPr>
          <w:sz w:val="26"/>
          <w:szCs w:val="26"/>
        </w:rPr>
        <w:t>_____</w:t>
      </w:r>
      <w:r w:rsidRPr="00E85473">
        <w:rPr>
          <w:sz w:val="26"/>
          <w:szCs w:val="26"/>
        </w:rPr>
        <w:t>_________________________</w:t>
      </w:r>
      <w:r w:rsidR="00E85473">
        <w:rPr>
          <w:sz w:val="26"/>
          <w:szCs w:val="26"/>
        </w:rPr>
        <w:t>_________</w:t>
      </w:r>
      <w:r w:rsidRPr="00E85473">
        <w:rPr>
          <w:sz w:val="26"/>
          <w:szCs w:val="26"/>
        </w:rPr>
        <w:t>_</w:t>
      </w:r>
    </w:p>
    <w:p w:rsidR="002D676C" w:rsidRPr="002D676C" w:rsidRDefault="002D676C" w:rsidP="00E85473">
      <w:pPr>
        <w:jc w:val="center"/>
        <w:rPr>
          <w:sz w:val="22"/>
          <w:szCs w:val="22"/>
        </w:rPr>
      </w:pPr>
      <w:r w:rsidRPr="002D676C">
        <w:rPr>
          <w:sz w:val="22"/>
          <w:szCs w:val="22"/>
        </w:rPr>
        <w:t xml:space="preserve">(наименование регулирующего органа или органа, осуществляющего экспертизу </w:t>
      </w:r>
    </w:p>
    <w:p w:rsidR="002D676C" w:rsidRPr="002D676C" w:rsidRDefault="002D676C" w:rsidP="00E85473">
      <w:pPr>
        <w:jc w:val="center"/>
        <w:rPr>
          <w:sz w:val="22"/>
          <w:szCs w:val="22"/>
        </w:rPr>
      </w:pPr>
      <w:r w:rsidRPr="002D676C">
        <w:rPr>
          <w:sz w:val="22"/>
          <w:szCs w:val="22"/>
        </w:rPr>
        <w:t>или оценку фактического воздействия муниципальных нормативных правовых актов)</w:t>
      </w:r>
    </w:p>
    <w:p w:rsidR="00E85473" w:rsidRDefault="00E85473" w:rsidP="00E85473">
      <w:pPr>
        <w:jc w:val="both"/>
        <w:rPr>
          <w:sz w:val="26"/>
          <w:szCs w:val="26"/>
        </w:rPr>
      </w:pPr>
    </w:p>
    <w:p w:rsidR="002D676C" w:rsidRPr="00E85473" w:rsidRDefault="00E85473" w:rsidP="00E85473">
      <w:pPr>
        <w:jc w:val="both"/>
        <w:rPr>
          <w:sz w:val="26"/>
          <w:szCs w:val="26"/>
        </w:rPr>
      </w:pPr>
      <w:r w:rsidRPr="00E85473">
        <w:rPr>
          <w:sz w:val="26"/>
          <w:szCs w:val="26"/>
        </w:rPr>
        <w:t xml:space="preserve">в период с </w:t>
      </w:r>
      <w:r w:rsidR="00D55BCB">
        <w:rPr>
          <w:sz w:val="26"/>
          <w:szCs w:val="26"/>
        </w:rPr>
        <w:t>04.02</w:t>
      </w:r>
      <w:r w:rsidRPr="00E85473">
        <w:rPr>
          <w:sz w:val="26"/>
          <w:szCs w:val="26"/>
        </w:rPr>
        <w:t>.2</w:t>
      </w:r>
      <w:r w:rsidR="00D55BCB">
        <w:rPr>
          <w:sz w:val="26"/>
          <w:szCs w:val="26"/>
        </w:rPr>
        <w:t>021</w:t>
      </w:r>
      <w:r w:rsidR="002D676C" w:rsidRPr="00E85473">
        <w:rPr>
          <w:sz w:val="26"/>
          <w:szCs w:val="26"/>
        </w:rPr>
        <w:t xml:space="preserve"> года по </w:t>
      </w:r>
      <w:r w:rsidR="00D55BCB">
        <w:rPr>
          <w:sz w:val="26"/>
          <w:szCs w:val="26"/>
        </w:rPr>
        <w:t>04.03.2021</w:t>
      </w:r>
      <w:r w:rsidR="002D676C" w:rsidRPr="00E85473">
        <w:rPr>
          <w:sz w:val="26"/>
          <w:szCs w:val="26"/>
        </w:rPr>
        <w:t xml:space="preserve"> года проведены публичные консультации по постановления администрации г.Пыть-Яха </w:t>
      </w:r>
      <w:r w:rsidR="002D676C" w:rsidRPr="00E85473">
        <w:rPr>
          <w:bCs/>
          <w:sz w:val="26"/>
          <w:szCs w:val="26"/>
        </w:rPr>
        <w:t>«</w:t>
      </w:r>
      <w:r w:rsidR="001969EC" w:rsidRPr="001969EC">
        <w:rPr>
          <w:sz w:val="26"/>
          <w:szCs w:val="26"/>
          <w:u w:val="single"/>
        </w:rPr>
        <w:t xml:space="preserve">Об утверждении порядка расчета и предоставления субсидий на поддержку и развитие </w:t>
      </w:r>
      <w:r w:rsidR="001969EC" w:rsidRPr="000843CA">
        <w:rPr>
          <w:sz w:val="26"/>
          <w:szCs w:val="26"/>
          <w:u w:val="single"/>
        </w:rPr>
        <w:t>животноводства</w:t>
      </w:r>
      <w:r w:rsidR="00270DB7" w:rsidRPr="000843CA">
        <w:rPr>
          <w:bCs/>
          <w:sz w:val="26"/>
          <w:szCs w:val="26"/>
          <w:u w:val="single"/>
        </w:rPr>
        <w:t>»</w:t>
      </w:r>
      <w:r w:rsidR="009E57AB" w:rsidRPr="000843CA">
        <w:rPr>
          <w:bCs/>
          <w:sz w:val="26"/>
          <w:szCs w:val="26"/>
        </w:rPr>
        <w:t>___________</w:t>
      </w:r>
      <w:r w:rsidR="001969EC" w:rsidRPr="000843CA">
        <w:rPr>
          <w:bCs/>
          <w:sz w:val="26"/>
          <w:szCs w:val="26"/>
        </w:rPr>
        <w:t>_________________________________</w:t>
      </w:r>
      <w:r w:rsidR="009E57AB" w:rsidRPr="000843CA">
        <w:rPr>
          <w:bCs/>
          <w:sz w:val="26"/>
          <w:szCs w:val="26"/>
        </w:rPr>
        <w:t>___</w:t>
      </w:r>
      <w:r w:rsidR="002D676C" w:rsidRPr="000843CA">
        <w:rPr>
          <w:sz w:val="28"/>
          <w:szCs w:val="28"/>
        </w:rPr>
        <w:t>________</w:t>
      </w:r>
    </w:p>
    <w:p w:rsidR="002D676C" w:rsidRPr="00E85473" w:rsidRDefault="002D676C" w:rsidP="00E85473">
      <w:pPr>
        <w:jc w:val="center"/>
        <w:rPr>
          <w:sz w:val="22"/>
          <w:szCs w:val="22"/>
        </w:rPr>
      </w:pPr>
      <w:r w:rsidRPr="00E85473">
        <w:rPr>
          <w:sz w:val="22"/>
          <w:szCs w:val="22"/>
        </w:rPr>
        <w:t>(информация о концепции (идее) предлагаемого правового регулирования, наименование (проекта) муниципального нормативного правового акта, по которому проведены публичные консультации)</w:t>
      </w:r>
    </w:p>
    <w:p w:rsidR="002D676C" w:rsidRPr="00E85473" w:rsidRDefault="002D676C" w:rsidP="00E85473">
      <w:pPr>
        <w:jc w:val="both"/>
        <w:rPr>
          <w:sz w:val="26"/>
          <w:szCs w:val="26"/>
        </w:rPr>
      </w:pPr>
    </w:p>
    <w:p w:rsidR="00E85473" w:rsidRDefault="00E85473" w:rsidP="00E85473">
      <w:pPr>
        <w:rPr>
          <w:sz w:val="26"/>
          <w:szCs w:val="26"/>
        </w:rPr>
      </w:pPr>
    </w:p>
    <w:p w:rsidR="002D676C" w:rsidRPr="00E85473" w:rsidRDefault="002D676C" w:rsidP="00E85473">
      <w:pPr>
        <w:ind w:firstLine="708"/>
        <w:rPr>
          <w:sz w:val="26"/>
          <w:szCs w:val="26"/>
        </w:rPr>
      </w:pPr>
      <w:r w:rsidRPr="00E85473">
        <w:rPr>
          <w:sz w:val="26"/>
          <w:szCs w:val="26"/>
        </w:rPr>
        <w:t>При проведении публичных консультаций получены отзывы от:</w:t>
      </w:r>
    </w:p>
    <w:p w:rsidR="00702F35" w:rsidRPr="009F2EFC" w:rsidRDefault="003F5A71" w:rsidP="00E85473">
      <w:pPr>
        <w:pStyle w:val="ConsPlusNonformat"/>
        <w:numPr>
          <w:ilvl w:val="0"/>
          <w:numId w:val="3"/>
        </w:numPr>
        <w:jc w:val="both"/>
        <w:rPr>
          <w:rFonts w:ascii="Times New Roman" w:hAnsi="Times New Roman" w:cs="Times New Roman"/>
          <w:color w:val="000000" w:themeColor="text1"/>
          <w:sz w:val="26"/>
          <w:szCs w:val="26"/>
        </w:rPr>
      </w:pPr>
      <w:r w:rsidRPr="009F2EFC">
        <w:rPr>
          <w:rFonts w:ascii="Times New Roman" w:hAnsi="Times New Roman" w:cs="Times New Roman"/>
          <w:color w:val="000000" w:themeColor="text1"/>
          <w:sz w:val="26"/>
          <w:szCs w:val="26"/>
        </w:rPr>
        <w:t xml:space="preserve">ИП </w:t>
      </w:r>
      <w:r w:rsidR="00702F35" w:rsidRPr="009F2EFC">
        <w:rPr>
          <w:rFonts w:ascii="Times New Roman" w:hAnsi="Times New Roman" w:cs="Times New Roman"/>
          <w:color w:val="000000" w:themeColor="text1"/>
          <w:sz w:val="26"/>
          <w:szCs w:val="26"/>
        </w:rPr>
        <w:t>Анисимовой Зульфии</w:t>
      </w:r>
      <w:r w:rsidRPr="009F2EFC">
        <w:rPr>
          <w:rFonts w:ascii="Times New Roman" w:hAnsi="Times New Roman" w:cs="Times New Roman"/>
          <w:color w:val="000000" w:themeColor="text1"/>
          <w:sz w:val="26"/>
          <w:szCs w:val="26"/>
        </w:rPr>
        <w:t xml:space="preserve"> Фаритовны</w:t>
      </w:r>
      <w:r w:rsidR="0019488C">
        <w:rPr>
          <w:rFonts w:ascii="Times New Roman" w:hAnsi="Times New Roman" w:cs="Times New Roman"/>
          <w:color w:val="000000" w:themeColor="text1"/>
          <w:sz w:val="26"/>
          <w:szCs w:val="26"/>
        </w:rPr>
        <w:t>.</w:t>
      </w:r>
    </w:p>
    <w:p w:rsidR="00702F35" w:rsidRPr="009F2EFC" w:rsidRDefault="00702F35" w:rsidP="00E85473">
      <w:pPr>
        <w:pStyle w:val="ConsPlusNonformat"/>
        <w:numPr>
          <w:ilvl w:val="0"/>
          <w:numId w:val="3"/>
        </w:numPr>
        <w:jc w:val="both"/>
        <w:rPr>
          <w:rFonts w:ascii="Times New Roman" w:hAnsi="Times New Roman" w:cs="Times New Roman"/>
          <w:color w:val="000000" w:themeColor="text1"/>
          <w:sz w:val="26"/>
          <w:szCs w:val="26"/>
        </w:rPr>
      </w:pPr>
      <w:r w:rsidRPr="009F2EFC">
        <w:rPr>
          <w:rFonts w:ascii="Times New Roman" w:hAnsi="Times New Roman" w:cs="Times New Roman"/>
          <w:color w:val="000000" w:themeColor="text1"/>
          <w:sz w:val="26"/>
          <w:szCs w:val="26"/>
        </w:rPr>
        <w:t>Ризвановой Альбины</w:t>
      </w:r>
      <w:r w:rsidR="003F5A71" w:rsidRPr="009F2EFC">
        <w:rPr>
          <w:rFonts w:ascii="Times New Roman" w:hAnsi="Times New Roman" w:cs="Times New Roman"/>
          <w:color w:val="000000" w:themeColor="text1"/>
          <w:sz w:val="26"/>
          <w:szCs w:val="26"/>
        </w:rPr>
        <w:t xml:space="preserve"> (ООО «Велнес»)</w:t>
      </w:r>
      <w:r w:rsidR="0019488C">
        <w:rPr>
          <w:rFonts w:ascii="Times New Roman" w:hAnsi="Times New Roman" w:cs="Times New Roman"/>
          <w:color w:val="000000" w:themeColor="text1"/>
          <w:sz w:val="26"/>
          <w:szCs w:val="26"/>
        </w:rPr>
        <w:t>.</w:t>
      </w:r>
    </w:p>
    <w:p w:rsidR="00702F35" w:rsidRPr="009F2EFC" w:rsidRDefault="00702F35" w:rsidP="00E85473">
      <w:pPr>
        <w:pStyle w:val="ConsPlusNonformat"/>
        <w:numPr>
          <w:ilvl w:val="0"/>
          <w:numId w:val="3"/>
        </w:numPr>
        <w:jc w:val="both"/>
        <w:rPr>
          <w:rFonts w:ascii="Times New Roman" w:hAnsi="Times New Roman" w:cs="Times New Roman"/>
          <w:color w:val="000000" w:themeColor="text1"/>
          <w:sz w:val="26"/>
          <w:szCs w:val="26"/>
        </w:rPr>
      </w:pPr>
      <w:r w:rsidRPr="009F2EFC">
        <w:rPr>
          <w:rFonts w:ascii="Times New Roman" w:hAnsi="Times New Roman" w:cs="Times New Roman"/>
          <w:color w:val="000000" w:themeColor="text1"/>
          <w:sz w:val="26"/>
          <w:szCs w:val="26"/>
        </w:rPr>
        <w:t>Степанюк Петра</w:t>
      </w:r>
      <w:r w:rsidR="0019488C">
        <w:rPr>
          <w:rFonts w:ascii="Times New Roman" w:hAnsi="Times New Roman" w:cs="Times New Roman"/>
          <w:color w:val="000000" w:themeColor="text1"/>
          <w:sz w:val="26"/>
          <w:szCs w:val="26"/>
        </w:rPr>
        <w:t>.</w:t>
      </w:r>
    </w:p>
    <w:p w:rsidR="00702F35" w:rsidRPr="009F2EFC" w:rsidRDefault="003F5A71" w:rsidP="00E85473">
      <w:pPr>
        <w:pStyle w:val="ConsPlusNonformat"/>
        <w:numPr>
          <w:ilvl w:val="0"/>
          <w:numId w:val="3"/>
        </w:numPr>
        <w:jc w:val="both"/>
        <w:rPr>
          <w:rFonts w:ascii="Times New Roman" w:hAnsi="Times New Roman" w:cs="Times New Roman"/>
          <w:color w:val="000000" w:themeColor="text1"/>
          <w:sz w:val="26"/>
          <w:szCs w:val="26"/>
        </w:rPr>
      </w:pPr>
      <w:r w:rsidRPr="009F2EFC">
        <w:rPr>
          <w:rFonts w:ascii="Times New Roman" w:hAnsi="Times New Roman" w:cs="Times New Roman"/>
          <w:color w:val="000000" w:themeColor="text1"/>
          <w:sz w:val="26"/>
          <w:szCs w:val="26"/>
        </w:rPr>
        <w:t>ИП Богачевой Екатерины Викторовны</w:t>
      </w:r>
      <w:r w:rsidR="0019488C">
        <w:rPr>
          <w:rFonts w:ascii="Times New Roman" w:hAnsi="Times New Roman" w:cs="Times New Roman"/>
          <w:color w:val="000000" w:themeColor="text1"/>
          <w:sz w:val="26"/>
          <w:szCs w:val="26"/>
        </w:rPr>
        <w:t>.</w:t>
      </w:r>
    </w:p>
    <w:p w:rsidR="002E4620" w:rsidRDefault="002E4620" w:rsidP="002E4620">
      <w:pPr>
        <w:pStyle w:val="ConsPlusNonformat"/>
        <w:numPr>
          <w:ilvl w:val="0"/>
          <w:numId w:val="3"/>
        </w:numPr>
        <w:jc w:val="both"/>
        <w:rPr>
          <w:rFonts w:ascii="Times New Roman" w:hAnsi="Times New Roman" w:cs="Times New Roman"/>
          <w:sz w:val="26"/>
          <w:szCs w:val="26"/>
        </w:rPr>
      </w:pPr>
      <w:r>
        <w:rPr>
          <w:rFonts w:ascii="Times New Roman" w:hAnsi="Times New Roman" w:cs="Times New Roman"/>
          <w:sz w:val="26"/>
          <w:szCs w:val="26"/>
        </w:rPr>
        <w:t>Департамента промышленности Ханты-Мансийского</w:t>
      </w:r>
      <w:r w:rsidRPr="00247CC8">
        <w:rPr>
          <w:rFonts w:ascii="Times New Roman" w:hAnsi="Times New Roman" w:cs="Times New Roman"/>
          <w:sz w:val="26"/>
          <w:szCs w:val="26"/>
        </w:rPr>
        <w:t xml:space="preserve"> автономно</w:t>
      </w:r>
      <w:r>
        <w:rPr>
          <w:rFonts w:ascii="Times New Roman" w:hAnsi="Times New Roman" w:cs="Times New Roman"/>
          <w:sz w:val="26"/>
          <w:szCs w:val="26"/>
        </w:rPr>
        <w:t>го</w:t>
      </w:r>
      <w:r w:rsidRPr="00247CC8">
        <w:rPr>
          <w:rFonts w:ascii="Times New Roman" w:hAnsi="Times New Roman" w:cs="Times New Roman"/>
          <w:sz w:val="26"/>
          <w:szCs w:val="26"/>
        </w:rPr>
        <w:t xml:space="preserve"> округ</w:t>
      </w:r>
      <w:r>
        <w:rPr>
          <w:rFonts w:ascii="Times New Roman" w:hAnsi="Times New Roman" w:cs="Times New Roman"/>
          <w:sz w:val="26"/>
          <w:szCs w:val="26"/>
        </w:rPr>
        <w:t>а – Югры (исх. от 10.02.2021 № 38-Исх-826).</w:t>
      </w:r>
    </w:p>
    <w:p w:rsidR="002D676C" w:rsidRPr="00247CC8" w:rsidRDefault="002D676C" w:rsidP="00702F35">
      <w:pPr>
        <w:pStyle w:val="ConsPlusNonformat"/>
        <w:numPr>
          <w:ilvl w:val="0"/>
          <w:numId w:val="3"/>
        </w:numPr>
        <w:jc w:val="both"/>
        <w:rPr>
          <w:rFonts w:ascii="Times New Roman" w:hAnsi="Times New Roman" w:cs="Times New Roman"/>
          <w:color w:val="000000" w:themeColor="text1"/>
          <w:sz w:val="26"/>
          <w:szCs w:val="26"/>
        </w:rPr>
      </w:pPr>
      <w:r w:rsidRPr="009F2EFC">
        <w:rPr>
          <w:rFonts w:ascii="Times New Roman" w:hAnsi="Times New Roman" w:cs="Times New Roman"/>
          <w:color w:val="000000" w:themeColor="text1"/>
          <w:sz w:val="26"/>
          <w:szCs w:val="26"/>
        </w:rPr>
        <w:t>Союз</w:t>
      </w:r>
      <w:r w:rsidR="00702F35" w:rsidRPr="009F2EFC">
        <w:rPr>
          <w:rFonts w:ascii="Times New Roman" w:hAnsi="Times New Roman" w:cs="Times New Roman"/>
          <w:color w:val="000000" w:themeColor="text1"/>
          <w:sz w:val="26"/>
          <w:szCs w:val="26"/>
        </w:rPr>
        <w:t>а</w:t>
      </w:r>
      <w:r w:rsidRPr="009F2EFC">
        <w:rPr>
          <w:rFonts w:ascii="Times New Roman" w:hAnsi="Times New Roman" w:cs="Times New Roman"/>
          <w:color w:val="000000" w:themeColor="text1"/>
          <w:sz w:val="26"/>
          <w:szCs w:val="26"/>
        </w:rPr>
        <w:t xml:space="preserve"> «Торгово-промышленная палата </w:t>
      </w:r>
      <w:r w:rsidRPr="00247CC8">
        <w:rPr>
          <w:rFonts w:ascii="Times New Roman" w:hAnsi="Times New Roman" w:cs="Times New Roman"/>
          <w:color w:val="000000" w:themeColor="text1"/>
          <w:sz w:val="26"/>
          <w:szCs w:val="26"/>
        </w:rPr>
        <w:t>Ханты-Мансийского автономного округа-Югры»</w:t>
      </w:r>
      <w:r w:rsidR="0075302C" w:rsidRPr="00247CC8">
        <w:rPr>
          <w:rFonts w:ascii="Times New Roman" w:hAnsi="Times New Roman" w:cs="Times New Roman"/>
          <w:color w:val="000000" w:themeColor="text1"/>
          <w:sz w:val="26"/>
          <w:szCs w:val="26"/>
        </w:rPr>
        <w:t xml:space="preserve"> (</w:t>
      </w:r>
      <w:r w:rsidR="00702F35" w:rsidRPr="00247CC8">
        <w:rPr>
          <w:rFonts w:ascii="Times New Roman" w:hAnsi="Times New Roman" w:cs="Times New Roman"/>
          <w:color w:val="000000" w:themeColor="text1"/>
          <w:sz w:val="26"/>
          <w:szCs w:val="26"/>
        </w:rPr>
        <w:t xml:space="preserve">исх. от </w:t>
      </w:r>
      <w:r w:rsidR="00247CC8" w:rsidRPr="00247CC8">
        <w:rPr>
          <w:rFonts w:ascii="Times New Roman" w:hAnsi="Times New Roman" w:cs="Times New Roman"/>
          <w:color w:val="000000" w:themeColor="text1"/>
          <w:sz w:val="26"/>
          <w:szCs w:val="26"/>
        </w:rPr>
        <w:t xml:space="preserve">15.02.2021 </w:t>
      </w:r>
      <w:r w:rsidR="00702F35" w:rsidRPr="00247CC8">
        <w:rPr>
          <w:rFonts w:ascii="Times New Roman" w:hAnsi="Times New Roman" w:cs="Times New Roman"/>
          <w:color w:val="000000" w:themeColor="text1"/>
          <w:sz w:val="26"/>
          <w:szCs w:val="26"/>
        </w:rPr>
        <w:t>№</w:t>
      </w:r>
      <w:r w:rsidR="00247CC8" w:rsidRPr="00247CC8">
        <w:rPr>
          <w:rFonts w:ascii="Times New Roman" w:hAnsi="Times New Roman" w:cs="Times New Roman"/>
          <w:color w:val="000000" w:themeColor="text1"/>
          <w:sz w:val="26"/>
          <w:szCs w:val="26"/>
        </w:rPr>
        <w:t>227/2</w:t>
      </w:r>
      <w:r w:rsidR="0075302C" w:rsidRPr="00247CC8">
        <w:rPr>
          <w:rFonts w:ascii="Times New Roman" w:hAnsi="Times New Roman" w:cs="Times New Roman"/>
          <w:color w:val="000000" w:themeColor="text1"/>
          <w:sz w:val="26"/>
          <w:szCs w:val="26"/>
        </w:rPr>
        <w:t>)</w:t>
      </w:r>
      <w:r w:rsidR="0019488C">
        <w:rPr>
          <w:rFonts w:ascii="Times New Roman" w:hAnsi="Times New Roman" w:cs="Times New Roman"/>
          <w:color w:val="000000" w:themeColor="text1"/>
          <w:sz w:val="26"/>
          <w:szCs w:val="26"/>
        </w:rPr>
        <w:t>.</w:t>
      </w:r>
    </w:p>
    <w:p w:rsidR="00CB6275" w:rsidRDefault="00CB6275" w:rsidP="00CB6275">
      <w:pPr>
        <w:pStyle w:val="ConsPlusNonformat"/>
        <w:numPr>
          <w:ilvl w:val="0"/>
          <w:numId w:val="3"/>
        </w:numPr>
        <w:jc w:val="both"/>
        <w:rPr>
          <w:rFonts w:ascii="Times New Roman" w:hAnsi="Times New Roman" w:cs="Times New Roman"/>
          <w:sz w:val="26"/>
          <w:szCs w:val="26"/>
        </w:rPr>
      </w:pPr>
      <w:r w:rsidRPr="00702F35">
        <w:rPr>
          <w:rFonts w:ascii="Times New Roman" w:hAnsi="Times New Roman" w:cs="Times New Roman"/>
          <w:sz w:val="26"/>
          <w:szCs w:val="26"/>
        </w:rPr>
        <w:t>Уполномоченного по защите прав предпринимателей в Ханты-Мансийском автономном округе</w:t>
      </w:r>
      <w:r w:rsidR="00702F35" w:rsidRPr="00702F35">
        <w:rPr>
          <w:rFonts w:ascii="Times New Roman" w:hAnsi="Times New Roman" w:cs="Times New Roman"/>
          <w:sz w:val="26"/>
          <w:szCs w:val="26"/>
        </w:rPr>
        <w:t xml:space="preserve"> – Югре Евлахова Н.А. (исх. от </w:t>
      </w:r>
      <w:r w:rsidR="001969EC">
        <w:rPr>
          <w:rFonts w:ascii="Times New Roman" w:hAnsi="Times New Roman" w:cs="Times New Roman"/>
          <w:sz w:val="26"/>
          <w:szCs w:val="26"/>
        </w:rPr>
        <w:t>25.02.2021</w:t>
      </w:r>
      <w:r w:rsidRPr="00702F35">
        <w:rPr>
          <w:rFonts w:ascii="Times New Roman" w:hAnsi="Times New Roman" w:cs="Times New Roman"/>
          <w:sz w:val="26"/>
          <w:szCs w:val="26"/>
        </w:rPr>
        <w:t xml:space="preserve"> №01.13-Исх-</w:t>
      </w:r>
      <w:r w:rsidR="001969EC">
        <w:rPr>
          <w:rFonts w:ascii="Times New Roman" w:hAnsi="Times New Roman" w:cs="Times New Roman"/>
          <w:sz w:val="26"/>
          <w:szCs w:val="26"/>
        </w:rPr>
        <w:t>1186</w:t>
      </w:r>
      <w:r w:rsidRPr="00702F35">
        <w:rPr>
          <w:rFonts w:ascii="Times New Roman" w:hAnsi="Times New Roman" w:cs="Times New Roman"/>
          <w:sz w:val="26"/>
          <w:szCs w:val="26"/>
        </w:rPr>
        <w:t>).</w:t>
      </w:r>
    </w:p>
    <w:p w:rsidR="00CD4566" w:rsidRPr="00702F35" w:rsidRDefault="00CD4566" w:rsidP="00247CC8">
      <w:pPr>
        <w:pStyle w:val="ConsPlusNonformat"/>
        <w:numPr>
          <w:ilvl w:val="0"/>
          <w:numId w:val="3"/>
        </w:numPr>
        <w:jc w:val="both"/>
        <w:rPr>
          <w:rFonts w:ascii="Times New Roman" w:hAnsi="Times New Roman" w:cs="Times New Roman"/>
          <w:sz w:val="26"/>
          <w:szCs w:val="26"/>
        </w:rPr>
      </w:pPr>
      <w:r>
        <w:rPr>
          <w:rFonts w:ascii="Times New Roman" w:hAnsi="Times New Roman" w:cs="Times New Roman"/>
          <w:sz w:val="26"/>
          <w:szCs w:val="26"/>
        </w:rPr>
        <w:t>ИП Главы КФХ Колещатова Владимир Дмитриевич (заполненный опросный лист от 04.03.2021г.)</w:t>
      </w:r>
    </w:p>
    <w:p w:rsidR="00E85473" w:rsidRPr="00CB6275" w:rsidRDefault="00E85473" w:rsidP="00E85473">
      <w:pPr>
        <w:ind w:firstLine="709"/>
        <w:jc w:val="both"/>
        <w:rPr>
          <w:sz w:val="26"/>
          <w:szCs w:val="26"/>
        </w:rPr>
      </w:pPr>
    </w:p>
    <w:p w:rsidR="002D676C" w:rsidRPr="00CB6275" w:rsidRDefault="002D676C" w:rsidP="00E85473">
      <w:pPr>
        <w:ind w:firstLine="709"/>
        <w:jc w:val="both"/>
        <w:rPr>
          <w:sz w:val="26"/>
          <w:szCs w:val="26"/>
        </w:rPr>
      </w:pPr>
      <w:r w:rsidRPr="00CB6275">
        <w:rPr>
          <w:sz w:val="26"/>
          <w:szCs w:val="26"/>
        </w:rPr>
        <w:t>Результаты публичных консультаций и позиция регулирующего органа (органа, осуществляющего экспертизу или оценку фактического воздействия муниципальных нормативных правовых актов) отражены в таблице результатов публичных консультаций.</w:t>
      </w:r>
    </w:p>
    <w:p w:rsidR="002D676C" w:rsidRPr="00E85473" w:rsidRDefault="002D676C" w:rsidP="00E85473">
      <w:pPr>
        <w:jc w:val="center"/>
        <w:rPr>
          <w:sz w:val="26"/>
          <w:szCs w:val="26"/>
        </w:rPr>
      </w:pPr>
      <w:r w:rsidRPr="00E85473">
        <w:rPr>
          <w:b/>
          <w:sz w:val="26"/>
          <w:szCs w:val="26"/>
        </w:rPr>
        <w:br w:type="page"/>
      </w:r>
      <w:r w:rsidRPr="00E85473">
        <w:rPr>
          <w:sz w:val="26"/>
          <w:szCs w:val="26"/>
        </w:rPr>
        <w:lastRenderedPageBreak/>
        <w:t>Таблица результатов публичных консультаций</w:t>
      </w:r>
    </w:p>
    <w:p w:rsidR="002D676C" w:rsidRPr="00E85473" w:rsidRDefault="002D676C" w:rsidP="00E85473">
      <w:pPr>
        <w:jc w:val="center"/>
        <w:rPr>
          <w:sz w:val="26"/>
          <w:szCs w:val="2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3827"/>
        <w:gridCol w:w="3260"/>
      </w:tblGrid>
      <w:tr w:rsidR="002D676C" w:rsidRPr="007F60B6" w:rsidTr="00651DB7">
        <w:tc>
          <w:tcPr>
            <w:tcW w:w="9776" w:type="dxa"/>
            <w:gridSpan w:val="3"/>
            <w:shd w:val="clear" w:color="auto" w:fill="auto"/>
          </w:tcPr>
          <w:p w:rsidR="002D676C" w:rsidRPr="007F60B6" w:rsidRDefault="002D676C" w:rsidP="00E85473">
            <w:pPr>
              <w:jc w:val="center"/>
              <w:rPr>
                <w:sz w:val="18"/>
                <w:szCs w:val="18"/>
              </w:rPr>
            </w:pPr>
            <w:r w:rsidRPr="007F60B6">
              <w:rPr>
                <w:sz w:val="18"/>
                <w:szCs w:val="18"/>
              </w:rPr>
              <w:t>Результаты публичных консультаций</w:t>
            </w:r>
          </w:p>
        </w:tc>
      </w:tr>
      <w:tr w:rsidR="002D676C" w:rsidRPr="007F60B6" w:rsidTr="00651DB7">
        <w:tc>
          <w:tcPr>
            <w:tcW w:w="2689" w:type="dxa"/>
            <w:shd w:val="clear" w:color="auto" w:fill="auto"/>
            <w:vAlign w:val="center"/>
          </w:tcPr>
          <w:p w:rsidR="002D676C" w:rsidRPr="007F60B6" w:rsidRDefault="002D676C" w:rsidP="00E85473">
            <w:pPr>
              <w:jc w:val="center"/>
              <w:rPr>
                <w:sz w:val="18"/>
                <w:szCs w:val="18"/>
              </w:rPr>
            </w:pPr>
            <w:r w:rsidRPr="007F60B6">
              <w:rPr>
                <w:sz w:val="18"/>
                <w:szCs w:val="18"/>
              </w:rPr>
              <w:t>Наименование субъекта публичных консультаций</w:t>
            </w:r>
          </w:p>
        </w:tc>
        <w:tc>
          <w:tcPr>
            <w:tcW w:w="3827" w:type="dxa"/>
            <w:shd w:val="clear" w:color="auto" w:fill="auto"/>
            <w:vAlign w:val="center"/>
          </w:tcPr>
          <w:p w:rsidR="002D676C" w:rsidRPr="007F60B6" w:rsidRDefault="002D676C" w:rsidP="00E85473">
            <w:pPr>
              <w:jc w:val="center"/>
              <w:rPr>
                <w:sz w:val="18"/>
                <w:szCs w:val="18"/>
              </w:rPr>
            </w:pPr>
            <w:r w:rsidRPr="007F60B6">
              <w:rPr>
                <w:sz w:val="18"/>
                <w:szCs w:val="18"/>
              </w:rPr>
              <w:t>Высказанное мнение</w:t>
            </w:r>
          </w:p>
          <w:p w:rsidR="002D676C" w:rsidRPr="007F60B6" w:rsidRDefault="002D676C" w:rsidP="00E85473">
            <w:pPr>
              <w:jc w:val="center"/>
              <w:rPr>
                <w:sz w:val="18"/>
                <w:szCs w:val="18"/>
              </w:rPr>
            </w:pPr>
            <w:r w:rsidRPr="007F60B6">
              <w:rPr>
                <w:sz w:val="18"/>
                <w:szCs w:val="18"/>
              </w:rPr>
              <w:t>(замечания и (или) предложения)</w:t>
            </w:r>
          </w:p>
        </w:tc>
        <w:tc>
          <w:tcPr>
            <w:tcW w:w="3260" w:type="dxa"/>
            <w:shd w:val="clear" w:color="auto" w:fill="auto"/>
            <w:vAlign w:val="center"/>
          </w:tcPr>
          <w:p w:rsidR="002D676C" w:rsidRPr="007F60B6" w:rsidRDefault="002D676C" w:rsidP="00E85473">
            <w:pPr>
              <w:jc w:val="center"/>
              <w:rPr>
                <w:sz w:val="18"/>
                <w:szCs w:val="18"/>
              </w:rPr>
            </w:pPr>
            <w:r w:rsidRPr="007F60B6">
              <w:rPr>
                <w:sz w:val="18"/>
                <w:szCs w:val="18"/>
              </w:rPr>
              <w:t>Позиция</w:t>
            </w:r>
            <w:r w:rsidRPr="007F60B6">
              <w:rPr>
                <w:sz w:val="18"/>
                <w:szCs w:val="18"/>
              </w:rPr>
              <w:br/>
              <w:t>регулирующего   органа или органа, осуществляющего экспертизу или оценку фактического воздействия муниципальных нормативных правовых актов</w:t>
            </w:r>
          </w:p>
          <w:p w:rsidR="002D676C" w:rsidRPr="007F60B6" w:rsidRDefault="002D676C" w:rsidP="00E85473">
            <w:pPr>
              <w:jc w:val="center"/>
              <w:rPr>
                <w:sz w:val="18"/>
                <w:szCs w:val="18"/>
              </w:rPr>
            </w:pPr>
            <w:r w:rsidRPr="007F60B6">
              <w:rPr>
                <w:sz w:val="18"/>
                <w:szCs w:val="18"/>
              </w:rPr>
              <w:t>(с обоснованием позиции)</w:t>
            </w:r>
          </w:p>
        </w:tc>
      </w:tr>
      <w:tr w:rsidR="002D676C" w:rsidRPr="007F60B6" w:rsidTr="00651DB7">
        <w:tc>
          <w:tcPr>
            <w:tcW w:w="2689" w:type="dxa"/>
            <w:shd w:val="clear" w:color="auto" w:fill="auto"/>
          </w:tcPr>
          <w:p w:rsidR="002D676C" w:rsidRPr="007F60B6" w:rsidRDefault="00967470" w:rsidP="00637813">
            <w:pPr>
              <w:widowControl w:val="0"/>
              <w:autoSpaceDE w:val="0"/>
              <w:autoSpaceDN w:val="0"/>
              <w:adjustRightInd w:val="0"/>
              <w:rPr>
                <w:sz w:val="18"/>
                <w:szCs w:val="18"/>
              </w:rPr>
            </w:pPr>
            <w:r w:rsidRPr="007F60B6">
              <w:rPr>
                <w:sz w:val="18"/>
                <w:szCs w:val="18"/>
              </w:rPr>
              <w:t>ИП Анисимова Зульфия Фаритовна</w:t>
            </w:r>
          </w:p>
        </w:tc>
        <w:tc>
          <w:tcPr>
            <w:tcW w:w="3827" w:type="dxa"/>
            <w:shd w:val="clear" w:color="auto" w:fill="auto"/>
          </w:tcPr>
          <w:p w:rsidR="002D676C" w:rsidRPr="007F60B6" w:rsidRDefault="00967470" w:rsidP="0040586A">
            <w:pPr>
              <w:widowControl w:val="0"/>
              <w:autoSpaceDE w:val="0"/>
              <w:autoSpaceDN w:val="0"/>
              <w:adjustRightInd w:val="0"/>
              <w:rPr>
                <w:sz w:val="18"/>
                <w:szCs w:val="18"/>
              </w:rPr>
            </w:pPr>
            <w:r w:rsidRPr="007F60B6">
              <w:rPr>
                <w:sz w:val="18"/>
                <w:szCs w:val="18"/>
              </w:rPr>
              <w:t>Замечания и предложения отсутствуют</w:t>
            </w:r>
          </w:p>
        </w:tc>
        <w:tc>
          <w:tcPr>
            <w:tcW w:w="3260" w:type="dxa"/>
            <w:shd w:val="clear" w:color="auto" w:fill="auto"/>
          </w:tcPr>
          <w:p w:rsidR="002D676C" w:rsidRPr="007F60B6" w:rsidRDefault="002D676C" w:rsidP="00E85473">
            <w:pPr>
              <w:widowControl w:val="0"/>
              <w:autoSpaceDE w:val="0"/>
              <w:autoSpaceDN w:val="0"/>
              <w:adjustRightInd w:val="0"/>
              <w:jc w:val="center"/>
              <w:rPr>
                <w:sz w:val="18"/>
                <w:szCs w:val="18"/>
              </w:rPr>
            </w:pPr>
            <w:r w:rsidRPr="007F60B6">
              <w:rPr>
                <w:sz w:val="18"/>
                <w:szCs w:val="18"/>
              </w:rPr>
              <w:t>-</w:t>
            </w:r>
          </w:p>
        </w:tc>
      </w:tr>
      <w:tr w:rsidR="00967470" w:rsidRPr="007F60B6" w:rsidTr="00651DB7">
        <w:tc>
          <w:tcPr>
            <w:tcW w:w="2689" w:type="dxa"/>
            <w:shd w:val="clear" w:color="auto" w:fill="auto"/>
          </w:tcPr>
          <w:p w:rsidR="00967470" w:rsidRPr="007F60B6" w:rsidRDefault="00967470" w:rsidP="00637813">
            <w:pPr>
              <w:widowControl w:val="0"/>
              <w:autoSpaceDE w:val="0"/>
              <w:autoSpaceDN w:val="0"/>
              <w:adjustRightInd w:val="0"/>
              <w:rPr>
                <w:sz w:val="18"/>
                <w:szCs w:val="18"/>
              </w:rPr>
            </w:pPr>
            <w:r w:rsidRPr="007F60B6">
              <w:rPr>
                <w:sz w:val="18"/>
                <w:szCs w:val="18"/>
              </w:rPr>
              <w:t>Ризванова Альбина (ООО «Велнес»)</w:t>
            </w:r>
          </w:p>
        </w:tc>
        <w:tc>
          <w:tcPr>
            <w:tcW w:w="3827" w:type="dxa"/>
            <w:shd w:val="clear" w:color="auto" w:fill="auto"/>
          </w:tcPr>
          <w:p w:rsidR="00967470" w:rsidRPr="007F60B6" w:rsidRDefault="00967470" w:rsidP="0040586A">
            <w:pPr>
              <w:rPr>
                <w:sz w:val="18"/>
                <w:szCs w:val="18"/>
              </w:rPr>
            </w:pPr>
            <w:r w:rsidRPr="007F60B6">
              <w:rPr>
                <w:sz w:val="18"/>
                <w:szCs w:val="18"/>
              </w:rPr>
              <w:t>Замечания и предложения отсутствуют</w:t>
            </w:r>
          </w:p>
        </w:tc>
        <w:tc>
          <w:tcPr>
            <w:tcW w:w="3260" w:type="dxa"/>
            <w:shd w:val="clear" w:color="auto" w:fill="auto"/>
          </w:tcPr>
          <w:p w:rsidR="00967470" w:rsidRPr="007F60B6" w:rsidRDefault="00967470" w:rsidP="00967470">
            <w:pPr>
              <w:widowControl w:val="0"/>
              <w:autoSpaceDE w:val="0"/>
              <w:autoSpaceDN w:val="0"/>
              <w:adjustRightInd w:val="0"/>
              <w:jc w:val="center"/>
              <w:rPr>
                <w:sz w:val="18"/>
                <w:szCs w:val="18"/>
              </w:rPr>
            </w:pPr>
            <w:r w:rsidRPr="007F60B6">
              <w:rPr>
                <w:sz w:val="18"/>
                <w:szCs w:val="18"/>
              </w:rPr>
              <w:t>-</w:t>
            </w:r>
          </w:p>
        </w:tc>
      </w:tr>
      <w:tr w:rsidR="00637813" w:rsidRPr="007F60B6" w:rsidTr="00651DB7">
        <w:tc>
          <w:tcPr>
            <w:tcW w:w="2689" w:type="dxa"/>
            <w:shd w:val="clear" w:color="auto" w:fill="auto"/>
          </w:tcPr>
          <w:p w:rsidR="00637813" w:rsidRPr="007F60B6" w:rsidRDefault="00637813" w:rsidP="00637813">
            <w:pPr>
              <w:widowControl w:val="0"/>
              <w:autoSpaceDE w:val="0"/>
              <w:autoSpaceDN w:val="0"/>
              <w:adjustRightInd w:val="0"/>
              <w:rPr>
                <w:sz w:val="18"/>
                <w:szCs w:val="18"/>
              </w:rPr>
            </w:pPr>
            <w:r w:rsidRPr="007F60B6">
              <w:rPr>
                <w:sz w:val="18"/>
                <w:szCs w:val="18"/>
              </w:rPr>
              <w:t>Степанюк Петр</w:t>
            </w:r>
          </w:p>
        </w:tc>
        <w:tc>
          <w:tcPr>
            <w:tcW w:w="3827" w:type="dxa"/>
            <w:shd w:val="clear" w:color="auto" w:fill="auto"/>
          </w:tcPr>
          <w:p w:rsidR="00637813" w:rsidRPr="007F60B6" w:rsidRDefault="00637813" w:rsidP="0040586A">
            <w:pPr>
              <w:rPr>
                <w:sz w:val="18"/>
                <w:szCs w:val="18"/>
              </w:rPr>
            </w:pPr>
            <w:r w:rsidRPr="007F60B6">
              <w:rPr>
                <w:sz w:val="18"/>
                <w:szCs w:val="18"/>
              </w:rPr>
              <w:t>Замечания и предложения отсутствуют</w:t>
            </w:r>
          </w:p>
        </w:tc>
        <w:tc>
          <w:tcPr>
            <w:tcW w:w="3260" w:type="dxa"/>
            <w:shd w:val="clear" w:color="auto" w:fill="auto"/>
          </w:tcPr>
          <w:p w:rsidR="00637813" w:rsidRPr="007F60B6" w:rsidRDefault="00637813" w:rsidP="00637813">
            <w:pPr>
              <w:widowControl w:val="0"/>
              <w:autoSpaceDE w:val="0"/>
              <w:autoSpaceDN w:val="0"/>
              <w:adjustRightInd w:val="0"/>
              <w:jc w:val="center"/>
              <w:rPr>
                <w:sz w:val="18"/>
                <w:szCs w:val="18"/>
              </w:rPr>
            </w:pPr>
            <w:r w:rsidRPr="007F60B6">
              <w:rPr>
                <w:sz w:val="18"/>
                <w:szCs w:val="18"/>
              </w:rPr>
              <w:t>-</w:t>
            </w:r>
          </w:p>
        </w:tc>
      </w:tr>
      <w:tr w:rsidR="00A10CA8" w:rsidRPr="007F60B6" w:rsidTr="00651DB7">
        <w:tc>
          <w:tcPr>
            <w:tcW w:w="2689" w:type="dxa"/>
            <w:shd w:val="clear" w:color="auto" w:fill="auto"/>
          </w:tcPr>
          <w:p w:rsidR="00A10CA8" w:rsidRPr="007F60B6" w:rsidRDefault="00A10CA8" w:rsidP="00A10CA8">
            <w:pPr>
              <w:pStyle w:val="ConsPlusNonformat"/>
              <w:rPr>
                <w:rFonts w:ascii="Times New Roman" w:hAnsi="Times New Roman" w:cs="Times New Roman"/>
                <w:sz w:val="18"/>
                <w:szCs w:val="18"/>
              </w:rPr>
            </w:pPr>
            <w:r w:rsidRPr="007F60B6">
              <w:rPr>
                <w:rFonts w:ascii="Times New Roman" w:hAnsi="Times New Roman" w:cs="Times New Roman"/>
                <w:sz w:val="18"/>
                <w:szCs w:val="18"/>
              </w:rPr>
              <w:t>ИП Богачева Екатерина Викторовна</w:t>
            </w:r>
          </w:p>
        </w:tc>
        <w:tc>
          <w:tcPr>
            <w:tcW w:w="3827" w:type="dxa"/>
            <w:shd w:val="clear" w:color="auto" w:fill="auto"/>
          </w:tcPr>
          <w:p w:rsidR="00A10CA8" w:rsidRPr="007F60B6" w:rsidRDefault="00A10CA8" w:rsidP="0040586A">
            <w:pPr>
              <w:rPr>
                <w:sz w:val="18"/>
                <w:szCs w:val="18"/>
              </w:rPr>
            </w:pPr>
            <w:r w:rsidRPr="007F60B6">
              <w:rPr>
                <w:sz w:val="18"/>
                <w:szCs w:val="18"/>
              </w:rPr>
              <w:t>Замечания и предложения отсутствуют</w:t>
            </w:r>
          </w:p>
        </w:tc>
        <w:tc>
          <w:tcPr>
            <w:tcW w:w="3260" w:type="dxa"/>
            <w:shd w:val="clear" w:color="auto" w:fill="auto"/>
          </w:tcPr>
          <w:p w:rsidR="00A10CA8" w:rsidRPr="007F60B6" w:rsidRDefault="00A10CA8" w:rsidP="00A10CA8">
            <w:pPr>
              <w:widowControl w:val="0"/>
              <w:autoSpaceDE w:val="0"/>
              <w:autoSpaceDN w:val="0"/>
              <w:adjustRightInd w:val="0"/>
              <w:jc w:val="center"/>
              <w:rPr>
                <w:sz w:val="18"/>
                <w:szCs w:val="18"/>
              </w:rPr>
            </w:pPr>
            <w:r w:rsidRPr="007F60B6">
              <w:rPr>
                <w:sz w:val="18"/>
                <w:szCs w:val="18"/>
              </w:rPr>
              <w:t>-</w:t>
            </w:r>
          </w:p>
        </w:tc>
      </w:tr>
      <w:tr w:rsidR="005D3FA0" w:rsidRPr="007F60B6" w:rsidTr="005D3FA0">
        <w:tc>
          <w:tcPr>
            <w:tcW w:w="2689" w:type="dxa"/>
            <w:vMerge w:val="restart"/>
            <w:shd w:val="clear" w:color="auto" w:fill="auto"/>
            <w:vAlign w:val="center"/>
          </w:tcPr>
          <w:p w:rsidR="005D3FA0" w:rsidRPr="007F60B6" w:rsidRDefault="005D3FA0" w:rsidP="005D3FA0">
            <w:pPr>
              <w:widowControl w:val="0"/>
              <w:autoSpaceDE w:val="0"/>
              <w:autoSpaceDN w:val="0"/>
              <w:adjustRightInd w:val="0"/>
              <w:rPr>
                <w:sz w:val="18"/>
                <w:szCs w:val="18"/>
              </w:rPr>
            </w:pPr>
            <w:r w:rsidRPr="007F60B6">
              <w:rPr>
                <w:sz w:val="18"/>
                <w:szCs w:val="18"/>
              </w:rPr>
              <w:t>Союз «Торгово-промышленная палата Ханты-Мансийского автономного округа-Югры»</w:t>
            </w:r>
          </w:p>
        </w:tc>
        <w:tc>
          <w:tcPr>
            <w:tcW w:w="3827" w:type="dxa"/>
            <w:shd w:val="clear" w:color="auto" w:fill="auto"/>
          </w:tcPr>
          <w:p w:rsidR="005D3FA0" w:rsidRPr="007F60B6" w:rsidRDefault="00864F65" w:rsidP="0040586A">
            <w:pPr>
              <w:suppressAutoHyphens/>
              <w:rPr>
                <w:sz w:val="18"/>
                <w:szCs w:val="18"/>
              </w:rPr>
            </w:pPr>
            <w:r>
              <w:rPr>
                <w:sz w:val="18"/>
                <w:szCs w:val="18"/>
              </w:rPr>
              <w:t xml:space="preserve">1) </w:t>
            </w:r>
            <w:r w:rsidR="005D3FA0">
              <w:rPr>
                <w:sz w:val="18"/>
                <w:szCs w:val="18"/>
              </w:rPr>
              <w:t>Предложение в п.2.3.1 уточнить место регистрации получателей субсидий (в г.Пыть-Ях)</w:t>
            </w:r>
          </w:p>
        </w:tc>
        <w:tc>
          <w:tcPr>
            <w:tcW w:w="3260" w:type="dxa"/>
            <w:shd w:val="clear" w:color="auto" w:fill="auto"/>
          </w:tcPr>
          <w:p w:rsidR="005D3FA0" w:rsidRPr="00864F65" w:rsidRDefault="005D3FA0" w:rsidP="00A10CA8">
            <w:pPr>
              <w:pStyle w:val="Default"/>
              <w:jc w:val="both"/>
              <w:rPr>
                <w:b/>
                <w:sz w:val="18"/>
                <w:szCs w:val="18"/>
                <w:u w:val="single"/>
              </w:rPr>
            </w:pPr>
            <w:r w:rsidRPr="00864F65">
              <w:rPr>
                <w:b/>
                <w:sz w:val="18"/>
                <w:szCs w:val="18"/>
                <w:u w:val="single"/>
              </w:rPr>
              <w:t>Замечание не учтено.</w:t>
            </w:r>
          </w:p>
          <w:p w:rsidR="005D3FA0" w:rsidRPr="007F60B6" w:rsidRDefault="005D3FA0" w:rsidP="00A10CA8">
            <w:pPr>
              <w:pStyle w:val="Default"/>
              <w:jc w:val="both"/>
              <w:rPr>
                <w:sz w:val="18"/>
                <w:szCs w:val="18"/>
              </w:rPr>
            </w:pPr>
            <w:r w:rsidRPr="00C37A9E">
              <w:rPr>
                <w:sz w:val="18"/>
                <w:szCs w:val="18"/>
              </w:rPr>
              <w:t>Внесение изменений в п. 2.3.1 Порядка «зарегистрированные и (или) стоящие на налоговом учете в г. Пыть-Ях», указанное Вами норма создает конкурентно неравные (дискриминационные) условия осуществления деятельности хозяйствующих субъектов на одном товарном рынке и может быть расценено контрольно-надзорными органами, в том числе Федеральной антимонопольной службой, как нарушение части 1 статьи 15 Федерального закона от 26 июля 2006 года № 135-ФЗ «О защите конкуренции», поскольку предоставляет преимущественные условия сельскохозяйственным товаропроизводителям, зарегистрированным и осуществляющим деятельность в автономном округе, по сравнению с иными сельскохозяйственными товаропроизводителями, осуществляющими такую же деятельность в автономном округе, но зарегистрированными за его пределами.</w:t>
            </w:r>
          </w:p>
        </w:tc>
      </w:tr>
      <w:tr w:rsidR="005D3FA0" w:rsidRPr="007F60B6" w:rsidTr="00651DB7">
        <w:tc>
          <w:tcPr>
            <w:tcW w:w="2689" w:type="dxa"/>
            <w:vMerge/>
            <w:shd w:val="clear" w:color="auto" w:fill="auto"/>
          </w:tcPr>
          <w:p w:rsidR="005D3FA0" w:rsidRPr="007F60B6" w:rsidRDefault="005D3FA0" w:rsidP="00A10CA8">
            <w:pPr>
              <w:widowControl w:val="0"/>
              <w:autoSpaceDE w:val="0"/>
              <w:autoSpaceDN w:val="0"/>
              <w:adjustRightInd w:val="0"/>
              <w:rPr>
                <w:sz w:val="18"/>
                <w:szCs w:val="18"/>
              </w:rPr>
            </w:pPr>
          </w:p>
        </w:tc>
        <w:tc>
          <w:tcPr>
            <w:tcW w:w="3827" w:type="dxa"/>
            <w:shd w:val="clear" w:color="auto" w:fill="auto"/>
          </w:tcPr>
          <w:p w:rsidR="005D3FA0" w:rsidRDefault="00864F65" w:rsidP="0040586A">
            <w:pPr>
              <w:suppressAutoHyphens/>
              <w:rPr>
                <w:sz w:val="18"/>
                <w:szCs w:val="18"/>
              </w:rPr>
            </w:pPr>
            <w:r>
              <w:rPr>
                <w:sz w:val="18"/>
                <w:szCs w:val="18"/>
              </w:rPr>
              <w:t xml:space="preserve">2) </w:t>
            </w:r>
            <w:r w:rsidR="005D3FA0">
              <w:rPr>
                <w:sz w:val="18"/>
                <w:szCs w:val="18"/>
              </w:rPr>
              <w:t xml:space="preserve">Установлены высокие показатели результативности 0,5%.  Предложение: установить минимальные показатели результативности 0,1 %. </w:t>
            </w:r>
          </w:p>
        </w:tc>
        <w:tc>
          <w:tcPr>
            <w:tcW w:w="3260" w:type="dxa"/>
            <w:shd w:val="clear" w:color="auto" w:fill="auto"/>
          </w:tcPr>
          <w:p w:rsidR="005D3FA0" w:rsidRPr="00864F65" w:rsidRDefault="005D3FA0" w:rsidP="00C37A9E">
            <w:pPr>
              <w:pStyle w:val="Default"/>
              <w:jc w:val="both"/>
              <w:rPr>
                <w:b/>
                <w:sz w:val="18"/>
                <w:szCs w:val="18"/>
                <w:u w:val="single"/>
              </w:rPr>
            </w:pPr>
            <w:r w:rsidRPr="00864F65">
              <w:rPr>
                <w:b/>
                <w:sz w:val="18"/>
                <w:szCs w:val="18"/>
                <w:u w:val="single"/>
              </w:rPr>
              <w:t>Замечание не учтено.</w:t>
            </w:r>
          </w:p>
          <w:p w:rsidR="005D3FA0" w:rsidRPr="00C37A9E" w:rsidRDefault="005D3FA0" w:rsidP="00C37A9E">
            <w:pPr>
              <w:pStyle w:val="Default"/>
              <w:jc w:val="both"/>
              <w:rPr>
                <w:sz w:val="18"/>
                <w:szCs w:val="18"/>
              </w:rPr>
            </w:pPr>
            <w:r w:rsidRPr="00C37A9E">
              <w:rPr>
                <w:sz w:val="18"/>
                <w:szCs w:val="18"/>
              </w:rPr>
              <w:t>Снижение</w:t>
            </w:r>
            <w:r>
              <w:rPr>
                <w:sz w:val="18"/>
                <w:szCs w:val="18"/>
              </w:rPr>
              <w:t xml:space="preserve"> </w:t>
            </w:r>
            <w:r w:rsidRPr="00C37A9E">
              <w:rPr>
                <w:sz w:val="18"/>
                <w:szCs w:val="18"/>
              </w:rPr>
              <w:t>предлагаемых показателей (производство молока, производство скота и птицы на убой и т.д.) считаем нецелесообразным, так как данные показатели установлены в целях достижения Показателей (индикаторов) установленных приложением 28 к государственной программы Ханты-Мансийского автономного округа - Югры "Развитие агропромышленного комплекса", мониторинг которых осуществляет в том числе Министерство сельского хозяйства Российской Федерации в соответствии с Государственной программой развития сельского хозяйства и регулирования рынков сельскохозяйственной продукции, сырья и продовольствия.</w:t>
            </w:r>
          </w:p>
        </w:tc>
      </w:tr>
      <w:tr w:rsidR="00A10CA8" w:rsidRPr="007F60B6" w:rsidTr="00651DB7">
        <w:tc>
          <w:tcPr>
            <w:tcW w:w="2689" w:type="dxa"/>
            <w:shd w:val="clear" w:color="auto" w:fill="auto"/>
          </w:tcPr>
          <w:p w:rsidR="00A10CA8" w:rsidRPr="007F60B6" w:rsidRDefault="00A10CA8" w:rsidP="00A10CA8">
            <w:pPr>
              <w:widowControl w:val="0"/>
              <w:autoSpaceDE w:val="0"/>
              <w:autoSpaceDN w:val="0"/>
              <w:adjustRightInd w:val="0"/>
              <w:rPr>
                <w:sz w:val="18"/>
                <w:szCs w:val="18"/>
              </w:rPr>
            </w:pPr>
            <w:r w:rsidRPr="007F60B6">
              <w:rPr>
                <w:sz w:val="18"/>
                <w:szCs w:val="18"/>
              </w:rPr>
              <w:t>Уполномоченный по защите прав предпринимателей в Ханты-Мансийском автономном округе – Югре Евлахов Н.А.</w:t>
            </w:r>
          </w:p>
        </w:tc>
        <w:tc>
          <w:tcPr>
            <w:tcW w:w="3827" w:type="dxa"/>
            <w:shd w:val="clear" w:color="auto" w:fill="auto"/>
          </w:tcPr>
          <w:p w:rsidR="00A10CA8" w:rsidRPr="007F60B6" w:rsidRDefault="009F2EFC" w:rsidP="0040586A">
            <w:pPr>
              <w:rPr>
                <w:sz w:val="18"/>
                <w:szCs w:val="18"/>
              </w:rPr>
            </w:pPr>
            <w:r w:rsidRPr="007F60B6">
              <w:rPr>
                <w:sz w:val="18"/>
                <w:szCs w:val="18"/>
              </w:rPr>
              <w:t xml:space="preserve">Замечания и предложения отсутствуют </w:t>
            </w:r>
          </w:p>
        </w:tc>
        <w:tc>
          <w:tcPr>
            <w:tcW w:w="3260" w:type="dxa"/>
            <w:shd w:val="clear" w:color="auto" w:fill="auto"/>
          </w:tcPr>
          <w:p w:rsidR="00A10CA8" w:rsidRPr="007F60B6" w:rsidRDefault="009F2EFC" w:rsidP="009F2EFC">
            <w:pPr>
              <w:jc w:val="center"/>
              <w:rPr>
                <w:sz w:val="18"/>
                <w:szCs w:val="18"/>
              </w:rPr>
            </w:pPr>
            <w:r w:rsidRPr="007F60B6">
              <w:rPr>
                <w:sz w:val="18"/>
                <w:szCs w:val="18"/>
              </w:rPr>
              <w:t>-</w:t>
            </w:r>
          </w:p>
        </w:tc>
      </w:tr>
      <w:tr w:rsidR="00651DB7" w:rsidRPr="007F60B6" w:rsidTr="005D3FA0">
        <w:tc>
          <w:tcPr>
            <w:tcW w:w="2689" w:type="dxa"/>
            <w:vMerge w:val="restart"/>
            <w:shd w:val="clear" w:color="auto" w:fill="auto"/>
            <w:vAlign w:val="center"/>
          </w:tcPr>
          <w:p w:rsidR="00651DB7" w:rsidRPr="007F60B6" w:rsidRDefault="00651DB7" w:rsidP="005D3FA0">
            <w:pPr>
              <w:widowControl w:val="0"/>
              <w:autoSpaceDE w:val="0"/>
              <w:autoSpaceDN w:val="0"/>
              <w:adjustRightInd w:val="0"/>
              <w:rPr>
                <w:sz w:val="18"/>
                <w:szCs w:val="18"/>
              </w:rPr>
            </w:pPr>
            <w:r w:rsidRPr="007F60B6">
              <w:rPr>
                <w:sz w:val="18"/>
                <w:szCs w:val="18"/>
              </w:rPr>
              <w:t>Департамент промышленности Ханты-Мансийского автономного округа – Югры</w:t>
            </w:r>
          </w:p>
        </w:tc>
        <w:tc>
          <w:tcPr>
            <w:tcW w:w="3827" w:type="dxa"/>
            <w:shd w:val="clear" w:color="auto" w:fill="auto"/>
          </w:tcPr>
          <w:p w:rsidR="00651DB7" w:rsidRPr="007F60B6" w:rsidRDefault="00864F65" w:rsidP="00F30DE5">
            <w:pPr>
              <w:rPr>
                <w:sz w:val="18"/>
                <w:szCs w:val="18"/>
              </w:rPr>
            </w:pPr>
            <w:r>
              <w:rPr>
                <w:sz w:val="18"/>
                <w:szCs w:val="18"/>
              </w:rPr>
              <w:t xml:space="preserve">1) </w:t>
            </w:r>
            <w:r w:rsidR="00651DB7" w:rsidRPr="007F60B6">
              <w:rPr>
                <w:sz w:val="18"/>
                <w:szCs w:val="18"/>
              </w:rPr>
              <w:t>Типовой формой заявления на предоставление субсидии, являющегося приложением к Проекту, установлено требование о необходимости подтверждения «Заявителем» его регистрации и (или) постановки на налоговый учет и осуществления деятельности</w:t>
            </w:r>
          </w:p>
          <w:p w:rsidR="00651DB7" w:rsidRPr="007F60B6" w:rsidRDefault="00651DB7" w:rsidP="00F30DE5">
            <w:pPr>
              <w:rPr>
                <w:sz w:val="18"/>
                <w:szCs w:val="18"/>
              </w:rPr>
            </w:pPr>
            <w:r w:rsidRPr="007F60B6">
              <w:rPr>
                <w:sz w:val="18"/>
                <w:szCs w:val="18"/>
              </w:rPr>
              <w:t>на территории автономного округа. Указанное положение создает конкурентно неравные (дискриминационные) условия осуществления деятельности хозяйствующих субъектов на одном товарном рынке и может быть расценено контрольно-надзорными органами, в том числе Федеральной антимонопольной службой, как нарушение части 1 статьи 15 Федерального закона от 26 июля 2006 года № 135-ФЗ «О защите конкуренции», поскольку предоставляет преимущественные условия сельскохозяйственным товаропроизводителям, зарегистрированным и осуществляющим деятельность в автономном округе, по сравнению с иными сельскохозяйственными товаропроизводителями, осуществляющими такую же деятельность в автономном округе, но зарегистрированными за его пределами.</w:t>
            </w:r>
          </w:p>
        </w:tc>
        <w:tc>
          <w:tcPr>
            <w:tcW w:w="3260" w:type="dxa"/>
            <w:shd w:val="clear" w:color="auto" w:fill="auto"/>
          </w:tcPr>
          <w:p w:rsidR="00260788" w:rsidRDefault="00651DB7" w:rsidP="00F30DE5">
            <w:pPr>
              <w:rPr>
                <w:b/>
                <w:color w:val="000000"/>
                <w:sz w:val="18"/>
                <w:szCs w:val="18"/>
                <w:u w:val="single"/>
              </w:rPr>
            </w:pPr>
            <w:r w:rsidRPr="00864F65">
              <w:rPr>
                <w:b/>
                <w:color w:val="000000"/>
                <w:sz w:val="18"/>
                <w:szCs w:val="18"/>
                <w:u w:val="single"/>
              </w:rPr>
              <w:t>Замечание учтено,</w:t>
            </w:r>
          </w:p>
          <w:p w:rsidR="00651DB7" w:rsidRPr="007F60B6" w:rsidRDefault="00260788" w:rsidP="00260788">
            <w:pPr>
              <w:rPr>
                <w:sz w:val="18"/>
                <w:szCs w:val="18"/>
              </w:rPr>
            </w:pPr>
            <w:r>
              <w:rPr>
                <w:sz w:val="18"/>
                <w:szCs w:val="18"/>
              </w:rPr>
              <w:t>и</w:t>
            </w:r>
            <w:r w:rsidR="00651DB7" w:rsidRPr="007F60B6">
              <w:rPr>
                <w:sz w:val="18"/>
                <w:szCs w:val="18"/>
              </w:rPr>
              <w:t>з</w:t>
            </w:r>
            <w:r>
              <w:rPr>
                <w:sz w:val="18"/>
                <w:szCs w:val="18"/>
              </w:rPr>
              <w:t xml:space="preserve"> </w:t>
            </w:r>
            <w:r w:rsidR="00651DB7" w:rsidRPr="007F60B6">
              <w:rPr>
                <w:sz w:val="18"/>
                <w:szCs w:val="18"/>
              </w:rPr>
              <w:t>типовой формы заявления исключен пункт 1.1. «Зарегистрирован и (или) состоит на налоговом учете и осуществляет свою деятельность на территории автономного округа».</w:t>
            </w:r>
          </w:p>
        </w:tc>
      </w:tr>
      <w:tr w:rsidR="00651DB7" w:rsidRPr="007F60B6" w:rsidTr="00651DB7">
        <w:tc>
          <w:tcPr>
            <w:tcW w:w="2689" w:type="dxa"/>
            <w:vMerge/>
            <w:shd w:val="clear" w:color="auto" w:fill="auto"/>
          </w:tcPr>
          <w:p w:rsidR="00651DB7" w:rsidRPr="007F60B6" w:rsidRDefault="00651DB7" w:rsidP="00F30DE5">
            <w:pPr>
              <w:widowControl w:val="0"/>
              <w:autoSpaceDE w:val="0"/>
              <w:autoSpaceDN w:val="0"/>
              <w:adjustRightInd w:val="0"/>
              <w:rPr>
                <w:sz w:val="18"/>
                <w:szCs w:val="18"/>
              </w:rPr>
            </w:pPr>
          </w:p>
        </w:tc>
        <w:tc>
          <w:tcPr>
            <w:tcW w:w="3827" w:type="dxa"/>
            <w:shd w:val="clear" w:color="auto" w:fill="auto"/>
          </w:tcPr>
          <w:p w:rsidR="00651DB7" w:rsidRPr="007F60B6" w:rsidRDefault="00864F65" w:rsidP="00F30DE5">
            <w:pPr>
              <w:rPr>
                <w:sz w:val="18"/>
                <w:szCs w:val="18"/>
              </w:rPr>
            </w:pPr>
            <w:r>
              <w:rPr>
                <w:sz w:val="18"/>
                <w:szCs w:val="18"/>
              </w:rPr>
              <w:t xml:space="preserve">2) </w:t>
            </w:r>
            <w:r w:rsidR="00651DB7" w:rsidRPr="007F60B6">
              <w:rPr>
                <w:sz w:val="18"/>
                <w:szCs w:val="18"/>
              </w:rPr>
              <w:t>Предлагаемым правовым регулированием определена категория «Получателей субсидии», имеющих право на получение субсидии – «сельскохозяйственные товаропроизводители» (пункт 1.7 Порядка), которые не в полной мере соответствуют понятию, установленному в статье 3 Федерального закона от 29 декабря 2006 года № 264-ФЗ «О развитии сельского хозяйства». В связи с чем, целесообразно пункт 1.7 Порядка привести в соответствие с действующим законодательством в сфере сельского хозяйства в указанной части.</w:t>
            </w:r>
          </w:p>
        </w:tc>
        <w:tc>
          <w:tcPr>
            <w:tcW w:w="3260" w:type="dxa"/>
            <w:shd w:val="clear" w:color="auto" w:fill="auto"/>
          </w:tcPr>
          <w:p w:rsidR="00651DB7" w:rsidRPr="007F60B6" w:rsidRDefault="00651DB7" w:rsidP="00F30DE5">
            <w:pPr>
              <w:rPr>
                <w:sz w:val="18"/>
                <w:szCs w:val="18"/>
              </w:rPr>
            </w:pPr>
            <w:r w:rsidRPr="00864F65">
              <w:rPr>
                <w:b/>
                <w:color w:val="000000"/>
                <w:sz w:val="18"/>
                <w:szCs w:val="18"/>
                <w:u w:val="single"/>
              </w:rPr>
              <w:t>Замечание учтено,</w:t>
            </w:r>
            <w:r w:rsidRPr="007F60B6">
              <w:rPr>
                <w:sz w:val="18"/>
                <w:szCs w:val="18"/>
              </w:rPr>
              <w:t xml:space="preserve"> в п.17 проекта внесены следующие корректировки: «индивидуальные предприниматели,  осуществляющие производство сельскохозяйственной продукции, ее первичную и последующую (промышленную) переработку (в том числе на арендованных основных средствах) и реализацию этой продукции при условии, что в доходе сельскохозяйственных товаропроизводителей от реализации товаров (работ, услуг) доля дохода от реализации этой продукции составляет не менее чем семьдесят процентов за календарный год, а также крестьянские (фермерские) хозяйства, граждане, ведущие личное подсобное хозяйство».</w:t>
            </w:r>
          </w:p>
        </w:tc>
      </w:tr>
      <w:tr w:rsidR="00651DB7" w:rsidRPr="007F60B6" w:rsidTr="00651DB7">
        <w:tc>
          <w:tcPr>
            <w:tcW w:w="2689" w:type="dxa"/>
            <w:vMerge/>
            <w:shd w:val="clear" w:color="auto" w:fill="auto"/>
          </w:tcPr>
          <w:p w:rsidR="00651DB7" w:rsidRPr="007F60B6" w:rsidRDefault="00651DB7" w:rsidP="00F30DE5">
            <w:pPr>
              <w:widowControl w:val="0"/>
              <w:autoSpaceDE w:val="0"/>
              <w:autoSpaceDN w:val="0"/>
              <w:adjustRightInd w:val="0"/>
              <w:rPr>
                <w:sz w:val="18"/>
                <w:szCs w:val="18"/>
              </w:rPr>
            </w:pPr>
          </w:p>
        </w:tc>
        <w:tc>
          <w:tcPr>
            <w:tcW w:w="3827" w:type="dxa"/>
            <w:shd w:val="clear" w:color="auto" w:fill="auto"/>
          </w:tcPr>
          <w:p w:rsidR="00651DB7" w:rsidRPr="007F60B6" w:rsidRDefault="00864F65" w:rsidP="00F30DE5">
            <w:pPr>
              <w:rPr>
                <w:sz w:val="18"/>
                <w:szCs w:val="18"/>
              </w:rPr>
            </w:pPr>
            <w:r>
              <w:rPr>
                <w:sz w:val="18"/>
                <w:szCs w:val="18"/>
              </w:rPr>
              <w:t xml:space="preserve">3) </w:t>
            </w:r>
            <w:r w:rsidR="00651DB7" w:rsidRPr="007F60B6">
              <w:rPr>
                <w:sz w:val="18"/>
                <w:szCs w:val="18"/>
              </w:rPr>
              <w:t>Абзацем вторым пункта 2.9 Порядка одним из оснований для отказа в предоставлении субсидий предусмотрено «подписание Соглашения о предоставлении субсидии ненадлежащим лицом (не являющимся руководителем Получателя и не имеющим доверенность на право подписи финансовых документов (договоров) от имени Получателя)», при этом требование о предоставлении потенциальным получателям субсидии в «Уполномоченный орган» документа, подтверждающего право на подписание «Соглашения», в перечне документов отсутствует.</w:t>
            </w:r>
          </w:p>
        </w:tc>
        <w:tc>
          <w:tcPr>
            <w:tcW w:w="3260" w:type="dxa"/>
            <w:shd w:val="clear" w:color="auto" w:fill="auto"/>
          </w:tcPr>
          <w:p w:rsidR="00651DB7" w:rsidRPr="007F60B6" w:rsidRDefault="00651DB7" w:rsidP="00F30DE5">
            <w:pPr>
              <w:rPr>
                <w:sz w:val="18"/>
                <w:szCs w:val="18"/>
              </w:rPr>
            </w:pPr>
            <w:r w:rsidRPr="00864F65">
              <w:rPr>
                <w:b/>
                <w:color w:val="000000"/>
                <w:sz w:val="18"/>
                <w:szCs w:val="18"/>
                <w:u w:val="single"/>
              </w:rPr>
              <w:t>Замечание учтено,</w:t>
            </w:r>
            <w:r w:rsidRPr="007F60B6">
              <w:rPr>
                <w:sz w:val="18"/>
                <w:szCs w:val="18"/>
              </w:rPr>
              <w:t xml:space="preserve"> перечни документов (пп. 2.4.2-2.4.4 в проекте) дополнены следующим подпунктом: </w:t>
            </w:r>
          </w:p>
          <w:p w:rsidR="00651DB7" w:rsidRPr="007F60B6" w:rsidRDefault="00651DB7" w:rsidP="00F30DE5">
            <w:pPr>
              <w:rPr>
                <w:sz w:val="18"/>
                <w:szCs w:val="18"/>
              </w:rPr>
            </w:pPr>
            <w:r w:rsidRPr="007F60B6">
              <w:rPr>
                <w:sz w:val="18"/>
                <w:szCs w:val="18"/>
              </w:rPr>
              <w:t>«- в случае необходимости доверенность на право подписи финансовых документов (договоров, соглашений) от имени Получателя».</w:t>
            </w:r>
          </w:p>
        </w:tc>
      </w:tr>
      <w:tr w:rsidR="00651DB7" w:rsidRPr="007F60B6" w:rsidTr="00651DB7">
        <w:tc>
          <w:tcPr>
            <w:tcW w:w="2689" w:type="dxa"/>
            <w:vMerge/>
            <w:shd w:val="clear" w:color="auto" w:fill="auto"/>
          </w:tcPr>
          <w:p w:rsidR="00651DB7" w:rsidRPr="007F60B6" w:rsidRDefault="00651DB7" w:rsidP="00F30DE5">
            <w:pPr>
              <w:widowControl w:val="0"/>
              <w:autoSpaceDE w:val="0"/>
              <w:autoSpaceDN w:val="0"/>
              <w:adjustRightInd w:val="0"/>
              <w:rPr>
                <w:sz w:val="18"/>
                <w:szCs w:val="18"/>
              </w:rPr>
            </w:pPr>
          </w:p>
        </w:tc>
        <w:tc>
          <w:tcPr>
            <w:tcW w:w="3827" w:type="dxa"/>
            <w:shd w:val="clear" w:color="auto" w:fill="auto"/>
          </w:tcPr>
          <w:p w:rsidR="00651DB7" w:rsidRPr="007F60B6" w:rsidRDefault="00864F65" w:rsidP="00F30DE5">
            <w:pPr>
              <w:rPr>
                <w:sz w:val="18"/>
                <w:szCs w:val="18"/>
              </w:rPr>
            </w:pPr>
            <w:r>
              <w:rPr>
                <w:sz w:val="18"/>
                <w:szCs w:val="18"/>
              </w:rPr>
              <w:t xml:space="preserve">4) </w:t>
            </w:r>
            <w:r w:rsidR="00651DB7" w:rsidRPr="007F60B6">
              <w:rPr>
                <w:sz w:val="18"/>
                <w:szCs w:val="18"/>
              </w:rPr>
              <w:t>А также, абзацем десятым пункта 2.9 Порядка установлено, что основанием для отказа в предоставлении субсидии является, в том числе, предъявление объемов реализованной сельскохозяйственной продукции, произведенной и (или) переработанной за пределами автономного округа, при этом из положений, содержащихся в Проекте, невозможно определить каким образом будет подтверждаться факт того, что продукция произведена и (или) переработана в автономном округе или за его пределами. Проект требует уточнения в соответствующей части.</w:t>
            </w:r>
          </w:p>
        </w:tc>
        <w:tc>
          <w:tcPr>
            <w:tcW w:w="3260" w:type="dxa"/>
            <w:shd w:val="clear" w:color="auto" w:fill="auto"/>
          </w:tcPr>
          <w:p w:rsidR="00651DB7" w:rsidRPr="00864F65" w:rsidRDefault="00864F65" w:rsidP="00F30DE5">
            <w:pPr>
              <w:rPr>
                <w:b/>
                <w:color w:val="000000"/>
                <w:sz w:val="18"/>
                <w:szCs w:val="18"/>
                <w:u w:val="single"/>
              </w:rPr>
            </w:pPr>
            <w:r w:rsidRPr="00864F65">
              <w:rPr>
                <w:b/>
                <w:color w:val="000000"/>
                <w:sz w:val="18"/>
                <w:szCs w:val="18"/>
                <w:u w:val="single"/>
              </w:rPr>
              <w:t>Замечание не учтено.</w:t>
            </w:r>
          </w:p>
          <w:p w:rsidR="00651DB7" w:rsidRPr="007F60B6" w:rsidRDefault="00651DB7" w:rsidP="007F60B6">
            <w:pPr>
              <w:rPr>
                <w:sz w:val="18"/>
                <w:szCs w:val="18"/>
              </w:rPr>
            </w:pPr>
            <w:r w:rsidRPr="007F60B6">
              <w:rPr>
                <w:sz w:val="18"/>
                <w:szCs w:val="18"/>
              </w:rPr>
              <w:t xml:space="preserve">Документы, подтверждающие факт того, что продукция произведена и (или) переработана в автономном округе предоставляются Получателями субсидии в соответствии с п.2.4 Порядка, а именно: копии ветеринарных сопроводительных документов (справка ВСД - форма 4), данная справка оформляется в электронной форме на продукцию животноводства через систему «Меркурий», с проведением ветеринарно-санитарной экспертизы в соответствии с приказом Министерства сельского хозяйства РФ от 27.12.2016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(пункт 2.3.1 Порядка). </w:t>
            </w:r>
          </w:p>
          <w:p w:rsidR="00651DB7" w:rsidRPr="007F60B6" w:rsidRDefault="00651DB7" w:rsidP="007F60B6">
            <w:pPr>
              <w:rPr>
                <w:sz w:val="18"/>
                <w:szCs w:val="18"/>
              </w:rPr>
            </w:pPr>
            <w:r w:rsidRPr="007F60B6">
              <w:rPr>
                <w:sz w:val="18"/>
                <w:szCs w:val="18"/>
              </w:rPr>
              <w:t xml:space="preserve">Кроме того, Получатели субсидии предоставляют справку-расчет о движении поголовья соответствующих сельскохозяйственных животных по формам, установленным распоряжением администрации города Пыть-Яха, в данной справке указывается движение поголовья сельскохозяйственных животных (наличие поголовья на начало месяца, приход и расход поголовья) (п. 2.4 Порядка). </w:t>
            </w:r>
          </w:p>
          <w:p w:rsidR="00651DB7" w:rsidRPr="007F60B6" w:rsidRDefault="00651DB7" w:rsidP="007F60B6">
            <w:pPr>
              <w:rPr>
                <w:sz w:val="18"/>
                <w:szCs w:val="18"/>
              </w:rPr>
            </w:pPr>
            <w:r w:rsidRPr="007F60B6">
              <w:rPr>
                <w:sz w:val="18"/>
                <w:szCs w:val="18"/>
              </w:rPr>
              <w:t>Также обращаем Ваше внимание на то, что п.4 Порядка предусмотрен контроль за соблюдением Получателем субсидии целей, условий и порядка предоставления субсидии. Контроль осуществляется в виде проведения проверочных мероприятий, позволяющих установить наличие и количество поголовья сельскохозяйственных животных соответствующего вида на территории муниципального образования, по итогам которого составляется акт проверки.</w:t>
            </w:r>
          </w:p>
        </w:tc>
      </w:tr>
      <w:tr w:rsidR="00651DB7" w:rsidRPr="007F60B6" w:rsidTr="00651DB7">
        <w:tc>
          <w:tcPr>
            <w:tcW w:w="2689" w:type="dxa"/>
            <w:vMerge/>
            <w:shd w:val="clear" w:color="auto" w:fill="auto"/>
          </w:tcPr>
          <w:p w:rsidR="00651DB7" w:rsidRPr="007F60B6" w:rsidRDefault="00651DB7" w:rsidP="00F30DE5">
            <w:pPr>
              <w:widowControl w:val="0"/>
              <w:autoSpaceDE w:val="0"/>
              <w:autoSpaceDN w:val="0"/>
              <w:adjustRightInd w:val="0"/>
              <w:rPr>
                <w:sz w:val="18"/>
                <w:szCs w:val="18"/>
              </w:rPr>
            </w:pPr>
          </w:p>
        </w:tc>
        <w:tc>
          <w:tcPr>
            <w:tcW w:w="3827" w:type="dxa"/>
            <w:shd w:val="clear" w:color="auto" w:fill="auto"/>
          </w:tcPr>
          <w:p w:rsidR="00651DB7" w:rsidRPr="007F60B6" w:rsidRDefault="00864F65" w:rsidP="00F30DE5">
            <w:pPr>
              <w:rPr>
                <w:sz w:val="18"/>
                <w:szCs w:val="18"/>
              </w:rPr>
            </w:pPr>
            <w:r>
              <w:rPr>
                <w:sz w:val="18"/>
                <w:szCs w:val="18"/>
              </w:rPr>
              <w:t xml:space="preserve">5) </w:t>
            </w:r>
            <w:r w:rsidR="00651DB7" w:rsidRPr="007F60B6">
              <w:rPr>
                <w:sz w:val="18"/>
                <w:szCs w:val="18"/>
              </w:rPr>
              <w:t>В соответствии с абзацем восьмым подпункта 2.4.1 пункта 2.4 Порядка «Получатель» предоставляет в «Уполномоченный орган» копию договора, подтверждающего страхование имеющегося поголовья свиней (для свиноводческих организаций при наличии III или IV зоосанитарного статуса (компартмента). Аналогичное требование к документам отсутствует при предоставлении субсидии на реализацию иной продукции животноводства. Указанное положение способствует созданию неравных условий при получении субсидии сельскохозяйственными производителями, специализирующимися на разведении иных сельскохозяйственных животных, что может повлечь возникновение возможных рисков нарушения антимонопольного законодательства.</w:t>
            </w:r>
          </w:p>
        </w:tc>
        <w:tc>
          <w:tcPr>
            <w:tcW w:w="3260" w:type="dxa"/>
            <w:shd w:val="clear" w:color="auto" w:fill="auto"/>
          </w:tcPr>
          <w:p w:rsidR="00651DB7" w:rsidRPr="00864F65" w:rsidRDefault="00651DB7" w:rsidP="00F30DE5">
            <w:pPr>
              <w:rPr>
                <w:b/>
                <w:color w:val="000000"/>
                <w:sz w:val="18"/>
                <w:szCs w:val="18"/>
                <w:u w:val="single"/>
              </w:rPr>
            </w:pPr>
            <w:r w:rsidRPr="00864F65">
              <w:rPr>
                <w:b/>
                <w:color w:val="000000"/>
                <w:sz w:val="18"/>
                <w:szCs w:val="18"/>
                <w:u w:val="single"/>
              </w:rPr>
              <w:t>Замечание не учтено,</w:t>
            </w:r>
          </w:p>
          <w:p w:rsidR="00651DB7" w:rsidRPr="007F60B6" w:rsidRDefault="00651DB7" w:rsidP="00F30DE5">
            <w:pPr>
              <w:rPr>
                <w:sz w:val="18"/>
                <w:szCs w:val="18"/>
              </w:rPr>
            </w:pPr>
            <w:r w:rsidRPr="007F60B6">
              <w:rPr>
                <w:sz w:val="18"/>
                <w:szCs w:val="18"/>
              </w:rPr>
              <w:t>данная норма предусмотрена в подпунктах 2.4.3, 2.4.4 Приложения 3 к постановлению Правительства Ханты-Мансийского автономного округа – Югры от 05.10.2018 № 344-п «О государственной программе Ханты-Мансийского автономного округа – Югры «Развитие агропромышленного комплекса».</w:t>
            </w:r>
          </w:p>
        </w:tc>
      </w:tr>
      <w:tr w:rsidR="00651DB7" w:rsidRPr="007F60B6" w:rsidTr="00651DB7">
        <w:tc>
          <w:tcPr>
            <w:tcW w:w="2689" w:type="dxa"/>
            <w:vMerge/>
            <w:shd w:val="clear" w:color="auto" w:fill="auto"/>
          </w:tcPr>
          <w:p w:rsidR="00651DB7" w:rsidRPr="007F60B6" w:rsidRDefault="00651DB7" w:rsidP="00F30DE5">
            <w:pPr>
              <w:widowControl w:val="0"/>
              <w:autoSpaceDE w:val="0"/>
              <w:autoSpaceDN w:val="0"/>
              <w:adjustRightInd w:val="0"/>
              <w:rPr>
                <w:sz w:val="18"/>
                <w:szCs w:val="18"/>
              </w:rPr>
            </w:pPr>
          </w:p>
        </w:tc>
        <w:tc>
          <w:tcPr>
            <w:tcW w:w="3827" w:type="dxa"/>
            <w:shd w:val="clear" w:color="auto" w:fill="auto"/>
          </w:tcPr>
          <w:p w:rsidR="00651DB7" w:rsidRPr="007F60B6" w:rsidRDefault="00864F65" w:rsidP="007F60B6">
            <w:pPr>
              <w:rPr>
                <w:sz w:val="18"/>
                <w:szCs w:val="18"/>
              </w:rPr>
            </w:pPr>
            <w:r>
              <w:rPr>
                <w:sz w:val="18"/>
                <w:szCs w:val="18"/>
              </w:rPr>
              <w:t xml:space="preserve">6) </w:t>
            </w:r>
            <w:r w:rsidR="00651DB7" w:rsidRPr="007F60B6">
              <w:rPr>
                <w:sz w:val="18"/>
                <w:szCs w:val="18"/>
              </w:rPr>
              <w:t>Абзацем вторым подпункта 2.12.2 пункта 2.12 Порядка определено, что «Получатель в течение 5 рабочих дней с даты получения Соглашения подписывает и представляет его в Уполномоченный орган лично или почтовым отправлением». Также, предусмотрено условие, согласно которому непредставление «Получателем» подписанного «Соглашения» в адрес администрации города Пыть-Яха в установленный срок, расценивается как отказ от получения субсидии. Ограничение по сроку представления подписанного «Соглашения» не предусматривает условия в случае направления «Соглашения» почтовым отправлением в последний</w:t>
            </w:r>
          </w:p>
          <w:p w:rsidR="00651DB7" w:rsidRPr="007F60B6" w:rsidRDefault="00651DB7" w:rsidP="007F60B6">
            <w:pPr>
              <w:rPr>
                <w:sz w:val="18"/>
                <w:szCs w:val="18"/>
              </w:rPr>
            </w:pPr>
            <w:r w:rsidRPr="007F60B6">
              <w:rPr>
                <w:sz w:val="18"/>
                <w:szCs w:val="18"/>
              </w:rPr>
              <w:t>день указанного срока, то есть в Порядке не учтен срок, связанный с доставкой почтового отправления.</w:t>
            </w:r>
          </w:p>
        </w:tc>
        <w:tc>
          <w:tcPr>
            <w:tcW w:w="3260" w:type="dxa"/>
            <w:shd w:val="clear" w:color="auto" w:fill="auto"/>
          </w:tcPr>
          <w:p w:rsidR="00651DB7" w:rsidRPr="00864F65" w:rsidRDefault="00864F65" w:rsidP="007F60B6">
            <w:pPr>
              <w:rPr>
                <w:b/>
                <w:color w:val="000000"/>
                <w:sz w:val="18"/>
                <w:szCs w:val="18"/>
                <w:u w:val="single"/>
              </w:rPr>
            </w:pPr>
            <w:r>
              <w:rPr>
                <w:b/>
                <w:color w:val="000000"/>
                <w:sz w:val="18"/>
                <w:szCs w:val="18"/>
                <w:u w:val="single"/>
              </w:rPr>
              <w:t>Замечание не учтено.</w:t>
            </w:r>
          </w:p>
          <w:p w:rsidR="00651DB7" w:rsidRPr="007F60B6" w:rsidRDefault="00651DB7" w:rsidP="007F60B6">
            <w:pPr>
              <w:rPr>
                <w:sz w:val="18"/>
                <w:szCs w:val="18"/>
              </w:rPr>
            </w:pPr>
            <w:r w:rsidRPr="007F60B6">
              <w:rPr>
                <w:sz w:val="18"/>
                <w:szCs w:val="18"/>
              </w:rPr>
              <w:t xml:space="preserve">Получатель, не представивший в администрацию города Пыть-Ях подписанное Соглашение в указанный срок (в случае направления посредством почтовой связи срок исчисляется 5 рабочими днями с даты получения Соглашения Получателем до момента его передачи Получателем почтовой организации)», то есть, последним днем отправки подписанного Соглашения считается 5 рабочий день, со дня получения Соглашения в почтовой организации.  </w:t>
            </w:r>
          </w:p>
          <w:p w:rsidR="00651DB7" w:rsidRPr="007F60B6" w:rsidRDefault="00651DB7" w:rsidP="00F30DE5">
            <w:pPr>
              <w:rPr>
                <w:sz w:val="18"/>
                <w:szCs w:val="18"/>
              </w:rPr>
            </w:pPr>
          </w:p>
        </w:tc>
      </w:tr>
      <w:tr w:rsidR="00651DB7" w:rsidRPr="007F60B6" w:rsidTr="00651DB7">
        <w:tc>
          <w:tcPr>
            <w:tcW w:w="2689" w:type="dxa"/>
            <w:vMerge/>
            <w:shd w:val="clear" w:color="auto" w:fill="auto"/>
          </w:tcPr>
          <w:p w:rsidR="00651DB7" w:rsidRPr="007F60B6" w:rsidRDefault="00651DB7" w:rsidP="00F30DE5">
            <w:pPr>
              <w:widowControl w:val="0"/>
              <w:autoSpaceDE w:val="0"/>
              <w:autoSpaceDN w:val="0"/>
              <w:adjustRightInd w:val="0"/>
              <w:rPr>
                <w:sz w:val="18"/>
                <w:szCs w:val="18"/>
              </w:rPr>
            </w:pPr>
          </w:p>
        </w:tc>
        <w:tc>
          <w:tcPr>
            <w:tcW w:w="3827" w:type="dxa"/>
            <w:shd w:val="clear" w:color="auto" w:fill="auto"/>
          </w:tcPr>
          <w:p w:rsidR="00651DB7" w:rsidRPr="007F60B6" w:rsidRDefault="00864F65" w:rsidP="007F60B6">
            <w:pPr>
              <w:rPr>
                <w:sz w:val="18"/>
                <w:szCs w:val="18"/>
              </w:rPr>
            </w:pPr>
            <w:r>
              <w:rPr>
                <w:sz w:val="18"/>
                <w:szCs w:val="18"/>
              </w:rPr>
              <w:t xml:space="preserve">7) </w:t>
            </w:r>
            <w:r w:rsidR="00651DB7" w:rsidRPr="00651DB7">
              <w:rPr>
                <w:sz w:val="18"/>
                <w:szCs w:val="18"/>
              </w:rPr>
              <w:t>с 1 января 2021 года вступили в силу изменения и дополнения, внесенные в Бюджетный кодекс Российской Федерации (далее – БК РФ) Федеральным законом от 27 декабря 2019 года № 479-ФЗ1, в том числе в статью 220.1. Согласно части 7 статьи 220.1 БК РФ учет операций со средствами юридических лиц, не являющихся участниками бюджетного процесса, источником финансового обеспечения которых являются средства, предоставленные из бюджета субъекта Российской Федерации,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w:t>
            </w:r>
          </w:p>
        </w:tc>
        <w:tc>
          <w:tcPr>
            <w:tcW w:w="3260" w:type="dxa"/>
            <w:shd w:val="clear" w:color="auto" w:fill="auto"/>
          </w:tcPr>
          <w:p w:rsidR="00651DB7" w:rsidRPr="00864F65" w:rsidRDefault="00651DB7" w:rsidP="00651DB7">
            <w:pPr>
              <w:rPr>
                <w:b/>
                <w:color w:val="000000"/>
                <w:sz w:val="18"/>
                <w:szCs w:val="18"/>
                <w:u w:val="single"/>
              </w:rPr>
            </w:pPr>
            <w:r w:rsidRPr="00864F65">
              <w:rPr>
                <w:b/>
                <w:color w:val="000000"/>
                <w:sz w:val="18"/>
                <w:szCs w:val="18"/>
                <w:u w:val="single"/>
              </w:rPr>
              <w:t xml:space="preserve">Замечание </w:t>
            </w:r>
            <w:r w:rsidR="00864F65">
              <w:rPr>
                <w:b/>
                <w:color w:val="000000"/>
                <w:sz w:val="18"/>
                <w:szCs w:val="18"/>
                <w:u w:val="single"/>
              </w:rPr>
              <w:t>учтено.</w:t>
            </w:r>
          </w:p>
          <w:p w:rsidR="00651DB7" w:rsidRPr="00651DB7" w:rsidRDefault="00651DB7" w:rsidP="00651DB7">
            <w:pPr>
              <w:rPr>
                <w:sz w:val="18"/>
                <w:szCs w:val="18"/>
              </w:rPr>
            </w:pPr>
            <w:r>
              <w:rPr>
                <w:sz w:val="18"/>
                <w:szCs w:val="18"/>
              </w:rPr>
              <w:t>П.</w:t>
            </w:r>
            <w:r w:rsidRPr="00651DB7">
              <w:rPr>
                <w:sz w:val="18"/>
                <w:szCs w:val="18"/>
              </w:rPr>
              <w:t xml:space="preserve"> 2.14 проекта дополнен абзацем вторым следующего содержания:</w:t>
            </w:r>
          </w:p>
          <w:p w:rsidR="00651DB7" w:rsidRPr="007F60B6" w:rsidRDefault="00651DB7" w:rsidP="00651DB7">
            <w:pPr>
              <w:rPr>
                <w:sz w:val="18"/>
                <w:szCs w:val="18"/>
              </w:rPr>
            </w:pPr>
            <w:r>
              <w:rPr>
                <w:sz w:val="18"/>
                <w:szCs w:val="18"/>
              </w:rPr>
              <w:t>«</w:t>
            </w:r>
            <w:r w:rsidRPr="00651DB7">
              <w:rPr>
                <w:sz w:val="18"/>
                <w:szCs w:val="18"/>
              </w:rPr>
              <w:t>Юридическим лицам, не являющимся участниками бюджетного процесса, источником финансового обеспечения которых являются средства, предоставленные из бюджета субъекта Российской Федерации, Перечисление субсидии производится на лицевые счета, открываемые им соответственно в Федеральном казначействе, финансовом органе субъекта Российской Федерации (муниципального образования), на основании ст.220.1.Бюджетного кодекса Российской Федерации.</w:t>
            </w:r>
            <w:r>
              <w:rPr>
                <w:sz w:val="18"/>
                <w:szCs w:val="18"/>
              </w:rPr>
              <w:t>»</w:t>
            </w:r>
          </w:p>
        </w:tc>
      </w:tr>
      <w:tr w:rsidR="00F30DE5" w:rsidRPr="007F60B6" w:rsidTr="00864F65">
        <w:tc>
          <w:tcPr>
            <w:tcW w:w="2689" w:type="dxa"/>
            <w:shd w:val="clear" w:color="auto" w:fill="auto"/>
            <w:vAlign w:val="center"/>
          </w:tcPr>
          <w:p w:rsidR="00F30DE5" w:rsidRPr="007F60B6" w:rsidRDefault="00F30DE5" w:rsidP="00864F65">
            <w:pPr>
              <w:widowControl w:val="0"/>
              <w:autoSpaceDE w:val="0"/>
              <w:autoSpaceDN w:val="0"/>
              <w:adjustRightInd w:val="0"/>
              <w:rPr>
                <w:sz w:val="18"/>
                <w:szCs w:val="18"/>
              </w:rPr>
            </w:pPr>
            <w:r w:rsidRPr="007F60B6">
              <w:rPr>
                <w:sz w:val="18"/>
                <w:szCs w:val="18"/>
              </w:rPr>
              <w:t xml:space="preserve">ИП Глава КФХ Колещатов Владимир Дмитриевич </w:t>
            </w:r>
          </w:p>
        </w:tc>
        <w:tc>
          <w:tcPr>
            <w:tcW w:w="3827" w:type="dxa"/>
            <w:shd w:val="clear" w:color="auto" w:fill="auto"/>
          </w:tcPr>
          <w:p w:rsidR="008031FD" w:rsidRPr="008031FD" w:rsidRDefault="008031FD" w:rsidP="00F30DE5">
            <w:pPr>
              <w:rPr>
                <w:sz w:val="18"/>
                <w:szCs w:val="18"/>
              </w:rPr>
            </w:pPr>
            <w:r w:rsidRPr="008031FD">
              <w:rPr>
                <w:sz w:val="18"/>
                <w:szCs w:val="18"/>
              </w:rPr>
              <w:t>Предложения и замечания по следующим вопросам опросного листа:</w:t>
            </w:r>
          </w:p>
          <w:p w:rsidR="00F30DE5" w:rsidRPr="008031FD" w:rsidRDefault="003807AA" w:rsidP="00F30DE5">
            <w:pPr>
              <w:rPr>
                <w:sz w:val="18"/>
                <w:szCs w:val="18"/>
              </w:rPr>
            </w:pPr>
            <w:r>
              <w:rPr>
                <w:sz w:val="18"/>
                <w:szCs w:val="18"/>
              </w:rPr>
              <w:t>№</w:t>
            </w:r>
            <w:r w:rsidR="008031FD" w:rsidRPr="008031FD">
              <w:rPr>
                <w:sz w:val="18"/>
                <w:szCs w:val="18"/>
              </w:rPr>
              <w:t xml:space="preserve">3. Необходимо уменьшить документооборот, в части копии </w:t>
            </w:r>
            <w:proofErr w:type="gramStart"/>
            <w:r w:rsidR="008031FD" w:rsidRPr="008031FD">
              <w:rPr>
                <w:sz w:val="18"/>
                <w:szCs w:val="18"/>
              </w:rPr>
              <w:t>ветеринарных сопроводительных документов</w:t>
            </w:r>
            <w:proofErr w:type="gramEnd"/>
            <w:r w:rsidR="008031FD" w:rsidRPr="008031FD">
              <w:rPr>
                <w:sz w:val="18"/>
                <w:szCs w:val="18"/>
              </w:rPr>
              <w:t xml:space="preserve"> выгружаемых из системы Меркурия, данные документы можно предоставлять в сжатом виде с расширенной информацией.</w:t>
            </w:r>
          </w:p>
          <w:p w:rsidR="008031FD" w:rsidRPr="008031FD" w:rsidRDefault="003807AA" w:rsidP="00F30DE5">
            <w:pPr>
              <w:rPr>
                <w:sz w:val="18"/>
                <w:szCs w:val="18"/>
              </w:rPr>
            </w:pPr>
            <w:r>
              <w:rPr>
                <w:sz w:val="18"/>
                <w:szCs w:val="18"/>
              </w:rPr>
              <w:t>№</w:t>
            </w:r>
            <w:r w:rsidR="008031FD" w:rsidRPr="008031FD">
              <w:rPr>
                <w:sz w:val="18"/>
                <w:szCs w:val="18"/>
              </w:rPr>
              <w:t>6. Ссылка на ветеринарию приводит к непониманию, нет конкретики по предоставлению документов, ссылаются на закон ветеринарии.</w:t>
            </w:r>
          </w:p>
          <w:p w:rsidR="008031FD" w:rsidRPr="008031FD" w:rsidRDefault="003807AA" w:rsidP="008031FD">
            <w:pPr>
              <w:jc w:val="both"/>
              <w:rPr>
                <w:sz w:val="18"/>
                <w:szCs w:val="18"/>
              </w:rPr>
            </w:pPr>
            <w:r>
              <w:rPr>
                <w:sz w:val="18"/>
                <w:szCs w:val="18"/>
              </w:rPr>
              <w:t>№</w:t>
            </w:r>
            <w:r w:rsidR="008031FD" w:rsidRPr="008031FD">
              <w:rPr>
                <w:sz w:val="18"/>
                <w:szCs w:val="18"/>
              </w:rPr>
              <w:t>8. Увеличивает документооборот. Требует дополнительных затрат времени.</w:t>
            </w:r>
          </w:p>
          <w:p w:rsidR="008031FD" w:rsidRPr="008031FD" w:rsidRDefault="008031FD" w:rsidP="008031FD">
            <w:pPr>
              <w:rPr>
                <w:sz w:val="18"/>
                <w:szCs w:val="18"/>
              </w:rPr>
            </w:pPr>
            <w:r w:rsidRPr="008031FD">
              <w:rPr>
                <w:sz w:val="18"/>
                <w:szCs w:val="18"/>
              </w:rPr>
              <w:t xml:space="preserve">Касательно Плана достижения показателей результативности. Возникновение непредвиденных обстоятельств, таких как существенное подорожание кормовой и ремонтной базы приводит к снижению плана результативности. При невыполнении плана требуется вернуть субсидию, что для фермерского хозяйства означает закрытие. Данную проблему можно решить, если допустить корректировку плана </w:t>
            </w:r>
            <w:proofErr w:type="gramStart"/>
            <w:r w:rsidRPr="008031FD">
              <w:rPr>
                <w:sz w:val="18"/>
                <w:szCs w:val="18"/>
              </w:rPr>
              <w:t>при  возникновение</w:t>
            </w:r>
            <w:proofErr w:type="gramEnd"/>
            <w:r w:rsidRPr="008031FD">
              <w:rPr>
                <w:sz w:val="18"/>
                <w:szCs w:val="18"/>
              </w:rPr>
              <w:t xml:space="preserve"> непредвиденных обстоятельств.</w:t>
            </w:r>
            <w:r>
              <w:rPr>
                <w:sz w:val="18"/>
                <w:szCs w:val="18"/>
              </w:rPr>
              <w:t xml:space="preserve"> </w:t>
            </w:r>
            <w:r w:rsidRPr="008031FD">
              <w:rPr>
                <w:sz w:val="18"/>
                <w:szCs w:val="18"/>
              </w:rPr>
              <w:t xml:space="preserve">Излишние запросы по части ветеринарии. Ветеринарные сопроводительные документы, выгружаемые из системы Меркурия, можно предоставлять в сжатом виде с расширенной информацией. Документы с </w:t>
            </w:r>
            <w:r w:rsidRPr="008031FD">
              <w:rPr>
                <w:sz w:val="18"/>
                <w:szCs w:val="18"/>
                <w:lang w:val="en-US"/>
              </w:rPr>
              <w:t>QR</w:t>
            </w:r>
            <w:r w:rsidRPr="008031FD">
              <w:rPr>
                <w:sz w:val="18"/>
                <w:szCs w:val="18"/>
              </w:rPr>
              <w:t xml:space="preserve"> не требуют заверения. Информация по </w:t>
            </w:r>
            <w:proofErr w:type="spellStart"/>
            <w:r w:rsidRPr="008031FD">
              <w:rPr>
                <w:sz w:val="18"/>
                <w:szCs w:val="18"/>
              </w:rPr>
              <w:t>лаб.исследованиям</w:t>
            </w:r>
            <w:proofErr w:type="spellEnd"/>
            <w:r w:rsidRPr="008031FD">
              <w:rPr>
                <w:sz w:val="18"/>
                <w:szCs w:val="18"/>
              </w:rPr>
              <w:t xml:space="preserve"> запрашивается у ветеринарии отдельно.</w:t>
            </w:r>
          </w:p>
          <w:p w:rsidR="008031FD" w:rsidRDefault="008031FD" w:rsidP="008031FD">
            <w:pPr>
              <w:rPr>
                <w:sz w:val="18"/>
                <w:szCs w:val="18"/>
              </w:rPr>
            </w:pPr>
            <w:r w:rsidRPr="008031FD">
              <w:rPr>
                <w:sz w:val="18"/>
                <w:szCs w:val="18"/>
              </w:rPr>
              <w:t xml:space="preserve">При предоставлении документов </w:t>
            </w:r>
            <w:proofErr w:type="gramStart"/>
            <w:r w:rsidRPr="008031FD">
              <w:rPr>
                <w:sz w:val="18"/>
                <w:szCs w:val="18"/>
              </w:rPr>
              <w:t>в электроном</w:t>
            </w:r>
            <w:proofErr w:type="gramEnd"/>
            <w:r w:rsidRPr="008031FD">
              <w:rPr>
                <w:sz w:val="18"/>
                <w:szCs w:val="18"/>
              </w:rPr>
              <w:t xml:space="preserve"> виде можно делать цветной скан оригинала, вместо скана заверенной копии документа.</w:t>
            </w:r>
          </w:p>
          <w:p w:rsidR="003807AA" w:rsidRDefault="003807AA" w:rsidP="008031FD">
            <w:pPr>
              <w:rPr>
                <w:sz w:val="18"/>
                <w:szCs w:val="18"/>
              </w:rPr>
            </w:pPr>
            <w:r>
              <w:rPr>
                <w:sz w:val="18"/>
                <w:szCs w:val="18"/>
              </w:rPr>
              <w:t xml:space="preserve">№9. </w:t>
            </w:r>
            <w:r w:rsidRPr="003807AA">
              <w:rPr>
                <w:sz w:val="18"/>
                <w:szCs w:val="18"/>
              </w:rPr>
              <w:t xml:space="preserve">Касательно Плана достижения показателей результативности. Возникновение непредвиденных обстоятельств, таких как существенное подорожание кормовой и ремонтной базы приводит к снижению плана результативности. При невыполнении плана требуется вернуть субсидию, что для фермерского хозяйства означает закрытие. Данную проблему можно решить, если допустить корректировку плана </w:t>
            </w:r>
            <w:proofErr w:type="gramStart"/>
            <w:r w:rsidRPr="003807AA">
              <w:rPr>
                <w:sz w:val="18"/>
                <w:szCs w:val="18"/>
              </w:rPr>
              <w:t>при  возникновение</w:t>
            </w:r>
            <w:proofErr w:type="gramEnd"/>
            <w:r w:rsidRPr="003807AA">
              <w:rPr>
                <w:sz w:val="18"/>
                <w:szCs w:val="18"/>
              </w:rPr>
              <w:t xml:space="preserve"> непредвиденных обстоятельств.</w:t>
            </w:r>
          </w:p>
          <w:p w:rsidR="003807AA" w:rsidRPr="003807AA" w:rsidRDefault="003807AA" w:rsidP="003807AA">
            <w:pPr>
              <w:rPr>
                <w:sz w:val="18"/>
                <w:szCs w:val="18"/>
              </w:rPr>
            </w:pPr>
            <w:r>
              <w:rPr>
                <w:sz w:val="18"/>
                <w:szCs w:val="18"/>
              </w:rPr>
              <w:t xml:space="preserve">№10. </w:t>
            </w:r>
            <w:r w:rsidRPr="003807AA">
              <w:rPr>
                <w:sz w:val="18"/>
                <w:szCs w:val="18"/>
              </w:rPr>
              <w:t>Ветеринарные документы. Трата времени и бумаги.</w:t>
            </w:r>
          </w:p>
          <w:p w:rsidR="003807AA" w:rsidRDefault="003807AA" w:rsidP="003807AA">
            <w:pPr>
              <w:rPr>
                <w:sz w:val="18"/>
                <w:szCs w:val="18"/>
              </w:rPr>
            </w:pPr>
            <w:r w:rsidRPr="003807AA">
              <w:rPr>
                <w:sz w:val="18"/>
                <w:szCs w:val="18"/>
              </w:rPr>
              <w:t xml:space="preserve">Ветеринарные сопроводительные документы, выгружаемые из системы </w:t>
            </w:r>
            <w:proofErr w:type="gramStart"/>
            <w:r w:rsidRPr="003807AA">
              <w:rPr>
                <w:sz w:val="18"/>
                <w:szCs w:val="18"/>
              </w:rPr>
              <w:t>Меркурия</w:t>
            </w:r>
            <w:proofErr w:type="gramEnd"/>
            <w:r w:rsidRPr="003807AA">
              <w:rPr>
                <w:sz w:val="18"/>
                <w:szCs w:val="18"/>
              </w:rPr>
              <w:t xml:space="preserve"> хранятся в системе, не подлежат удалению и видны ветеринарной службе.</w:t>
            </w:r>
          </w:p>
          <w:p w:rsidR="003807AA" w:rsidRDefault="003807AA" w:rsidP="003807AA">
            <w:pPr>
              <w:rPr>
                <w:sz w:val="18"/>
                <w:szCs w:val="18"/>
              </w:rPr>
            </w:pPr>
            <w:r>
              <w:rPr>
                <w:sz w:val="18"/>
                <w:szCs w:val="18"/>
              </w:rPr>
              <w:t xml:space="preserve">№11. </w:t>
            </w:r>
            <w:r w:rsidRPr="003807AA">
              <w:rPr>
                <w:sz w:val="18"/>
                <w:szCs w:val="18"/>
              </w:rPr>
              <w:t>Убрать сведения об отсутствии неисполненной обязанности по уплате налогов, сборов, страховых сборов, пеней, штрафов, процентов, подлежащих уплате в соответствии с законодательством Российской Федерации о налогах и сборах</w:t>
            </w:r>
            <w:r>
              <w:rPr>
                <w:sz w:val="18"/>
                <w:szCs w:val="18"/>
              </w:rPr>
              <w:t>.</w:t>
            </w:r>
          </w:p>
          <w:p w:rsidR="003807AA" w:rsidRPr="008031FD" w:rsidRDefault="003807AA" w:rsidP="003807AA">
            <w:pPr>
              <w:rPr>
                <w:sz w:val="18"/>
                <w:szCs w:val="18"/>
              </w:rPr>
            </w:pPr>
            <w:r>
              <w:rPr>
                <w:sz w:val="18"/>
                <w:szCs w:val="18"/>
              </w:rPr>
              <w:t xml:space="preserve">№15. </w:t>
            </w:r>
            <w:r w:rsidRPr="003807AA">
              <w:rPr>
                <w:sz w:val="18"/>
                <w:szCs w:val="18"/>
              </w:rPr>
              <w:t>Об материально-технической базе в порядке ничего не прописано, как будут возмещать затраты по МТБ.</w:t>
            </w:r>
          </w:p>
        </w:tc>
        <w:tc>
          <w:tcPr>
            <w:tcW w:w="3260" w:type="dxa"/>
            <w:shd w:val="clear" w:color="auto" w:fill="auto"/>
          </w:tcPr>
          <w:p w:rsidR="00F30DE5" w:rsidRPr="00864F65" w:rsidRDefault="004E256F" w:rsidP="004E256F">
            <w:pPr>
              <w:rPr>
                <w:b/>
                <w:color w:val="000000"/>
                <w:sz w:val="18"/>
                <w:szCs w:val="18"/>
                <w:u w:val="single"/>
              </w:rPr>
            </w:pPr>
            <w:r w:rsidRPr="00864F65">
              <w:rPr>
                <w:b/>
                <w:color w:val="000000"/>
                <w:sz w:val="18"/>
                <w:szCs w:val="18"/>
                <w:u w:val="single"/>
              </w:rPr>
              <w:t>Замечания не учтены:</w:t>
            </w:r>
          </w:p>
          <w:p w:rsidR="004E256F" w:rsidRPr="004E256F" w:rsidRDefault="004E256F" w:rsidP="004E256F">
            <w:pPr>
              <w:rPr>
                <w:sz w:val="18"/>
                <w:szCs w:val="18"/>
              </w:rPr>
            </w:pPr>
            <w:r w:rsidRPr="004E256F">
              <w:rPr>
                <w:sz w:val="18"/>
                <w:szCs w:val="18"/>
              </w:rPr>
              <w:t>1. По вопросу 3, 8, 10, исключение из Порядка предоставления копий ВСД, считаем нецелесообразным, так как, продукция животноводства (птицеводства) оформляется в соответствии с приказом Министерства сельского хозяйства Российской Федерации от 27 декабря 2016 года N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через систему Меркурий сельскохозяйственными производителями самостоятельно. У Уполномоченного органа отсутствует возможность проверки справок ВСД через систему Меркурий.</w:t>
            </w:r>
          </w:p>
          <w:p w:rsidR="004E256F" w:rsidRPr="004E256F" w:rsidRDefault="004E256F" w:rsidP="004E256F">
            <w:pPr>
              <w:rPr>
                <w:sz w:val="18"/>
                <w:szCs w:val="18"/>
              </w:rPr>
            </w:pPr>
            <w:r w:rsidRPr="004E256F">
              <w:rPr>
                <w:sz w:val="18"/>
                <w:szCs w:val="18"/>
              </w:rPr>
              <w:t>Кроме того, предоставление документов в электронном виде также не предусмотрено Порядком, так как пунктом 2.4 Порядка, предусмотрено, что документы представляются в Уполномоченный орган «сформированными в один прошитый и пронумерованный том, непосредственно или почтовым отправлением, а также через многофункциональный центр предоставления государственных и муниципальных услуг».</w:t>
            </w:r>
          </w:p>
          <w:p w:rsidR="004E256F" w:rsidRPr="004E256F" w:rsidRDefault="004E256F" w:rsidP="004E256F">
            <w:pPr>
              <w:rPr>
                <w:sz w:val="18"/>
                <w:szCs w:val="18"/>
              </w:rPr>
            </w:pPr>
            <w:r w:rsidRPr="004E256F">
              <w:rPr>
                <w:sz w:val="18"/>
                <w:szCs w:val="18"/>
              </w:rPr>
              <w:t>2. По вопросу 6, в пункте 2.3 Порядка прописаны требования, которым должны соответствовать Получатели на 15-е число месяца, предшествующего месяцу регистрации заявления о предоставлении субсидии, а именно для юридических лиц, индивидуальных предпринимателей, крестьянских (фермерских) хозяйств «продукция животноводства (птицеводства) должна быть оформлена в соответствии с приказом Министерства сельского хозяйства Российской Федерации от 27 декабря 2016 года №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в случае если действующим законодательством предусмотрено оформление ветеринарных сопроводительных документов, а также имеет действующую декларацию (сертификат) соответствия, если требования об обязательной сертификации (декларированию) такой продукции установлены законодательством».</w:t>
            </w:r>
          </w:p>
          <w:p w:rsidR="004E256F" w:rsidRPr="004E256F" w:rsidRDefault="004E256F" w:rsidP="004E256F">
            <w:pPr>
              <w:rPr>
                <w:sz w:val="18"/>
                <w:szCs w:val="18"/>
              </w:rPr>
            </w:pPr>
            <w:r w:rsidRPr="004E256F">
              <w:rPr>
                <w:sz w:val="18"/>
                <w:szCs w:val="18"/>
              </w:rPr>
              <w:t>3. По вопросу 9</w:t>
            </w:r>
            <w:r>
              <w:rPr>
                <w:sz w:val="18"/>
                <w:szCs w:val="18"/>
              </w:rPr>
              <w:t>:</w:t>
            </w:r>
            <w:r w:rsidRPr="004E256F">
              <w:rPr>
                <w:sz w:val="18"/>
                <w:szCs w:val="18"/>
              </w:rPr>
              <w:t xml:space="preserve"> снижение показателя результативности  считаем нецелесообразным, так как данные показатели установлены в целях достижения Показателей (индикаторов) установленных приложением 28 к государственной программы Ханты-Мансийского автономного округа - Югры "Развитие агропромышленного комплекса", мониторинг которых осуществляет в том числе Министерство сельского хозяйства Российской Федерации в соответствии с Государственной программой развития сельского хозяйства и регулирования рынков сельскохозяйственной продукции, сырья и продовольствия.</w:t>
            </w:r>
          </w:p>
          <w:p w:rsidR="004E256F" w:rsidRPr="004E256F" w:rsidRDefault="004E256F" w:rsidP="004E256F">
            <w:pPr>
              <w:rPr>
                <w:sz w:val="18"/>
                <w:szCs w:val="18"/>
              </w:rPr>
            </w:pPr>
            <w:r>
              <w:rPr>
                <w:sz w:val="18"/>
                <w:szCs w:val="18"/>
              </w:rPr>
              <w:t xml:space="preserve">4. По вопросу 11: </w:t>
            </w:r>
            <w:r w:rsidRPr="004E256F">
              <w:rPr>
                <w:sz w:val="18"/>
                <w:szCs w:val="18"/>
              </w:rPr>
              <w:t>данная норма предусмотрена  постановлением Правительства Российской Федерации от 18.09.2020 № 1492 «О 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4E256F" w:rsidRPr="007F60B6" w:rsidRDefault="004E256F" w:rsidP="004E256F">
            <w:pPr>
              <w:rPr>
                <w:sz w:val="18"/>
                <w:szCs w:val="18"/>
              </w:rPr>
            </w:pPr>
            <w:r w:rsidRPr="004E256F">
              <w:rPr>
                <w:sz w:val="18"/>
                <w:szCs w:val="18"/>
              </w:rPr>
              <w:t>5. По вопросу 15</w:t>
            </w:r>
            <w:r>
              <w:rPr>
                <w:sz w:val="18"/>
                <w:szCs w:val="18"/>
              </w:rPr>
              <w:t xml:space="preserve">: </w:t>
            </w:r>
            <w:r w:rsidRPr="004E256F">
              <w:rPr>
                <w:sz w:val="18"/>
                <w:szCs w:val="18"/>
              </w:rPr>
              <w:t xml:space="preserve">Порядок предоставления субсидий на поддержку и развитие малых форм хозяйствования находится в стадии разработки, проект вышеуказанного Порядка будет направлен в Ваш адрес при проведении процедуры оценки регулирующего воздействия проектов муниципальных нормативных правовых актов и экспертизе муниципальных нормативных правовых актов, а также опубликован на официальном интернет портале для публичного обсуждения проектов и действующих нормативных актов органов власти https://regulation.admhmao.ru/. </w:t>
            </w:r>
          </w:p>
        </w:tc>
      </w:tr>
    </w:tbl>
    <w:p w:rsidR="002D676C" w:rsidRDefault="002D676C" w:rsidP="00E85473">
      <w:pPr>
        <w:jc w:val="both"/>
        <w:rPr>
          <w:sz w:val="26"/>
          <w:szCs w:val="26"/>
        </w:rPr>
      </w:pPr>
    </w:p>
    <w:p w:rsidR="002D676C" w:rsidRPr="00E85473" w:rsidRDefault="002D676C" w:rsidP="00E85473">
      <w:pPr>
        <w:jc w:val="both"/>
        <w:rPr>
          <w:sz w:val="26"/>
          <w:szCs w:val="26"/>
        </w:rPr>
      </w:pPr>
      <w:r w:rsidRPr="00E85473">
        <w:rPr>
          <w:sz w:val="26"/>
          <w:szCs w:val="26"/>
        </w:rPr>
        <w:t>Приложения:</w:t>
      </w:r>
    </w:p>
    <w:p w:rsidR="00CD4566" w:rsidRPr="00CD4566" w:rsidRDefault="00270DB7" w:rsidP="00CD4566">
      <w:pPr>
        <w:pStyle w:val="a3"/>
        <w:numPr>
          <w:ilvl w:val="0"/>
          <w:numId w:val="1"/>
        </w:numPr>
        <w:autoSpaceDE w:val="0"/>
        <w:autoSpaceDN w:val="0"/>
        <w:jc w:val="both"/>
        <w:rPr>
          <w:bCs/>
          <w:color w:val="000000"/>
          <w:sz w:val="26"/>
          <w:szCs w:val="26"/>
        </w:rPr>
      </w:pPr>
      <w:r w:rsidRPr="00CD4566">
        <w:rPr>
          <w:sz w:val="26"/>
          <w:szCs w:val="26"/>
        </w:rPr>
        <w:t xml:space="preserve">Проект </w:t>
      </w:r>
      <w:r w:rsidR="00637813" w:rsidRPr="00CD4566">
        <w:rPr>
          <w:color w:val="000000"/>
          <w:sz w:val="26"/>
          <w:szCs w:val="26"/>
        </w:rPr>
        <w:t xml:space="preserve">постановления администрации города </w:t>
      </w:r>
      <w:r w:rsidR="00637813" w:rsidRPr="00CD4566">
        <w:rPr>
          <w:bCs/>
          <w:color w:val="000000"/>
          <w:sz w:val="26"/>
          <w:szCs w:val="26"/>
        </w:rPr>
        <w:t>Пыть-Яха «</w:t>
      </w:r>
      <w:r w:rsidR="00CD4566" w:rsidRPr="00CD4566">
        <w:rPr>
          <w:sz w:val="26"/>
          <w:szCs w:val="26"/>
        </w:rPr>
        <w:t>Об утверждении порядка расчета и предоставления субсидий на поддержку и развитие животноводства</w:t>
      </w:r>
      <w:r w:rsidR="00637813" w:rsidRPr="00CD4566">
        <w:rPr>
          <w:bCs/>
          <w:color w:val="000000"/>
          <w:sz w:val="26"/>
          <w:szCs w:val="26"/>
        </w:rPr>
        <w:t>».</w:t>
      </w:r>
    </w:p>
    <w:p w:rsidR="00CD4566" w:rsidRPr="00CD4566" w:rsidRDefault="00CD4566" w:rsidP="00CD4566">
      <w:pPr>
        <w:pStyle w:val="a3"/>
        <w:numPr>
          <w:ilvl w:val="0"/>
          <w:numId w:val="1"/>
        </w:numPr>
        <w:autoSpaceDE w:val="0"/>
        <w:autoSpaceDN w:val="0"/>
        <w:jc w:val="both"/>
        <w:rPr>
          <w:bCs/>
          <w:color w:val="000000"/>
          <w:sz w:val="26"/>
          <w:szCs w:val="26"/>
        </w:rPr>
      </w:pPr>
      <w:r w:rsidRPr="00CD4566">
        <w:rPr>
          <w:bCs/>
          <w:sz w:val="26"/>
          <w:szCs w:val="26"/>
        </w:rPr>
        <w:t xml:space="preserve">Ответ </w:t>
      </w:r>
      <w:r w:rsidRPr="00CD4566">
        <w:rPr>
          <w:bCs/>
          <w:color w:val="000000"/>
          <w:sz w:val="26"/>
          <w:szCs w:val="26"/>
        </w:rPr>
        <w:t>Союза «Торгово-промышленная палата Ханты-Мансийского автономного округа-Югры» (исх. от 15.02.2021 №227/2).</w:t>
      </w:r>
    </w:p>
    <w:p w:rsidR="00CD4566" w:rsidRPr="00CD4566" w:rsidRDefault="00CD4566" w:rsidP="00CD4566">
      <w:pPr>
        <w:pStyle w:val="a3"/>
        <w:numPr>
          <w:ilvl w:val="0"/>
          <w:numId w:val="1"/>
        </w:numPr>
        <w:autoSpaceDE w:val="0"/>
        <w:autoSpaceDN w:val="0"/>
        <w:jc w:val="both"/>
        <w:rPr>
          <w:bCs/>
          <w:color w:val="000000"/>
          <w:sz w:val="26"/>
          <w:szCs w:val="26"/>
        </w:rPr>
      </w:pPr>
      <w:r w:rsidRPr="00CD4566">
        <w:rPr>
          <w:bCs/>
          <w:sz w:val="26"/>
          <w:szCs w:val="26"/>
        </w:rPr>
        <w:t>Ответ</w:t>
      </w:r>
      <w:r w:rsidRPr="00CD4566">
        <w:rPr>
          <w:bCs/>
          <w:color w:val="000000"/>
          <w:sz w:val="26"/>
          <w:szCs w:val="26"/>
        </w:rPr>
        <w:t xml:space="preserve"> Уполномоченного по защите прав предпринимателей в Ханты-Мансийском автономном округе – Югре Евлахова Н.А. (исх. от 25.02.2021 №01.13-Исх-1186).</w:t>
      </w:r>
    </w:p>
    <w:p w:rsidR="00CD4566" w:rsidRPr="00CD4566" w:rsidRDefault="00CD4566" w:rsidP="00CD4566">
      <w:pPr>
        <w:pStyle w:val="a3"/>
        <w:numPr>
          <w:ilvl w:val="0"/>
          <w:numId w:val="1"/>
        </w:numPr>
        <w:autoSpaceDE w:val="0"/>
        <w:autoSpaceDN w:val="0"/>
        <w:jc w:val="both"/>
        <w:rPr>
          <w:bCs/>
          <w:color w:val="000000"/>
          <w:sz w:val="26"/>
          <w:szCs w:val="26"/>
        </w:rPr>
      </w:pPr>
      <w:r w:rsidRPr="00CD4566">
        <w:rPr>
          <w:bCs/>
          <w:color w:val="000000"/>
          <w:sz w:val="26"/>
          <w:szCs w:val="26"/>
        </w:rPr>
        <w:t>Ответ Департамента промышленности Ханты-Мансийского автономного округа – Югры (исх. от 01.03.2021 № 22-Исх-2376).</w:t>
      </w:r>
    </w:p>
    <w:p w:rsidR="00CD4566" w:rsidRPr="00CD4566" w:rsidRDefault="00CD4566" w:rsidP="00CD4566">
      <w:pPr>
        <w:pStyle w:val="a3"/>
        <w:numPr>
          <w:ilvl w:val="0"/>
          <w:numId w:val="1"/>
        </w:numPr>
        <w:autoSpaceDE w:val="0"/>
        <w:autoSpaceDN w:val="0"/>
        <w:jc w:val="both"/>
        <w:rPr>
          <w:bCs/>
          <w:color w:val="000000"/>
          <w:sz w:val="26"/>
          <w:szCs w:val="26"/>
        </w:rPr>
      </w:pPr>
      <w:r w:rsidRPr="00CD4566">
        <w:rPr>
          <w:bCs/>
          <w:color w:val="000000"/>
          <w:sz w:val="26"/>
          <w:szCs w:val="26"/>
        </w:rPr>
        <w:t>Заполненный опросный лист ИП Главы КФХ Колещатова Владимир</w:t>
      </w:r>
      <w:r w:rsidR="00D4777C">
        <w:rPr>
          <w:bCs/>
          <w:color w:val="000000"/>
          <w:sz w:val="26"/>
          <w:szCs w:val="26"/>
        </w:rPr>
        <w:t>а</w:t>
      </w:r>
      <w:r w:rsidRPr="00CD4566">
        <w:rPr>
          <w:bCs/>
          <w:color w:val="000000"/>
          <w:sz w:val="26"/>
          <w:szCs w:val="26"/>
        </w:rPr>
        <w:t xml:space="preserve"> Дмитриевич</w:t>
      </w:r>
      <w:r w:rsidR="00D4777C">
        <w:rPr>
          <w:bCs/>
          <w:color w:val="000000"/>
          <w:sz w:val="26"/>
          <w:szCs w:val="26"/>
        </w:rPr>
        <w:t xml:space="preserve">а </w:t>
      </w:r>
      <w:bookmarkStart w:id="0" w:name="_GoBack"/>
      <w:bookmarkEnd w:id="0"/>
      <w:r w:rsidRPr="00CD4566">
        <w:rPr>
          <w:bCs/>
          <w:color w:val="000000"/>
          <w:sz w:val="26"/>
          <w:szCs w:val="26"/>
        </w:rPr>
        <w:t>(от 04.03.2021г.).</w:t>
      </w:r>
    </w:p>
    <w:sectPr w:rsidR="00CD4566" w:rsidRPr="00CD45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3E1847"/>
    <w:multiLevelType w:val="hybridMultilevel"/>
    <w:tmpl w:val="054A5030"/>
    <w:lvl w:ilvl="0" w:tplc="0419000F">
      <w:start w:val="1"/>
      <w:numFmt w:val="decimal"/>
      <w:lvlText w:val="%1."/>
      <w:lvlJc w:val="left"/>
      <w:pPr>
        <w:tabs>
          <w:tab w:val="num" w:pos="360"/>
        </w:tabs>
        <w:ind w:left="360" w:hanging="360"/>
      </w:pPr>
      <w:rPr>
        <w:rFonts w:hint="default"/>
        <w:u w:val="none"/>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15:restartNumberingAfterBreak="0">
    <w:nsid w:val="267B712E"/>
    <w:multiLevelType w:val="hybridMultilevel"/>
    <w:tmpl w:val="A46408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A1530F"/>
    <w:multiLevelType w:val="hybridMultilevel"/>
    <w:tmpl w:val="9DFA25B4"/>
    <w:lvl w:ilvl="0" w:tplc="31D874C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3644121D"/>
    <w:multiLevelType w:val="hybridMultilevel"/>
    <w:tmpl w:val="F368A3D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F16"/>
    <w:rsid w:val="000055EF"/>
    <w:rsid w:val="000843CA"/>
    <w:rsid w:val="000C6DF6"/>
    <w:rsid w:val="0019488C"/>
    <w:rsid w:val="001969EC"/>
    <w:rsid w:val="00247CC8"/>
    <w:rsid w:val="00260788"/>
    <w:rsid w:val="00270DB7"/>
    <w:rsid w:val="002D61B4"/>
    <w:rsid w:val="002D676C"/>
    <w:rsid w:val="002E4620"/>
    <w:rsid w:val="003807AA"/>
    <w:rsid w:val="003C6121"/>
    <w:rsid w:val="003C76BC"/>
    <w:rsid w:val="003F5A71"/>
    <w:rsid w:val="0040586A"/>
    <w:rsid w:val="0046745A"/>
    <w:rsid w:val="004E256F"/>
    <w:rsid w:val="004F352A"/>
    <w:rsid w:val="004F3AC7"/>
    <w:rsid w:val="00574515"/>
    <w:rsid w:val="005977D1"/>
    <w:rsid w:val="005A674D"/>
    <w:rsid w:val="005D3FA0"/>
    <w:rsid w:val="00637813"/>
    <w:rsid w:val="00651DB7"/>
    <w:rsid w:val="006544EE"/>
    <w:rsid w:val="00673252"/>
    <w:rsid w:val="00702F35"/>
    <w:rsid w:val="0075302C"/>
    <w:rsid w:val="007F60B6"/>
    <w:rsid w:val="008031FD"/>
    <w:rsid w:val="00857406"/>
    <w:rsid w:val="00864F65"/>
    <w:rsid w:val="008D4F16"/>
    <w:rsid w:val="008D57C3"/>
    <w:rsid w:val="008E64B0"/>
    <w:rsid w:val="00947B85"/>
    <w:rsid w:val="00967470"/>
    <w:rsid w:val="009D4B49"/>
    <w:rsid w:val="009E57AB"/>
    <w:rsid w:val="009F2EFC"/>
    <w:rsid w:val="00A10CA8"/>
    <w:rsid w:val="00A75133"/>
    <w:rsid w:val="00A82851"/>
    <w:rsid w:val="00B2513E"/>
    <w:rsid w:val="00C37A9E"/>
    <w:rsid w:val="00C43886"/>
    <w:rsid w:val="00CA2D9E"/>
    <w:rsid w:val="00CB6275"/>
    <w:rsid w:val="00CD4566"/>
    <w:rsid w:val="00D4777C"/>
    <w:rsid w:val="00D55BCB"/>
    <w:rsid w:val="00DF7DFA"/>
    <w:rsid w:val="00E778F3"/>
    <w:rsid w:val="00E85473"/>
    <w:rsid w:val="00F30DE5"/>
    <w:rsid w:val="00FA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F02E77-4D98-4185-9A04-1A2D7ACDE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4F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8D4F16"/>
    <w:pPr>
      <w:widowControl w:val="0"/>
      <w:autoSpaceDE w:val="0"/>
      <w:autoSpaceDN w:val="0"/>
      <w:adjustRightInd w:val="0"/>
    </w:pPr>
    <w:rPr>
      <w:rFonts w:ascii="Courier New" w:hAnsi="Courier New" w:cs="Courier New"/>
    </w:rPr>
  </w:style>
  <w:style w:type="paragraph" w:styleId="a3">
    <w:name w:val="List Paragraph"/>
    <w:basedOn w:val="a"/>
    <w:uiPriority w:val="34"/>
    <w:qFormat/>
    <w:rsid w:val="00270DB7"/>
    <w:pPr>
      <w:ind w:left="720"/>
      <w:contextualSpacing/>
    </w:pPr>
  </w:style>
  <w:style w:type="paragraph" w:styleId="a4">
    <w:name w:val="Balloon Text"/>
    <w:basedOn w:val="a"/>
    <w:link w:val="a5"/>
    <w:rsid w:val="00270DB7"/>
    <w:rPr>
      <w:rFonts w:ascii="Segoe UI" w:hAnsi="Segoe UI" w:cs="Segoe UI"/>
      <w:sz w:val="18"/>
      <w:szCs w:val="18"/>
    </w:rPr>
  </w:style>
  <w:style w:type="character" w:customStyle="1" w:styleId="a5">
    <w:name w:val="Текст выноски Знак"/>
    <w:basedOn w:val="a0"/>
    <w:link w:val="a4"/>
    <w:rsid w:val="00270DB7"/>
    <w:rPr>
      <w:rFonts w:ascii="Segoe UI" w:hAnsi="Segoe UI" w:cs="Segoe UI"/>
      <w:sz w:val="18"/>
      <w:szCs w:val="18"/>
    </w:rPr>
  </w:style>
  <w:style w:type="paragraph" w:customStyle="1" w:styleId="Default">
    <w:name w:val="Default"/>
    <w:rsid w:val="00E778F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7</Pages>
  <Words>2280</Words>
  <Characters>17680</Characters>
  <Application>Microsoft Office Word</Application>
  <DocSecurity>0</DocSecurity>
  <Lines>147</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МКУ Администрация города Пыть-Яха</Company>
  <LinksUpToDate>false</LinksUpToDate>
  <CharactersWithSpaces>19921</CharactersWithSpaces>
  <SharedDoc>false</SharedDoc>
  <HLinks>
    <vt:vector size="12" baseType="variant">
      <vt:variant>
        <vt:i4>6684730</vt:i4>
      </vt:variant>
      <vt:variant>
        <vt:i4>3</vt:i4>
      </vt:variant>
      <vt:variant>
        <vt:i4>0</vt:i4>
      </vt:variant>
      <vt:variant>
        <vt:i4>5</vt:i4>
      </vt:variant>
      <vt:variant>
        <vt:lpwstr/>
      </vt:variant>
      <vt:variant>
        <vt:lpwstr>Par681</vt:lpwstr>
      </vt:variant>
      <vt:variant>
        <vt:i4>5636098</vt:i4>
      </vt:variant>
      <vt:variant>
        <vt:i4>0</vt:i4>
      </vt:variant>
      <vt:variant>
        <vt:i4>0</vt:i4>
      </vt:variant>
      <vt:variant>
        <vt:i4>5</vt:i4>
      </vt:variant>
      <vt:variant>
        <vt:lpwstr/>
      </vt:variant>
      <vt:variant>
        <vt:lpwstr>Par73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Наумова</dc:creator>
  <cp:keywords/>
  <cp:lastModifiedBy>Эллина Саид-Эмиевна Шаипова</cp:lastModifiedBy>
  <cp:revision>48</cp:revision>
  <cp:lastPrinted>2021-03-10T16:43:00Z</cp:lastPrinted>
  <dcterms:created xsi:type="dcterms:W3CDTF">2020-01-17T09:51:00Z</dcterms:created>
  <dcterms:modified xsi:type="dcterms:W3CDTF">2021-03-10T16:43:00Z</dcterms:modified>
</cp:coreProperties>
</file>