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C4F06" w:rsidRDefault="006A6B76" w:rsidP="00EC4F06">
      <w:pPr>
        <w:pStyle w:val="af0"/>
        <w:autoSpaceDE w:val="0"/>
        <w:autoSpaceDN w:val="0"/>
        <w:adjustRightInd w:val="0"/>
        <w:spacing w:after="0" w:line="280" w:lineRule="exact"/>
        <w:ind w:left="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r w:rsidR="00EC4F06">
        <w:rPr>
          <w:rFonts w:eastAsia="Times New Roman"/>
          <w:b/>
          <w:iCs/>
          <w:sz w:val="22"/>
          <w:szCs w:val="22"/>
          <w:lang w:eastAsia="ru-RU"/>
        </w:rPr>
        <w:t xml:space="preserve"> </w:t>
      </w:r>
    </w:p>
    <w:p w:rsidR="00FE15EF" w:rsidRPr="00EC4F06" w:rsidRDefault="001166BA" w:rsidP="00EC4F06">
      <w:pPr>
        <w:pStyle w:val="af0"/>
        <w:autoSpaceDE w:val="0"/>
        <w:autoSpaceDN w:val="0"/>
        <w:adjustRightInd w:val="0"/>
        <w:spacing w:after="0" w:line="280" w:lineRule="exact"/>
        <w:ind w:left="567"/>
        <w:jc w:val="center"/>
        <w:rPr>
          <w:rFonts w:eastAsia="Times New Roman"/>
          <w:b/>
          <w:iCs/>
          <w:sz w:val="22"/>
          <w:szCs w:val="22"/>
          <w:lang w:eastAsia="ru-RU"/>
        </w:rPr>
      </w:pPr>
      <w:r>
        <w:rPr>
          <w:rFonts w:eastAsia="Times New Roman"/>
          <w:b/>
          <w:iCs/>
          <w:sz w:val="22"/>
          <w:szCs w:val="22"/>
          <w:lang w:eastAsia="ru-RU"/>
        </w:rPr>
        <w:t>№ 9060</w:t>
      </w:r>
      <w:bookmarkStart w:id="0" w:name="_GoBack"/>
      <w:bookmarkEnd w:id="0"/>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2E01D2">
        <w:rPr>
          <w:sz w:val="22"/>
          <w:szCs w:val="22"/>
        </w:rPr>
        <w:t>августа 2012 г. №</w:t>
      </w:r>
      <w:r w:rsidR="00091C17" w:rsidRPr="00CD4FFF">
        <w:rPr>
          <w:sz w:val="22"/>
          <w:szCs w:val="22"/>
        </w:rPr>
        <w:t xml:space="preserve">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город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071BE5" w:rsidRDefault="00080E60" w:rsidP="00080E60">
      <w:pPr>
        <w:pStyle w:val="Default"/>
        <w:tabs>
          <w:tab w:val="left" w:pos="0"/>
          <w:tab w:val="left" w:pos="284"/>
        </w:tabs>
        <w:ind w:firstLine="567"/>
        <w:jc w:val="both"/>
        <w:rPr>
          <w:iCs/>
          <w:color w:val="auto"/>
          <w:sz w:val="22"/>
          <w:szCs w:val="22"/>
          <w:lang w:val="x-none"/>
        </w:rPr>
      </w:pPr>
      <w:r w:rsidRPr="00071BE5">
        <w:rPr>
          <w:b/>
          <w:bCs/>
          <w:iCs/>
          <w:color w:val="auto"/>
          <w:sz w:val="22"/>
          <w:szCs w:val="22"/>
        </w:rPr>
        <w:t>Основание проведения торгов</w:t>
      </w:r>
      <w:r w:rsidRPr="00071BE5">
        <w:rPr>
          <w:b/>
          <w:bCs/>
          <w:i/>
          <w:iCs/>
          <w:color w:val="auto"/>
          <w:sz w:val="22"/>
          <w:szCs w:val="22"/>
        </w:rPr>
        <w:t xml:space="preserve"> </w:t>
      </w:r>
      <w:r w:rsidR="009F4855" w:rsidRPr="00071BE5">
        <w:rPr>
          <w:b/>
          <w:bCs/>
          <w:i/>
          <w:iCs/>
          <w:color w:val="auto"/>
          <w:sz w:val="22"/>
          <w:szCs w:val="22"/>
        </w:rPr>
        <w:t>–</w:t>
      </w:r>
      <w:r w:rsidRPr="00071BE5">
        <w:rPr>
          <w:b/>
          <w:bCs/>
          <w:i/>
          <w:iCs/>
          <w:color w:val="auto"/>
          <w:sz w:val="22"/>
          <w:szCs w:val="22"/>
        </w:rPr>
        <w:t xml:space="preserve"> </w:t>
      </w:r>
      <w:r w:rsidR="009F4855" w:rsidRPr="00071BE5">
        <w:rPr>
          <w:color w:val="auto"/>
          <w:sz w:val="22"/>
          <w:szCs w:val="22"/>
        </w:rPr>
        <w:t xml:space="preserve">решение Думы города </w:t>
      </w:r>
      <w:proofErr w:type="spellStart"/>
      <w:r w:rsidR="009F4855" w:rsidRPr="00071BE5">
        <w:rPr>
          <w:color w:val="auto"/>
          <w:sz w:val="22"/>
          <w:szCs w:val="22"/>
        </w:rPr>
        <w:t>Пыть-Яха</w:t>
      </w:r>
      <w:proofErr w:type="spellEnd"/>
      <w:r w:rsidR="009F4855" w:rsidRPr="00071BE5">
        <w:rPr>
          <w:color w:val="auto"/>
          <w:sz w:val="22"/>
          <w:szCs w:val="22"/>
        </w:rPr>
        <w:t xml:space="preserve"> </w:t>
      </w:r>
      <w:r w:rsidR="00DC4087" w:rsidRPr="00071BE5">
        <w:rPr>
          <w:color w:val="auto"/>
          <w:sz w:val="22"/>
          <w:szCs w:val="22"/>
        </w:rPr>
        <w:t xml:space="preserve">шестого созыва № </w:t>
      </w:r>
      <w:r w:rsidR="00071BE5" w:rsidRPr="00071BE5">
        <w:rPr>
          <w:color w:val="auto"/>
          <w:sz w:val="22"/>
          <w:szCs w:val="22"/>
        </w:rPr>
        <w:t>345</w:t>
      </w:r>
      <w:r w:rsidR="002B2EBB" w:rsidRPr="00071BE5">
        <w:rPr>
          <w:color w:val="auto"/>
          <w:sz w:val="22"/>
          <w:szCs w:val="22"/>
        </w:rPr>
        <w:t xml:space="preserve"> от </w:t>
      </w:r>
      <w:r w:rsidR="00071BE5" w:rsidRPr="00071BE5">
        <w:rPr>
          <w:color w:val="auto"/>
          <w:sz w:val="22"/>
          <w:szCs w:val="22"/>
        </w:rPr>
        <w:t>19.08</w:t>
      </w:r>
      <w:r w:rsidR="004E702A" w:rsidRPr="00071BE5">
        <w:rPr>
          <w:color w:val="auto"/>
          <w:sz w:val="22"/>
          <w:szCs w:val="22"/>
        </w:rPr>
        <w:t xml:space="preserve">.2020 </w:t>
      </w:r>
      <w:r w:rsidR="00071BE5" w:rsidRPr="00071BE5">
        <w:rPr>
          <w:color w:val="auto"/>
          <w:sz w:val="22"/>
          <w:szCs w:val="22"/>
        </w:rPr>
        <w:t xml:space="preserve">«О внесении изменений в решение Думы города </w:t>
      </w:r>
      <w:proofErr w:type="spellStart"/>
      <w:r w:rsidR="00071BE5" w:rsidRPr="00071BE5">
        <w:rPr>
          <w:color w:val="auto"/>
          <w:sz w:val="22"/>
          <w:szCs w:val="22"/>
        </w:rPr>
        <w:t>Пыть-Яха</w:t>
      </w:r>
      <w:proofErr w:type="spellEnd"/>
      <w:r w:rsidR="00071BE5" w:rsidRPr="00071BE5">
        <w:rPr>
          <w:color w:val="auto"/>
          <w:sz w:val="22"/>
          <w:szCs w:val="22"/>
        </w:rPr>
        <w:t xml:space="preserve"> </w:t>
      </w:r>
      <w:r w:rsidR="00071BE5" w:rsidRPr="00071BE5">
        <w:rPr>
          <w:sz w:val="22"/>
          <w:szCs w:val="22"/>
        </w:rPr>
        <w:t>от 30.04.2020 № 317</w:t>
      </w:r>
      <w:r w:rsidR="00071BE5" w:rsidRPr="00071BE5">
        <w:rPr>
          <w:color w:val="auto"/>
          <w:sz w:val="22"/>
          <w:szCs w:val="22"/>
        </w:rPr>
        <w:t xml:space="preserve"> </w:t>
      </w:r>
      <w:r w:rsidR="00DC4087" w:rsidRPr="00071BE5">
        <w:rPr>
          <w:color w:val="auto"/>
          <w:sz w:val="22"/>
          <w:szCs w:val="22"/>
        </w:rPr>
        <w:t>«Об утверждении условий приватизации имущества, находящегося в собственности муниципального образования городск</w:t>
      </w:r>
      <w:r w:rsidR="004E702A" w:rsidRPr="00071BE5">
        <w:rPr>
          <w:color w:val="auto"/>
          <w:sz w:val="22"/>
          <w:szCs w:val="22"/>
        </w:rPr>
        <w:t xml:space="preserve">ой округ город </w:t>
      </w:r>
      <w:proofErr w:type="spellStart"/>
      <w:r w:rsidR="004E702A" w:rsidRPr="00071BE5">
        <w:rPr>
          <w:color w:val="auto"/>
          <w:sz w:val="22"/>
          <w:szCs w:val="22"/>
        </w:rPr>
        <w:t>Пыть-Ях</w:t>
      </w:r>
      <w:proofErr w:type="spellEnd"/>
      <w:r w:rsidR="004E702A" w:rsidRPr="00071BE5">
        <w:rPr>
          <w:color w:val="auto"/>
          <w:sz w:val="22"/>
          <w:szCs w:val="22"/>
        </w:rPr>
        <w:t xml:space="preserve">, на 2020 </w:t>
      </w:r>
      <w:r w:rsidR="00DC4087" w:rsidRPr="00071BE5">
        <w:rPr>
          <w:color w:val="auto"/>
          <w:sz w:val="22"/>
          <w:szCs w:val="22"/>
        </w:rPr>
        <w:t>год»</w:t>
      </w:r>
      <w:r w:rsidR="007448E7" w:rsidRPr="00071BE5">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4E702A">
        <w:rPr>
          <w:iCs/>
          <w:color w:val="auto"/>
          <w:sz w:val="22"/>
          <w:szCs w:val="22"/>
        </w:rPr>
        <w:t>э</w:t>
      </w:r>
      <w:r w:rsidR="00983B27" w:rsidRPr="0039206D">
        <w:rPr>
          <w:iCs/>
          <w:color w:val="auto"/>
          <w:sz w:val="22"/>
          <w:szCs w:val="22"/>
        </w:rPr>
        <w:t>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4E702A">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49"/>
        <w:gridCol w:w="1276"/>
        <w:gridCol w:w="1842"/>
      </w:tblGrid>
      <w:tr w:rsidR="0007311A" w:rsidTr="001F1797">
        <w:tc>
          <w:tcPr>
            <w:tcW w:w="693" w:type="dxa"/>
          </w:tcPr>
          <w:p w:rsidR="00BC10FC"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 xml:space="preserve">№ </w:t>
            </w:r>
          </w:p>
          <w:p w:rsidR="0007311A" w:rsidRPr="00484696"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лота</w:t>
            </w:r>
          </w:p>
        </w:tc>
        <w:tc>
          <w:tcPr>
            <w:tcW w:w="2014" w:type="dxa"/>
          </w:tcPr>
          <w:p w:rsidR="0007311A" w:rsidRPr="00484696"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Наименование и характеристики имущества</w:t>
            </w:r>
          </w:p>
        </w:tc>
        <w:tc>
          <w:tcPr>
            <w:tcW w:w="1683"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Местонахождение имущества</w:t>
            </w:r>
          </w:p>
        </w:tc>
        <w:tc>
          <w:tcPr>
            <w:tcW w:w="1444" w:type="dxa"/>
          </w:tcPr>
          <w:p w:rsidR="006C7826" w:rsidRPr="00484696" w:rsidRDefault="0007311A"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Начальная цена </w:t>
            </w:r>
          </w:p>
          <w:p w:rsidR="0007311A" w:rsidRPr="00484696" w:rsidRDefault="006C7826"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(без </w:t>
            </w:r>
            <w:r w:rsidR="0007311A" w:rsidRPr="00484696">
              <w:t>учета НДС), руб.</w:t>
            </w:r>
          </w:p>
        </w:tc>
        <w:tc>
          <w:tcPr>
            <w:tcW w:w="1249"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Шаг аукциона 5% начальной цены имущества, руб.</w:t>
            </w:r>
          </w:p>
        </w:tc>
        <w:tc>
          <w:tcPr>
            <w:tcW w:w="1276" w:type="dxa"/>
          </w:tcPr>
          <w:p w:rsidR="006C7826"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Сумма задатка</w:t>
            </w:r>
          </w:p>
          <w:p w:rsidR="006C7826"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20%</w:t>
            </w:r>
          </w:p>
          <w:p w:rsidR="0007311A"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начальной цены имущества</w:t>
            </w:r>
            <w:r w:rsidR="0007311A" w:rsidRPr="00484696">
              <w:t>, руб.</w:t>
            </w:r>
          </w:p>
        </w:tc>
        <w:tc>
          <w:tcPr>
            <w:tcW w:w="1842" w:type="dxa"/>
          </w:tcPr>
          <w:p w:rsidR="0007311A" w:rsidRPr="00484696" w:rsidRDefault="0007311A"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Информация о предыдущих торгах</w:t>
            </w:r>
          </w:p>
        </w:tc>
      </w:tr>
      <w:tr w:rsidR="006F7C90" w:rsidTr="001F1797">
        <w:tc>
          <w:tcPr>
            <w:tcW w:w="693"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1</w:t>
            </w:r>
          </w:p>
        </w:tc>
        <w:tc>
          <w:tcPr>
            <w:tcW w:w="2014" w:type="dxa"/>
            <w:tcBorders>
              <w:top w:val="single" w:sz="4" w:space="0" w:color="auto"/>
              <w:left w:val="nil"/>
              <w:bottom w:val="single" w:sz="4" w:space="0" w:color="auto"/>
              <w:right w:val="single" w:sz="4" w:space="0" w:color="auto"/>
            </w:tcBorders>
          </w:tcPr>
          <w:p w:rsidR="006F7C90" w:rsidRPr="00484696" w:rsidRDefault="006F7C90" w:rsidP="00075BEE">
            <w:r w:rsidRPr="00484696">
              <w:t xml:space="preserve">Нежилое помещение, Инв. № 0001130242, общая площадь 310,4 </w:t>
            </w:r>
            <w:proofErr w:type="spellStart"/>
            <w:r w:rsidRPr="00484696">
              <w:t>кв.м</w:t>
            </w:r>
            <w:proofErr w:type="spellEnd"/>
            <w:r w:rsidRPr="00484696">
              <w:t>.</w:t>
            </w:r>
          </w:p>
        </w:tc>
        <w:tc>
          <w:tcPr>
            <w:tcW w:w="1683" w:type="dxa"/>
            <w:tcBorders>
              <w:top w:val="single" w:sz="4" w:space="0" w:color="auto"/>
              <w:left w:val="nil"/>
              <w:bottom w:val="single" w:sz="4" w:space="0" w:color="auto"/>
              <w:right w:val="single" w:sz="4" w:space="0" w:color="auto"/>
            </w:tcBorders>
          </w:tcPr>
          <w:p w:rsidR="006F7C90" w:rsidRPr="00484696" w:rsidRDefault="006F7C90" w:rsidP="00071BE5">
            <w:r w:rsidRPr="00484696">
              <w:t xml:space="preserve">ХМАО-Югра, </w:t>
            </w:r>
          </w:p>
          <w:p w:rsidR="006F7C90" w:rsidRPr="00484696" w:rsidRDefault="006F7C90" w:rsidP="00071BE5">
            <w:proofErr w:type="spellStart"/>
            <w:r w:rsidRPr="00484696">
              <w:t>г.Пыть-Ях</w:t>
            </w:r>
            <w:proofErr w:type="spellEnd"/>
            <w:r w:rsidRPr="00484696">
              <w:t xml:space="preserve">, </w:t>
            </w:r>
            <w:proofErr w:type="spellStart"/>
            <w:r w:rsidRPr="00484696">
              <w:t>мкр</w:t>
            </w:r>
            <w:proofErr w:type="spellEnd"/>
            <w:r w:rsidRPr="00484696">
              <w:t>-н 5, д.25а, пом.1</w:t>
            </w:r>
          </w:p>
        </w:tc>
        <w:tc>
          <w:tcPr>
            <w:tcW w:w="1444" w:type="dxa"/>
          </w:tcPr>
          <w:p w:rsidR="006F7C90" w:rsidRPr="00484696" w:rsidRDefault="006F7C90" w:rsidP="00075BEE">
            <w:r w:rsidRPr="00484696">
              <w:t>15 866 000,00</w:t>
            </w:r>
          </w:p>
        </w:tc>
        <w:tc>
          <w:tcPr>
            <w:tcW w:w="1249"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793 300,00</w:t>
            </w:r>
          </w:p>
        </w:tc>
        <w:tc>
          <w:tcPr>
            <w:tcW w:w="1276" w:type="dxa"/>
          </w:tcPr>
          <w:p w:rsidR="006F7C90" w:rsidRPr="00484696" w:rsidRDefault="001F1797"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3 173 200,00</w:t>
            </w:r>
          </w:p>
        </w:tc>
        <w:tc>
          <w:tcPr>
            <w:tcW w:w="1842" w:type="dxa"/>
            <w:vMerge w:val="restart"/>
          </w:tcPr>
          <w:p w:rsidR="006F7C90" w:rsidRPr="00484696" w:rsidRDefault="006F7C90"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Указанное имущество </w:t>
            </w:r>
            <w:r w:rsidR="00484696" w:rsidRPr="00484696">
              <w:t xml:space="preserve">выставлялось на аукционы, ввиду отсутствия заявок аукционы признаны несостоявшимися </w:t>
            </w:r>
          </w:p>
        </w:tc>
      </w:tr>
      <w:tr w:rsidR="006F7C90" w:rsidTr="001F1797">
        <w:tc>
          <w:tcPr>
            <w:tcW w:w="693"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2</w:t>
            </w:r>
          </w:p>
        </w:tc>
        <w:tc>
          <w:tcPr>
            <w:tcW w:w="2014" w:type="dxa"/>
            <w:tcBorders>
              <w:top w:val="single" w:sz="4" w:space="0" w:color="auto"/>
              <w:left w:val="nil"/>
              <w:bottom w:val="single" w:sz="4" w:space="0" w:color="auto"/>
              <w:right w:val="single" w:sz="4" w:space="0" w:color="auto"/>
            </w:tcBorders>
          </w:tcPr>
          <w:p w:rsidR="006F7C90" w:rsidRPr="00484696" w:rsidRDefault="006F7C90" w:rsidP="00075BEE">
            <w:r w:rsidRPr="00484696">
              <w:t xml:space="preserve">Нежилое помещение № 2, Инв. № ШИ1985921, общая площадь 60,1 </w:t>
            </w:r>
            <w:proofErr w:type="spellStart"/>
            <w:r w:rsidRPr="00484696">
              <w:t>кв.м</w:t>
            </w:r>
            <w:proofErr w:type="spellEnd"/>
            <w:r w:rsidRPr="00484696">
              <w:t>.</w:t>
            </w:r>
          </w:p>
        </w:tc>
        <w:tc>
          <w:tcPr>
            <w:tcW w:w="1683" w:type="dxa"/>
            <w:tcBorders>
              <w:top w:val="single" w:sz="4" w:space="0" w:color="auto"/>
              <w:left w:val="nil"/>
              <w:bottom w:val="single" w:sz="4" w:space="0" w:color="auto"/>
              <w:right w:val="single" w:sz="4" w:space="0" w:color="auto"/>
            </w:tcBorders>
          </w:tcPr>
          <w:p w:rsidR="006F7C90" w:rsidRPr="00484696" w:rsidRDefault="006F7C90" w:rsidP="006F7C90">
            <w:r w:rsidRPr="00484696">
              <w:t xml:space="preserve">ХМАО-Югра, </w:t>
            </w:r>
          </w:p>
          <w:p w:rsidR="006F7C90" w:rsidRPr="00484696" w:rsidRDefault="006F7C90" w:rsidP="006F7C90">
            <w:proofErr w:type="spellStart"/>
            <w:r w:rsidRPr="00484696">
              <w:t>г.Пыть-Ях</w:t>
            </w:r>
            <w:proofErr w:type="spellEnd"/>
            <w:r w:rsidRPr="00484696">
              <w:t xml:space="preserve">, 2 </w:t>
            </w:r>
            <w:proofErr w:type="spellStart"/>
            <w:proofErr w:type="gramStart"/>
            <w:r w:rsidRPr="00484696">
              <w:t>мкр</w:t>
            </w:r>
            <w:proofErr w:type="spellEnd"/>
            <w:r w:rsidRPr="00484696">
              <w:t>.,</w:t>
            </w:r>
            <w:proofErr w:type="gramEnd"/>
            <w:r w:rsidRPr="00484696">
              <w:t xml:space="preserve"> дом 22, кв.2</w:t>
            </w:r>
          </w:p>
        </w:tc>
        <w:tc>
          <w:tcPr>
            <w:tcW w:w="1444" w:type="dxa"/>
          </w:tcPr>
          <w:p w:rsidR="006F7C90" w:rsidRPr="00484696" w:rsidRDefault="006F7C90" w:rsidP="00075BEE">
            <w:r w:rsidRPr="00484696">
              <w:t>4 249 000,00</w:t>
            </w:r>
          </w:p>
        </w:tc>
        <w:tc>
          <w:tcPr>
            <w:tcW w:w="1249"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212 450,00</w:t>
            </w:r>
          </w:p>
        </w:tc>
        <w:tc>
          <w:tcPr>
            <w:tcW w:w="1276" w:type="dxa"/>
          </w:tcPr>
          <w:p w:rsidR="006F7C90" w:rsidRPr="00484696" w:rsidRDefault="006F7C90"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849 800,00</w:t>
            </w:r>
          </w:p>
        </w:tc>
        <w:tc>
          <w:tcPr>
            <w:tcW w:w="1842" w:type="dxa"/>
            <w:vMerge/>
          </w:tcPr>
          <w:p w:rsidR="006F7C90" w:rsidRPr="00071BE5" w:rsidRDefault="006F7C90" w:rsidP="00321179">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484696">
        <w:rPr>
          <w:rFonts w:eastAsia="Times New Roman"/>
          <w:b/>
          <w:sz w:val="22"/>
          <w:szCs w:val="22"/>
        </w:rPr>
        <w:t>07</w:t>
      </w:r>
      <w:r w:rsidR="00D94F40">
        <w:rPr>
          <w:rFonts w:eastAsia="Times New Roman"/>
          <w:b/>
          <w:sz w:val="22"/>
          <w:szCs w:val="22"/>
        </w:rPr>
        <w:t xml:space="preserve"> </w:t>
      </w:r>
      <w:r w:rsidR="00484696">
        <w:rPr>
          <w:rFonts w:eastAsia="Times New Roman"/>
          <w:b/>
          <w:sz w:val="22"/>
          <w:szCs w:val="22"/>
        </w:rPr>
        <w:t>сентября</w:t>
      </w:r>
      <w:r w:rsidR="009A014B">
        <w:rPr>
          <w:rFonts w:eastAsia="Times New Roman"/>
          <w:b/>
          <w:sz w:val="22"/>
          <w:szCs w:val="22"/>
        </w:rPr>
        <w:t xml:space="preserve"> </w:t>
      </w:r>
      <w:r w:rsidR="00C95EF0">
        <w:rPr>
          <w:rFonts w:eastAsia="Times New Roman"/>
          <w:b/>
          <w:sz w:val="22"/>
          <w:szCs w:val="22"/>
        </w:rPr>
        <w:t>2020</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1166BA">
        <w:rPr>
          <w:rFonts w:eastAsia="Times New Roman"/>
          <w:b/>
          <w:sz w:val="22"/>
          <w:szCs w:val="22"/>
        </w:rPr>
        <w:t>05</w:t>
      </w:r>
      <w:r w:rsidR="00484696">
        <w:rPr>
          <w:rFonts w:eastAsia="Times New Roman"/>
          <w:b/>
          <w:sz w:val="22"/>
          <w:szCs w:val="22"/>
        </w:rPr>
        <w:t xml:space="preserve"> октября</w:t>
      </w:r>
      <w:r w:rsidR="00D12B32">
        <w:rPr>
          <w:rFonts w:eastAsia="Times New Roman"/>
          <w:b/>
          <w:sz w:val="22"/>
          <w:szCs w:val="22"/>
        </w:rPr>
        <w:t xml:space="preserve"> </w:t>
      </w:r>
      <w:r w:rsidR="00DF75CC">
        <w:rPr>
          <w:rFonts w:eastAsia="Times New Roman"/>
          <w:b/>
          <w:sz w:val="22"/>
          <w:szCs w:val="22"/>
        </w:rPr>
        <w:t>2020</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A43009">
        <w:rPr>
          <w:rFonts w:eastAsia="Times New Roman"/>
          <w:b/>
          <w:sz w:val="22"/>
          <w:szCs w:val="22"/>
        </w:rPr>
        <w:t>08</w:t>
      </w:r>
      <w:r w:rsidR="00484696">
        <w:rPr>
          <w:rFonts w:eastAsia="Times New Roman"/>
          <w:b/>
          <w:sz w:val="22"/>
          <w:szCs w:val="22"/>
        </w:rPr>
        <w:t xml:space="preserve"> октября</w:t>
      </w:r>
      <w:r w:rsidR="00D12B32">
        <w:rPr>
          <w:rFonts w:eastAsia="Times New Roman"/>
          <w:b/>
          <w:sz w:val="22"/>
          <w:szCs w:val="22"/>
        </w:rPr>
        <w:t xml:space="preserve"> </w:t>
      </w:r>
      <w:r w:rsidR="00DF75CC">
        <w:rPr>
          <w:rFonts w:eastAsia="Times New Roman"/>
          <w:b/>
          <w:sz w:val="22"/>
          <w:szCs w:val="22"/>
        </w:rPr>
        <w:t>2020</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484696">
        <w:rPr>
          <w:rFonts w:eastAsia="Times New Roman"/>
          <w:b/>
          <w:sz w:val="22"/>
          <w:szCs w:val="22"/>
        </w:rPr>
        <w:t>12</w:t>
      </w:r>
      <w:r w:rsidR="00E849E0">
        <w:rPr>
          <w:rFonts w:eastAsia="Times New Roman"/>
          <w:b/>
          <w:sz w:val="22"/>
          <w:szCs w:val="22"/>
        </w:rPr>
        <w:t xml:space="preserve"> </w:t>
      </w:r>
      <w:r w:rsidR="00484696">
        <w:rPr>
          <w:rFonts w:eastAsia="Times New Roman"/>
          <w:b/>
          <w:sz w:val="22"/>
          <w:szCs w:val="22"/>
        </w:rPr>
        <w:t>октября</w:t>
      </w:r>
      <w:r w:rsidR="00D12B32">
        <w:rPr>
          <w:rFonts w:eastAsia="Times New Roman"/>
          <w:b/>
          <w:sz w:val="22"/>
          <w:szCs w:val="22"/>
        </w:rPr>
        <w:t xml:space="preserve"> </w:t>
      </w:r>
      <w:r w:rsidR="00DF75CC">
        <w:rPr>
          <w:rFonts w:eastAsia="Times New Roman"/>
          <w:b/>
          <w:sz w:val="22"/>
          <w:szCs w:val="22"/>
        </w:rPr>
        <w:t>2020</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lastRenderedPageBreak/>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lastRenderedPageBreak/>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6723C4" w:rsidRPr="006723C4" w:rsidRDefault="00C611AB" w:rsidP="00390E25">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Получатель: </w:t>
      </w:r>
      <w:r w:rsidR="006723C4" w:rsidRPr="006723C4">
        <w:rPr>
          <w:sz w:val="22"/>
          <w:szCs w:val="22"/>
        </w:rPr>
        <w:t>УФК по ХМАО – ЮГРЕ (</w:t>
      </w:r>
      <w:proofErr w:type="gramStart"/>
      <w:r w:rsidR="006723C4" w:rsidRPr="006723C4">
        <w:rPr>
          <w:sz w:val="22"/>
          <w:szCs w:val="22"/>
        </w:rPr>
        <w:t>МКУ  Администрация</w:t>
      </w:r>
      <w:proofErr w:type="gramEnd"/>
      <w:r w:rsidR="006723C4" w:rsidRPr="006723C4">
        <w:rPr>
          <w:sz w:val="22"/>
          <w:szCs w:val="22"/>
        </w:rPr>
        <w:t xml:space="preserve"> г. </w:t>
      </w:r>
      <w:proofErr w:type="spellStart"/>
      <w:r w:rsidR="006723C4" w:rsidRPr="006723C4">
        <w:rPr>
          <w:sz w:val="22"/>
          <w:szCs w:val="22"/>
        </w:rPr>
        <w:t>Пыть-Яха</w:t>
      </w:r>
      <w:proofErr w:type="spellEnd"/>
      <w:r w:rsidR="006723C4" w:rsidRPr="006723C4">
        <w:rPr>
          <w:sz w:val="22"/>
          <w:szCs w:val="22"/>
        </w:rPr>
        <w:t xml:space="preserve"> л/с 04873033440)</w:t>
      </w:r>
    </w:p>
    <w:p w:rsidR="006723C4" w:rsidRPr="006723C4" w:rsidRDefault="006723C4" w:rsidP="006723C4">
      <w:pPr>
        <w:spacing w:after="0" w:line="240" w:lineRule="auto"/>
        <w:rPr>
          <w:sz w:val="22"/>
          <w:szCs w:val="22"/>
        </w:rPr>
      </w:pPr>
      <w:r w:rsidRPr="006723C4">
        <w:rPr>
          <w:sz w:val="22"/>
          <w:szCs w:val="22"/>
        </w:rPr>
        <w:t>ИНН 8612005313</w:t>
      </w:r>
    </w:p>
    <w:p w:rsidR="006723C4" w:rsidRPr="006723C4" w:rsidRDefault="006723C4" w:rsidP="006723C4">
      <w:pPr>
        <w:spacing w:after="0" w:line="240" w:lineRule="auto"/>
        <w:rPr>
          <w:sz w:val="22"/>
          <w:szCs w:val="22"/>
        </w:rPr>
      </w:pPr>
      <w:r w:rsidRPr="006723C4">
        <w:rPr>
          <w:sz w:val="22"/>
          <w:szCs w:val="22"/>
        </w:rPr>
        <w:t>КПП 861201001</w:t>
      </w:r>
    </w:p>
    <w:p w:rsidR="006723C4" w:rsidRPr="006723C4" w:rsidRDefault="006723C4" w:rsidP="006723C4">
      <w:pPr>
        <w:spacing w:after="0" w:line="240" w:lineRule="auto"/>
        <w:rPr>
          <w:sz w:val="22"/>
          <w:szCs w:val="22"/>
        </w:rPr>
      </w:pPr>
      <w:r w:rsidRPr="006723C4">
        <w:rPr>
          <w:sz w:val="22"/>
          <w:szCs w:val="22"/>
        </w:rPr>
        <w:t>ОКТМО – 71885000</w:t>
      </w:r>
    </w:p>
    <w:p w:rsidR="006723C4" w:rsidRPr="006723C4" w:rsidRDefault="006723C4" w:rsidP="006723C4">
      <w:pPr>
        <w:spacing w:after="0" w:line="240" w:lineRule="auto"/>
        <w:rPr>
          <w:sz w:val="22"/>
          <w:szCs w:val="22"/>
        </w:rPr>
      </w:pPr>
      <w:r w:rsidRPr="006723C4">
        <w:rPr>
          <w:sz w:val="22"/>
          <w:szCs w:val="22"/>
        </w:rPr>
        <w:t>л/с 04873033440</w:t>
      </w:r>
    </w:p>
    <w:p w:rsidR="006723C4" w:rsidRPr="006723C4" w:rsidRDefault="006723C4" w:rsidP="006723C4">
      <w:pPr>
        <w:keepNext/>
        <w:spacing w:after="0" w:line="240" w:lineRule="auto"/>
        <w:outlineLvl w:val="1"/>
        <w:rPr>
          <w:sz w:val="22"/>
          <w:szCs w:val="22"/>
        </w:rPr>
      </w:pPr>
      <w:r w:rsidRPr="006723C4">
        <w:rPr>
          <w:sz w:val="22"/>
          <w:szCs w:val="22"/>
        </w:rPr>
        <w:t>РКЦ ХАНТЫ-МАНСИЙСК г. ХАНТЫ-МАНСИЙСК</w:t>
      </w:r>
    </w:p>
    <w:p w:rsidR="006723C4" w:rsidRPr="006723C4" w:rsidRDefault="006723C4" w:rsidP="006723C4">
      <w:pPr>
        <w:spacing w:after="0" w:line="240" w:lineRule="auto"/>
        <w:rPr>
          <w:sz w:val="22"/>
          <w:szCs w:val="22"/>
        </w:rPr>
      </w:pPr>
      <w:r w:rsidRPr="006723C4">
        <w:rPr>
          <w:sz w:val="22"/>
          <w:szCs w:val="22"/>
        </w:rPr>
        <w:t>БИК 047162000</w:t>
      </w:r>
    </w:p>
    <w:p w:rsidR="006723C4" w:rsidRPr="006723C4" w:rsidRDefault="006723C4" w:rsidP="006723C4">
      <w:pPr>
        <w:spacing w:after="0" w:line="240" w:lineRule="auto"/>
        <w:rPr>
          <w:sz w:val="22"/>
          <w:szCs w:val="22"/>
        </w:rPr>
      </w:pPr>
      <w:r w:rsidRPr="006723C4">
        <w:rPr>
          <w:sz w:val="22"/>
          <w:szCs w:val="22"/>
        </w:rPr>
        <w:t>р/с 40101810565770510001</w:t>
      </w:r>
    </w:p>
    <w:p w:rsidR="00E83271" w:rsidRPr="006723C4" w:rsidRDefault="006723C4" w:rsidP="006723C4">
      <w:pPr>
        <w:pStyle w:val="ConsNonformat"/>
        <w:widowControl/>
        <w:ind w:right="0"/>
        <w:rPr>
          <w:rFonts w:ascii="Times New Roman" w:hAnsi="Times New Roman" w:cs="Times New Roman"/>
          <w:b/>
          <w:sz w:val="22"/>
          <w:szCs w:val="22"/>
        </w:rPr>
      </w:pPr>
      <w:r w:rsidRPr="006723C4">
        <w:rPr>
          <w:rFonts w:ascii="Times New Roman" w:hAnsi="Times New Roman" w:cs="Times New Roman"/>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lastRenderedPageBreak/>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w:t>
      </w:r>
      <w:r w:rsidR="00E849E0">
        <w:rPr>
          <w:sz w:val="22"/>
          <w:szCs w:val="22"/>
        </w:rPr>
        <w:t xml:space="preserve">администрации </w:t>
      </w:r>
      <w:proofErr w:type="spellStart"/>
      <w:r w:rsidR="00E849E0">
        <w:rPr>
          <w:sz w:val="22"/>
          <w:szCs w:val="22"/>
        </w:rPr>
        <w:t>г.Пыть-Ях</w:t>
      </w:r>
      <w:proofErr w:type="spellEnd"/>
      <w:r w:rsidR="006723C4" w:rsidRPr="00FE15EF">
        <w:rPr>
          <w:sz w:val="22"/>
          <w:szCs w:val="22"/>
        </w:rPr>
        <w:t xml:space="preserve"> в социальных сетях: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2"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3"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lastRenderedPageBreak/>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621226" w:rsidRDefault="00621226"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DF75CC">
        <w:rPr>
          <w:rFonts w:ascii="Times New Roman" w:hAnsi="Times New Roman" w:cs="Times New Roman"/>
          <w:b/>
          <w:sz w:val="22"/>
          <w:szCs w:val="22"/>
        </w:rPr>
        <w:t xml:space="preserve">        </w:t>
      </w:r>
      <w:proofErr w:type="gramStart"/>
      <w:r w:rsidR="00DF75CC">
        <w:rPr>
          <w:rFonts w:ascii="Times New Roman" w:hAnsi="Times New Roman" w:cs="Times New Roman"/>
          <w:b/>
          <w:sz w:val="22"/>
          <w:szCs w:val="22"/>
        </w:rPr>
        <w:t xml:space="preserve">   «</w:t>
      </w:r>
      <w:proofErr w:type="gramEnd"/>
      <w:r w:rsidR="00DF75CC">
        <w:rPr>
          <w:rFonts w:ascii="Times New Roman" w:hAnsi="Times New Roman" w:cs="Times New Roman"/>
          <w:b/>
          <w:sz w:val="22"/>
          <w:szCs w:val="22"/>
        </w:rPr>
        <w:t>_____» ________ 2020</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D87909"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от </w:t>
      </w:r>
      <w:r w:rsidR="00D87909">
        <w:rPr>
          <w:rFonts w:ascii="Times New Roman" w:hAnsi="Times New Roman" w:cs="Times New Roman"/>
          <w:sz w:val="22"/>
          <w:szCs w:val="22"/>
        </w:rPr>
        <w:t>12.10</w:t>
      </w:r>
      <w:r w:rsidR="00FD7C2D">
        <w:rPr>
          <w:rFonts w:ascii="Times New Roman" w:hAnsi="Times New Roman" w:cs="Times New Roman"/>
          <w:sz w:val="22"/>
          <w:szCs w:val="22"/>
        </w:rPr>
        <w:t>.</w:t>
      </w:r>
      <w:r w:rsidR="00621226">
        <w:rPr>
          <w:rFonts w:ascii="Times New Roman" w:hAnsi="Times New Roman" w:cs="Times New Roman"/>
          <w:sz w:val="22"/>
          <w:szCs w:val="22"/>
        </w:rPr>
        <w:t>2020</w:t>
      </w:r>
      <w:r w:rsidRPr="00740167">
        <w:rPr>
          <w:rFonts w:ascii="Times New Roman" w:hAnsi="Times New Roman" w:cs="Times New Roman"/>
          <w:sz w:val="22"/>
          <w:szCs w:val="22"/>
        </w:rPr>
        <w:t xml:space="preserve">г., проведенной на основании </w:t>
      </w:r>
      <w:r w:rsidR="00D11CD7" w:rsidRPr="00D11CD7">
        <w:rPr>
          <w:rFonts w:ascii="Times New Roman" w:hAnsi="Times New Roman" w:cs="Times New Roman"/>
          <w:sz w:val="22"/>
          <w:szCs w:val="22"/>
        </w:rPr>
        <w:t xml:space="preserve">решения Думы города </w:t>
      </w:r>
      <w:proofErr w:type="spellStart"/>
      <w:r w:rsidR="00D11CD7" w:rsidRPr="00D11CD7">
        <w:rPr>
          <w:rFonts w:ascii="Times New Roman" w:hAnsi="Times New Roman" w:cs="Times New Roman"/>
          <w:sz w:val="22"/>
          <w:szCs w:val="22"/>
        </w:rPr>
        <w:t>Пыть-Яха</w:t>
      </w:r>
      <w:proofErr w:type="spellEnd"/>
      <w:r w:rsidR="00D11CD7" w:rsidRPr="00D11CD7">
        <w:rPr>
          <w:rFonts w:ascii="Times New Roman" w:hAnsi="Times New Roman" w:cs="Times New Roman"/>
          <w:sz w:val="22"/>
          <w:szCs w:val="22"/>
        </w:rPr>
        <w:t xml:space="preserve"> шестого созыва </w:t>
      </w:r>
      <w:r w:rsidR="00D87909" w:rsidRPr="00D87909">
        <w:rPr>
          <w:rFonts w:ascii="Times New Roman" w:hAnsi="Times New Roman" w:cs="Times New Roman"/>
          <w:sz w:val="22"/>
          <w:szCs w:val="22"/>
        </w:rPr>
        <w:t xml:space="preserve">№ 345 от 19.08.2020 «О внесении изменений в решение Думы города </w:t>
      </w:r>
      <w:proofErr w:type="spellStart"/>
      <w:r w:rsidR="00D87909" w:rsidRPr="00D87909">
        <w:rPr>
          <w:rFonts w:ascii="Times New Roman" w:hAnsi="Times New Roman" w:cs="Times New Roman"/>
          <w:sz w:val="22"/>
          <w:szCs w:val="22"/>
        </w:rPr>
        <w:t>Пыть-Яха</w:t>
      </w:r>
      <w:proofErr w:type="spellEnd"/>
      <w:r w:rsidR="00D87909" w:rsidRPr="00D87909">
        <w:rPr>
          <w:rFonts w:ascii="Times New Roman" w:hAnsi="Times New Roman" w:cs="Times New Roman"/>
          <w:sz w:val="22"/>
          <w:szCs w:val="22"/>
        </w:rPr>
        <w:t xml:space="preserve"> от 30.04.2020 № 317 «Об утверждении условий приватизации имущества, находящегося в собственности муниципального образования городской округ город </w:t>
      </w:r>
      <w:proofErr w:type="spellStart"/>
      <w:r w:rsidR="00D87909" w:rsidRPr="00D87909">
        <w:rPr>
          <w:rFonts w:ascii="Times New Roman" w:hAnsi="Times New Roman" w:cs="Times New Roman"/>
          <w:sz w:val="22"/>
          <w:szCs w:val="22"/>
        </w:rPr>
        <w:t>Пыть-Ях</w:t>
      </w:r>
      <w:proofErr w:type="spellEnd"/>
      <w:r w:rsidR="00D87909" w:rsidRPr="00D87909">
        <w:rPr>
          <w:rFonts w:ascii="Times New Roman" w:hAnsi="Times New Roman" w:cs="Times New Roman"/>
          <w:sz w:val="22"/>
          <w:szCs w:val="22"/>
        </w:rPr>
        <w:t>, на 2020 год»</w:t>
      </w:r>
      <w:r w:rsidRPr="00D87909">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740167" w:rsidRPr="00740167" w:rsidRDefault="00740167" w:rsidP="00621226">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sidR="00D87909">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о чем в Едином государственном реестре прав на</w:t>
      </w:r>
      <w:r w:rsidR="00D87909">
        <w:rPr>
          <w:rFonts w:ascii="Times New Roman" w:hAnsi="Times New Roman" w:cs="Times New Roman"/>
          <w:sz w:val="22"/>
          <w:szCs w:val="22"/>
        </w:rPr>
        <w:t xml:space="preserve"> недвижимое имущество и сделок с ним </w:t>
      </w:r>
      <w:r w:rsidRPr="00740167">
        <w:rPr>
          <w:rFonts w:ascii="Times New Roman" w:hAnsi="Times New Roman" w:cs="Times New Roman"/>
          <w:sz w:val="22"/>
          <w:szCs w:val="22"/>
        </w:rPr>
        <w:t xml:space="preserve">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sidR="00D87909">
        <w:rPr>
          <w:rFonts w:ascii="Times New Roman" w:hAnsi="Times New Roman" w:cs="Times New Roman"/>
          <w:sz w:val="22"/>
          <w:szCs w:val="22"/>
        </w:rPr>
        <w:t xml:space="preserve">, указанного </w:t>
      </w:r>
      <w:proofErr w:type="gramStart"/>
      <w:r w:rsidR="00D87909">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630A" w:rsidRPr="00740167" w:rsidRDefault="00740167"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740167" w:rsidRPr="00740167" w:rsidRDefault="00740167" w:rsidP="00740167">
      <w:pPr>
        <w:spacing w:after="0" w:line="240" w:lineRule="auto"/>
        <w:rPr>
          <w:sz w:val="22"/>
          <w:szCs w:val="22"/>
        </w:rPr>
      </w:pPr>
      <w:r w:rsidRPr="00740167">
        <w:rPr>
          <w:sz w:val="22"/>
          <w:szCs w:val="22"/>
        </w:rPr>
        <w:t>УФК по ХМАО – ЮГРЕ (</w:t>
      </w:r>
      <w:proofErr w:type="gramStart"/>
      <w:r w:rsidRPr="00740167">
        <w:rPr>
          <w:sz w:val="22"/>
          <w:szCs w:val="22"/>
        </w:rPr>
        <w:t>МКУ  Администрация</w:t>
      </w:r>
      <w:proofErr w:type="gramEnd"/>
      <w:r w:rsidRPr="00740167">
        <w:rPr>
          <w:sz w:val="22"/>
          <w:szCs w:val="22"/>
        </w:rPr>
        <w:t xml:space="preserve">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740167">
      <w:pPr>
        <w:spacing w:after="0" w:line="240" w:lineRule="auto"/>
        <w:rPr>
          <w:sz w:val="22"/>
          <w:szCs w:val="22"/>
        </w:rPr>
      </w:pPr>
      <w:r w:rsidRPr="00740167">
        <w:rPr>
          <w:sz w:val="22"/>
          <w:szCs w:val="22"/>
        </w:rPr>
        <w:t>ИНН 8612005313</w:t>
      </w:r>
    </w:p>
    <w:p w:rsidR="00740167" w:rsidRPr="00740167" w:rsidRDefault="00740167" w:rsidP="00740167">
      <w:pPr>
        <w:spacing w:after="0" w:line="240" w:lineRule="auto"/>
        <w:rPr>
          <w:sz w:val="22"/>
          <w:szCs w:val="22"/>
        </w:rPr>
      </w:pPr>
      <w:r w:rsidRPr="00740167">
        <w:rPr>
          <w:sz w:val="22"/>
          <w:szCs w:val="22"/>
        </w:rPr>
        <w:t>КПП 861201001</w:t>
      </w:r>
    </w:p>
    <w:p w:rsidR="00740167" w:rsidRPr="00740167" w:rsidRDefault="00740167" w:rsidP="00740167">
      <w:pPr>
        <w:spacing w:after="0" w:line="240" w:lineRule="auto"/>
        <w:rPr>
          <w:sz w:val="22"/>
          <w:szCs w:val="22"/>
        </w:rPr>
      </w:pPr>
      <w:r w:rsidRPr="00740167">
        <w:rPr>
          <w:sz w:val="22"/>
          <w:szCs w:val="22"/>
        </w:rPr>
        <w:t>ОКТМО – 71885000</w:t>
      </w:r>
    </w:p>
    <w:p w:rsidR="00740167" w:rsidRPr="00740167" w:rsidRDefault="00740167" w:rsidP="00740167">
      <w:pPr>
        <w:spacing w:after="0" w:line="240" w:lineRule="auto"/>
        <w:rPr>
          <w:sz w:val="22"/>
          <w:szCs w:val="22"/>
        </w:rPr>
      </w:pPr>
      <w:r w:rsidRPr="00740167">
        <w:rPr>
          <w:sz w:val="22"/>
          <w:szCs w:val="22"/>
        </w:rPr>
        <w:t>л/с 04873033440</w:t>
      </w:r>
    </w:p>
    <w:p w:rsidR="00740167" w:rsidRPr="00740167" w:rsidRDefault="00740167" w:rsidP="00740167">
      <w:pPr>
        <w:keepNext/>
        <w:spacing w:after="0" w:line="240" w:lineRule="auto"/>
        <w:outlineLvl w:val="1"/>
        <w:rPr>
          <w:sz w:val="22"/>
          <w:szCs w:val="22"/>
        </w:rPr>
      </w:pPr>
      <w:r w:rsidRPr="00740167">
        <w:rPr>
          <w:sz w:val="22"/>
          <w:szCs w:val="22"/>
        </w:rPr>
        <w:t>РКЦ ХАНТЫ-МАНСИЙСК г. ХАНТЫ-МАНСИЙСК</w:t>
      </w:r>
    </w:p>
    <w:p w:rsidR="00740167" w:rsidRPr="00740167" w:rsidRDefault="00740167" w:rsidP="00740167">
      <w:pPr>
        <w:spacing w:after="0" w:line="240" w:lineRule="auto"/>
        <w:rPr>
          <w:sz w:val="22"/>
          <w:szCs w:val="22"/>
        </w:rPr>
      </w:pPr>
      <w:r w:rsidRPr="00740167">
        <w:rPr>
          <w:sz w:val="22"/>
          <w:szCs w:val="22"/>
        </w:rPr>
        <w:t>БИК 047162000</w:t>
      </w:r>
    </w:p>
    <w:p w:rsidR="00740167" w:rsidRPr="00740167" w:rsidRDefault="00740167" w:rsidP="00740167">
      <w:pPr>
        <w:spacing w:after="0" w:line="240" w:lineRule="auto"/>
        <w:rPr>
          <w:sz w:val="22"/>
          <w:szCs w:val="22"/>
        </w:rPr>
      </w:pPr>
      <w:r w:rsidRPr="00740167">
        <w:rPr>
          <w:sz w:val="22"/>
          <w:szCs w:val="22"/>
        </w:rPr>
        <w:t>р/с 40101810565770510001</w:t>
      </w:r>
    </w:p>
    <w:p w:rsidR="00740167" w:rsidRDefault="00740167" w:rsidP="00740167">
      <w:pPr>
        <w:pStyle w:val="ConsNonformat"/>
        <w:widowControl/>
        <w:ind w:right="0"/>
        <w:rPr>
          <w:rFonts w:ascii="Times New Roman" w:hAnsi="Times New Roman" w:cs="Times New Roman"/>
          <w:sz w:val="22"/>
          <w:szCs w:val="22"/>
        </w:rPr>
      </w:pPr>
      <w:r w:rsidRPr="00740167">
        <w:rPr>
          <w:rFonts w:ascii="Times New Roman" w:hAnsi="Times New Roman" w:cs="Times New Roman"/>
          <w:sz w:val="22"/>
          <w:szCs w:val="22"/>
        </w:rPr>
        <w:t>КБК 040 114 02043 04 0000 410</w:t>
      </w:r>
    </w:p>
    <w:p w:rsidR="009B630A" w:rsidRPr="00740167" w:rsidRDefault="009B630A" w:rsidP="00740167">
      <w:pPr>
        <w:pStyle w:val="ConsNonformat"/>
        <w:widowControl/>
        <w:ind w:right="0"/>
        <w:rPr>
          <w:rFonts w:ascii="Times New Roman" w:hAnsi="Times New Roman" w:cs="Times New Roman"/>
          <w:sz w:val="22"/>
          <w:szCs w:val="22"/>
        </w:rPr>
      </w:pP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00D87909">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00D87909">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D87909">
      <w:pPr>
        <w:pStyle w:val="af4"/>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sidR="00D87909">
        <w:rPr>
          <w:rFonts w:ascii="Times New Roman" w:hAnsi="Times New Roman" w:cs="Times New Roman"/>
          <w:sz w:val="22"/>
          <w:szCs w:val="22"/>
        </w:rPr>
        <w:t xml:space="preserve">имущество </w:t>
      </w:r>
      <w:r w:rsidRPr="00740167">
        <w:rPr>
          <w:rFonts w:ascii="Times New Roman" w:hAnsi="Times New Roman" w:cs="Times New Roman"/>
          <w:sz w:val="22"/>
          <w:szCs w:val="22"/>
        </w:rPr>
        <w:t>переходит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740167">
      <w:pPr>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740167">
      <w:pPr>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740167">
      <w:pPr>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9B630A">
            <w:pPr>
              <w:spacing w:after="0" w:line="240" w:lineRule="auto"/>
              <w:rPr>
                <w:sz w:val="22"/>
                <w:szCs w:val="22"/>
              </w:rPr>
            </w:pPr>
            <w:r w:rsidRPr="00740167">
              <w:rPr>
                <w:sz w:val="22"/>
                <w:szCs w:val="22"/>
              </w:rPr>
              <w:t>Счет 40101810565770510001</w:t>
            </w:r>
          </w:p>
          <w:p w:rsidR="00740167" w:rsidRPr="00740167" w:rsidRDefault="00740167" w:rsidP="009B630A">
            <w:pPr>
              <w:pStyle w:val="2"/>
              <w:jc w:val="left"/>
              <w:rPr>
                <w:sz w:val="22"/>
                <w:szCs w:val="22"/>
              </w:rPr>
            </w:pPr>
            <w:r w:rsidRPr="00740167">
              <w:rPr>
                <w:sz w:val="22"/>
                <w:szCs w:val="22"/>
              </w:rPr>
              <w:t>В РКЦ г. Ханты-Мансийск</w:t>
            </w:r>
          </w:p>
          <w:p w:rsidR="00740167" w:rsidRPr="00740167" w:rsidRDefault="00740167" w:rsidP="009B630A">
            <w:pPr>
              <w:spacing w:after="0" w:line="240" w:lineRule="auto"/>
              <w:rPr>
                <w:sz w:val="22"/>
                <w:szCs w:val="22"/>
              </w:rPr>
            </w:pPr>
            <w:r w:rsidRPr="00740167">
              <w:rPr>
                <w:sz w:val="22"/>
                <w:szCs w:val="22"/>
              </w:rPr>
              <w:t>БИК 047162000</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4"/>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CF6" w:rsidRDefault="00751CF6" w:rsidP="00247A3F">
      <w:pPr>
        <w:spacing w:after="0" w:line="240" w:lineRule="auto"/>
      </w:pPr>
      <w:r>
        <w:separator/>
      </w:r>
    </w:p>
  </w:endnote>
  <w:endnote w:type="continuationSeparator" w:id="0">
    <w:p w:rsidR="00751CF6" w:rsidRDefault="00751CF6"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CF6" w:rsidRDefault="00751CF6" w:rsidP="00247A3F">
      <w:pPr>
        <w:spacing w:after="0" w:line="240" w:lineRule="auto"/>
      </w:pPr>
      <w:r>
        <w:separator/>
      </w:r>
    </w:p>
  </w:footnote>
  <w:footnote w:type="continuationSeparator" w:id="0">
    <w:p w:rsidR="00751CF6" w:rsidRDefault="00751CF6"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1166BA">
          <w:rPr>
            <w:noProof/>
            <w:sz w:val="20"/>
            <w:szCs w:val="20"/>
          </w:rPr>
          <w:t>2</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77A9"/>
    <w:rsid w:val="00030F3E"/>
    <w:rsid w:val="0003692E"/>
    <w:rsid w:val="00037268"/>
    <w:rsid w:val="000400F9"/>
    <w:rsid w:val="00041B80"/>
    <w:rsid w:val="00045D55"/>
    <w:rsid w:val="00051A73"/>
    <w:rsid w:val="0005463E"/>
    <w:rsid w:val="00055697"/>
    <w:rsid w:val="0006131F"/>
    <w:rsid w:val="0006412C"/>
    <w:rsid w:val="000657D3"/>
    <w:rsid w:val="00071BE5"/>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651F"/>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23BBF"/>
    <w:rsid w:val="00225009"/>
    <w:rsid w:val="002252A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8BA"/>
    <w:rsid w:val="002F432B"/>
    <w:rsid w:val="002F6187"/>
    <w:rsid w:val="00300342"/>
    <w:rsid w:val="003013EF"/>
    <w:rsid w:val="00302BFE"/>
    <w:rsid w:val="00321179"/>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4696"/>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E0181"/>
    <w:rsid w:val="006E058B"/>
    <w:rsid w:val="006E51B0"/>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1CF6"/>
    <w:rsid w:val="00752B21"/>
    <w:rsid w:val="00757D62"/>
    <w:rsid w:val="00762F0C"/>
    <w:rsid w:val="00763102"/>
    <w:rsid w:val="0076430E"/>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90265"/>
    <w:rsid w:val="008A021C"/>
    <w:rsid w:val="008A1ECF"/>
    <w:rsid w:val="008A3441"/>
    <w:rsid w:val="008A489C"/>
    <w:rsid w:val="008A69D3"/>
    <w:rsid w:val="008B04F1"/>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41742"/>
    <w:rsid w:val="0095029A"/>
    <w:rsid w:val="009554A4"/>
    <w:rsid w:val="00960A81"/>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C2849"/>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D0A56"/>
    <w:rsid w:val="00BD0BE4"/>
    <w:rsid w:val="00BD299E"/>
    <w:rsid w:val="00BD2FF0"/>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50D6A"/>
    <w:rsid w:val="00E5212F"/>
    <w:rsid w:val="00E54440"/>
    <w:rsid w:val="00E54EEF"/>
    <w:rsid w:val="00E5660C"/>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C1A9A"/>
    <w:rsid w:val="00EC38FB"/>
    <w:rsid w:val="00EC4EB9"/>
    <w:rsid w:val="00EC4F06"/>
    <w:rsid w:val="00EC70B3"/>
    <w:rsid w:val="00EC7D67"/>
    <w:rsid w:val="00ED4BE4"/>
    <w:rsid w:val="00ED70CA"/>
    <w:rsid w:val="00EE07D4"/>
    <w:rsid w:val="00EE1399"/>
    <w:rsid w:val="00EE70A3"/>
    <w:rsid w:val="00EE7462"/>
    <w:rsid w:val="00EF1F62"/>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70678"/>
    <w:rsid w:val="00F73D25"/>
    <w:rsid w:val="00F743BE"/>
    <w:rsid w:val="00F748AA"/>
    <w:rsid w:val="00F8006F"/>
    <w:rsid w:val="00F8428C"/>
    <w:rsid w:val="00F84353"/>
    <w:rsid w:val="00F84E55"/>
    <w:rsid w:val="00F8622F"/>
    <w:rsid w:val="00F927BF"/>
    <w:rsid w:val="00F93BAF"/>
    <w:rsid w:val="00FA04AB"/>
    <w:rsid w:val="00FA0A60"/>
    <w:rsid w:val="00FA1F13"/>
    <w:rsid w:val="00FA2518"/>
    <w:rsid w:val="00FA78B7"/>
    <w:rsid w:val="00FB0903"/>
    <w:rsid w:val="00FB15D6"/>
    <w:rsid w:val="00FB4702"/>
    <w:rsid w:val="00FB5340"/>
    <w:rsid w:val="00FC1A7F"/>
    <w:rsid w:val="00FC29D1"/>
    <w:rsid w:val="00FD4391"/>
    <w:rsid w:val="00FD5533"/>
    <w:rsid w:val="00FD7C2D"/>
    <w:rsid w:val="00FE15EF"/>
    <w:rsid w:val="00FE3297"/>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mailto:UrekiIV@gov8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AF776-0494-4B0F-96B4-E2E2C8E6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Pages>
  <Words>4645</Words>
  <Characters>26480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40</cp:revision>
  <cp:lastPrinted>2019-04-11T05:42:00Z</cp:lastPrinted>
  <dcterms:created xsi:type="dcterms:W3CDTF">2019-06-18T06:05:00Z</dcterms:created>
  <dcterms:modified xsi:type="dcterms:W3CDTF">2020-09-04T07:46:00Z</dcterms:modified>
</cp:coreProperties>
</file>