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EE" w:rsidRPr="00CE420B" w:rsidRDefault="00C31044" w:rsidP="006B2390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EE" w:rsidRPr="00CE420B" w:rsidRDefault="00C525EE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C525EE" w:rsidRPr="00CE420B" w:rsidRDefault="00C525EE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C525EE" w:rsidRPr="00CE420B" w:rsidRDefault="00C525EE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C525EE" w:rsidRPr="00CE420B" w:rsidRDefault="00C525EE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C525EE" w:rsidRPr="00CE420B" w:rsidRDefault="00C525EE" w:rsidP="006B2390">
      <w:pPr>
        <w:jc w:val="center"/>
        <w:rPr>
          <w:sz w:val="36"/>
          <w:szCs w:val="36"/>
        </w:rPr>
      </w:pPr>
    </w:p>
    <w:p w:rsidR="00C525EE" w:rsidRPr="00CE420B" w:rsidRDefault="00C525EE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C525EE" w:rsidRPr="00CE420B" w:rsidRDefault="00C525EE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525EE" w:rsidRDefault="00C525EE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525EE" w:rsidRPr="00CE420B" w:rsidRDefault="00C525EE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525EE" w:rsidRPr="002E29ED" w:rsidRDefault="00C525EE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О внесении изменений в </w:t>
      </w:r>
    </w:p>
    <w:p w:rsidR="00C525EE" w:rsidRPr="002E29ED" w:rsidRDefault="00C525EE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постановление администрации </w:t>
      </w:r>
    </w:p>
    <w:p w:rsidR="00C525EE" w:rsidRPr="002E29ED" w:rsidRDefault="00C525EE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</w:p>
    <w:p w:rsidR="00C525EE" w:rsidRPr="00CE420B" w:rsidRDefault="00C525EE" w:rsidP="003B031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</w:p>
    <w:p w:rsidR="00C525EE" w:rsidRPr="00CE420B" w:rsidRDefault="00C525EE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программы  «Обеспечение доступным </w:t>
      </w:r>
    </w:p>
    <w:p w:rsidR="00C525EE" w:rsidRPr="00CE420B" w:rsidRDefault="00C525EE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и комфортным  жильем жителей </w:t>
      </w:r>
    </w:p>
    <w:p w:rsidR="00C525EE" w:rsidRPr="00CE420B" w:rsidRDefault="00C525EE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муниципального образования </w:t>
      </w:r>
    </w:p>
    <w:p w:rsidR="00C525EE" w:rsidRPr="00CE420B" w:rsidRDefault="00C525EE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городской округ город </w:t>
      </w:r>
    </w:p>
    <w:p w:rsidR="00C525EE" w:rsidRPr="00CE420B" w:rsidRDefault="00C525EE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>Пыть-Ях в 2018-2025 годах и</w:t>
      </w:r>
    </w:p>
    <w:p w:rsidR="00C525EE" w:rsidRDefault="00C525EE" w:rsidP="003B0314">
      <w:pPr>
        <w:jc w:val="both"/>
        <w:rPr>
          <w:sz w:val="28"/>
          <w:szCs w:val="28"/>
        </w:rPr>
      </w:pPr>
      <w:r w:rsidRPr="00CE420B">
        <w:rPr>
          <w:sz w:val="28"/>
          <w:szCs w:val="28"/>
        </w:rPr>
        <w:t>на период до 2030 года»</w:t>
      </w:r>
    </w:p>
    <w:p w:rsidR="00C525EE" w:rsidRDefault="00C525EE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17.04.2018 № 74-па,</w:t>
      </w:r>
    </w:p>
    <w:p w:rsidR="00C525EE" w:rsidRPr="00CE420B" w:rsidRDefault="00C525EE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23.08.2018 № 256-па)</w:t>
      </w:r>
    </w:p>
    <w:p w:rsidR="00C525EE" w:rsidRPr="00CE420B" w:rsidRDefault="00C525EE" w:rsidP="003B0314">
      <w:pPr>
        <w:jc w:val="both"/>
        <w:rPr>
          <w:sz w:val="28"/>
          <w:szCs w:val="28"/>
        </w:rPr>
      </w:pPr>
    </w:p>
    <w:p w:rsidR="00C525EE" w:rsidRPr="00CE420B" w:rsidRDefault="00C525EE" w:rsidP="003B0314">
      <w:pPr>
        <w:jc w:val="both"/>
        <w:rPr>
          <w:sz w:val="28"/>
          <w:szCs w:val="28"/>
        </w:rPr>
      </w:pPr>
    </w:p>
    <w:p w:rsidR="00C525EE" w:rsidRPr="00CE420B" w:rsidRDefault="00C525EE" w:rsidP="003B0314">
      <w:pPr>
        <w:jc w:val="both"/>
        <w:rPr>
          <w:sz w:val="28"/>
          <w:szCs w:val="28"/>
        </w:rPr>
      </w:pPr>
    </w:p>
    <w:p w:rsidR="00C525EE" w:rsidRPr="00403BCF" w:rsidRDefault="00C525EE" w:rsidP="00403BCF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420B">
        <w:rPr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09.10.2013 № 408-п «</w:t>
      </w:r>
      <w:r w:rsidRPr="00CE420B">
        <w:rPr>
          <w:bCs/>
          <w:sz w:val="28"/>
          <w:szCs w:val="28"/>
        </w:rPr>
        <w:t xml:space="preserve">О государственной программе Ханты-Мансийского автономного округа - Югры «Обеспечение доступным и комфортным жильем жителей Ханты-Мансийского автономного округа - Югры в 2018-2025 годах и на период до 2030 года», </w:t>
      </w:r>
      <w:r w:rsidRPr="00290B4D">
        <w:rPr>
          <w:sz w:val="28"/>
          <w:szCs w:val="28"/>
        </w:rPr>
        <w:t xml:space="preserve">постановлением администрации города от </w:t>
      </w:r>
      <w:r w:rsidRPr="00B507C4">
        <w:rPr>
          <w:sz w:val="28"/>
          <w:szCs w:val="28"/>
        </w:rPr>
        <w:t xml:space="preserve"> 21.08.2013 № 184-па «О муниципальных и ведомственных целевых программах муниципального образования городской округ город Пыть-Ях»</w:t>
      </w:r>
      <w:r w:rsidRPr="00CE420B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Думы</w:t>
      </w:r>
      <w:r w:rsidRPr="00CE420B">
        <w:rPr>
          <w:sz w:val="28"/>
          <w:szCs w:val="28"/>
        </w:rPr>
        <w:t xml:space="preserve"> города о</w:t>
      </w:r>
      <w:r>
        <w:rPr>
          <w:sz w:val="28"/>
          <w:szCs w:val="28"/>
        </w:rPr>
        <w:t>т 20</w:t>
      </w:r>
      <w:r w:rsidRPr="00CE420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E420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20B">
        <w:rPr>
          <w:sz w:val="28"/>
          <w:szCs w:val="28"/>
        </w:rPr>
        <w:t xml:space="preserve"> № 1</w:t>
      </w:r>
      <w:r>
        <w:rPr>
          <w:sz w:val="28"/>
          <w:szCs w:val="28"/>
        </w:rPr>
        <w:t>72</w:t>
      </w:r>
      <w:r w:rsidRPr="00CE420B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решение Думы города Пыть-Яха от 21.12.2017 № 129 «О бюджете города Пыть-Яха на </w:t>
      </w:r>
      <w:r>
        <w:rPr>
          <w:sz w:val="28"/>
          <w:szCs w:val="28"/>
        </w:rPr>
        <w:lastRenderedPageBreak/>
        <w:t>2018 год и на плановый период 2019 и 2020 годов», внести в постановление</w:t>
      </w:r>
      <w:r w:rsidRPr="00403BCF"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  <w:r>
        <w:rPr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программы  «Обеспечение доступным и комфортным  жильем жителей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муниципального образования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городской округ город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>Пыть-Ях в 2018-2025 годах и</w:t>
      </w:r>
      <w:r>
        <w:rPr>
          <w:spacing w:val="-10"/>
          <w:sz w:val="28"/>
          <w:szCs w:val="28"/>
        </w:rPr>
        <w:t xml:space="preserve"> </w:t>
      </w:r>
      <w:r w:rsidRPr="00CE420B">
        <w:rPr>
          <w:sz w:val="28"/>
          <w:szCs w:val="28"/>
        </w:rPr>
        <w:t>на период до 2030 года»</w:t>
      </w:r>
      <w:r>
        <w:rPr>
          <w:sz w:val="28"/>
          <w:szCs w:val="28"/>
        </w:rPr>
        <w:t xml:space="preserve"> следующие изменения:</w:t>
      </w:r>
    </w:p>
    <w:p w:rsidR="00C525EE" w:rsidRPr="00CE420B" w:rsidRDefault="00C525EE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C525EE" w:rsidRDefault="00C525EE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C525EE" w:rsidRPr="00CE420B" w:rsidRDefault="00C525EE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C525EE" w:rsidRPr="00C35C9E" w:rsidRDefault="00C525EE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525EE" w:rsidRDefault="00C525EE" w:rsidP="000345E9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Пункты 6, 8 строки «Целевые показатели муниципальной программы»,  с</w:t>
      </w:r>
      <w:r w:rsidRPr="00C35C9E">
        <w:rPr>
          <w:sz w:val="28"/>
          <w:szCs w:val="28"/>
        </w:rPr>
        <w:t>троку «Финансовое обеспечение муниципальной программы» паспорта муниципальной программы изложить в следующей редакции: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240"/>
      </w:tblGrid>
      <w:tr w:rsidR="00C525EE" w:rsidRPr="00C35C9E" w:rsidTr="00B973B3">
        <w:trPr>
          <w:trHeight w:val="397"/>
        </w:trPr>
        <w:tc>
          <w:tcPr>
            <w:tcW w:w="9348" w:type="dxa"/>
            <w:gridSpan w:val="2"/>
          </w:tcPr>
          <w:p w:rsidR="00C525EE" w:rsidRPr="00C35C9E" w:rsidRDefault="00C525EE" w:rsidP="00B973B3">
            <w:pPr>
              <w:ind w:right="252"/>
              <w:jc w:val="center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Паспорт муниципальной программы</w:t>
            </w:r>
          </w:p>
        </w:tc>
      </w:tr>
      <w:tr w:rsidR="00C525EE" w:rsidRPr="00B507C4" w:rsidTr="00B973B3">
        <w:tc>
          <w:tcPr>
            <w:tcW w:w="3108" w:type="dxa"/>
          </w:tcPr>
          <w:p w:rsidR="00C525EE" w:rsidRPr="00B507C4" w:rsidRDefault="00C525EE" w:rsidP="00B507C4">
            <w:pPr>
              <w:rPr>
                <w:sz w:val="26"/>
                <w:szCs w:val="26"/>
              </w:rPr>
            </w:pPr>
            <w:r w:rsidRPr="00B507C4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C525EE" w:rsidRPr="00B507C4" w:rsidRDefault="00C525EE" w:rsidP="00B507C4">
            <w:pPr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C525EE" w:rsidRPr="00B507C4" w:rsidRDefault="00C525EE" w:rsidP="00B507C4">
            <w:pPr>
              <w:rPr>
                <w:sz w:val="26"/>
                <w:szCs w:val="26"/>
              </w:rPr>
            </w:pPr>
            <w:r w:rsidRPr="00B507C4">
              <w:rPr>
                <w:sz w:val="26"/>
                <w:szCs w:val="26"/>
              </w:rPr>
              <w:t>6. Снижение удельного веса ветхого и аварийного жилищного фонда во всем жилищном фонде, % с 7,0 до 2,4.</w:t>
            </w:r>
          </w:p>
          <w:p w:rsidR="00C525EE" w:rsidRPr="00B507C4" w:rsidRDefault="00C525EE" w:rsidP="00B507C4">
            <w:pPr>
              <w:ind w:right="252"/>
              <w:rPr>
                <w:sz w:val="26"/>
                <w:szCs w:val="26"/>
              </w:rPr>
            </w:pPr>
            <w:r w:rsidRPr="00B507C4">
              <w:rPr>
                <w:sz w:val="26"/>
                <w:szCs w:val="26"/>
              </w:rPr>
              <w:t>8. Увеличение доли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% с 15 до 38,4.</w:t>
            </w:r>
          </w:p>
          <w:p w:rsidR="00C525EE" w:rsidRPr="00B507C4" w:rsidRDefault="00C525EE" w:rsidP="00B507C4">
            <w:pPr>
              <w:ind w:right="252"/>
              <w:rPr>
                <w:sz w:val="26"/>
                <w:szCs w:val="26"/>
              </w:rPr>
            </w:pPr>
          </w:p>
        </w:tc>
      </w:tr>
      <w:tr w:rsidR="00C525EE" w:rsidRPr="00C35C9E" w:rsidTr="00A92CDE">
        <w:tc>
          <w:tcPr>
            <w:tcW w:w="3108" w:type="dxa"/>
          </w:tcPr>
          <w:p w:rsidR="00C525EE" w:rsidRPr="00C35C9E" w:rsidRDefault="00C525EE" w:rsidP="00A92CDE">
            <w:pPr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Финансовое обеспечение муниципальной программы</w:t>
            </w:r>
          </w:p>
          <w:p w:rsidR="00C525EE" w:rsidRPr="00C35C9E" w:rsidRDefault="00C525EE" w:rsidP="00A92CDE">
            <w:pPr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C525EE" w:rsidRPr="00C35C9E" w:rsidRDefault="00C525EE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Общий объем финансирования муниципальной программы  на  2018 – 2030   годы   составляет 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1 132 736,0  тыс. руб., в том числе: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132"/>
              <w:rPr>
                <w:sz w:val="26"/>
                <w:szCs w:val="26"/>
              </w:rPr>
            </w:pP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448 456,2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58 467,8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60 513,0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56 184,9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57 184,9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56 184,9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56 184,9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56 184,9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283 374,5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Из них:</w:t>
            </w:r>
          </w:p>
          <w:p w:rsidR="00C525EE" w:rsidRPr="00C35C9E" w:rsidRDefault="00C525EE" w:rsidP="000345E9">
            <w:pPr>
              <w:widowControl w:val="0"/>
              <w:numPr>
                <w:ilvl w:val="0"/>
                <w:numId w:val="3"/>
              </w:numPr>
              <w:pBdr>
                <w:right w:val="single" w:sz="4" w:space="4" w:color="auto"/>
              </w:pBd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 xml:space="preserve">Средства муниципального бюджета, всего </w:t>
            </w:r>
          </w:p>
          <w:p w:rsidR="00C525EE" w:rsidRPr="00C35C9E" w:rsidRDefault="00C525EE" w:rsidP="00A92CDE">
            <w:pPr>
              <w:widowControl w:val="0"/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412 927,4 тыс. рублей, в том числе: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81 379,1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lastRenderedPageBreak/>
              <w:t>на 2019 год – 28 597,2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29 000,1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27 050,1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28 050,1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27 050,1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27 050,1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27 050,1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137 700,5  тыс. рублей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</w:p>
          <w:p w:rsidR="00C525EE" w:rsidRPr="00C35C9E" w:rsidRDefault="00C525EE" w:rsidP="000345E9">
            <w:pPr>
              <w:widowControl w:val="0"/>
              <w:numPr>
                <w:ilvl w:val="0"/>
                <w:numId w:val="3"/>
              </w:numPr>
              <w:pBdr>
                <w:right w:val="single" w:sz="4" w:space="4" w:color="auto"/>
              </w:pBd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Средства бюджета Ханты-Мансийского автономного округа - Югры, всего 710 707,7 тыс. рублей, в том числе: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362 732,5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27 492,4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29 134,8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29 134,8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29 134,8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29 134,8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29 134,8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29 134,8  тыс. рублей;</w:t>
            </w:r>
          </w:p>
          <w:p w:rsidR="00C525EE" w:rsidRPr="00C35C9E" w:rsidRDefault="00C525EE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145 674,0  тыс. рублей</w:t>
            </w:r>
          </w:p>
          <w:p w:rsidR="00C525EE" w:rsidRPr="00C35C9E" w:rsidRDefault="00C525EE" w:rsidP="00A92CDE">
            <w:pPr>
              <w:ind w:right="-108"/>
              <w:rPr>
                <w:sz w:val="26"/>
                <w:szCs w:val="26"/>
              </w:rPr>
            </w:pPr>
          </w:p>
          <w:p w:rsidR="00C525EE" w:rsidRPr="00C35C9E" w:rsidRDefault="00C525EE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Средства федерального бюджета, всего 9 100,9 тыс. рублей, в том числе: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4 344,6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2 378,2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2 378,1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C525EE" w:rsidRPr="00C35C9E" w:rsidRDefault="00C525EE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  <w:p w:rsidR="00C525EE" w:rsidRPr="00C35C9E" w:rsidRDefault="00C525EE" w:rsidP="00A92CDE">
            <w:pPr>
              <w:ind w:right="-108"/>
              <w:rPr>
                <w:sz w:val="26"/>
                <w:szCs w:val="26"/>
              </w:rPr>
            </w:pPr>
          </w:p>
          <w:p w:rsidR="00C525EE" w:rsidRPr="00C35C9E" w:rsidRDefault="00C525EE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Средства программы «Сотрудничество», всего 0 тыс. рублей, в том числе: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2018 год – 0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0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C525EE" w:rsidRPr="00C35C9E" w:rsidRDefault="00C525EE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  <w:p w:rsidR="00C525EE" w:rsidRPr="00C35C9E" w:rsidRDefault="00C525EE" w:rsidP="00A92CDE">
            <w:pPr>
              <w:ind w:right="-108"/>
              <w:rPr>
                <w:sz w:val="26"/>
                <w:szCs w:val="26"/>
              </w:rPr>
            </w:pPr>
          </w:p>
          <w:p w:rsidR="00C525EE" w:rsidRPr="00C35C9E" w:rsidRDefault="00C525EE" w:rsidP="000345E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27"/>
              <w:jc w:val="both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Иные внебюджетные источники, всего 0 тыс. рублей, в том числе: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lastRenderedPageBreak/>
              <w:t>на 2018 год – 0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2019 год – 0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2020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2021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2022 год - 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2023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2024 год – 0  тыс. рублей;</w:t>
            </w:r>
          </w:p>
          <w:p w:rsidR="00C525EE" w:rsidRPr="00C35C9E" w:rsidRDefault="00C525EE" w:rsidP="00A92CDE">
            <w:pPr>
              <w:pBdr>
                <w:right w:val="single" w:sz="4" w:space="4" w:color="auto"/>
              </w:pBd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2025 год -  0  тыс. рублей;</w:t>
            </w:r>
          </w:p>
          <w:p w:rsidR="00C525EE" w:rsidRPr="00C35C9E" w:rsidRDefault="00C525EE" w:rsidP="00A92CDE">
            <w:pPr>
              <w:ind w:right="-108"/>
              <w:rPr>
                <w:sz w:val="26"/>
                <w:szCs w:val="26"/>
              </w:rPr>
            </w:pPr>
            <w:r w:rsidRPr="00C35C9E">
              <w:rPr>
                <w:sz w:val="26"/>
                <w:szCs w:val="26"/>
              </w:rPr>
              <w:t>на 2026-2030 годы -  0  тыс. рублей</w:t>
            </w:r>
          </w:p>
        </w:tc>
      </w:tr>
    </w:tbl>
    <w:p w:rsidR="00C525EE" w:rsidRPr="00C35C9E" w:rsidRDefault="00C525EE" w:rsidP="000345E9">
      <w:pPr>
        <w:spacing w:line="360" w:lineRule="auto"/>
        <w:ind w:firstLine="567"/>
        <w:jc w:val="both"/>
        <w:rPr>
          <w:sz w:val="28"/>
          <w:szCs w:val="28"/>
        </w:rPr>
      </w:pPr>
    </w:p>
    <w:p w:rsidR="00C525EE" w:rsidRPr="00C35C9E" w:rsidRDefault="00C525EE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1.2. Пункты 6,  8   приложения № 2 к приложению изложить в новой редакции согласно приложению № 1.</w:t>
      </w:r>
    </w:p>
    <w:p w:rsidR="00C525EE" w:rsidRPr="00C35C9E" w:rsidRDefault="00C525EE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 xml:space="preserve">1.3. Пункты </w:t>
      </w:r>
      <w:r>
        <w:rPr>
          <w:sz w:val="28"/>
          <w:szCs w:val="28"/>
        </w:rPr>
        <w:t>1.1.2</w:t>
      </w:r>
      <w:r w:rsidRPr="0029388C">
        <w:rPr>
          <w:sz w:val="28"/>
          <w:szCs w:val="28"/>
        </w:rPr>
        <w:t xml:space="preserve"> </w:t>
      </w:r>
      <w:r w:rsidRPr="00C35C9E">
        <w:rPr>
          <w:sz w:val="28"/>
          <w:szCs w:val="28"/>
        </w:rPr>
        <w:t xml:space="preserve">подпрограммы </w:t>
      </w:r>
      <w:r w:rsidRPr="00C35C9E">
        <w:rPr>
          <w:sz w:val="28"/>
          <w:szCs w:val="28"/>
          <w:lang w:val="en-US"/>
        </w:rPr>
        <w:t>I</w:t>
      </w:r>
      <w:r w:rsidRPr="00C35C9E">
        <w:rPr>
          <w:sz w:val="28"/>
          <w:szCs w:val="28"/>
        </w:rPr>
        <w:t xml:space="preserve">, строку «Итого по подпрограмме </w:t>
      </w:r>
      <w:r w:rsidRPr="00C35C9E">
        <w:rPr>
          <w:sz w:val="28"/>
          <w:szCs w:val="28"/>
          <w:lang w:val="en-US"/>
        </w:rPr>
        <w:t>I</w:t>
      </w:r>
      <w:r w:rsidRPr="00C35C9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35C9E">
        <w:rPr>
          <w:sz w:val="28"/>
          <w:szCs w:val="28"/>
        </w:rPr>
        <w:t xml:space="preserve">пункт 2.1 подпрограммы </w:t>
      </w:r>
      <w:r w:rsidRPr="00C35C9E">
        <w:rPr>
          <w:sz w:val="28"/>
          <w:szCs w:val="28"/>
          <w:lang w:val="en-US"/>
        </w:rPr>
        <w:t>II</w:t>
      </w:r>
      <w:r w:rsidRPr="00C35C9E">
        <w:rPr>
          <w:sz w:val="28"/>
          <w:szCs w:val="28"/>
        </w:rPr>
        <w:t xml:space="preserve">, строку «Итого по подпрограмме </w:t>
      </w:r>
      <w:r w:rsidRPr="00C35C9E">
        <w:rPr>
          <w:sz w:val="28"/>
          <w:szCs w:val="28"/>
          <w:lang w:val="en-US"/>
        </w:rPr>
        <w:t>II</w:t>
      </w:r>
      <w:r w:rsidRPr="00C35C9E">
        <w:rPr>
          <w:sz w:val="28"/>
          <w:szCs w:val="28"/>
        </w:rPr>
        <w:t xml:space="preserve">», пункты 3.1, 3.4 подпрограммы </w:t>
      </w:r>
      <w:r w:rsidRPr="00C35C9E">
        <w:rPr>
          <w:sz w:val="28"/>
          <w:szCs w:val="28"/>
          <w:lang w:val="en-US"/>
        </w:rPr>
        <w:t>III</w:t>
      </w:r>
      <w:r w:rsidRPr="00C35C9E">
        <w:rPr>
          <w:sz w:val="28"/>
          <w:szCs w:val="28"/>
        </w:rPr>
        <w:t xml:space="preserve">, строки «Итого по подпрограмме </w:t>
      </w:r>
      <w:r w:rsidRPr="00C35C9E">
        <w:rPr>
          <w:sz w:val="28"/>
          <w:szCs w:val="28"/>
          <w:lang w:val="en-US"/>
        </w:rPr>
        <w:t>III</w:t>
      </w:r>
      <w:r w:rsidRPr="00C35C9E">
        <w:rPr>
          <w:sz w:val="28"/>
          <w:szCs w:val="28"/>
        </w:rPr>
        <w:t xml:space="preserve">», «Всего по муниципальной программе», «Прочие расходы», «Ответственный исполнитель» приложения № 3 к приложению изложить в новой редакции согласно приложению № 2. </w:t>
      </w:r>
    </w:p>
    <w:p w:rsidR="00C525EE" w:rsidRDefault="00C525EE" w:rsidP="00C35C9E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приложении 5 к приложению к постановлению:</w:t>
      </w:r>
    </w:p>
    <w:p w:rsidR="00C525EE" w:rsidRDefault="00C525EE" w:rsidP="00C35C9E">
      <w:pPr>
        <w:numPr>
          <w:ilvl w:val="2"/>
          <w:numId w:val="4"/>
        </w:numPr>
        <w:autoSpaceDE w:val="0"/>
        <w:autoSpaceDN w:val="0"/>
        <w:adjustRightInd w:val="0"/>
        <w:spacing w:line="360" w:lineRule="auto"/>
        <w:ind w:hanging="137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Пункт 3.6.10. изложить в следующей редакции:</w:t>
      </w:r>
    </w:p>
    <w:p w:rsidR="00C525EE" w:rsidRDefault="00C525EE" w:rsidP="00C35C9E">
      <w:pPr>
        <w:autoSpaceDE w:val="0"/>
        <w:autoSpaceDN w:val="0"/>
        <w:adjustRightInd w:val="0"/>
        <w:spacing w:line="360" w:lineRule="auto"/>
        <w:ind w:firstLine="68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Pr="002B6A39">
        <w:rPr>
          <w:spacing w:val="-10"/>
          <w:sz w:val="28"/>
          <w:szCs w:val="28"/>
        </w:rPr>
        <w:t>3.6.10. Временное строение обременено правами 3-х лиц (является их местом жительства)</w:t>
      </w:r>
      <w:r>
        <w:rPr>
          <w:spacing w:val="-10"/>
          <w:sz w:val="28"/>
          <w:szCs w:val="28"/>
        </w:rPr>
        <w:t>».</w:t>
      </w:r>
    </w:p>
    <w:p w:rsidR="00C525EE" w:rsidRPr="002B6A39" w:rsidRDefault="00C525EE" w:rsidP="00C35C9E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Pr="00F12E75">
        <w:rPr>
          <w:sz w:val="28"/>
          <w:szCs w:val="28"/>
        </w:rPr>
        <w:t>.</w:t>
      </w:r>
      <w:r w:rsidRPr="00F12E75">
        <w:rPr>
          <w:sz w:val="28"/>
          <w:szCs w:val="28"/>
        </w:rPr>
        <w:tab/>
      </w:r>
      <w:r>
        <w:rPr>
          <w:sz w:val="28"/>
          <w:szCs w:val="28"/>
        </w:rPr>
        <w:t>Пункт 4.2.2. дополнить абзацем следующего содержания:</w:t>
      </w:r>
    </w:p>
    <w:p w:rsidR="00C525EE" w:rsidRDefault="00C525EE" w:rsidP="00C35C9E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«В случае, если предоставляемое по договору коммерческого найма жилое помещение представляет собой одну комнату или однокомнатную квартиру, общая площадь предоставляемого жилого помещения может превышать установленную в настоящем пункте расчетную площадь, но не превышать норму предоставления</w:t>
      </w:r>
      <w:r w:rsidRPr="000C526F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площади жилого помещения, установленную на территории города Пыть-Яха</w:t>
      </w:r>
      <w:r w:rsidRPr="00C85332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предоставления жилья по договору социального найма, более чем в два раза.»</w:t>
      </w:r>
    </w:p>
    <w:p w:rsidR="00C525EE" w:rsidRPr="00A25B01" w:rsidRDefault="00C525EE" w:rsidP="00C35C9E">
      <w:pPr>
        <w:spacing w:line="360" w:lineRule="auto"/>
        <w:ind w:firstLine="709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C35C9E">
        <w:rPr>
          <w:sz w:val="28"/>
          <w:szCs w:val="28"/>
        </w:rPr>
        <w:t xml:space="preserve">. Пункты </w:t>
      </w:r>
      <w:r>
        <w:rPr>
          <w:sz w:val="28"/>
          <w:szCs w:val="28"/>
        </w:rPr>
        <w:t xml:space="preserve">1, </w:t>
      </w:r>
      <w:r w:rsidRPr="00C35C9E">
        <w:rPr>
          <w:sz w:val="28"/>
          <w:szCs w:val="28"/>
        </w:rPr>
        <w:t>4, 6 приложения № 6 к приложению  изложить в новой редакции согласно приложению № 3.</w:t>
      </w:r>
    </w:p>
    <w:p w:rsidR="00C525EE" w:rsidRPr="00427FB9" w:rsidRDefault="00C525EE" w:rsidP="002B6A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FB9">
        <w:rPr>
          <w:sz w:val="28"/>
          <w:szCs w:val="28"/>
        </w:rPr>
        <w:t xml:space="preserve">Отделу по наградам, связям с общественными организациями и СМИ </w:t>
      </w:r>
      <w:r w:rsidRPr="00427FB9">
        <w:rPr>
          <w:sz w:val="28"/>
          <w:szCs w:val="28"/>
        </w:rPr>
        <w:lastRenderedPageBreak/>
        <w:t>управления делами (О.В. Кулиш)  опубликовать постановление в печатном средстве массовой информации «Официальный вестник».</w:t>
      </w:r>
    </w:p>
    <w:p w:rsidR="00C525EE" w:rsidRPr="00427FB9" w:rsidRDefault="00C525EE" w:rsidP="002B6A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525EE" w:rsidRPr="00427FB9" w:rsidRDefault="00C525EE" w:rsidP="002B6A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C525EE" w:rsidRDefault="00C525EE" w:rsidP="002875F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Контроль за выполнением постановления возложить на</w:t>
      </w:r>
      <w:r>
        <w:rPr>
          <w:sz w:val="28"/>
          <w:szCs w:val="28"/>
        </w:rPr>
        <w:t xml:space="preserve"> </w:t>
      </w:r>
      <w:r w:rsidRPr="00427FB9">
        <w:rPr>
          <w:sz w:val="28"/>
          <w:szCs w:val="28"/>
        </w:rPr>
        <w:t xml:space="preserve">                 п</w:t>
      </w:r>
      <w:r>
        <w:rPr>
          <w:sz w:val="28"/>
          <w:szCs w:val="28"/>
        </w:rPr>
        <w:t>ервого заместителя главы города.</w:t>
      </w:r>
    </w:p>
    <w:p w:rsidR="00C525EE" w:rsidRDefault="00C525EE" w:rsidP="003B0314">
      <w:pPr>
        <w:jc w:val="both"/>
        <w:rPr>
          <w:sz w:val="28"/>
          <w:szCs w:val="28"/>
        </w:rPr>
      </w:pPr>
    </w:p>
    <w:p w:rsidR="00C525EE" w:rsidRDefault="00C525EE" w:rsidP="003B0314">
      <w:pPr>
        <w:jc w:val="both"/>
        <w:rPr>
          <w:sz w:val="28"/>
          <w:szCs w:val="28"/>
        </w:rPr>
      </w:pPr>
    </w:p>
    <w:p w:rsidR="00C525EE" w:rsidRPr="00CE420B" w:rsidRDefault="00C525EE" w:rsidP="003B0314">
      <w:pPr>
        <w:jc w:val="both"/>
        <w:rPr>
          <w:sz w:val="28"/>
          <w:szCs w:val="28"/>
        </w:rPr>
      </w:pPr>
    </w:p>
    <w:p w:rsidR="00C525EE" w:rsidRDefault="00C525EE" w:rsidP="003B0314">
      <w:pPr>
        <w:pStyle w:val="ae"/>
        <w:jc w:val="left"/>
      </w:pPr>
      <w:r>
        <w:t>И.о. главы города 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А.Н. Морозов</w:t>
      </w: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>
      <w:pPr>
        <w:rPr>
          <w:rFonts w:ascii="Arial" w:hAnsi="Arial" w:cs="Arial"/>
          <w:sz w:val="20"/>
          <w:szCs w:val="20"/>
        </w:rPr>
        <w:sectPr w:rsidR="00C525EE" w:rsidSect="001277A5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  <w:bookmarkStart w:id="1" w:name="RANGE!A1:M21"/>
      <w:bookmarkEnd w:id="1"/>
    </w:p>
    <w:tbl>
      <w:tblPr>
        <w:tblW w:w="15440" w:type="dxa"/>
        <w:tblInd w:w="108" w:type="dxa"/>
        <w:tblLook w:val="00A0" w:firstRow="1" w:lastRow="0" w:firstColumn="1" w:lastColumn="0" w:noHBand="0" w:noVBand="0"/>
      </w:tblPr>
      <w:tblGrid>
        <w:gridCol w:w="620"/>
        <w:gridCol w:w="4960"/>
        <w:gridCol w:w="1843"/>
        <w:gridCol w:w="780"/>
        <w:gridCol w:w="760"/>
        <w:gridCol w:w="736"/>
        <w:gridCol w:w="698"/>
        <w:gridCol w:w="816"/>
        <w:gridCol w:w="796"/>
        <w:gridCol w:w="776"/>
        <w:gridCol w:w="874"/>
        <w:gridCol w:w="1987"/>
      </w:tblGrid>
      <w:tr w:rsidR="00C525EE" w:rsidTr="00DB17A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jc w:val="right"/>
            </w:pPr>
            <w:r>
              <w:t xml:space="preserve">Приложение №1 </w:t>
            </w:r>
          </w:p>
        </w:tc>
      </w:tr>
      <w:tr w:rsidR="00C525EE" w:rsidTr="00DB17A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jc w:val="right"/>
            </w:pPr>
            <w:r>
              <w:t>к постановлению администрации</w:t>
            </w:r>
          </w:p>
        </w:tc>
      </w:tr>
      <w:tr w:rsidR="00C525EE" w:rsidTr="00DB17A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 w:rsidP="001277A5">
            <w:pPr>
              <w:jc w:val="both"/>
            </w:pPr>
            <w:r>
              <w:t xml:space="preserve">                                                                              города Пыть-Яха</w:t>
            </w:r>
          </w:p>
        </w:tc>
      </w:tr>
      <w:tr w:rsidR="00C525EE" w:rsidTr="00DB17A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25EE" w:rsidRDefault="00C525EE"/>
        </w:tc>
      </w:tr>
      <w:tr w:rsidR="00C525EE" w:rsidTr="00DB17AE">
        <w:trPr>
          <w:trHeight w:val="390"/>
        </w:trPr>
        <w:tc>
          <w:tcPr>
            <w:tcW w:w="154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  <w:r>
              <w:t>Целевые показатели муниципальной программы</w:t>
            </w:r>
          </w:p>
        </w:tc>
      </w:tr>
      <w:tr w:rsidR="00C525EE" w:rsidTr="00DB17A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25EE" w:rsidRDefault="00C525EE">
            <w:pPr>
              <w:jc w:val="center"/>
            </w:pPr>
          </w:p>
        </w:tc>
      </w:tr>
      <w:tr w:rsidR="00C525EE" w:rsidTr="00DB17AE">
        <w:trPr>
          <w:trHeight w:val="14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№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Базовый показатель на начало реализации муниципальной программы (01.01.2017г.)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C525EE" w:rsidTr="00DB17AE">
        <w:trPr>
          <w:trHeight w:val="8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/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/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2019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2022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2025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/>
        </w:tc>
      </w:tr>
      <w:tr w:rsidR="00C525EE" w:rsidTr="00DB17AE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Default="00C525EE">
            <w:pPr>
              <w:jc w:val="center"/>
            </w:pPr>
            <w:r>
              <w:t>12</w:t>
            </w:r>
          </w:p>
        </w:tc>
      </w:tr>
      <w:tr w:rsidR="00C525EE" w:rsidTr="00DB17AE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C525EE" w:rsidTr="00DB17AE">
        <w:trPr>
          <w:trHeight w:val="21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29,7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30,5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31,1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31,7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32,3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32,9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33,5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34,1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Default="00C525EE">
            <w:pPr>
              <w:jc w:val="center"/>
            </w:pPr>
            <w:r>
              <w:t>38,4</w:t>
            </w:r>
          </w:p>
        </w:tc>
      </w:tr>
    </w:tbl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  <w:sectPr w:rsidR="00C525EE" w:rsidSect="00DB17AE">
          <w:pgSz w:w="16838" w:h="11906" w:orient="landscape" w:code="9"/>
          <w:pgMar w:top="1701" w:right="1134" w:bottom="567" w:left="709" w:header="720" w:footer="720" w:gutter="0"/>
          <w:cols w:space="708"/>
          <w:titlePg/>
          <w:docGrid w:linePitch="326"/>
        </w:sectPr>
      </w:pP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324"/>
        <w:gridCol w:w="1701"/>
        <w:gridCol w:w="1086"/>
        <w:gridCol w:w="992"/>
        <w:gridCol w:w="992"/>
        <w:gridCol w:w="992"/>
        <w:gridCol w:w="993"/>
        <w:gridCol w:w="992"/>
        <w:gridCol w:w="992"/>
        <w:gridCol w:w="992"/>
        <w:gridCol w:w="851"/>
        <w:gridCol w:w="993"/>
      </w:tblGrid>
      <w:tr w:rsidR="00C525EE" w:rsidRPr="00DB17AE" w:rsidTr="00DB17A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Приложение № 2</w:t>
            </w:r>
          </w:p>
        </w:tc>
      </w:tr>
      <w:tr w:rsidR="00C525EE" w:rsidRPr="00DB17AE" w:rsidTr="00DB17A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к постановлению администрации</w:t>
            </w:r>
          </w:p>
        </w:tc>
      </w:tr>
      <w:tr w:rsidR="00C525EE" w:rsidRPr="00DB17AE" w:rsidTr="00375390">
        <w:trPr>
          <w:trHeight w:val="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127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города Пыть-Яха</w:t>
            </w:r>
          </w:p>
        </w:tc>
      </w:tr>
      <w:tr w:rsidR="00C525EE" w:rsidRPr="00DB17AE" w:rsidTr="00DB17AE">
        <w:trPr>
          <w:trHeight w:val="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C525EE" w:rsidRPr="00DB17AE" w:rsidTr="00DB17AE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C525EE" w:rsidRPr="00DB17AE" w:rsidTr="00DB17AE">
        <w:trPr>
          <w:trHeight w:val="255"/>
        </w:trPr>
        <w:tc>
          <w:tcPr>
            <w:tcW w:w="158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Перечень основных  мероприятий муниципальной программы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C525EE" w:rsidRPr="00DB17AE" w:rsidTr="00DB17AE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Основные мероприятия муниципальной программы</w:t>
            </w:r>
            <w:r w:rsidRPr="00DB17AE">
              <w:rPr>
                <w:sz w:val="16"/>
                <w:szCs w:val="16"/>
              </w:rPr>
              <w:br/>
              <w:t>(связь мероприятий с показателями муниципальной программы)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7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C525EE" w:rsidRPr="00DB17AE" w:rsidTr="00DB17AE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числе:</w:t>
            </w:r>
          </w:p>
        </w:tc>
      </w:tr>
      <w:tr w:rsidR="00C525EE" w:rsidRPr="00DB17AE" w:rsidTr="00DB17AE">
        <w:trPr>
          <w:trHeight w:val="70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2026-2030</w:t>
            </w:r>
          </w:p>
        </w:tc>
      </w:tr>
      <w:tr w:rsidR="00C525EE" w:rsidRPr="00DB17AE" w:rsidTr="00DB17AE">
        <w:trPr>
          <w:trHeight w:val="405"/>
        </w:trPr>
        <w:tc>
          <w:tcPr>
            <w:tcW w:w="1587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Подпрограмма I «Содействие развитию градостроительной деятельности»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Внесение изменений в Правила землепользования и застройки (2)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Итого по  подпрограмме I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13 854,3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4 950,0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13 854,3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4 950,0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510"/>
        </w:trPr>
        <w:tc>
          <w:tcPr>
            <w:tcW w:w="1587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Подпрограмма II «Содействие развитию жилищного строительства»</w:t>
            </w:r>
          </w:p>
        </w:tc>
      </w:tr>
      <w:tr w:rsidR="00C525EE" w:rsidRPr="00DB17AE" w:rsidTr="00DB17AE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 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Приобретение  жилья для  переселения граждан из аварийного жилищного фонда, на обеспечение жильем граждан, состоящих на учете для его получения </w:t>
            </w:r>
            <w:r w:rsidRPr="00DB17AE">
              <w:rPr>
                <w:sz w:val="16"/>
                <w:szCs w:val="16"/>
              </w:rPr>
              <w:lastRenderedPageBreak/>
              <w:t>на условиях социального найма, и на обеспечение работников бюджетной сферы служебным жильем, формирование маневренного жилищного фонда (8)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561 989,0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349 126,4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19 088,8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17 615,8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17 615,8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17 615,8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88 079,0</w:t>
            </w:r>
          </w:p>
        </w:tc>
      </w:tr>
      <w:tr w:rsidR="00C525EE" w:rsidRPr="00DB17AE" w:rsidTr="00DB17A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496 006,8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306 558,7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16 989,0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15 678,1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78 390,5</w:t>
            </w:r>
          </w:p>
        </w:tc>
      </w:tr>
      <w:tr w:rsidR="00C525EE" w:rsidRPr="00DB17AE" w:rsidTr="00DB17A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65 982,2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42 567,7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2 099,8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9 688,5</w:t>
            </w:r>
          </w:p>
        </w:tc>
      </w:tr>
      <w:tr w:rsidR="00C525EE" w:rsidRPr="00DB17AE" w:rsidTr="00DB17A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 выкуп жилых помещений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Итого по подпрограмме II                              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798 390,5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418 083,8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30 000,7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31 846,0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159 230,0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689 597,6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361 804,0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25 810,6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137 265,0</w:t>
            </w:r>
          </w:p>
        </w:tc>
      </w:tr>
      <w:tr w:rsidR="00C525EE" w:rsidRPr="00DB17AE" w:rsidTr="00DB17AE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108 792,9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56 279,8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21 965,0</w:t>
            </w:r>
          </w:p>
        </w:tc>
      </w:tr>
      <w:tr w:rsidR="00C525EE" w:rsidRPr="00DB17AE" w:rsidTr="00DB17A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00"/>
        </w:trPr>
        <w:tc>
          <w:tcPr>
            <w:tcW w:w="1587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(8)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8 957,7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8 957,7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  ветеранов Великой Отечественной войны (8)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3.4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</w:t>
            </w:r>
            <w:r w:rsidRPr="00DB17AE">
              <w:rPr>
                <w:sz w:val="16"/>
                <w:szCs w:val="16"/>
              </w:rPr>
              <w:lastRenderedPageBreak/>
              <w:t xml:space="preserve">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76,5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76,5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19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Итого по подпрограмме III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31 485,7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5 328,6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4 161,6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4 161,5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1 783,4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8 917,0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9 100,9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21 110,1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1 681,8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8 409,0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508,0</w:t>
            </w:r>
          </w:p>
        </w:tc>
      </w:tr>
      <w:tr w:rsidR="00C525EE" w:rsidRPr="00DB17AE" w:rsidTr="00DB17A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Всего по муниципальной программе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1 132 736,0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448 456,2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60 513,0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57 184,9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283 374,5</w:t>
            </w:r>
          </w:p>
        </w:tc>
      </w:tr>
      <w:tr w:rsidR="00C525EE" w:rsidRPr="00DB17AE" w:rsidTr="00DB17A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9 100,9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710 707,7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362 732,5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145 674,0</w:t>
            </w:r>
          </w:p>
        </w:tc>
      </w:tr>
      <w:tr w:rsidR="00C525EE" w:rsidRPr="00DB17AE" w:rsidTr="00DB17A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412 927,4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81 379,1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28 597,2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29 000,1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137 700,5</w:t>
            </w:r>
          </w:p>
        </w:tc>
      </w:tr>
      <w:tr w:rsidR="00C525EE" w:rsidRPr="00DB17AE" w:rsidTr="00DB17AE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C525EE" w:rsidRPr="00DB17AE" w:rsidTr="00DB17A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1 130 974,8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446 695,0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60 513,0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57 184,9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56 184,9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283 374,5</w:t>
            </w:r>
          </w:p>
        </w:tc>
      </w:tr>
      <w:tr w:rsidR="00C525EE" w:rsidRPr="00DB17AE" w:rsidTr="00DB17A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9 100,9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710 707,7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362 732,5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145 674,0</w:t>
            </w:r>
          </w:p>
        </w:tc>
      </w:tr>
      <w:tr w:rsidR="00C525EE" w:rsidRPr="00DB17AE" w:rsidTr="00DB17A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411 166,2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79 617,9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28 597,2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29 000,1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27 050,1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137 700,5</w:t>
            </w:r>
          </w:p>
        </w:tc>
      </w:tr>
      <w:tr w:rsidR="00C525EE" w:rsidRPr="00DB17AE" w:rsidTr="00DB17A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 том числе: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 </w:t>
            </w:r>
          </w:p>
        </w:tc>
      </w:tr>
      <w:tr w:rsidR="00C525EE" w:rsidRPr="00DB17AE" w:rsidTr="00DB17AE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всего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828 115,0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421 651,2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34 162,3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36 007,5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33 629,4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168 147,0</w:t>
            </w:r>
          </w:p>
        </w:tc>
      </w:tr>
      <w:tr w:rsidR="00C525EE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9 100,9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4 344,6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2 378,1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710 707,7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362 732,5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27 492,4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29 134,8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145 674,0</w:t>
            </w:r>
          </w:p>
        </w:tc>
      </w:tr>
      <w:tr w:rsidR="00C525EE" w:rsidRPr="00DB17AE" w:rsidTr="00DB17A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108 306,4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54 574,1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4 494,6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22 473,0</w:t>
            </w:r>
          </w:p>
        </w:tc>
      </w:tr>
      <w:tr w:rsidR="00C525EE" w:rsidRPr="00DB17AE" w:rsidTr="00DB17AE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  <w:tr w:rsidR="00C525EE" w:rsidRPr="00DB17AE" w:rsidTr="00DB17AE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 w:rsidP="00DB1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b/>
                <w:bCs/>
                <w:sz w:val="16"/>
                <w:szCs w:val="16"/>
              </w:rPr>
            </w:pPr>
            <w:r w:rsidRPr="00DB17A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25EE" w:rsidRPr="00DB17AE" w:rsidRDefault="00C525EE" w:rsidP="00DB17AE">
            <w:pPr>
              <w:jc w:val="center"/>
              <w:rPr>
                <w:sz w:val="16"/>
                <w:szCs w:val="16"/>
              </w:rPr>
            </w:pPr>
            <w:r w:rsidRPr="00DB17AE">
              <w:rPr>
                <w:sz w:val="16"/>
                <w:szCs w:val="16"/>
              </w:rPr>
              <w:t>0,0</w:t>
            </w:r>
          </w:p>
        </w:tc>
      </w:tr>
    </w:tbl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1559"/>
        <w:gridCol w:w="2989"/>
        <w:gridCol w:w="839"/>
        <w:gridCol w:w="666"/>
        <w:gridCol w:w="616"/>
        <w:gridCol w:w="660"/>
        <w:gridCol w:w="616"/>
        <w:gridCol w:w="659"/>
        <w:gridCol w:w="616"/>
        <w:gridCol w:w="660"/>
        <w:gridCol w:w="709"/>
        <w:gridCol w:w="893"/>
        <w:gridCol w:w="1134"/>
        <w:gridCol w:w="1134"/>
        <w:gridCol w:w="1134"/>
      </w:tblGrid>
      <w:tr w:rsidR="00C525EE" w:rsidRPr="00DB17AE" w:rsidTr="00DB17AE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bookmarkStart w:id="2" w:name="RANGE!B5:R34"/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525EE" w:rsidRPr="00DB17AE" w:rsidRDefault="00C525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Приложение № 3</w:t>
            </w:r>
          </w:p>
        </w:tc>
      </w:tr>
      <w:tr w:rsidR="00C525EE" w:rsidRPr="00DB17AE" w:rsidTr="001277A5">
        <w:trPr>
          <w:trHeight w:val="19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525EE" w:rsidRPr="00DB17AE" w:rsidRDefault="00C525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к постановлению</w:t>
            </w:r>
            <w:r>
              <w:rPr>
                <w:sz w:val="20"/>
                <w:szCs w:val="20"/>
              </w:rPr>
              <w:t xml:space="preserve"> администрации</w:t>
            </w:r>
            <w:r w:rsidRPr="00DB17AE">
              <w:rPr>
                <w:sz w:val="20"/>
                <w:szCs w:val="20"/>
              </w:rPr>
              <w:t xml:space="preserve"> </w:t>
            </w:r>
          </w:p>
        </w:tc>
      </w:tr>
      <w:tr w:rsidR="00C525EE" w:rsidRPr="00DB17AE" w:rsidTr="001277A5">
        <w:trPr>
          <w:trHeight w:val="283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525EE" w:rsidRPr="00DB17AE" w:rsidRDefault="00C525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DB17AE">
              <w:rPr>
                <w:sz w:val="20"/>
                <w:szCs w:val="20"/>
              </w:rPr>
              <w:t>орода</w:t>
            </w:r>
            <w:r>
              <w:rPr>
                <w:sz w:val="20"/>
                <w:szCs w:val="20"/>
              </w:rPr>
              <w:t xml:space="preserve"> Пыть-Яха</w:t>
            </w:r>
          </w:p>
        </w:tc>
      </w:tr>
      <w:tr w:rsidR="00C525EE" w:rsidRPr="00DB17AE" w:rsidTr="00DB17AE">
        <w:trPr>
          <w:trHeight w:val="2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525EE" w:rsidRPr="00DB17AE" w:rsidRDefault="00C525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5EE" w:rsidRPr="00DB17AE" w:rsidTr="00DB17AE">
        <w:trPr>
          <w:trHeight w:val="375"/>
        </w:trPr>
        <w:tc>
          <w:tcPr>
            <w:tcW w:w="1560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Оценка эффективности реализации муниципальной программы</w:t>
            </w:r>
          </w:p>
        </w:tc>
      </w:tr>
      <w:tr w:rsidR="00C525EE" w:rsidRPr="00DB17AE" w:rsidTr="00DB17AE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</w:p>
        </w:tc>
      </w:tr>
      <w:tr w:rsidR="00C525EE" w:rsidRPr="00DB17AE" w:rsidTr="00DB17AE">
        <w:trPr>
          <w:trHeight w:val="5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5EE" w:rsidRPr="00DB17AE" w:rsidRDefault="00C525EE" w:rsidP="00DB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Фактическое  значение показателя на момент разработки программы</w:t>
            </w:r>
          </w:p>
        </w:tc>
        <w:tc>
          <w:tcPr>
            <w:tcW w:w="52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5EE" w:rsidRPr="00DB17AE" w:rsidRDefault="00C525EE" w:rsidP="00DB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Целевое  значение показателя на момент окончания действия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C525EE" w:rsidRPr="00DB17AE" w:rsidTr="00DB17AE">
        <w:trPr>
          <w:trHeight w:val="4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52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5EE" w:rsidRPr="00DB17AE" w:rsidRDefault="00C525EE" w:rsidP="00DB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в т.ч. бюджетные затраты   </w:t>
            </w:r>
          </w:p>
        </w:tc>
      </w:tr>
      <w:tr w:rsidR="00C525EE" w:rsidRPr="00DB17AE" w:rsidTr="00DB17AE">
        <w:trPr>
          <w:trHeight w:val="20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2025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федерального/ окружного бюджета</w:t>
            </w:r>
          </w:p>
        </w:tc>
      </w:tr>
      <w:tr w:rsidR="00C525EE" w:rsidRPr="00DB17AE" w:rsidTr="00DB17A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16</w:t>
            </w:r>
          </w:p>
        </w:tc>
      </w:tr>
      <w:tr w:rsidR="00C525EE" w:rsidRPr="00DB17AE" w:rsidTr="00DB17AE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Доля обеспеченности города Пыть-Яха утвержденными документами территориального планирования и градостроительного зонирования, %.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Внесение изменений в генеральный план города 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8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8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1 922,50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1 922,50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10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8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10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Разработка концепции формирование комфортной городской среды, в том числе стандартов городской среды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17 122,80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17 122,80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26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</w:t>
            </w:r>
            <w:r w:rsidRPr="00DB17AE">
              <w:rPr>
                <w:sz w:val="20"/>
                <w:szCs w:val="20"/>
              </w:rPr>
              <w:lastRenderedPageBreak/>
              <w:t>желающих улучшить свои жилищные условия), нарастающим итогом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lastRenderedPageBreak/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и на обеспечение работников бюджетной сферы служебным жильем, формирование маневренного жилищного фонда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15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29,7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30,5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31,1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31,7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32,3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32,9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34,1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561 989,00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65 982,2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496 006,8</w:t>
            </w:r>
          </w:p>
        </w:tc>
      </w:tr>
      <w:tr w:rsidR="00C525EE" w:rsidRPr="00DB17AE" w:rsidTr="00DB17AE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в том числе выкуп жилых помещений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4 678,30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4 678,30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12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Пыть-Ях, ед.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217 517,5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23 926,7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193 590,8</w:t>
            </w:r>
          </w:p>
        </w:tc>
      </w:tr>
      <w:tr w:rsidR="00C525EE" w:rsidRPr="00DB17AE" w:rsidTr="00DB17AE">
        <w:trPr>
          <w:trHeight w:val="20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8 957,7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8 957,7</w:t>
            </w:r>
          </w:p>
        </w:tc>
      </w:tr>
      <w:tr w:rsidR="00C525EE" w:rsidRPr="00DB17AE" w:rsidTr="00DB17AE">
        <w:trPr>
          <w:trHeight w:val="19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9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  <w:tr w:rsidR="00C525EE" w:rsidRPr="00DB17AE" w:rsidTr="00DB17AE">
        <w:trPr>
          <w:trHeight w:val="14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5EE" w:rsidRPr="00DB17AE" w:rsidRDefault="00C525EE">
            <w:pPr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 xml:space="preserve"> Обеспечение жильем молодых семей Государственной программы РФ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22 327,0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21 052,30</w:t>
            </w:r>
          </w:p>
        </w:tc>
      </w:tr>
      <w:tr w:rsidR="00C525EE" w:rsidRPr="00DB17AE" w:rsidTr="00DB17AE">
        <w:trPr>
          <w:trHeight w:val="7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25EE" w:rsidRPr="00DB17AE" w:rsidRDefault="00C525EE">
            <w:pPr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Демонтаж приспособленных для проживания строений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1 016,9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25EE" w:rsidRPr="00DB17AE" w:rsidRDefault="00C525EE">
            <w:pPr>
              <w:jc w:val="center"/>
              <w:rPr>
                <w:sz w:val="20"/>
                <w:szCs w:val="20"/>
              </w:rPr>
            </w:pPr>
            <w:r w:rsidRPr="00DB17AE">
              <w:rPr>
                <w:sz w:val="20"/>
                <w:szCs w:val="20"/>
              </w:rPr>
              <w:t>0,00</w:t>
            </w:r>
          </w:p>
        </w:tc>
      </w:tr>
    </w:tbl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  <w:sectPr w:rsidR="00C525EE" w:rsidSect="00DB17AE">
          <w:pgSz w:w="16838" w:h="11906" w:orient="landscape" w:code="9"/>
          <w:pgMar w:top="1701" w:right="1134" w:bottom="567" w:left="709" w:header="720" w:footer="720" w:gutter="0"/>
          <w:cols w:space="708"/>
          <w:titlePg/>
          <w:docGrid w:linePitch="326"/>
        </w:sect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Default="00C525EE" w:rsidP="00097AC6">
      <w:pPr>
        <w:ind w:left="5245"/>
        <w:rPr>
          <w:sz w:val="28"/>
          <w:szCs w:val="28"/>
        </w:rPr>
      </w:pPr>
    </w:p>
    <w:p w:rsidR="00C525EE" w:rsidRPr="001277A5" w:rsidRDefault="00C525EE" w:rsidP="00077B5B">
      <w:pPr>
        <w:jc w:val="center"/>
        <w:rPr>
          <w:sz w:val="26"/>
          <w:szCs w:val="26"/>
        </w:rPr>
      </w:pPr>
      <w:r w:rsidRPr="001277A5">
        <w:rPr>
          <w:sz w:val="26"/>
          <w:szCs w:val="26"/>
        </w:rPr>
        <w:t>Визирование</w:t>
      </w:r>
    </w:p>
    <w:p w:rsidR="00C525EE" w:rsidRPr="001277A5" w:rsidRDefault="00C525EE" w:rsidP="00077B5B">
      <w:pPr>
        <w:jc w:val="center"/>
        <w:rPr>
          <w:sz w:val="26"/>
          <w:szCs w:val="26"/>
        </w:rPr>
      </w:pPr>
      <w:r w:rsidRPr="001277A5">
        <w:rPr>
          <w:sz w:val="26"/>
          <w:szCs w:val="26"/>
        </w:rPr>
        <w:t>проекта правового акта</w:t>
      </w:r>
    </w:p>
    <w:p w:rsidR="00C525EE" w:rsidRPr="001277A5" w:rsidRDefault="00C525EE" w:rsidP="00077B5B">
      <w:pPr>
        <w:rPr>
          <w:sz w:val="26"/>
          <w:szCs w:val="26"/>
        </w:rPr>
      </w:pPr>
    </w:p>
    <w:p w:rsidR="00C525EE" w:rsidRPr="001277A5" w:rsidRDefault="00C525EE" w:rsidP="00077B5B">
      <w:pPr>
        <w:rPr>
          <w:sz w:val="26"/>
          <w:szCs w:val="26"/>
        </w:rPr>
      </w:pPr>
    </w:p>
    <w:p w:rsidR="00C525EE" w:rsidRPr="001277A5" w:rsidRDefault="00C525EE" w:rsidP="00077B5B">
      <w:pPr>
        <w:rPr>
          <w:sz w:val="26"/>
          <w:szCs w:val="26"/>
        </w:rPr>
      </w:pPr>
      <w:r w:rsidRPr="001277A5">
        <w:rPr>
          <w:sz w:val="26"/>
          <w:szCs w:val="26"/>
        </w:rPr>
        <w:t>Отп. 1 экз.</w:t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Разослать:</w:t>
      </w:r>
    </w:p>
    <w:p w:rsidR="00C525EE" w:rsidRPr="001277A5" w:rsidRDefault="00C525EE" w:rsidP="00077B5B">
      <w:pPr>
        <w:rPr>
          <w:sz w:val="26"/>
          <w:szCs w:val="26"/>
        </w:rPr>
      </w:pPr>
      <w:r w:rsidRPr="001277A5">
        <w:rPr>
          <w:sz w:val="26"/>
          <w:szCs w:val="26"/>
        </w:rPr>
        <w:t xml:space="preserve">Исп. Скакунова Е.Н._______ </w:t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Управление делами</w:t>
      </w:r>
    </w:p>
    <w:p w:rsidR="00C525EE" w:rsidRPr="001277A5" w:rsidRDefault="00C525EE" w:rsidP="00077B5B">
      <w:pPr>
        <w:rPr>
          <w:sz w:val="26"/>
          <w:szCs w:val="26"/>
        </w:rPr>
      </w:pPr>
      <w:r>
        <w:rPr>
          <w:sz w:val="26"/>
          <w:szCs w:val="26"/>
        </w:rPr>
        <w:t>Управление по жилищным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>УЖВ</w:t>
      </w:r>
    </w:p>
    <w:p w:rsidR="00C525EE" w:rsidRPr="001277A5" w:rsidRDefault="00C525EE" w:rsidP="00077B5B">
      <w:pPr>
        <w:ind w:left="1416" w:hanging="1416"/>
        <w:rPr>
          <w:sz w:val="26"/>
          <w:szCs w:val="26"/>
        </w:rPr>
      </w:pPr>
      <w:r>
        <w:rPr>
          <w:sz w:val="26"/>
          <w:szCs w:val="26"/>
        </w:rPr>
        <w:t>вопросам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 xml:space="preserve">Управление по  экономике              </w:t>
      </w:r>
    </w:p>
    <w:p w:rsidR="00C525EE" w:rsidRPr="001277A5" w:rsidRDefault="00C525EE" w:rsidP="001277A5">
      <w:pPr>
        <w:ind w:left="1416" w:hanging="1416"/>
        <w:rPr>
          <w:sz w:val="26"/>
          <w:szCs w:val="26"/>
        </w:rPr>
      </w:pPr>
      <w:r w:rsidRPr="001277A5">
        <w:rPr>
          <w:sz w:val="26"/>
          <w:szCs w:val="26"/>
        </w:rPr>
        <w:t xml:space="preserve">46-55-84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Комитет по финансам</w:t>
      </w:r>
    </w:p>
    <w:p w:rsidR="00C525EE" w:rsidRPr="001277A5" w:rsidRDefault="00C525EE" w:rsidP="001277A5">
      <w:p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77A5">
        <w:rPr>
          <w:sz w:val="26"/>
          <w:szCs w:val="26"/>
        </w:rPr>
        <w:t>Отдел по наградам</w:t>
      </w:r>
    </w:p>
    <w:p w:rsidR="00C525EE" w:rsidRPr="001277A5" w:rsidRDefault="00C525EE" w:rsidP="001277A5">
      <w:pPr>
        <w:rPr>
          <w:sz w:val="26"/>
          <w:szCs w:val="26"/>
        </w:rPr>
      </w:pP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ОИР</w:t>
      </w:r>
    </w:p>
    <w:p w:rsidR="00C525EE" w:rsidRDefault="00C525EE" w:rsidP="00077B5B">
      <w:pPr>
        <w:spacing w:line="360" w:lineRule="auto"/>
        <w:rPr>
          <w:sz w:val="28"/>
          <w:szCs w:val="28"/>
        </w:rPr>
      </w:pPr>
    </w:p>
    <w:p w:rsidR="00C525EE" w:rsidRDefault="00C525EE" w:rsidP="00077B5B">
      <w:pPr>
        <w:spacing w:line="360" w:lineRule="auto"/>
        <w:rPr>
          <w:sz w:val="28"/>
          <w:szCs w:val="28"/>
        </w:rPr>
      </w:pPr>
    </w:p>
    <w:p w:rsidR="00C525EE" w:rsidRPr="005B1F49" w:rsidRDefault="00C525EE" w:rsidP="00077B5B">
      <w:pPr>
        <w:spacing w:line="360" w:lineRule="auto"/>
        <w:rPr>
          <w:sz w:val="28"/>
          <w:szCs w:val="28"/>
        </w:rPr>
      </w:pPr>
    </w:p>
    <w:p w:rsidR="00C525EE" w:rsidRPr="005B1F49" w:rsidRDefault="00C525EE" w:rsidP="00077B5B">
      <w:pPr>
        <w:rPr>
          <w:sz w:val="28"/>
          <w:szCs w:val="28"/>
        </w:rPr>
      </w:pPr>
      <w:r>
        <w:rPr>
          <w:sz w:val="28"/>
          <w:szCs w:val="28"/>
        </w:rPr>
        <w:t>Золотухин А.Ф.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C525EE" w:rsidRPr="005B1F49" w:rsidRDefault="00C525EE" w:rsidP="00077B5B">
      <w:pPr>
        <w:spacing w:line="360" w:lineRule="auto"/>
        <w:rPr>
          <w:sz w:val="28"/>
          <w:szCs w:val="28"/>
        </w:rPr>
      </w:pPr>
    </w:p>
    <w:p w:rsidR="00C525EE" w:rsidRDefault="00C525EE" w:rsidP="00077B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Бондаренко Л.С.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C525EE" w:rsidRPr="005B1F49" w:rsidRDefault="00C525EE" w:rsidP="00077B5B">
      <w:pPr>
        <w:spacing w:line="360" w:lineRule="auto"/>
        <w:rPr>
          <w:sz w:val="28"/>
          <w:szCs w:val="28"/>
        </w:rPr>
      </w:pPr>
    </w:p>
    <w:p w:rsidR="00C525EE" w:rsidRPr="005B1F49" w:rsidRDefault="00C525EE" w:rsidP="00077B5B">
      <w:pPr>
        <w:spacing w:line="360" w:lineRule="auto"/>
        <w:rPr>
          <w:sz w:val="28"/>
          <w:szCs w:val="28"/>
        </w:rPr>
      </w:pPr>
      <w:r w:rsidRPr="005B1F49">
        <w:rPr>
          <w:sz w:val="28"/>
          <w:szCs w:val="28"/>
        </w:rPr>
        <w:t>Стефогло В.В.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C525EE" w:rsidRPr="005B1F49" w:rsidRDefault="00C525EE" w:rsidP="00077B5B">
      <w:pPr>
        <w:spacing w:line="360" w:lineRule="auto"/>
        <w:rPr>
          <w:sz w:val="28"/>
          <w:szCs w:val="28"/>
        </w:rPr>
      </w:pPr>
    </w:p>
    <w:p w:rsidR="00C525EE" w:rsidRPr="007B16CD" w:rsidRDefault="00C525EE" w:rsidP="00077B5B">
      <w:pPr>
        <w:spacing w:line="360" w:lineRule="auto"/>
        <w:rPr>
          <w:sz w:val="28"/>
          <w:szCs w:val="28"/>
        </w:rPr>
      </w:pPr>
      <w:r w:rsidRPr="007B16CD">
        <w:rPr>
          <w:sz w:val="28"/>
          <w:szCs w:val="28"/>
        </w:rPr>
        <w:t xml:space="preserve">Чулакова Т.Н. </w:t>
      </w:r>
      <w:r w:rsidRPr="007B16CD">
        <w:rPr>
          <w:sz w:val="28"/>
          <w:szCs w:val="28"/>
        </w:rPr>
        <w:tab/>
      </w:r>
      <w:r w:rsidRPr="007B16CD">
        <w:rPr>
          <w:sz w:val="28"/>
          <w:szCs w:val="28"/>
        </w:rPr>
        <w:tab/>
        <w:t>__________</w:t>
      </w:r>
      <w:r w:rsidRPr="007B16CD">
        <w:rPr>
          <w:sz w:val="28"/>
          <w:szCs w:val="28"/>
        </w:rPr>
        <w:tab/>
      </w:r>
      <w:r w:rsidRPr="007B16CD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7B16CD">
        <w:rPr>
          <w:sz w:val="28"/>
          <w:szCs w:val="28"/>
        </w:rPr>
        <w:t xml:space="preserve">г </w:t>
      </w:r>
    </w:p>
    <w:p w:rsidR="00C525EE" w:rsidRDefault="00C525EE" w:rsidP="00077B5B">
      <w:pPr>
        <w:spacing w:line="360" w:lineRule="auto"/>
        <w:rPr>
          <w:sz w:val="28"/>
          <w:szCs w:val="28"/>
        </w:rPr>
      </w:pPr>
    </w:p>
    <w:p w:rsidR="00C525EE" w:rsidRPr="005B1F49" w:rsidRDefault="00C525EE" w:rsidP="00077B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Неклюдова Т.В</w:t>
      </w:r>
      <w:r w:rsidRPr="005B1F49">
        <w:rPr>
          <w:sz w:val="28"/>
          <w:szCs w:val="28"/>
        </w:rPr>
        <w:t>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sectPr w:rsidR="00C525EE" w:rsidRPr="005B1F49" w:rsidSect="00DB17AE"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BC" w:rsidRDefault="003C58BC">
      <w:r>
        <w:separator/>
      </w:r>
    </w:p>
  </w:endnote>
  <w:endnote w:type="continuationSeparator" w:id="0">
    <w:p w:rsidR="003C58BC" w:rsidRDefault="003C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BC" w:rsidRDefault="003C58BC">
      <w:r>
        <w:separator/>
      </w:r>
    </w:p>
  </w:footnote>
  <w:footnote w:type="continuationSeparator" w:id="0">
    <w:p w:rsidR="003C58BC" w:rsidRDefault="003C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5EE" w:rsidRDefault="00C525EE" w:rsidP="00F81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5EE" w:rsidRDefault="00C525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5EE" w:rsidRDefault="00C525EE" w:rsidP="00F81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1044">
      <w:rPr>
        <w:rStyle w:val="a5"/>
        <w:noProof/>
      </w:rPr>
      <w:t>13</w:t>
    </w:r>
    <w:r>
      <w:rPr>
        <w:rStyle w:val="a5"/>
      </w:rPr>
      <w:fldChar w:fldCharType="end"/>
    </w:r>
  </w:p>
  <w:p w:rsidR="00C525EE" w:rsidRDefault="00C525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A93"/>
    <w:rsid w:val="00010069"/>
    <w:rsid w:val="0001157B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1253"/>
    <w:rsid w:val="000516E6"/>
    <w:rsid w:val="00054012"/>
    <w:rsid w:val="000542B4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62A0"/>
    <w:rsid w:val="000C7899"/>
    <w:rsid w:val="000C7972"/>
    <w:rsid w:val="000D4DAE"/>
    <w:rsid w:val="000D5574"/>
    <w:rsid w:val="000D65CE"/>
    <w:rsid w:val="000E0888"/>
    <w:rsid w:val="000E111A"/>
    <w:rsid w:val="000E2A25"/>
    <w:rsid w:val="000E3DE2"/>
    <w:rsid w:val="000E49B7"/>
    <w:rsid w:val="000E5D44"/>
    <w:rsid w:val="000E63D7"/>
    <w:rsid w:val="000E7E38"/>
    <w:rsid w:val="000F0F37"/>
    <w:rsid w:val="000F42FC"/>
    <w:rsid w:val="000F56BA"/>
    <w:rsid w:val="000F6AEF"/>
    <w:rsid w:val="00100439"/>
    <w:rsid w:val="001005AD"/>
    <w:rsid w:val="0010101B"/>
    <w:rsid w:val="0010119D"/>
    <w:rsid w:val="00102F38"/>
    <w:rsid w:val="00107212"/>
    <w:rsid w:val="00107BE9"/>
    <w:rsid w:val="0011121E"/>
    <w:rsid w:val="00111A8C"/>
    <w:rsid w:val="001125AB"/>
    <w:rsid w:val="00114DC3"/>
    <w:rsid w:val="00117DF2"/>
    <w:rsid w:val="00120235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71D"/>
    <w:rsid w:val="001711A7"/>
    <w:rsid w:val="00171DD5"/>
    <w:rsid w:val="00176B5E"/>
    <w:rsid w:val="0018029C"/>
    <w:rsid w:val="0018032A"/>
    <w:rsid w:val="001803B0"/>
    <w:rsid w:val="00182D13"/>
    <w:rsid w:val="00183611"/>
    <w:rsid w:val="00185495"/>
    <w:rsid w:val="0018711A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3233"/>
    <w:rsid w:val="00237347"/>
    <w:rsid w:val="00240A6F"/>
    <w:rsid w:val="00242414"/>
    <w:rsid w:val="002462F0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5AF0"/>
    <w:rsid w:val="00270252"/>
    <w:rsid w:val="002734CE"/>
    <w:rsid w:val="00274EA3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B2B44"/>
    <w:rsid w:val="002B62CF"/>
    <w:rsid w:val="002B6A3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8DE"/>
    <w:rsid w:val="002E26DA"/>
    <w:rsid w:val="002E29ED"/>
    <w:rsid w:val="002E4300"/>
    <w:rsid w:val="002E45E2"/>
    <w:rsid w:val="002E558D"/>
    <w:rsid w:val="002E675F"/>
    <w:rsid w:val="002E679D"/>
    <w:rsid w:val="002F1C93"/>
    <w:rsid w:val="002F3D8E"/>
    <w:rsid w:val="002F4403"/>
    <w:rsid w:val="002F52F2"/>
    <w:rsid w:val="003020B6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518C"/>
    <w:rsid w:val="0033551C"/>
    <w:rsid w:val="00340329"/>
    <w:rsid w:val="00343BE2"/>
    <w:rsid w:val="00346382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3027"/>
    <w:rsid w:val="003930ED"/>
    <w:rsid w:val="00397D4B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102A"/>
    <w:rsid w:val="003C58BC"/>
    <w:rsid w:val="003C7527"/>
    <w:rsid w:val="003D00CD"/>
    <w:rsid w:val="003D0842"/>
    <w:rsid w:val="003D1FF6"/>
    <w:rsid w:val="003D64FB"/>
    <w:rsid w:val="003E3F62"/>
    <w:rsid w:val="003E7007"/>
    <w:rsid w:val="003F1672"/>
    <w:rsid w:val="003F1A54"/>
    <w:rsid w:val="003F268B"/>
    <w:rsid w:val="003F310D"/>
    <w:rsid w:val="003F3240"/>
    <w:rsid w:val="003F39E9"/>
    <w:rsid w:val="003F4836"/>
    <w:rsid w:val="003F48F7"/>
    <w:rsid w:val="00401011"/>
    <w:rsid w:val="00403BCF"/>
    <w:rsid w:val="00404130"/>
    <w:rsid w:val="004049CC"/>
    <w:rsid w:val="004051DE"/>
    <w:rsid w:val="00405961"/>
    <w:rsid w:val="00414C40"/>
    <w:rsid w:val="00415F4D"/>
    <w:rsid w:val="0041696E"/>
    <w:rsid w:val="00417B44"/>
    <w:rsid w:val="004257DD"/>
    <w:rsid w:val="00425898"/>
    <w:rsid w:val="00426658"/>
    <w:rsid w:val="00427013"/>
    <w:rsid w:val="00427FB9"/>
    <w:rsid w:val="00430416"/>
    <w:rsid w:val="00430F76"/>
    <w:rsid w:val="0043267F"/>
    <w:rsid w:val="00433C79"/>
    <w:rsid w:val="00434651"/>
    <w:rsid w:val="0043611B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F2F"/>
    <w:rsid w:val="004562BE"/>
    <w:rsid w:val="0045741C"/>
    <w:rsid w:val="004617F3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C4386"/>
    <w:rsid w:val="004C5D30"/>
    <w:rsid w:val="004C6CCC"/>
    <w:rsid w:val="004C75CB"/>
    <w:rsid w:val="004C7BFD"/>
    <w:rsid w:val="004C7C99"/>
    <w:rsid w:val="004D1398"/>
    <w:rsid w:val="004D1BAC"/>
    <w:rsid w:val="004D1D2D"/>
    <w:rsid w:val="004D29FC"/>
    <w:rsid w:val="004D3683"/>
    <w:rsid w:val="004D57E8"/>
    <w:rsid w:val="004E005B"/>
    <w:rsid w:val="004E1FAD"/>
    <w:rsid w:val="004E2188"/>
    <w:rsid w:val="004E56FB"/>
    <w:rsid w:val="004F00B2"/>
    <w:rsid w:val="004F2830"/>
    <w:rsid w:val="004F5A1B"/>
    <w:rsid w:val="004F5C60"/>
    <w:rsid w:val="00500111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AEC"/>
    <w:rsid w:val="00564820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E20"/>
    <w:rsid w:val="005B0920"/>
    <w:rsid w:val="005B1F49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334C"/>
    <w:rsid w:val="006072AD"/>
    <w:rsid w:val="00610C59"/>
    <w:rsid w:val="006124E6"/>
    <w:rsid w:val="006125BB"/>
    <w:rsid w:val="00613335"/>
    <w:rsid w:val="006144DC"/>
    <w:rsid w:val="00614B3A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75F9"/>
    <w:rsid w:val="00637764"/>
    <w:rsid w:val="00637E2E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3445"/>
    <w:rsid w:val="006D34C5"/>
    <w:rsid w:val="006D38CD"/>
    <w:rsid w:val="006D3E83"/>
    <w:rsid w:val="006D629D"/>
    <w:rsid w:val="006D7D4B"/>
    <w:rsid w:val="006E0515"/>
    <w:rsid w:val="006E19CD"/>
    <w:rsid w:val="006E5ADF"/>
    <w:rsid w:val="006E6642"/>
    <w:rsid w:val="006E7F22"/>
    <w:rsid w:val="006F0041"/>
    <w:rsid w:val="006F0289"/>
    <w:rsid w:val="006F5E71"/>
    <w:rsid w:val="006F7BC5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5E"/>
    <w:rsid w:val="007476AE"/>
    <w:rsid w:val="00747D30"/>
    <w:rsid w:val="007501C5"/>
    <w:rsid w:val="00750506"/>
    <w:rsid w:val="00750C88"/>
    <w:rsid w:val="00750DC2"/>
    <w:rsid w:val="007510D8"/>
    <w:rsid w:val="00752228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F0108"/>
    <w:rsid w:val="007F03A1"/>
    <w:rsid w:val="007F0AEE"/>
    <w:rsid w:val="007F0E3F"/>
    <w:rsid w:val="007F19A3"/>
    <w:rsid w:val="007F4686"/>
    <w:rsid w:val="007F587E"/>
    <w:rsid w:val="007F71D5"/>
    <w:rsid w:val="007F7BCD"/>
    <w:rsid w:val="00800022"/>
    <w:rsid w:val="00803031"/>
    <w:rsid w:val="0080352F"/>
    <w:rsid w:val="00804334"/>
    <w:rsid w:val="008072F9"/>
    <w:rsid w:val="0081345C"/>
    <w:rsid w:val="00813D9F"/>
    <w:rsid w:val="008147B6"/>
    <w:rsid w:val="008177B1"/>
    <w:rsid w:val="00817CDB"/>
    <w:rsid w:val="00817D7A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6309"/>
    <w:rsid w:val="00856D3B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73A3"/>
    <w:rsid w:val="00891394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B02FA"/>
    <w:rsid w:val="008B4142"/>
    <w:rsid w:val="008B62BE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3700"/>
    <w:rsid w:val="009454B2"/>
    <w:rsid w:val="009461E4"/>
    <w:rsid w:val="00946BA2"/>
    <w:rsid w:val="00951300"/>
    <w:rsid w:val="00951D24"/>
    <w:rsid w:val="009549BD"/>
    <w:rsid w:val="00954CEE"/>
    <w:rsid w:val="00961DAC"/>
    <w:rsid w:val="00963FB4"/>
    <w:rsid w:val="00963FED"/>
    <w:rsid w:val="00965AF4"/>
    <w:rsid w:val="00967723"/>
    <w:rsid w:val="00967833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A1F2B"/>
    <w:rsid w:val="009A4B20"/>
    <w:rsid w:val="009A5313"/>
    <w:rsid w:val="009B01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47BE"/>
    <w:rsid w:val="009C6678"/>
    <w:rsid w:val="009C6F36"/>
    <w:rsid w:val="009C72AE"/>
    <w:rsid w:val="009C7CD1"/>
    <w:rsid w:val="009D06E4"/>
    <w:rsid w:val="009D0B24"/>
    <w:rsid w:val="009D1235"/>
    <w:rsid w:val="009D1CAE"/>
    <w:rsid w:val="009D4954"/>
    <w:rsid w:val="009E4BF8"/>
    <w:rsid w:val="009E699A"/>
    <w:rsid w:val="009F0438"/>
    <w:rsid w:val="009F2E5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74D9"/>
    <w:rsid w:val="00A45728"/>
    <w:rsid w:val="00A45C1E"/>
    <w:rsid w:val="00A46546"/>
    <w:rsid w:val="00A5074E"/>
    <w:rsid w:val="00A51F32"/>
    <w:rsid w:val="00A52615"/>
    <w:rsid w:val="00A528DA"/>
    <w:rsid w:val="00A53485"/>
    <w:rsid w:val="00A53832"/>
    <w:rsid w:val="00A542DC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F57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E0C7F"/>
    <w:rsid w:val="00AE1E64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344C"/>
    <w:rsid w:val="00B34A90"/>
    <w:rsid w:val="00B36588"/>
    <w:rsid w:val="00B41E9F"/>
    <w:rsid w:val="00B43BD8"/>
    <w:rsid w:val="00B43C92"/>
    <w:rsid w:val="00B43D7C"/>
    <w:rsid w:val="00B441D5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A1555"/>
    <w:rsid w:val="00BA18BB"/>
    <w:rsid w:val="00BA225F"/>
    <w:rsid w:val="00BA2973"/>
    <w:rsid w:val="00BA2BDE"/>
    <w:rsid w:val="00BA6995"/>
    <w:rsid w:val="00BA6E69"/>
    <w:rsid w:val="00BB3B0F"/>
    <w:rsid w:val="00BB615E"/>
    <w:rsid w:val="00BB6598"/>
    <w:rsid w:val="00BB76AB"/>
    <w:rsid w:val="00BC0CB8"/>
    <w:rsid w:val="00BC461F"/>
    <w:rsid w:val="00BC47BA"/>
    <w:rsid w:val="00BC48EA"/>
    <w:rsid w:val="00BD125D"/>
    <w:rsid w:val="00BD2A10"/>
    <w:rsid w:val="00BD2AAA"/>
    <w:rsid w:val="00BD71CF"/>
    <w:rsid w:val="00BE0B6A"/>
    <w:rsid w:val="00BE2F55"/>
    <w:rsid w:val="00BE39A0"/>
    <w:rsid w:val="00BE5E40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13DD"/>
    <w:rsid w:val="00C0273D"/>
    <w:rsid w:val="00C03515"/>
    <w:rsid w:val="00C043FD"/>
    <w:rsid w:val="00C061AD"/>
    <w:rsid w:val="00C065C0"/>
    <w:rsid w:val="00C0767E"/>
    <w:rsid w:val="00C07D16"/>
    <w:rsid w:val="00C110A3"/>
    <w:rsid w:val="00C132B6"/>
    <w:rsid w:val="00C1369D"/>
    <w:rsid w:val="00C14333"/>
    <w:rsid w:val="00C14947"/>
    <w:rsid w:val="00C14E9D"/>
    <w:rsid w:val="00C1530D"/>
    <w:rsid w:val="00C16487"/>
    <w:rsid w:val="00C206AD"/>
    <w:rsid w:val="00C21104"/>
    <w:rsid w:val="00C21CE5"/>
    <w:rsid w:val="00C22D51"/>
    <w:rsid w:val="00C258D5"/>
    <w:rsid w:val="00C269EF"/>
    <w:rsid w:val="00C31044"/>
    <w:rsid w:val="00C322A5"/>
    <w:rsid w:val="00C326B6"/>
    <w:rsid w:val="00C33370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32A3"/>
    <w:rsid w:val="00C434DA"/>
    <w:rsid w:val="00C47E0A"/>
    <w:rsid w:val="00C509E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740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5286"/>
    <w:rsid w:val="00CF61DF"/>
    <w:rsid w:val="00CF7C55"/>
    <w:rsid w:val="00D009A3"/>
    <w:rsid w:val="00D00AA4"/>
    <w:rsid w:val="00D031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20B0"/>
    <w:rsid w:val="00D621D1"/>
    <w:rsid w:val="00D63906"/>
    <w:rsid w:val="00D63D76"/>
    <w:rsid w:val="00D63DF4"/>
    <w:rsid w:val="00D64335"/>
    <w:rsid w:val="00D7112C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26FD"/>
    <w:rsid w:val="00DA44E9"/>
    <w:rsid w:val="00DA5DAD"/>
    <w:rsid w:val="00DA6044"/>
    <w:rsid w:val="00DB030C"/>
    <w:rsid w:val="00DB17AE"/>
    <w:rsid w:val="00DB2E94"/>
    <w:rsid w:val="00DB344D"/>
    <w:rsid w:val="00DB5857"/>
    <w:rsid w:val="00DB6BD6"/>
    <w:rsid w:val="00DB7461"/>
    <w:rsid w:val="00DC5F5C"/>
    <w:rsid w:val="00DC6250"/>
    <w:rsid w:val="00DC7341"/>
    <w:rsid w:val="00DE19E9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1ED4"/>
    <w:rsid w:val="00E43B99"/>
    <w:rsid w:val="00E44590"/>
    <w:rsid w:val="00E44EC9"/>
    <w:rsid w:val="00E45A12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2DC6"/>
    <w:rsid w:val="00EA3B6C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F02FC"/>
    <w:rsid w:val="00EF1800"/>
    <w:rsid w:val="00EF4053"/>
    <w:rsid w:val="00EF4AF9"/>
    <w:rsid w:val="00EF795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31CA"/>
    <w:rsid w:val="00F74E6D"/>
    <w:rsid w:val="00F75F2E"/>
    <w:rsid w:val="00F762D7"/>
    <w:rsid w:val="00F8000E"/>
    <w:rsid w:val="00F80490"/>
    <w:rsid w:val="00F81A55"/>
    <w:rsid w:val="00F82552"/>
    <w:rsid w:val="00F83C1B"/>
    <w:rsid w:val="00F853E9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C076D"/>
    <w:rsid w:val="00FC0FAF"/>
    <w:rsid w:val="00FC287A"/>
    <w:rsid w:val="00FC5838"/>
    <w:rsid w:val="00FD0E8A"/>
    <w:rsid w:val="00FD1173"/>
    <w:rsid w:val="00FD271B"/>
    <w:rsid w:val="00FD3F33"/>
    <w:rsid w:val="00FD6300"/>
    <w:rsid w:val="00FD66D8"/>
    <w:rsid w:val="00FD6CDF"/>
    <w:rsid w:val="00FE000B"/>
    <w:rsid w:val="00FE319B"/>
    <w:rsid w:val="00FE38E5"/>
    <w:rsid w:val="00FE5946"/>
    <w:rsid w:val="00FE60BD"/>
    <w:rsid w:val="00FE7A41"/>
    <w:rsid w:val="00FF133A"/>
    <w:rsid w:val="00FF16DA"/>
    <w:rsid w:val="00FF4298"/>
    <w:rsid w:val="00FF4385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35C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261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261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261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52615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52615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52615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5261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52615"/>
    <w:rPr>
      <w:rFonts w:ascii="Cambria" w:hAnsi="Cambria" w:cs="Times New Roman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 w:cs="Times New Roman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rFonts w:cs="Times New Roman"/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rFonts w:cs="Times New Roman"/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rFonts w:cs="Times New Roman"/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rFonts w:cs="Times New Roman"/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rFonts w:cs="Times New Roman"/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rFonts w:cs="Times New Roman"/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 w:cs="Times New Roman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rFonts w:cs="Times New Roman"/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 w:cs="Times New Roman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8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rFonts w:cs="Times New Roman"/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35C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261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261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261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52615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52615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52615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5261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52615"/>
    <w:rPr>
      <w:rFonts w:ascii="Cambria" w:hAnsi="Cambria" w:cs="Times New Roman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 w:cs="Times New Roman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rFonts w:cs="Times New Roman"/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rFonts w:cs="Times New Roman"/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rFonts w:cs="Times New Roman"/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rFonts w:cs="Times New Roman"/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rFonts w:cs="Times New Roman"/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rFonts w:cs="Times New Roman"/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 w:cs="Times New Roman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rFonts w:cs="Times New Roman"/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 w:cs="Times New Roman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8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rFonts w:cs="Times New Roman"/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2</cp:revision>
  <cp:lastPrinted>2018-09-28T07:52:00Z</cp:lastPrinted>
  <dcterms:created xsi:type="dcterms:W3CDTF">2018-10-01T06:59:00Z</dcterms:created>
  <dcterms:modified xsi:type="dcterms:W3CDTF">2018-10-01T06:59:00Z</dcterms:modified>
</cp:coreProperties>
</file>