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4368"/>
      </w:tblGrid>
      <w:tr w:rsidR="00DB71FD" w:rsidRPr="00DB71FD" w:rsidTr="002E71CE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DB71FD" w:rsidTr="002E71CE">
        <w:trPr>
          <w:trHeight w:val="158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17126F" w:rsidP="009852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gramStart"/>
            <w:r w:rsidR="009852FD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52FD">
              <w:rPr>
                <w:rFonts w:ascii="Times New Roman" w:hAnsi="Times New Roman"/>
                <w:sz w:val="26"/>
                <w:szCs w:val="26"/>
              </w:rPr>
              <w:t>августа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E9748F">
              <w:rPr>
                <w:rFonts w:ascii="Times New Roman" w:hAnsi="Times New Roman"/>
                <w:sz w:val="26"/>
                <w:szCs w:val="26"/>
              </w:rPr>
              <w:t>2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2E71CE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17126F" w:rsidP="00285E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gramStart"/>
            <w:r w:rsidR="002E6FDB">
              <w:rPr>
                <w:rFonts w:ascii="Times New Roman" w:hAnsi="Times New Roman"/>
                <w:sz w:val="26"/>
                <w:szCs w:val="26"/>
              </w:rPr>
              <w:t>0</w:t>
            </w:r>
            <w:r w:rsidR="00285ED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E6FDB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E9748F">
              <w:rPr>
                <w:rFonts w:ascii="Times New Roman" w:hAnsi="Times New Roman"/>
                <w:sz w:val="26"/>
                <w:szCs w:val="26"/>
              </w:rPr>
              <w:t>2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2E71CE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DB71FD" w:rsidTr="002E71CE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</w:p>
        </w:tc>
      </w:tr>
      <w:tr w:rsidR="00DB71FD" w:rsidRPr="00DB71FD" w:rsidTr="002E71CE">
        <w:trPr>
          <w:trHeight w:val="419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DB71FD" w:rsidRPr="00DB71FD" w:rsidTr="002E71CE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DB71FD" w:rsidRPr="00DB71FD" w:rsidTr="002E71CE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514"/>
        <w:gridCol w:w="5688"/>
      </w:tblGrid>
      <w:tr w:rsidR="00DB71FD" w:rsidRPr="00DB71FD" w:rsidTr="001971D8">
        <w:tc>
          <w:tcPr>
            <w:tcW w:w="33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DB71FD" w:rsidRPr="00E039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03991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</w:t>
            </w:r>
            <w:proofErr w:type="spellStart"/>
            <w:r w:rsidRPr="00E03991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E0399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B71FD" w:rsidTr="001971D8">
        <w:trPr>
          <w:trHeight w:val="759"/>
        </w:trPr>
        <w:tc>
          <w:tcPr>
            <w:tcW w:w="331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1971D8" w:rsidRDefault="00DB71FD" w:rsidP="00086C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1D8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9852F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1971D8">
        <w:trPr>
          <w:trHeight w:val="991"/>
        </w:trPr>
        <w:tc>
          <w:tcPr>
            <w:tcW w:w="33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6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B71FD" w:rsidRPr="0017126F" w:rsidRDefault="00DB71FD" w:rsidP="0017126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03991">
              <w:rPr>
                <w:rFonts w:ascii="Times New Roman" w:hAnsi="Times New Roman"/>
                <w:sz w:val="26"/>
                <w:szCs w:val="26"/>
              </w:rPr>
              <w:t>Вид и наименование проекта муниципального нормативного правового акта:</w:t>
            </w:r>
            <w:r w:rsidRPr="0017126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постановление администрации города </w:t>
            </w:r>
            <w:proofErr w:type="spellStart"/>
            <w:r w:rsidRPr="0017126F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Pr="0017126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17126F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="0017126F" w:rsidRPr="0017126F">
              <w:rPr>
                <w:rFonts w:ascii="Times New Roman" w:hAnsi="Times New Roman"/>
                <w:sz w:val="26"/>
                <w:szCs w:val="26"/>
                <w:u w:val="single"/>
              </w:rPr>
              <w:t>О внесении изменений в постановление администрации города от 11.04.2022 № 133-па</w:t>
            </w:r>
            <w:r w:rsidR="0017126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17126F" w:rsidRPr="0017126F">
              <w:rPr>
                <w:rFonts w:ascii="Times New Roman" w:hAnsi="Times New Roman"/>
                <w:sz w:val="26"/>
                <w:szCs w:val="26"/>
                <w:u w:val="single"/>
              </w:rPr>
              <w:t xml:space="preserve">«Об утверждении порядка предоставления субсидий субъектам малого и среднего предпринимательства в городе </w:t>
            </w:r>
            <w:proofErr w:type="spellStart"/>
            <w:r w:rsidR="0017126F" w:rsidRPr="0017126F">
              <w:rPr>
                <w:rFonts w:ascii="Times New Roman" w:hAnsi="Times New Roman"/>
                <w:sz w:val="26"/>
                <w:szCs w:val="26"/>
                <w:u w:val="single"/>
              </w:rPr>
              <w:t>Пыть-Яхе</w:t>
            </w:r>
            <w:proofErr w:type="spellEnd"/>
            <w:r w:rsidR="0017126F" w:rsidRPr="0017126F">
              <w:rPr>
                <w:rFonts w:ascii="Times New Roman" w:hAnsi="Times New Roman"/>
                <w:sz w:val="26"/>
                <w:szCs w:val="26"/>
                <w:u w:val="single"/>
              </w:rPr>
              <w:t>».</w:t>
            </w:r>
          </w:p>
        </w:tc>
      </w:tr>
      <w:tr w:rsidR="00DB71FD" w:rsidRPr="00DB71FD" w:rsidTr="00D106C3">
        <w:trPr>
          <w:trHeight w:val="416"/>
        </w:trPr>
        <w:tc>
          <w:tcPr>
            <w:tcW w:w="33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69" w:type="pct"/>
            <w:gridSpan w:val="2"/>
            <w:shd w:val="clear" w:color="auto" w:fill="auto"/>
          </w:tcPr>
          <w:p w:rsidR="00947187" w:rsidRDefault="00DB71FD" w:rsidP="00E03991">
            <w:pPr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CF0A46" w:rsidRPr="001971D8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постановления разработан для определения порядка компенсации фактически произведенных и документально подтвержденных затрат (части затрат), оказания финансовой поддержки субъектам малого и среднего предпринимательства в г. </w:t>
            </w:r>
            <w:proofErr w:type="spellStart"/>
            <w:r w:rsidR="00CF0A46" w:rsidRPr="001971D8">
              <w:rPr>
                <w:rFonts w:ascii="Times New Roman" w:hAnsi="Times New Roman"/>
                <w:sz w:val="26"/>
                <w:szCs w:val="26"/>
                <w:u w:val="single"/>
              </w:rPr>
              <w:t>Пыть-Яхе</w:t>
            </w:r>
            <w:proofErr w:type="spellEnd"/>
            <w:r w:rsidR="00CF0A46" w:rsidRPr="001971D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рамках реализации региональных проектов «Акселерация субъектов малого и среднего предпринимательства», «Создание условий для легкого старта и комфортного ведения бизнеса», направленных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инициативы».</w:t>
            </w:r>
          </w:p>
          <w:p w:rsidR="00DB71FD" w:rsidRPr="006A16CA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>Основания для разработки:</w:t>
            </w:r>
          </w:p>
          <w:p w:rsidR="00037FDB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>1. Постановление Правител</w:t>
            </w:r>
            <w:r w:rsidR="00874CEA" w:rsidRPr="006A16CA">
              <w:rPr>
                <w:rFonts w:ascii="Times New Roman" w:hAnsi="Times New Roman"/>
                <w:sz w:val="26"/>
                <w:szCs w:val="26"/>
                <w:u w:val="single"/>
              </w:rPr>
              <w:t>ьства Российской Федерации от 18</w:t>
            </w: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>.09.20</w:t>
            </w:r>
            <w:r w:rsidR="00874CEA" w:rsidRPr="006A16CA">
              <w:rPr>
                <w:rFonts w:ascii="Times New Roman" w:hAnsi="Times New Roman"/>
                <w:sz w:val="26"/>
                <w:szCs w:val="26"/>
                <w:u w:val="single"/>
              </w:rPr>
              <w:t>20</w:t>
            </w: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№ </w:t>
            </w:r>
            <w:r w:rsidR="00874CEA" w:rsidRPr="006A16CA">
              <w:rPr>
                <w:rFonts w:ascii="Times New Roman" w:hAnsi="Times New Roman"/>
                <w:sz w:val="26"/>
                <w:szCs w:val="26"/>
                <w:u w:val="single"/>
              </w:rPr>
              <w:t>1492</w:t>
            </w:r>
            <w:r w:rsidRPr="006A16CA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6A16CA" w:rsidRPr="006A16CA">
              <w:rPr>
                <w:rFonts w:ascii="Times New Roman" w:hAnsi="Times New Roman"/>
                <w:sz w:val="26"/>
                <w:szCs w:val="26"/>
                <w:u w:val="single"/>
              </w:rPr>
      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  <w:p w:rsidR="00037FDB" w:rsidRPr="00037FDB" w:rsidRDefault="00037FDB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2. </w:t>
            </w:r>
            <w:r w:rsidRPr="00037FD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администрация города </w:t>
            </w:r>
            <w:proofErr w:type="spellStart"/>
            <w:r w:rsidRPr="00037FDB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Pr="00037FD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037FD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от 07.12.2021 № 550-па «Об утверждении муниципальной программы «Развитие экономического потенциала города </w:t>
            </w:r>
            <w:proofErr w:type="spellStart"/>
            <w:r w:rsidRPr="00037FD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Пыть-Яха</w:t>
            </w:r>
            <w:proofErr w:type="spellEnd"/>
            <w:r w:rsidRPr="00037FD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»</w:t>
            </w:r>
            <w:r w:rsidR="007C75A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</w:p>
          <w:p w:rsidR="00947187" w:rsidRPr="00947187" w:rsidRDefault="007C75AE" w:rsidP="003819C3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D106C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421393" w:rsidRPr="00E03991">
              <w:rPr>
                <w:rFonts w:ascii="Times New Roman" w:hAnsi="Times New Roman"/>
                <w:sz w:val="26"/>
                <w:szCs w:val="26"/>
              </w:rPr>
              <w:t xml:space="preserve">Постановление </w:t>
            </w:r>
            <w:r w:rsidR="003819C3" w:rsidRPr="00E03991">
              <w:rPr>
                <w:rFonts w:ascii="Times New Roman" w:hAnsi="Times New Roman"/>
                <w:sz w:val="26"/>
                <w:szCs w:val="26"/>
              </w:rPr>
              <w:t>Ханты-Мансийского автономного округа - Югры от 31.10.2021 № 483-п «О государственной программе Ханты-Мансийского автономного округа - Югры «Развитие экономического потенциала».</w:t>
            </w:r>
          </w:p>
        </w:tc>
      </w:tr>
      <w:tr w:rsidR="00DB71FD" w:rsidRPr="00DB71FD" w:rsidTr="00044231">
        <w:tc>
          <w:tcPr>
            <w:tcW w:w="331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669" w:type="pct"/>
            <w:gridSpan w:val="2"/>
            <w:shd w:val="clear" w:color="auto" w:fill="auto"/>
          </w:tcPr>
          <w:p w:rsidR="00DB71FD" w:rsidRPr="00947187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</w:t>
            </w:r>
            <w:r w:rsidRPr="00947187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DB71FD" w:rsidRPr="00DB71FD" w:rsidTr="00044231">
        <w:tc>
          <w:tcPr>
            <w:tcW w:w="33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037FDB" w:rsidRDefault="00AD4C8C" w:rsidP="003167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37FD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Май Лейла </w:t>
            </w:r>
            <w:proofErr w:type="spellStart"/>
            <w:r w:rsidRPr="00037FDB">
              <w:rPr>
                <w:rFonts w:ascii="Times New Roman" w:hAnsi="Times New Roman"/>
                <w:sz w:val="26"/>
                <w:szCs w:val="26"/>
                <w:u w:val="single"/>
              </w:rPr>
              <w:t>Вазировна</w:t>
            </w:r>
            <w:proofErr w:type="spellEnd"/>
          </w:p>
        </w:tc>
      </w:tr>
      <w:tr w:rsidR="00DB71FD" w:rsidRPr="00DB71FD" w:rsidTr="00044231">
        <w:tc>
          <w:tcPr>
            <w:tcW w:w="33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037FDB" w:rsidRDefault="00207545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37FDB">
              <w:rPr>
                <w:rFonts w:ascii="Times New Roman" w:hAnsi="Times New Roman"/>
                <w:sz w:val="26"/>
                <w:szCs w:val="26"/>
                <w:u w:val="single"/>
              </w:rPr>
              <w:t>Главный специалист</w:t>
            </w:r>
            <w:r w:rsidR="00DB71FD" w:rsidRPr="00037FD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отдела по предпринимательству, ценовой политике и защите прав потребителей управления по экономике администрации города </w:t>
            </w:r>
            <w:proofErr w:type="spellStart"/>
            <w:r w:rsidR="00DB71FD" w:rsidRPr="00037FDB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</w:p>
        </w:tc>
      </w:tr>
      <w:tr w:rsidR="00DB71FD" w:rsidRPr="00DB71FD" w:rsidTr="00044231">
        <w:trPr>
          <w:trHeight w:val="249"/>
        </w:trPr>
        <w:tc>
          <w:tcPr>
            <w:tcW w:w="33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037FDB" w:rsidRDefault="00207545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037FDB">
              <w:rPr>
                <w:rFonts w:ascii="Times New Roman" w:hAnsi="Times New Roman"/>
                <w:sz w:val="26"/>
                <w:szCs w:val="26"/>
                <w:u w:val="single"/>
              </w:rPr>
              <w:t>8 (3463) 46-55-31</w:t>
            </w:r>
          </w:p>
        </w:tc>
      </w:tr>
      <w:tr w:rsidR="00DB71FD" w:rsidRPr="00DB71FD" w:rsidTr="00044231">
        <w:trPr>
          <w:trHeight w:val="249"/>
        </w:trPr>
        <w:tc>
          <w:tcPr>
            <w:tcW w:w="331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AD4C8C" w:rsidRDefault="00AD4C8C" w:rsidP="00AD4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en-US"/>
              </w:rPr>
            </w:pPr>
            <w:r w:rsidRPr="00AD4C8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MaiLV@gov86.org</w:t>
            </w:r>
          </w:p>
        </w:tc>
      </w:tr>
    </w:tbl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032"/>
        <w:gridCol w:w="4051"/>
      </w:tblGrid>
      <w:tr w:rsidR="00DB71FD" w:rsidRPr="00DB71FD" w:rsidTr="002E71CE"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  <w:p w:rsidR="00DB71FD" w:rsidRPr="00DB71FD" w:rsidRDefault="00DB71FD" w:rsidP="00DB71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DB71FD" w:rsidTr="002E71CE">
        <w:trPr>
          <w:trHeight w:val="1331"/>
        </w:trPr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DB71FD" w:rsidRPr="00A259A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59A1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9E5B20" w:rsidRPr="00DB71FD" w:rsidRDefault="00DB71FD" w:rsidP="00D115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259A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муниципального правового акта содержит положения, </w:t>
            </w:r>
            <w:r w:rsidR="003B10C8">
              <w:rPr>
                <w:rFonts w:ascii="Times New Roman" w:hAnsi="Times New Roman"/>
                <w:sz w:val="26"/>
                <w:szCs w:val="26"/>
                <w:u w:val="single"/>
              </w:rPr>
              <w:t>и</w:t>
            </w:r>
            <w:r w:rsid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зменяющие ранее предусмотренный размер субсидий </w:t>
            </w:r>
            <w:r w:rsidR="00285ED6">
              <w:rPr>
                <w:rFonts w:ascii="Times New Roman" w:hAnsi="Times New Roman"/>
                <w:sz w:val="26"/>
                <w:szCs w:val="26"/>
                <w:u w:val="single"/>
              </w:rPr>
              <w:t xml:space="preserve">и перечень документов, предоставляемых субъектом, для получения субсидии </w:t>
            </w:r>
            <w:r w:rsidR="00D115FD">
              <w:rPr>
                <w:rFonts w:ascii="Times New Roman" w:hAnsi="Times New Roman"/>
                <w:sz w:val="26"/>
                <w:szCs w:val="26"/>
                <w:u w:val="single"/>
              </w:rPr>
              <w:t>в рамках реализации региональных</w:t>
            </w:r>
            <w:r w:rsidR="00D115FD" w:rsidRPr="00D115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проектов «Акселерация субъектов малого и среднего предпринимательства», «Создание условий для легкого старта и комфортного ведения бизнеса», направленных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инициативы».</w:t>
            </w:r>
          </w:p>
        </w:tc>
      </w:tr>
    </w:tbl>
    <w:p w:rsidR="00EC17FF" w:rsidRDefault="00EC17FF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70F49" w:rsidRPr="00DB71FD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9E5B20" w:rsidRPr="00BA21FB" w:rsidRDefault="00DB71FD" w:rsidP="00735DC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 </w:t>
            </w:r>
            <w:r w:rsidRPr="00BA21F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проект постановления администрации города </w:t>
            </w:r>
            <w:proofErr w:type="spellStart"/>
            <w:r w:rsidRPr="00BA21F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Пыть-Яха</w:t>
            </w:r>
            <w:proofErr w:type="spellEnd"/>
            <w:r w:rsidRPr="00BA21F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 </w:t>
            </w:r>
            <w:r w:rsidR="00735DC0" w:rsidRPr="00BA21FB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затрагивает интересы субъектов предпринимательской и инвестиционной деятельности, </w:t>
            </w:r>
            <w:r w:rsidR="00D115FD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и рассматривает увеличение размера субсидий </w:t>
            </w:r>
            <w:r w:rsidR="00D115FD" w:rsidRPr="00D115FD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в рамках реализации региональных проектов «Акселерация субъектов малого и среднего предпринимательства», «Создание условий для легкого старта и комфортного ведения бизнеса», направленных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инициативы».</w:t>
            </w:r>
          </w:p>
          <w:p w:rsidR="009E5B20" w:rsidRPr="00DB71FD" w:rsidRDefault="009E5B20" w:rsidP="00BA21FB">
            <w:pPr>
              <w:rPr>
                <w:rFonts w:ascii="Times New Roman" w:hAnsi="Times New Roman"/>
                <w:sz w:val="26"/>
                <w:szCs w:val="26"/>
              </w:rPr>
            </w:pPr>
            <w:r w:rsidRPr="00BA21F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Принятие данного проекта постановления администрации города позволит </w:t>
            </w:r>
            <w:r w:rsidRPr="00BA21FB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реализовать цели, способствующие развитию предпринимательской деят</w:t>
            </w:r>
            <w:r w:rsidR="00E46987">
              <w:rPr>
                <w:rFonts w:ascii="Times New Roman" w:hAnsi="Times New Roman"/>
                <w:sz w:val="26"/>
                <w:szCs w:val="26"/>
                <w:u w:val="single"/>
              </w:rPr>
              <w:t>ельности.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BA21F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Негативные эффекты, возникающие в связи с налич</w:t>
            </w:r>
            <w:r w:rsidRPr="003C2D9B">
              <w:rPr>
                <w:rFonts w:ascii="Times New Roman" w:hAnsi="Times New Roman"/>
                <w:sz w:val="26"/>
                <w:szCs w:val="26"/>
              </w:rPr>
              <w:t xml:space="preserve">ием проблемы: </w:t>
            </w:r>
            <w:r w:rsidR="00BA21FB">
              <w:rPr>
                <w:rFonts w:ascii="Times New Roman" w:hAnsi="Times New Roman"/>
                <w:sz w:val="26"/>
                <w:szCs w:val="26"/>
                <w:u w:val="single"/>
              </w:rPr>
              <w:t>отсутствуют.</w:t>
            </w:r>
          </w:p>
        </w:tc>
      </w:tr>
      <w:tr w:rsidR="00DB71FD" w:rsidRPr="00DB71FD" w:rsidTr="00301755">
        <w:trPr>
          <w:trHeight w:val="6904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6B33C6" w:rsidRPr="006B33C6" w:rsidRDefault="00DB71FD" w:rsidP="006B33C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7164F7">
              <w:rPr>
                <w:rFonts w:ascii="Times New Roman" w:hAnsi="Times New Roman"/>
                <w:sz w:val="26"/>
                <w:szCs w:val="26"/>
                <w:u w:val="single"/>
              </w:rPr>
              <w:t xml:space="preserve">: </w:t>
            </w:r>
            <w:r w:rsidR="006B33C6"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Данное постановление позволит решить следующие вопросы: совершенствование условий предоставления финансовой поддержки субъектам малого и среднего предпринимательства в городе Пыть-Ях, в рамках реализации региональных проектов «Акселерация субъектов малого и среднего предпринимательства», «Создание условий для легкого старта и комфортного ведения бизнеса», направленных на достижение целей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инициативы».</w:t>
            </w:r>
          </w:p>
          <w:p w:rsidR="006B33C6" w:rsidRPr="006B33C6" w:rsidRDefault="006B33C6" w:rsidP="006B33C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А именно, увеличение размера субсидии в рамках реализации региональных проектов:</w:t>
            </w:r>
          </w:p>
          <w:p w:rsidR="006B33C6" w:rsidRPr="006B33C6" w:rsidRDefault="00EF214C" w:rsidP="006B33C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- </w:t>
            </w:r>
            <w:r w:rsidR="006B33C6"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«Акселерация субъектов малого и среднего предпринимательства» на аренду (субаренду) нежилых помещений от 100,0 тыс. рублей до 200,0 тыс. руб., на </w:t>
            </w:r>
            <w:r w:rsidR="00CE7800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оборудования (основных средств)</w:t>
            </w:r>
            <w:r w:rsidR="006B33C6"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от 150,0 тыс. руб. до 200,0 тыс. рублей, на коммунальные услуги нежилых помещений от 50,0 тыс. руб. до 100,0 тыс. руб. на одного Субъекта в год;</w:t>
            </w:r>
          </w:p>
          <w:p w:rsidR="00EF214C" w:rsidRDefault="006B33C6" w:rsidP="006B33C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- «Создание условий для легкого старта и комфортного ведения бизнеса» от 150,0 тыс. руб. до 200,0 тыс. рублей.</w:t>
            </w:r>
          </w:p>
          <w:p w:rsidR="00DB71FD" w:rsidRPr="00E46987" w:rsidRDefault="006B33C6" w:rsidP="00D115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Принятие нормативного правового акта позволит реализовать цели, способствующие обеспечить экономическую и социальную стабильность в городе </w:t>
            </w:r>
            <w:proofErr w:type="spellStart"/>
            <w:r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Пыть-Яхе</w:t>
            </w:r>
            <w:proofErr w:type="spellEnd"/>
            <w:r w:rsidRPr="006B33C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9E5B20" w:rsidRPr="00CE7800" w:rsidRDefault="00DB71FD" w:rsidP="006C7F5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Описание условий, при которых проблема может быть решена в целом без вмешат</w:t>
            </w:r>
            <w:r w:rsidR="003A6E82">
              <w:rPr>
                <w:rFonts w:ascii="Times New Roman" w:hAnsi="Times New Roman"/>
                <w:sz w:val="26"/>
                <w:szCs w:val="26"/>
              </w:rPr>
              <w:t>ельства со стороны государства:</w:t>
            </w:r>
            <w:r w:rsidR="00CE780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4F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(далее соответственно - получатели субсидий, субсидии) закреплены и утверждены </w:t>
            </w:r>
            <w:r w:rsidR="006B33C6" w:rsidRPr="007164F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 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целях реализации </w:t>
            </w:r>
            <w:hyperlink r:id="rId7" w:history="1">
              <w:r w:rsidR="006B33C6" w:rsidRPr="007164F7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постановления</w:t>
              </w:r>
            </w:hyperlink>
            <w:r w:rsidR="006B33C6" w:rsidRPr="007164F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администрации города от 07.12.2021 № 550-па «Об утверждении муниципальной программы «Развитие экономического потенциала города </w:t>
            </w:r>
            <w:proofErr w:type="spellStart"/>
            <w:r w:rsidR="006B33C6" w:rsidRPr="007164F7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="006B33C6" w:rsidRPr="007164F7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r w:rsidR="00CE7800" w:rsidRPr="007164F7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3.5.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DB71FD" w:rsidRPr="00282687" w:rsidRDefault="00282687" w:rsidP="00DA04E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2826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      </w:r>
            <w:hyperlink r:id="rId8">
              <w:r w:rsidRPr="008832FE">
                <w:rPr>
                  <w:rFonts w:ascii="Times New Roman" w:hAnsi="Times New Roman"/>
                  <w:sz w:val="26"/>
                  <w:szCs w:val="26"/>
                  <w:u w:val="single"/>
                </w:rPr>
                <w:t>Закон</w:t>
              </w:r>
            </w:hyperlink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Ханты-Мансийского автономного округа - Югры от 29.12.2007 № 213-оз «О развитии малого и среднего предпринимательства в Ханты-Мансийском автономном округе – Югре», </w:t>
            </w:r>
            <w:hyperlink r:id="rId9">
              <w:r w:rsidRPr="008832FE">
                <w:rPr>
                  <w:rFonts w:ascii="Times New Roman" w:hAnsi="Times New Roman"/>
                  <w:sz w:val="26"/>
                  <w:szCs w:val="26"/>
                  <w:u w:val="single"/>
                </w:rPr>
                <w:t>постановление</w:t>
              </w:r>
            </w:hyperlink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Правительства Ханты-Мансийского автономного округа - Югры от 30.12.2021 № 633-п «О мерах по реализации государственной программы Ханты-Мансийского автономного округа - Югры «Развитие экономического потенциала», </w:t>
            </w:r>
            <w:hyperlink r:id="rId10">
              <w:r w:rsidRPr="008832FE">
                <w:rPr>
                  <w:rFonts w:ascii="Times New Roman" w:hAnsi="Times New Roman"/>
                  <w:sz w:val="26"/>
                  <w:szCs w:val="26"/>
                  <w:u w:val="single"/>
                </w:rPr>
                <w:t>постановление</w:t>
              </w:r>
            </w:hyperlink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Правительства Ханты-Мансийского автономного округа - Югры от 31.10.2021 № 483-п «О государственной программе Ханты-Мансийского автономного округа - Югры «Развитие экономического потенциала» (далее - государственная программа), в целях реализации </w:t>
            </w:r>
            <w:hyperlink r:id="rId11">
              <w:r w:rsidRPr="008832FE">
                <w:rPr>
                  <w:rFonts w:ascii="Times New Roman" w:hAnsi="Times New Roman"/>
                  <w:sz w:val="26"/>
                  <w:szCs w:val="26"/>
                  <w:u w:val="single"/>
                </w:rPr>
                <w:t>постановления</w:t>
              </w:r>
            </w:hyperlink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администрации города от 07.12.2021 № 550-па «Об утверждении муниципальной программы «Развитие экономического потенциала города </w:t>
            </w:r>
            <w:proofErr w:type="spellStart"/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»</w:t>
            </w:r>
            <w:r w:rsidR="00DA04E7" w:rsidRPr="008832FE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2E71CE">
        <w:trPr>
          <w:trHeight w:val="365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  <w:r w:rsidR="00670F49">
        <w:rPr>
          <w:rFonts w:ascii="Times New Roman" w:hAnsi="Times New Roman"/>
          <w:sz w:val="26"/>
          <w:szCs w:val="26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E6050F" w:rsidRPr="00E6050F" w:rsidRDefault="00DB71FD" w:rsidP="00E6050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</w:t>
            </w:r>
            <w:r w:rsidRPr="00E6050F">
              <w:rPr>
                <w:rFonts w:ascii="Times New Roman" w:hAnsi="Times New Roman"/>
                <w:sz w:val="26"/>
                <w:szCs w:val="26"/>
              </w:rPr>
              <w:t xml:space="preserve">соответствующих сферах деятельности: </w:t>
            </w:r>
            <w:r w:rsidR="00304098" w:rsidRPr="00E6050F">
              <w:rPr>
                <w:rFonts w:ascii="Times New Roman" w:hAnsi="Times New Roman"/>
                <w:sz w:val="26"/>
                <w:szCs w:val="26"/>
                <w:u w:val="single"/>
              </w:rPr>
              <w:t>опыт реш</w:t>
            </w:r>
            <w:r w:rsidRPr="00E6050F">
              <w:rPr>
                <w:rFonts w:ascii="Times New Roman" w:hAnsi="Times New Roman"/>
                <w:sz w:val="26"/>
                <w:szCs w:val="26"/>
                <w:u w:val="single"/>
              </w:rPr>
              <w:t>ения аналогичных проблем в Ханты-Мансийском автономном округе – Югре</w:t>
            </w:r>
            <w:r w:rsidR="00E6050F" w:rsidRPr="00E6050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закреплен следующим нормативным актом:</w:t>
            </w:r>
          </w:p>
          <w:p w:rsidR="003E677C" w:rsidRPr="006B33C6" w:rsidRDefault="00E131C5" w:rsidP="00E131C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E131C5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 Администрации г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орода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Урай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от 11.02.2022 № 275 «</w:t>
            </w:r>
            <w:r w:rsidRPr="00E131C5">
              <w:rPr>
                <w:rFonts w:ascii="Times New Roman" w:hAnsi="Times New Roman"/>
                <w:sz w:val="26"/>
                <w:szCs w:val="26"/>
                <w:u w:val="single"/>
              </w:rPr>
              <w:t>Об утверждении Порядка предоставления финансовой поддержки в форме субсидий субъектам малого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 среднего предпринимательства»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DB71F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КонсультантПлюс</w:t>
            </w:r>
            <w:proofErr w:type="spellEnd"/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— компьютерная справочная правовая система в России.  </w:t>
            </w:r>
            <w:hyperlink r:id="rId12" w:history="1">
              <w:r w:rsidR="00AD4C8C" w:rsidRPr="00544C32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670F49" w:rsidRPr="00DB71FD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283"/>
        <w:gridCol w:w="708"/>
        <w:gridCol w:w="3969"/>
      </w:tblGrid>
      <w:tr w:rsidR="00DB71FD" w:rsidRPr="00DB71FD" w:rsidTr="00E57653">
        <w:trPr>
          <w:trHeight w:val="989"/>
        </w:trPr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19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363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03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2E71CE" w:rsidRPr="00DB71FD" w:rsidTr="002E71CE">
        <w:trPr>
          <w:trHeight w:val="367"/>
        </w:trPr>
        <w:tc>
          <w:tcPr>
            <w:tcW w:w="2601" w:type="pct"/>
            <w:gridSpan w:val="2"/>
            <w:shd w:val="clear" w:color="auto" w:fill="auto"/>
          </w:tcPr>
          <w:p w:rsidR="002E71CE" w:rsidRDefault="002E71CE" w:rsidP="002E71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Pr="002E71CE">
              <w:rPr>
                <w:rFonts w:ascii="Times New Roman" w:hAnsi="Times New Roman"/>
                <w:sz w:val="26"/>
                <w:szCs w:val="26"/>
                <w:u w:val="single"/>
              </w:rPr>
              <w:t xml:space="preserve">редоставление субсидий субъектам </w:t>
            </w:r>
            <w:r w:rsidRPr="002E71CE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малого и среднего предпринимательства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, в городе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Пыть-Яхе</w:t>
            </w:r>
            <w:proofErr w:type="spellEnd"/>
          </w:p>
          <w:p w:rsidR="00E57653" w:rsidRPr="002E71CE" w:rsidRDefault="00E57653" w:rsidP="006B33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Увеличение количества получателей финансовой поддержки</w:t>
            </w:r>
            <w:r w:rsidR="006B33C6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а также размера субсидий </w:t>
            </w:r>
          </w:p>
        </w:tc>
        <w:tc>
          <w:tcPr>
            <w:tcW w:w="2399" w:type="pct"/>
            <w:gridSpan w:val="2"/>
            <w:shd w:val="clear" w:color="auto" w:fill="auto"/>
          </w:tcPr>
          <w:p w:rsidR="002E71CE" w:rsidRPr="002E71CE" w:rsidRDefault="006B33C6" w:rsidP="00427F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  <w:r w:rsidRPr="00427FFE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2022 год</w:t>
            </w:r>
          </w:p>
        </w:tc>
      </w:tr>
      <w:tr w:rsidR="002E71CE" w:rsidRPr="00DB71FD" w:rsidTr="002E71CE">
        <w:tc>
          <w:tcPr>
            <w:tcW w:w="404" w:type="pct"/>
            <w:shd w:val="clear" w:color="auto" w:fill="auto"/>
          </w:tcPr>
          <w:p w:rsidR="002E71CE" w:rsidRPr="00DB71FD" w:rsidRDefault="002E71CE" w:rsidP="002E71C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614" w:rsidRDefault="002E71CE" w:rsidP="002E71C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также приоритетам развития, представленным стратегии социально-экономического развития города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муниципальных программах: </w:t>
            </w:r>
          </w:p>
          <w:p w:rsidR="002E71CE" w:rsidRPr="00612614" w:rsidRDefault="002E71CE" w:rsidP="002E71C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12614">
              <w:rPr>
                <w:rFonts w:ascii="Times New Roman" w:hAnsi="Times New Roman"/>
                <w:sz w:val="26"/>
                <w:szCs w:val="26"/>
                <w:u w:val="single"/>
              </w:rPr>
              <w:t xml:space="preserve">Цель предлагаемого регулирования, соответствует принципам правового регулирования, а также приоритетам развития, представленным в муниципальной программе. </w:t>
            </w:r>
          </w:p>
        </w:tc>
      </w:tr>
      <w:tr w:rsidR="002E71CE" w:rsidRPr="00DB71FD" w:rsidTr="002E71CE">
        <w:tc>
          <w:tcPr>
            <w:tcW w:w="404" w:type="pct"/>
            <w:shd w:val="clear" w:color="auto" w:fill="auto"/>
          </w:tcPr>
          <w:p w:rsidR="002E71CE" w:rsidRPr="00DB71FD" w:rsidRDefault="002E71CE" w:rsidP="002E71C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E71CE">
              <w:rPr>
                <w:rFonts w:ascii="Times New Roman" w:hAnsi="Times New Roman"/>
                <w:sz w:val="26"/>
                <w:szCs w:val="26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2E71CE">
              <w:rPr>
                <w:rFonts w:ascii="Times New Roman" w:hAnsi="Times New Roman"/>
                <w:sz w:val="26"/>
                <w:szCs w:val="26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2E71CE" w:rsidRPr="00DB71FD" w:rsidRDefault="002E71CE" w:rsidP="002E71CE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670F49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  <w:r w:rsidR="0001434F">
        <w:rPr>
          <w:rFonts w:ascii="Times New Roman" w:hAnsi="Times New Roman"/>
          <w:sz w:val="26"/>
          <w:szCs w:val="26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949"/>
      </w:tblGrid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B57FC" w:rsidRDefault="00DB71FD" w:rsidP="006B57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A83D47" w:rsidRPr="008832FE" w:rsidRDefault="006B57FC" w:rsidP="00D57A9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Принятие нормативного правового акта позволит реализовать цели, способствующие обеспечить экономическую и социальную стабильность в городе </w:t>
            </w:r>
            <w:proofErr w:type="spellStart"/>
            <w:r w:rsidRPr="008832F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Пыть-Яхе</w:t>
            </w:r>
            <w:proofErr w:type="spellEnd"/>
            <w:r w:rsidRPr="008832F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иные способы отсутствуют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614" w:rsidRDefault="00DB71FD" w:rsidP="0061261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:rsidR="00DB71FD" w:rsidRPr="00DB71FD" w:rsidRDefault="0003059D" w:rsidP="0003059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6987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администрация города </w:t>
            </w:r>
            <w:proofErr w:type="spellStart"/>
            <w:r w:rsidRPr="00E46987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Pr="00E4698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E46987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от 07.12.2021 № 550-па «Об утверждении муниципальной программы «Развитие экономического потенциала города </w:t>
            </w:r>
            <w:proofErr w:type="spellStart"/>
            <w:r w:rsidRPr="00E46987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Пыть-Яха</w:t>
            </w:r>
            <w:proofErr w:type="spellEnd"/>
            <w:r w:rsidRPr="00E46987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».</w:t>
            </w:r>
          </w:p>
        </w:tc>
      </w:tr>
      <w:tr w:rsidR="00DB71FD" w:rsidRPr="00DB71FD" w:rsidTr="002E71CE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E131C5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01434F">
        <w:rPr>
          <w:rFonts w:ascii="Times New Roman" w:hAnsi="Times New Roman"/>
          <w:sz w:val="26"/>
          <w:szCs w:val="26"/>
        </w:rPr>
        <w:t>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4"/>
        <w:gridCol w:w="803"/>
        <w:gridCol w:w="4274"/>
      </w:tblGrid>
      <w:tr w:rsidR="00DB71FD" w:rsidRPr="00DB71FD" w:rsidTr="002E71CE">
        <w:trPr>
          <w:trHeight w:val="55"/>
        </w:trPr>
        <w:tc>
          <w:tcPr>
            <w:tcW w:w="40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DB71FD" w:rsidTr="002E71CE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DB71FD" w:rsidRDefault="00DB71FD" w:rsidP="006B57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Юридические лица (за исключением государственных (муниципальных) учреждений), индивидуальные предприниматели</w:t>
            </w:r>
            <w:r w:rsidR="00612614">
              <w:rPr>
                <w:rFonts w:ascii="Times New Roman" w:hAnsi="Times New Roman"/>
                <w:sz w:val="26"/>
                <w:szCs w:val="26"/>
                <w:u w:val="single"/>
              </w:rPr>
              <w:t>, субъекты малого и среднего предпринимательства</w:t>
            </w:r>
            <w:r w:rsidR="00E929C5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:rsidR="00E929C5" w:rsidRDefault="00E929C5" w:rsidP="006B57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-соответствующие условиям оказания поддержки, установленным статьей 14 Федерального закона от 24.07.2007 № 209-ФЗ «О развитие малого и среднего предпринимательства в Российской Федерации», сведения о которых 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внесены в единый реестр субъектов малого и среднего предпринимательства в соответствии со статьей 4.1 Федерального закона № 209-ФЗ;</w:t>
            </w:r>
          </w:p>
          <w:p w:rsidR="00E929C5" w:rsidRDefault="00E929C5" w:rsidP="006B57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-состоящие на налоговом учете в ХМАО- Югре и осуществляющие деятельность на территории города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u w:val="single"/>
              </w:rPr>
              <w:t>;</w:t>
            </w:r>
          </w:p>
          <w:p w:rsidR="00E929C5" w:rsidRPr="00DB71FD" w:rsidRDefault="00E929C5" w:rsidP="006B57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-осуществляющие социально значимые виды деятельности, </w:t>
            </w:r>
            <w:r w:rsidR="004D71FB">
              <w:rPr>
                <w:rFonts w:ascii="Times New Roman" w:hAnsi="Times New Roman"/>
                <w:sz w:val="26"/>
                <w:szCs w:val="26"/>
                <w:u w:val="single"/>
              </w:rPr>
              <w:t>впервые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зарегистрированные и действующие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DB71FD" w:rsidRPr="00DB71FD" w:rsidRDefault="006B33C6" w:rsidP="004D71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1 357</w:t>
            </w:r>
          </w:p>
        </w:tc>
      </w:tr>
      <w:tr w:rsidR="00DB71FD" w:rsidRPr="00DB71FD" w:rsidTr="002E71CE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DB71FD" w:rsidRPr="00DB71FD" w:rsidRDefault="00DC1D33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города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</w:p>
        </w:tc>
        <w:tc>
          <w:tcPr>
            <w:tcW w:w="2604" w:type="pct"/>
            <w:gridSpan w:val="2"/>
            <w:shd w:val="clear" w:color="auto" w:fill="auto"/>
          </w:tcPr>
          <w:p w:rsidR="00A83D47" w:rsidRPr="000B7456" w:rsidRDefault="00DC1D33" w:rsidP="00DC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B71FD" w:rsidRPr="00DB71FD" w:rsidTr="002E71CE">
        <w:tc>
          <w:tcPr>
            <w:tcW w:w="40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DB71FD" w:rsidRPr="00DB71FD" w:rsidRDefault="00DB71FD" w:rsidP="003A1C3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  <w:hyperlink r:id="rId13" w:history="1">
              <w:r w:rsidRPr="00DB71FD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; официальный сайт администрации города </w:t>
            </w:r>
            <w:proofErr w:type="spellStart"/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, расположенный по адресу:</w:t>
            </w:r>
            <w:r w:rsidR="003A1C3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hyperlink r:id="rId14" w:history="1">
              <w:r w:rsidR="003A1C37" w:rsidRPr="00DB71FD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3A1C37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EA2D94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</w:t>
      </w:r>
      <w:r w:rsidR="00527622">
        <w:rPr>
          <w:rFonts w:ascii="Times New Roman" w:hAnsi="Times New Roman"/>
          <w:sz w:val="26"/>
          <w:szCs w:val="26"/>
        </w:rPr>
        <w:t>, а также порядок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3285"/>
        <w:gridCol w:w="3283"/>
      </w:tblGrid>
      <w:tr w:rsidR="00DB71FD" w:rsidRPr="00DB71FD" w:rsidTr="002E71CE">
        <w:tc>
          <w:tcPr>
            <w:tcW w:w="166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DB71FD" w:rsidRPr="00DB71FD" w:rsidRDefault="00DB71FD" w:rsidP="00DB71FD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DB71FD" w:rsidRDefault="00DB71FD" w:rsidP="00DB71FD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66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DB71FD" w:rsidRPr="00DB71FD" w:rsidTr="002E71CE">
        <w:tc>
          <w:tcPr>
            <w:tcW w:w="5000" w:type="pct"/>
            <w:gridSpan w:val="3"/>
            <w:shd w:val="clear" w:color="auto" w:fill="auto"/>
          </w:tcPr>
          <w:p w:rsidR="00DB71FD" w:rsidRPr="00DB71FD" w:rsidRDefault="000A6757" w:rsidP="000A67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</w:tc>
      </w:tr>
    </w:tbl>
    <w:p w:rsidR="00186A58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  <w:r w:rsidR="00186A58">
        <w:rPr>
          <w:rFonts w:ascii="Times New Roman" w:hAnsi="Times New Roman"/>
          <w:sz w:val="26"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529"/>
        <w:gridCol w:w="834"/>
        <w:gridCol w:w="2694"/>
        <w:gridCol w:w="2952"/>
      </w:tblGrid>
      <w:tr w:rsidR="00DB71FD" w:rsidRPr="00DB71FD" w:rsidTr="00527622">
        <w:tc>
          <w:tcPr>
            <w:tcW w:w="1712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DB71FD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DB71FD" w:rsidTr="00527622">
        <w:tc>
          <w:tcPr>
            <w:tcW w:w="42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Наименование органа: МКУ «Администрация города </w:t>
            </w:r>
            <w:proofErr w:type="spellStart"/>
            <w:r w:rsidRPr="00DB71FD"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  <w:r w:rsidRPr="00DB71F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DB71FD" w:rsidRPr="00DB71FD" w:rsidTr="00527622">
        <w:tc>
          <w:tcPr>
            <w:tcW w:w="429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DB71FD" w:rsidRPr="00DB71FD" w:rsidRDefault="00612614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Пыть-Яха</w:t>
            </w:r>
            <w:proofErr w:type="spellEnd"/>
          </w:p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36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единовр</w:t>
            </w:r>
            <w:r w:rsidR="00631020">
              <w:rPr>
                <w:rFonts w:ascii="Times New Roman" w:hAnsi="Times New Roman"/>
                <w:sz w:val="26"/>
                <w:szCs w:val="26"/>
              </w:rPr>
              <w:t>еменные расходы за период с 2022 по 2026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2022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612614" w:rsidRPr="00DB7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631020">
              <w:rPr>
                <w:rFonts w:ascii="Times New Roman" w:hAnsi="Times New Roman"/>
                <w:sz w:val="26"/>
                <w:szCs w:val="26"/>
              </w:rPr>
              <w:t>2026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E5781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612614" w:rsidRPr="00DB7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367" w:type="pct"/>
            <w:shd w:val="clear" w:color="auto" w:fill="auto"/>
          </w:tcPr>
          <w:p w:rsidR="00DB71FD" w:rsidRPr="00DB71FD" w:rsidRDefault="00DB71FD" w:rsidP="006310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период</w:t>
            </w:r>
            <w:r w:rsidR="00631020">
              <w:rPr>
                <w:rFonts w:ascii="Times New Roman" w:hAnsi="Times New Roman"/>
                <w:sz w:val="26"/>
                <w:szCs w:val="26"/>
              </w:rPr>
              <w:t>ические расходы за период с 2022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631020">
              <w:rPr>
                <w:rFonts w:ascii="Times New Roman" w:hAnsi="Times New Roman"/>
                <w:sz w:val="26"/>
                <w:szCs w:val="26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г.:</w:t>
            </w:r>
          </w:p>
        </w:tc>
        <w:tc>
          <w:tcPr>
            <w:tcW w:w="1498" w:type="pct"/>
            <w:shd w:val="clear" w:color="auto" w:fill="auto"/>
          </w:tcPr>
          <w:p w:rsidR="00DB71FD" w:rsidRPr="00095BEA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2022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797BB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3 249,1</w:t>
            </w:r>
            <w:r w:rsidR="006126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12614"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 w:rsidR="006126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761C1B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5765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309,5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5765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309,5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57653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309,5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2026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57653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309,5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367" w:type="pct"/>
            <w:shd w:val="clear" w:color="auto" w:fill="auto"/>
          </w:tcPr>
          <w:p w:rsidR="00DB71FD" w:rsidRPr="00DB71FD" w:rsidRDefault="00DB71FD" w:rsidP="00797B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Всего возможные </w:t>
            </w:r>
            <w:r w:rsidR="00631020">
              <w:rPr>
                <w:rFonts w:ascii="Times New Roman" w:hAnsi="Times New Roman"/>
                <w:sz w:val="26"/>
                <w:szCs w:val="26"/>
              </w:rPr>
              <w:t>поступления</w:t>
            </w:r>
            <w:r w:rsidR="00761C1B">
              <w:rPr>
                <w:rFonts w:ascii="Times New Roman" w:hAnsi="Times New Roman"/>
                <w:sz w:val="26"/>
                <w:szCs w:val="26"/>
              </w:rPr>
              <w:t xml:space="preserve"> за</w:t>
            </w:r>
            <w:r w:rsidR="00631020">
              <w:rPr>
                <w:rFonts w:ascii="Times New Roman" w:hAnsi="Times New Roman"/>
                <w:sz w:val="26"/>
                <w:szCs w:val="26"/>
              </w:rPr>
              <w:t xml:space="preserve"> период с 2022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631020">
              <w:rPr>
                <w:rFonts w:ascii="Times New Roman" w:hAnsi="Times New Roman"/>
                <w:sz w:val="26"/>
                <w:szCs w:val="26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761C1B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2022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E5765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2822,0</w:t>
            </w:r>
            <w:r w:rsidR="00797BB9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797BB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797BB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2024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27622"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797BB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2025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527622">
        <w:trPr>
          <w:trHeight w:val="281"/>
        </w:trPr>
        <w:tc>
          <w:tcPr>
            <w:tcW w:w="429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797BB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DB71FD" w:rsidRDefault="0063102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2026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186A58">
        <w:trPr>
          <w:trHeight w:val="683"/>
        </w:trPr>
        <w:tc>
          <w:tcPr>
            <w:tcW w:w="429" w:type="pct"/>
            <w:shd w:val="clear" w:color="auto" w:fill="auto"/>
          </w:tcPr>
          <w:p w:rsidR="00DB71FD" w:rsidRPr="008D3A9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3A9E">
              <w:rPr>
                <w:rFonts w:ascii="Times New Roman" w:hAnsi="Times New Roman"/>
                <w:sz w:val="26"/>
                <w:szCs w:val="26"/>
              </w:rPr>
              <w:t>9.6.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8D3A9E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3A9E">
              <w:rPr>
                <w:rFonts w:ascii="Times New Roman" w:hAnsi="Times New Roman"/>
                <w:sz w:val="26"/>
                <w:szCs w:val="26"/>
              </w:rPr>
              <w:t>Итого единовр</w:t>
            </w:r>
            <w:r w:rsidR="00631020" w:rsidRPr="008D3A9E">
              <w:rPr>
                <w:rFonts w:ascii="Times New Roman" w:hAnsi="Times New Roman"/>
                <w:sz w:val="26"/>
                <w:szCs w:val="26"/>
              </w:rPr>
              <w:t>еменные расходы за период с 2022 по 2026</w:t>
            </w:r>
            <w:r w:rsidRPr="008D3A9E">
              <w:rPr>
                <w:rFonts w:ascii="Times New Roman" w:hAnsi="Times New Roman"/>
                <w:sz w:val="26"/>
                <w:szCs w:val="26"/>
              </w:rPr>
              <w:t>г.:</w:t>
            </w:r>
          </w:p>
          <w:p w:rsidR="00761C1B" w:rsidRPr="008D3A9E" w:rsidRDefault="00761C1B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8" w:type="pct"/>
            <w:shd w:val="clear" w:color="auto" w:fill="auto"/>
          </w:tcPr>
          <w:p w:rsidR="00DB71FD" w:rsidRPr="008D3A9E" w:rsidRDefault="002F7D8E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A2D94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DB71FD" w:rsidRPr="00DB71FD" w:rsidTr="00527622">
        <w:tc>
          <w:tcPr>
            <w:tcW w:w="42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DB71FD" w:rsidRDefault="00DB71FD" w:rsidP="006310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Итого период</w:t>
            </w:r>
            <w:r w:rsidR="00631020">
              <w:rPr>
                <w:rFonts w:ascii="Times New Roman" w:hAnsi="Times New Roman"/>
                <w:sz w:val="26"/>
                <w:szCs w:val="26"/>
              </w:rPr>
              <w:t>ические расходы за период с 2022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631020">
              <w:rPr>
                <w:rFonts w:ascii="Times New Roman" w:hAnsi="Times New Roman"/>
                <w:sz w:val="26"/>
                <w:szCs w:val="26"/>
              </w:rPr>
              <w:t>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0414D2" w:rsidRDefault="002F7D8E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14D2">
              <w:rPr>
                <w:rFonts w:ascii="Times New Roman" w:hAnsi="Times New Roman"/>
                <w:sz w:val="26"/>
                <w:szCs w:val="26"/>
              </w:rPr>
              <w:t xml:space="preserve">3249,1 </w:t>
            </w:r>
            <w:proofErr w:type="spellStart"/>
            <w:r w:rsidRPr="000414D2"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 w:rsidRPr="000414D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527622">
        <w:tc>
          <w:tcPr>
            <w:tcW w:w="42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DB71FD" w:rsidRDefault="00DB71FD" w:rsidP="000B6F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Итого возмож</w:t>
            </w:r>
            <w:r w:rsidR="00631020">
              <w:rPr>
                <w:rFonts w:ascii="Times New Roman" w:hAnsi="Times New Roman"/>
                <w:sz w:val="26"/>
                <w:szCs w:val="26"/>
              </w:rPr>
              <w:t>ные поступления за период с 2022 по 2026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0414D2" w:rsidRDefault="000414D2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14D2">
              <w:rPr>
                <w:rFonts w:ascii="Times New Roman" w:hAnsi="Times New Roman"/>
                <w:sz w:val="26"/>
                <w:szCs w:val="26"/>
              </w:rPr>
              <w:t xml:space="preserve">2822,0 </w:t>
            </w:r>
            <w:proofErr w:type="spellStart"/>
            <w:r w:rsidRPr="000414D2">
              <w:rPr>
                <w:rFonts w:ascii="Times New Roman" w:hAnsi="Times New Roman"/>
                <w:sz w:val="26"/>
                <w:szCs w:val="26"/>
              </w:rPr>
              <w:t>тыс.руб</w:t>
            </w:r>
            <w:proofErr w:type="spellEnd"/>
            <w:r w:rsidRPr="000414D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2E71CE">
        <w:tc>
          <w:tcPr>
            <w:tcW w:w="42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9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DB71FD" w:rsidRPr="00DB71FD" w:rsidTr="002E71CE">
        <w:tc>
          <w:tcPr>
            <w:tcW w:w="42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10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32386" w:rsidRPr="00063A44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Постановление администрация города </w:t>
            </w:r>
            <w:proofErr w:type="spellStart"/>
            <w:r w:rsidR="00C32386" w:rsidRPr="00063A44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="00C32386" w:rsidRPr="00063A4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C32386" w:rsidRPr="00063A4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от 07.12.2021 № 550-па «Об утверждении муниципальной программы «Развитие экономического потенциала города </w:t>
            </w:r>
            <w:proofErr w:type="spellStart"/>
            <w:r w:rsidR="00C32386" w:rsidRPr="00063A4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Пыть-Яха</w:t>
            </w:r>
            <w:proofErr w:type="spellEnd"/>
            <w:r w:rsidR="00C32386" w:rsidRPr="00063A4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».</w:t>
            </w:r>
          </w:p>
        </w:tc>
      </w:tr>
    </w:tbl>
    <w:p w:rsidR="00E131C5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DB71FD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DB71FD"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2643"/>
        <w:gridCol w:w="2320"/>
        <w:gridCol w:w="2154"/>
      </w:tblGrid>
      <w:tr w:rsidR="00DB71FD" w:rsidRPr="00DB71FD" w:rsidTr="00186A58">
        <w:trPr>
          <w:trHeight w:val="937"/>
        </w:trPr>
        <w:tc>
          <w:tcPr>
            <w:tcW w:w="138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1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1093" w:type="pct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EB0A48" w:rsidRPr="00DB71FD" w:rsidTr="00EB0A48">
        <w:trPr>
          <w:trHeight w:val="9810"/>
        </w:trPr>
        <w:tc>
          <w:tcPr>
            <w:tcW w:w="1389" w:type="pct"/>
            <w:vMerge w:val="restart"/>
            <w:shd w:val="clear" w:color="auto" w:fill="auto"/>
          </w:tcPr>
          <w:p w:rsidR="001735A4" w:rsidRPr="001735A4" w:rsidRDefault="001735A4" w:rsidP="001735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35A4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Субъект малого и среднего предпринимательства - хозяйствующий субъект (юридическое лицо или индивидуальный предприниматель), состоящий на налоговом учете в установленном законодательством порядке на территории Ханты-Мансийского автономного округа - Югры и осуществляющий свою деятельность на территории города </w:t>
            </w:r>
            <w:proofErr w:type="spellStart"/>
            <w:r w:rsidRPr="001735A4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Pr="0017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отнесенный в соответствии с условиями, установленными Федеральным </w:t>
            </w:r>
            <w:hyperlink r:id="rId15">
              <w:r w:rsidRPr="001735A4">
                <w:rPr>
                  <w:rStyle w:val="ad"/>
                  <w:rFonts w:ascii="Times New Roman" w:hAnsi="Times New Roman"/>
                  <w:sz w:val="26"/>
                  <w:szCs w:val="26"/>
                </w:rPr>
                <w:t>законом</w:t>
              </w:r>
            </w:hyperlink>
            <w:r w:rsidRPr="0017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от 24 июля 2007 года N 209-ФЗ "О развитии малого и среднего предпринимательства в Российской Федерации", к малым предприятиям, в том числе к </w:t>
            </w:r>
            <w:proofErr w:type="spellStart"/>
            <w:r w:rsidRPr="001735A4">
              <w:rPr>
                <w:rFonts w:ascii="Times New Roman" w:hAnsi="Times New Roman"/>
                <w:sz w:val="26"/>
                <w:szCs w:val="26"/>
                <w:u w:val="single"/>
              </w:rPr>
              <w:t>микропредприятиям</w:t>
            </w:r>
            <w:proofErr w:type="spellEnd"/>
            <w:r w:rsidRPr="0017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и средним предприятиям, сведения о котором внесены в единый реестр субъектов малого и среднего предпринимательства и предоставивший документы для получения субсидии, </w:t>
            </w:r>
            <w:r w:rsidRPr="005C0BE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 соответствии с </w:t>
            </w:r>
            <w:hyperlink w:anchor="P109">
              <w:r w:rsidRPr="005C0BE9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разделом 2</w:t>
              </w:r>
            </w:hyperlink>
            <w:r w:rsidRPr="005C0BE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настоящего Порядка</w:t>
            </w:r>
            <w:r w:rsidRPr="0017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(далее - Субъект, Получатель субсидии).</w:t>
            </w:r>
          </w:p>
          <w:p w:rsidR="00EB0A48" w:rsidRDefault="00EB0A48" w:rsidP="00637B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-состоящие на налоговом учете в ХМАО- Югре и осуществляющие деятельность на территории города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u w:val="single"/>
              </w:rPr>
              <w:t>;</w:t>
            </w:r>
          </w:p>
          <w:p w:rsidR="00EB0A48" w:rsidRPr="00466455" w:rsidRDefault="00EB0A48" w:rsidP="00637B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-осуществляющие социально значимые виды деятельности, впервые зарегистрированные и действующие</w:t>
            </w:r>
          </w:p>
        </w:tc>
        <w:tc>
          <w:tcPr>
            <w:tcW w:w="1341" w:type="pct"/>
            <w:shd w:val="clear" w:color="auto" w:fill="auto"/>
          </w:tcPr>
          <w:p w:rsidR="00EB0A48" w:rsidRPr="008832FE" w:rsidRDefault="00EE276B" w:rsidP="00DA6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Из перечня</w:t>
            </w:r>
            <w:r w:rsidR="00760E75"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документов, </w:t>
            </w:r>
            <w:r w:rsidR="00426BF7" w:rsidRPr="008832FE">
              <w:rPr>
                <w:rFonts w:ascii="Times New Roman" w:hAnsi="Times New Roman"/>
                <w:sz w:val="26"/>
                <w:szCs w:val="26"/>
                <w:u w:val="single"/>
              </w:rPr>
              <w:t>предоставляемых</w:t>
            </w:r>
            <w:r w:rsidR="00760E75"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Субъектом, для получения субсидии</w:t>
            </w:r>
          </w:p>
          <w:p w:rsidR="005C0BE9" w:rsidRDefault="00760E75" w:rsidP="00EE27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hyperlink w:anchor="P517">
              <w:r w:rsidRPr="008832FE">
                <w:rPr>
                  <w:rFonts w:ascii="Times New Roman" w:hAnsi="Times New Roman"/>
                  <w:sz w:val="26"/>
                  <w:szCs w:val="26"/>
                  <w:u w:val="single"/>
                </w:rPr>
                <w:t>Справка</w:t>
              </w:r>
            </w:hyperlink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о просроченной задолженности по субсидиям</w:t>
            </w:r>
            <w:r w:rsidR="00EE276B" w:rsidRPr="008832FE">
              <w:rPr>
                <w:rFonts w:ascii="Times New Roman" w:hAnsi="Times New Roman"/>
                <w:sz w:val="26"/>
                <w:szCs w:val="26"/>
                <w:u w:val="single"/>
              </w:rPr>
              <w:t>» исключена.</w:t>
            </w:r>
            <w:r w:rsidR="00426BF7"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8832FE" w:rsidRPr="008832FE" w:rsidRDefault="008832FE" w:rsidP="00EE27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EE276B" w:rsidRPr="005C0BE9" w:rsidRDefault="00EE276B" w:rsidP="008832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Изменен размер субсидии на аренду, оборудование, оплат</w:t>
            </w:r>
            <w:r w:rsidR="008832FE">
              <w:rPr>
                <w:rFonts w:ascii="Times New Roman" w:hAnsi="Times New Roman"/>
                <w:sz w:val="26"/>
                <w:szCs w:val="26"/>
                <w:u w:val="single"/>
              </w:rPr>
              <w:t>у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коммунальных услуг и предпри</w:t>
            </w:r>
            <w:r w:rsidR="005C0BE9" w:rsidRPr="008832FE">
              <w:rPr>
                <w:rFonts w:ascii="Times New Roman" w:hAnsi="Times New Roman"/>
                <w:sz w:val="26"/>
                <w:szCs w:val="26"/>
                <w:u w:val="single"/>
              </w:rPr>
              <w:t>ни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мателей (впервые зарегистрированных и действующих менее 1 года)</w:t>
            </w:r>
          </w:p>
        </w:tc>
        <w:tc>
          <w:tcPr>
            <w:tcW w:w="1177" w:type="pct"/>
            <w:shd w:val="clear" w:color="auto" w:fill="auto"/>
          </w:tcPr>
          <w:p w:rsidR="00EB0A48" w:rsidRPr="008832FE" w:rsidRDefault="00EB0A48" w:rsidP="00DB71FD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Получатель субсидии в течение 20 календарных дней по истечении одного года и двух лет со дня получения субсидии представляет в Уполномоченный орган лично, либо посредством почтового отправления с описью вложения, либо в электронном виде через канал прямой связи, размещенный на официальном сайте администрации города </w:t>
            </w:r>
            <w:proofErr w:type="spellStart"/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(https://adm.gov86.org/), на инвестиционном портале города </w:t>
            </w:r>
            <w:proofErr w:type="spellStart"/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  <w:proofErr w:type="spellEnd"/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(http://invest.gov86.org/):</w:t>
            </w:r>
          </w:p>
        </w:tc>
        <w:tc>
          <w:tcPr>
            <w:tcW w:w="1093" w:type="pct"/>
          </w:tcPr>
          <w:p w:rsidR="001735A4" w:rsidRPr="008832FE" w:rsidRDefault="00853A1F" w:rsidP="001735A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1735A4" w:rsidRPr="008832FE">
              <w:rPr>
                <w:rFonts w:ascii="Times New Roman" w:hAnsi="Times New Roman"/>
                <w:sz w:val="26"/>
                <w:szCs w:val="26"/>
                <w:u w:val="single"/>
              </w:rPr>
              <w:t>-1 123,61 руб.</w:t>
            </w:r>
          </w:p>
          <w:p w:rsidR="00EB0A48" w:rsidRPr="007E567A" w:rsidRDefault="00EB0A48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B0A48" w:rsidRPr="00DB71FD" w:rsidTr="002E71CE">
        <w:trPr>
          <w:trHeight w:val="3330"/>
        </w:trPr>
        <w:tc>
          <w:tcPr>
            <w:tcW w:w="1389" w:type="pct"/>
            <w:vMerge/>
            <w:shd w:val="clear" w:color="auto" w:fill="auto"/>
          </w:tcPr>
          <w:p w:rsidR="00EB0A48" w:rsidRPr="00DB71FD" w:rsidRDefault="00EB0A48" w:rsidP="00637B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341" w:type="pct"/>
            <w:shd w:val="clear" w:color="auto" w:fill="auto"/>
          </w:tcPr>
          <w:p w:rsidR="00EB0A48" w:rsidRPr="00637B78" w:rsidRDefault="00EB0A48" w:rsidP="00DA6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177" w:type="pct"/>
            <w:shd w:val="clear" w:color="auto" w:fill="auto"/>
          </w:tcPr>
          <w:p w:rsidR="00EB0A48" w:rsidRPr="008832FE" w:rsidRDefault="0035293C" w:rsidP="009437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Участники отбора на дату </w:t>
            </w:r>
            <w:r w:rsidR="00943799" w:rsidRPr="008832FE">
              <w:rPr>
                <w:rFonts w:ascii="Times New Roman" w:hAnsi="Times New Roman"/>
                <w:sz w:val="26"/>
                <w:szCs w:val="26"/>
                <w:u w:val="single"/>
              </w:rPr>
              <w:t>подачи документов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должны соответствовать </w:t>
            </w:r>
            <w:r w:rsidR="005C0BE9" w:rsidRPr="008832FE">
              <w:rPr>
                <w:rFonts w:ascii="Times New Roman" w:hAnsi="Times New Roman"/>
                <w:sz w:val="26"/>
                <w:szCs w:val="26"/>
                <w:u w:val="single"/>
              </w:rPr>
              <w:t>требованиям,</w:t>
            </w:r>
            <w:r w:rsidR="00943799"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указанным в пункте 2.1 Порядка</w:t>
            </w:r>
          </w:p>
          <w:p w:rsidR="00EE276B" w:rsidRPr="008832FE" w:rsidRDefault="00EE276B" w:rsidP="00EE276B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Возмещению подлежат фактически произведенные и </w:t>
            </w:r>
            <w:r w:rsidRPr="008832FE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документально подтвержденные затраты, произведенные Субъектами в течение 12 (двенадцати) месяцев, предшествующих дате подачи заявления о предоставлении субсидии.</w:t>
            </w:r>
          </w:p>
          <w:p w:rsidR="00EE276B" w:rsidRPr="008832FE" w:rsidRDefault="00EE276B" w:rsidP="005C0BE9">
            <w:pPr>
              <w:pStyle w:val="ConsPlusNormal"/>
              <w:spacing w:before="200"/>
              <w:ind w:firstLine="0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093" w:type="pct"/>
          </w:tcPr>
          <w:p w:rsidR="00EB0A48" w:rsidRPr="00466455" w:rsidRDefault="00EB0A48" w:rsidP="00DB71F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</w:p>
        </w:tc>
      </w:tr>
    </w:tbl>
    <w:p w:rsidR="00DB71FD" w:rsidRPr="009437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9437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3799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1721"/>
        <w:gridCol w:w="2229"/>
        <w:gridCol w:w="2680"/>
        <w:gridCol w:w="2454"/>
      </w:tblGrid>
      <w:tr w:rsidR="00DB71FD" w:rsidRPr="00943799" w:rsidTr="00527622">
        <w:tc>
          <w:tcPr>
            <w:tcW w:w="1264" w:type="pct"/>
            <w:gridSpan w:val="2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1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0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5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94379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943799" w:rsidTr="00527622">
        <w:tc>
          <w:tcPr>
            <w:tcW w:w="1264" w:type="pct"/>
            <w:gridSpan w:val="2"/>
            <w:shd w:val="clear" w:color="auto" w:fill="auto"/>
          </w:tcPr>
          <w:p w:rsidR="00DB71FD" w:rsidRPr="00943799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  <w:tc>
          <w:tcPr>
            <w:tcW w:w="1131" w:type="pct"/>
            <w:shd w:val="clear" w:color="auto" w:fill="auto"/>
          </w:tcPr>
          <w:p w:rsidR="00DB71FD" w:rsidRPr="00943799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60" w:type="pct"/>
            <w:shd w:val="clear" w:color="auto" w:fill="auto"/>
          </w:tcPr>
          <w:p w:rsidR="00DB71FD" w:rsidRPr="00943799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45" w:type="pct"/>
            <w:shd w:val="clear" w:color="auto" w:fill="auto"/>
          </w:tcPr>
          <w:p w:rsidR="00DB71FD" w:rsidRPr="00943799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48644B">
        <w:trPr>
          <w:trHeight w:val="677"/>
        </w:trPr>
        <w:tc>
          <w:tcPr>
            <w:tcW w:w="391" w:type="pct"/>
            <w:shd w:val="clear" w:color="auto" w:fill="auto"/>
          </w:tcPr>
          <w:p w:rsidR="00DB71FD" w:rsidRPr="009437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DB71FD" w:rsidRPr="0048644B" w:rsidRDefault="00765679" w:rsidP="00C73C3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3799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73C3C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008"/>
        <w:gridCol w:w="2761"/>
        <w:gridCol w:w="2694"/>
        <w:gridCol w:w="1665"/>
      </w:tblGrid>
      <w:tr w:rsidR="00DB71FD" w:rsidRPr="00DB71FD" w:rsidTr="00EE276B">
        <w:tc>
          <w:tcPr>
            <w:tcW w:w="1387" w:type="pct"/>
            <w:gridSpan w:val="2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D57A92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401" w:type="pct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367" w:type="pct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845" w:type="pct"/>
            <w:shd w:val="clear" w:color="auto" w:fill="auto"/>
          </w:tcPr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7A92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57A92">
              <w:rPr>
                <w:rFonts w:ascii="Times New Roman" w:hAnsi="Times New Roman"/>
                <w:sz w:val="26"/>
                <w:szCs w:val="26"/>
              </w:rPr>
              <w:t>2</w:t>
            </w:r>
            <w:r w:rsidRPr="00D57A92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D57A92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57A92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DB71FD" w:rsidRPr="00DB71FD" w:rsidTr="00EE276B">
        <w:trPr>
          <w:trHeight w:val="330"/>
        </w:trPr>
        <w:tc>
          <w:tcPr>
            <w:tcW w:w="1387" w:type="pct"/>
            <w:gridSpan w:val="2"/>
            <w:shd w:val="clear" w:color="auto" w:fill="auto"/>
          </w:tcPr>
          <w:p w:rsidR="00DB71FD" w:rsidRPr="00132CAB" w:rsidRDefault="00C73C3C" w:rsidP="000B6FA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Предоставление субсидии субъектам малого и среднего предпринимательства. </w:t>
            </w:r>
            <w:r w:rsidR="00132CAB" w:rsidRPr="00132C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Создание </w:t>
            </w:r>
            <w:r w:rsidR="00132CAB" w:rsidRPr="00132CAB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</w:t>
            </w:r>
            <w:proofErr w:type="spellStart"/>
            <w:r w:rsidR="00132CAB" w:rsidRPr="00132CAB">
              <w:rPr>
                <w:rFonts w:ascii="Times New Roman" w:hAnsi="Times New Roman"/>
                <w:sz w:val="26"/>
                <w:szCs w:val="26"/>
                <w:u w:val="single"/>
              </w:rPr>
              <w:t>Пыть-Яхе</w:t>
            </w:r>
            <w:proofErr w:type="spellEnd"/>
          </w:p>
        </w:tc>
        <w:tc>
          <w:tcPr>
            <w:tcW w:w="1401" w:type="pct"/>
            <w:shd w:val="clear" w:color="auto" w:fill="auto"/>
          </w:tcPr>
          <w:p w:rsidR="00DB71FD" w:rsidRPr="00132CAB" w:rsidRDefault="00132CAB" w:rsidP="00CB1A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32CAB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Количество субъектов малого и среднего предпринимательства,</w:t>
            </w:r>
          </w:p>
          <w:p w:rsidR="00132CAB" w:rsidRPr="00466455" w:rsidRDefault="00132CAB" w:rsidP="00CB1AF1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132C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Получивших финансовую </w:t>
            </w:r>
            <w:r w:rsidRPr="00132CAB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поддержку в рамках муниципальной программы</w:t>
            </w:r>
          </w:p>
        </w:tc>
        <w:tc>
          <w:tcPr>
            <w:tcW w:w="1367" w:type="pct"/>
            <w:shd w:val="clear" w:color="auto" w:fill="auto"/>
          </w:tcPr>
          <w:p w:rsidR="00DB71FD" w:rsidRPr="008832FE" w:rsidRDefault="00132CA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Значение показателя </w:t>
            </w:r>
            <w:r w:rsidR="00C73C3C" w:rsidRPr="008832FE">
              <w:rPr>
                <w:rFonts w:ascii="Times New Roman" w:hAnsi="Times New Roman"/>
                <w:sz w:val="26"/>
                <w:szCs w:val="26"/>
                <w:u w:val="single"/>
              </w:rPr>
              <w:t>рассчитывается исходя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из количества субъектов малого и среднего </w:t>
            </w:r>
            <w:r w:rsidR="00C73C3C" w:rsidRPr="008832FE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предпринимательства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, фактически получивших финансовую поддержку в рамках муниципальной программы, по итогам года.</w:t>
            </w:r>
          </w:p>
        </w:tc>
        <w:tc>
          <w:tcPr>
            <w:tcW w:w="845" w:type="pct"/>
            <w:shd w:val="clear" w:color="auto" w:fill="auto"/>
          </w:tcPr>
          <w:p w:rsidR="00C73C3C" w:rsidRPr="008832FE" w:rsidRDefault="00C73C3C" w:rsidP="00C73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Проверка соответствия требованиям, которым </w:t>
            </w:r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должен соответствовать заявитель </w:t>
            </w:r>
          </w:p>
          <w:p w:rsidR="00DB71FD" w:rsidRPr="00132CAB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DB71FD" w:rsidTr="00132CAB">
        <w:tc>
          <w:tcPr>
            <w:tcW w:w="36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632" w:type="pct"/>
            <w:gridSpan w:val="4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="00461837">
              <w:rPr>
                <w:rFonts w:ascii="Times New Roman" w:hAnsi="Times New Roman"/>
                <w:sz w:val="26"/>
                <w:szCs w:val="26"/>
                <w:u w:val="single"/>
              </w:rPr>
              <w:t>оценка достижения заявленной цели осуществляется путем подсчета специалистами отдела предпринимательства, ценовой политики и защиты прав потребителей</w:t>
            </w:r>
            <w:r w:rsidR="00961BB4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EE276B">
        <w:tc>
          <w:tcPr>
            <w:tcW w:w="36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42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212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961BB4" w:rsidRDefault="00961BB4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4EF2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DB71FD" w:rsidRPr="00DB71FD" w:rsidTr="00132CAB">
        <w:tc>
          <w:tcPr>
            <w:tcW w:w="368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32" w:type="pct"/>
            <w:gridSpan w:val="4"/>
            <w:shd w:val="clear" w:color="auto" w:fill="auto"/>
          </w:tcPr>
          <w:p w:rsidR="00DB71FD" w:rsidRPr="00DB71FD" w:rsidRDefault="00DB71FD" w:rsidP="0048644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48644B">
              <w:rPr>
                <w:rFonts w:ascii="Times New Roman" w:hAnsi="Times New Roman"/>
                <w:sz w:val="26"/>
                <w:szCs w:val="26"/>
                <w:u w:val="single"/>
              </w:rPr>
              <w:t>отчеты получателей субсидий в рамках обязательств перед администрацией города по заключенным соглашениям о предоставлении субсидий</w:t>
            </w:r>
          </w:p>
        </w:tc>
      </w:tr>
    </w:tbl>
    <w:p w:rsidR="003C2D9B" w:rsidRDefault="003C2D9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DB71FD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07"/>
        <w:gridCol w:w="798"/>
        <w:gridCol w:w="3748"/>
      </w:tblGrid>
      <w:tr w:rsidR="00DB71FD" w:rsidRPr="00DB71FD" w:rsidTr="00044231">
        <w:trPr>
          <w:trHeight w:val="783"/>
        </w:trPr>
        <w:tc>
          <w:tcPr>
            <w:tcW w:w="40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8832FE">
              <w:rPr>
                <w:rFonts w:ascii="Times New Roman" w:hAnsi="Times New Roman"/>
                <w:sz w:val="26"/>
                <w:szCs w:val="26"/>
                <w:u w:val="single"/>
              </w:rPr>
              <w:t>После его официального опубликования</w:t>
            </w:r>
            <w:bookmarkEnd w:id="0"/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044231">
        <w:trPr>
          <w:trHeight w:val="1731"/>
        </w:trPr>
        <w:tc>
          <w:tcPr>
            <w:tcW w:w="406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3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2D41C5" w:rsidRDefault="002D41C5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4EF2" w:rsidRPr="008B4EF2" w:rsidRDefault="008B4EF2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B4EF2">
        <w:rPr>
          <w:rFonts w:ascii="Times New Roman" w:hAnsi="Times New Roman"/>
          <w:sz w:val="26"/>
          <w:szCs w:val="26"/>
        </w:rPr>
        <w:t>Заместитель н</w:t>
      </w:r>
      <w:r w:rsidR="00DB71FD" w:rsidRPr="008B4EF2">
        <w:rPr>
          <w:rFonts w:ascii="Times New Roman" w:hAnsi="Times New Roman"/>
          <w:sz w:val="26"/>
          <w:szCs w:val="26"/>
        </w:rPr>
        <w:t>ачальник</w:t>
      </w:r>
      <w:r w:rsidRPr="008B4EF2">
        <w:rPr>
          <w:rFonts w:ascii="Times New Roman" w:hAnsi="Times New Roman"/>
          <w:sz w:val="26"/>
          <w:szCs w:val="26"/>
        </w:rPr>
        <w:t>а</w:t>
      </w:r>
      <w:r w:rsidR="00DB71FD" w:rsidRPr="008B4EF2">
        <w:rPr>
          <w:rFonts w:ascii="Times New Roman" w:hAnsi="Times New Roman"/>
          <w:sz w:val="26"/>
          <w:szCs w:val="26"/>
        </w:rPr>
        <w:t xml:space="preserve"> </w:t>
      </w:r>
    </w:p>
    <w:p w:rsidR="00DB71FD" w:rsidRPr="008B4EF2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B4EF2">
        <w:rPr>
          <w:rFonts w:ascii="Times New Roman" w:hAnsi="Times New Roman"/>
          <w:sz w:val="26"/>
          <w:szCs w:val="26"/>
        </w:rPr>
        <w:t>управления по экономике</w:t>
      </w:r>
    </w:p>
    <w:p w:rsidR="00DB71FD" w:rsidRPr="008B4EF2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B4EF2">
        <w:rPr>
          <w:rFonts w:ascii="Times New Roman" w:hAnsi="Times New Roman"/>
          <w:sz w:val="26"/>
          <w:szCs w:val="26"/>
        </w:rPr>
        <w:t xml:space="preserve">администрации города </w:t>
      </w:r>
      <w:proofErr w:type="spellStart"/>
      <w:r w:rsidRPr="008B4EF2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8B4EF2">
        <w:rPr>
          <w:rFonts w:ascii="Times New Roman" w:hAnsi="Times New Roman"/>
          <w:sz w:val="26"/>
          <w:szCs w:val="26"/>
        </w:rPr>
        <w:t xml:space="preserve"> </w:t>
      </w:r>
      <w:r w:rsidRPr="008B4EF2">
        <w:rPr>
          <w:rFonts w:ascii="Times New Roman" w:hAnsi="Times New Roman"/>
          <w:sz w:val="26"/>
          <w:szCs w:val="26"/>
        </w:rPr>
        <w:tab/>
      </w:r>
      <w:r w:rsidRPr="008B4EF2">
        <w:rPr>
          <w:rFonts w:ascii="Times New Roman" w:hAnsi="Times New Roman"/>
          <w:sz w:val="26"/>
          <w:szCs w:val="26"/>
        </w:rPr>
        <w:tab/>
      </w:r>
      <w:r w:rsidRPr="008B4EF2">
        <w:rPr>
          <w:rFonts w:ascii="Times New Roman" w:hAnsi="Times New Roman"/>
          <w:sz w:val="26"/>
          <w:szCs w:val="26"/>
        </w:rPr>
        <w:tab/>
      </w:r>
      <w:r w:rsidRPr="008B4EF2">
        <w:rPr>
          <w:rFonts w:ascii="Times New Roman" w:hAnsi="Times New Roman"/>
          <w:sz w:val="26"/>
          <w:szCs w:val="26"/>
        </w:rPr>
        <w:tab/>
      </w:r>
      <w:r w:rsidRPr="008B4EF2">
        <w:rPr>
          <w:rFonts w:ascii="Times New Roman" w:hAnsi="Times New Roman"/>
          <w:sz w:val="26"/>
          <w:szCs w:val="26"/>
        </w:rPr>
        <w:tab/>
      </w:r>
      <w:r w:rsidR="008B4EF2" w:rsidRPr="008B4EF2">
        <w:rPr>
          <w:rFonts w:ascii="Times New Roman" w:hAnsi="Times New Roman"/>
          <w:sz w:val="26"/>
          <w:szCs w:val="26"/>
        </w:rPr>
        <w:t>Л.</w:t>
      </w:r>
      <w:r w:rsidRPr="008B4EF2">
        <w:rPr>
          <w:rFonts w:ascii="Times New Roman" w:hAnsi="Times New Roman"/>
          <w:sz w:val="26"/>
          <w:szCs w:val="26"/>
        </w:rPr>
        <w:t>С.</w:t>
      </w:r>
      <w:r w:rsidR="008B4EF2" w:rsidRPr="008B4EF2">
        <w:rPr>
          <w:rFonts w:ascii="Times New Roman" w:hAnsi="Times New Roman"/>
          <w:sz w:val="26"/>
          <w:szCs w:val="26"/>
        </w:rPr>
        <w:t xml:space="preserve"> Бондаренко</w:t>
      </w:r>
      <w:r w:rsidRPr="008B4EF2">
        <w:rPr>
          <w:rFonts w:ascii="Times New Roman" w:hAnsi="Times New Roman"/>
          <w:sz w:val="26"/>
          <w:szCs w:val="26"/>
        </w:rPr>
        <w:t xml:space="preserve"> </w:t>
      </w:r>
    </w:p>
    <w:p w:rsidR="003C2D9B" w:rsidRDefault="003C2D9B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7622" w:rsidRDefault="00527622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DB71FD" w:rsidRDefault="00CF4A78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«_____»_</w:t>
      </w:r>
      <w:r w:rsidRPr="00C14BD3">
        <w:rPr>
          <w:rFonts w:ascii="Times New Roman" w:hAnsi="Times New Roman"/>
          <w:sz w:val="26"/>
          <w:szCs w:val="26"/>
        </w:rPr>
        <w:softHyphen/>
      </w:r>
      <w:r w:rsidRPr="00C14BD3">
        <w:rPr>
          <w:rFonts w:ascii="Times New Roman" w:hAnsi="Times New Roman"/>
          <w:sz w:val="26"/>
          <w:szCs w:val="26"/>
        </w:rPr>
        <w:softHyphen/>
      </w:r>
      <w:r w:rsidRPr="00C14BD3">
        <w:rPr>
          <w:rFonts w:ascii="Times New Roman" w:hAnsi="Times New Roman"/>
          <w:sz w:val="26"/>
          <w:szCs w:val="26"/>
        </w:rPr>
        <w:softHyphen/>
        <w:t>________</w:t>
      </w:r>
      <w:r>
        <w:rPr>
          <w:rFonts w:ascii="Times New Roman" w:hAnsi="Times New Roman"/>
          <w:sz w:val="26"/>
          <w:szCs w:val="26"/>
        </w:rPr>
        <w:t xml:space="preserve"> 2022</w:t>
      </w:r>
      <w:r w:rsidR="00DB71FD" w:rsidRPr="00DB71FD">
        <w:rPr>
          <w:rFonts w:ascii="Times New Roman" w:hAnsi="Times New Roman"/>
          <w:sz w:val="26"/>
          <w:szCs w:val="26"/>
        </w:rPr>
        <w:t xml:space="preserve"> г.</w:t>
      </w:r>
    </w:p>
    <w:sectPr w:rsidR="00DB71FD" w:rsidRPr="00DB71FD" w:rsidSect="008B1EFD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CE" w:rsidRDefault="002E71CE" w:rsidP="00617B40">
      <w:pPr>
        <w:spacing w:after="0" w:line="240" w:lineRule="auto"/>
      </w:pPr>
      <w:r>
        <w:separator/>
      </w:r>
    </w:p>
  </w:endnote>
  <w:endnote w:type="continuationSeparator" w:id="0">
    <w:p w:rsidR="002E71CE" w:rsidRDefault="002E71C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 w:rsidP="002E71CE">
    <w:pPr>
      <w:pStyle w:val="a8"/>
      <w:ind w:right="360"/>
    </w:pPr>
  </w:p>
  <w:p w:rsidR="002E71CE" w:rsidRDefault="002E71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ind w:right="360"/>
      <w:jc w:val="right"/>
    </w:pPr>
  </w:p>
  <w:p w:rsidR="002E71CE" w:rsidRDefault="002E71CE">
    <w:pPr>
      <w:pStyle w:val="a8"/>
    </w:pPr>
  </w:p>
  <w:p w:rsidR="002E71CE" w:rsidRDefault="002E7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CE" w:rsidRDefault="002E71CE" w:rsidP="00617B40">
      <w:pPr>
        <w:spacing w:after="0" w:line="240" w:lineRule="auto"/>
      </w:pPr>
      <w:r>
        <w:separator/>
      </w:r>
    </w:p>
  </w:footnote>
  <w:footnote w:type="continuationSeparator" w:id="0">
    <w:p w:rsidR="002E71CE" w:rsidRDefault="002E71CE" w:rsidP="00617B40">
      <w:pPr>
        <w:spacing w:after="0" w:line="240" w:lineRule="auto"/>
      </w:pPr>
      <w:r>
        <w:continuationSeparator/>
      </w:r>
    </w:p>
  </w:footnote>
  <w:footnote w:id="1">
    <w:p w:rsidR="002E71CE" w:rsidRPr="00FD065C" w:rsidRDefault="002E71CE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2E71CE" w:rsidRPr="00140CFB" w:rsidRDefault="002E71CE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2E71CE" w:rsidRPr="00B10580" w:rsidRDefault="002E71CE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Pr="0062662B" w:rsidRDefault="002E71CE" w:rsidP="002E71CE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8832FE">
      <w:rPr>
        <w:rStyle w:val="af6"/>
        <w:rFonts w:ascii="Times New Roman" w:hAnsi="Times New Roman"/>
        <w:noProof/>
      </w:rPr>
      <w:t>10</w:t>
    </w:r>
    <w:r w:rsidRPr="0062662B">
      <w:rPr>
        <w:rStyle w:val="af6"/>
        <w:rFonts w:ascii="Times New Roman" w:hAnsi="Times New Roman"/>
      </w:rPr>
      <w:fldChar w:fldCharType="end"/>
    </w:r>
  </w:p>
  <w:p w:rsidR="002E71CE" w:rsidRPr="0062662B" w:rsidRDefault="002E71CE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4" w15:restartNumberingAfterBreak="0">
    <w:nsid w:val="5E1A566E"/>
    <w:multiLevelType w:val="hybridMultilevel"/>
    <w:tmpl w:val="D6D6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1434F"/>
    <w:rsid w:val="00023F3F"/>
    <w:rsid w:val="00027634"/>
    <w:rsid w:val="0003059D"/>
    <w:rsid w:val="00031042"/>
    <w:rsid w:val="00033D09"/>
    <w:rsid w:val="000349BA"/>
    <w:rsid w:val="00037FDB"/>
    <w:rsid w:val="000414D2"/>
    <w:rsid w:val="000439B9"/>
    <w:rsid w:val="000441CD"/>
    <w:rsid w:val="00044231"/>
    <w:rsid w:val="00044FDA"/>
    <w:rsid w:val="0004744E"/>
    <w:rsid w:val="0005482E"/>
    <w:rsid w:val="000553F6"/>
    <w:rsid w:val="00057C2F"/>
    <w:rsid w:val="00063A44"/>
    <w:rsid w:val="00067879"/>
    <w:rsid w:val="00075F4B"/>
    <w:rsid w:val="00080131"/>
    <w:rsid w:val="00080D5A"/>
    <w:rsid w:val="00081722"/>
    <w:rsid w:val="000839B7"/>
    <w:rsid w:val="00086C65"/>
    <w:rsid w:val="0009110C"/>
    <w:rsid w:val="00093BD7"/>
    <w:rsid w:val="0009485B"/>
    <w:rsid w:val="00094C89"/>
    <w:rsid w:val="00095BEA"/>
    <w:rsid w:val="000A20DE"/>
    <w:rsid w:val="000A3618"/>
    <w:rsid w:val="000A6757"/>
    <w:rsid w:val="000B077C"/>
    <w:rsid w:val="000B116E"/>
    <w:rsid w:val="000B30E4"/>
    <w:rsid w:val="000B4C48"/>
    <w:rsid w:val="000B6BD3"/>
    <w:rsid w:val="000B6FA8"/>
    <w:rsid w:val="000B7456"/>
    <w:rsid w:val="000C43A0"/>
    <w:rsid w:val="000C4551"/>
    <w:rsid w:val="000C5DF7"/>
    <w:rsid w:val="000E2AD9"/>
    <w:rsid w:val="000E3A0D"/>
    <w:rsid w:val="000F06E4"/>
    <w:rsid w:val="000F119B"/>
    <w:rsid w:val="000F1C22"/>
    <w:rsid w:val="000F242D"/>
    <w:rsid w:val="000F6FFC"/>
    <w:rsid w:val="00106186"/>
    <w:rsid w:val="00107826"/>
    <w:rsid w:val="00111C29"/>
    <w:rsid w:val="0011265F"/>
    <w:rsid w:val="00113D3B"/>
    <w:rsid w:val="00123DC1"/>
    <w:rsid w:val="00125A33"/>
    <w:rsid w:val="00132CAB"/>
    <w:rsid w:val="00150967"/>
    <w:rsid w:val="0016001C"/>
    <w:rsid w:val="00162484"/>
    <w:rsid w:val="0016289C"/>
    <w:rsid w:val="0016581E"/>
    <w:rsid w:val="00167936"/>
    <w:rsid w:val="0017126F"/>
    <w:rsid w:val="00171F3F"/>
    <w:rsid w:val="00172928"/>
    <w:rsid w:val="001735A4"/>
    <w:rsid w:val="001735C7"/>
    <w:rsid w:val="00182B17"/>
    <w:rsid w:val="00182B80"/>
    <w:rsid w:val="001847D2"/>
    <w:rsid w:val="00184A95"/>
    <w:rsid w:val="0018600B"/>
    <w:rsid w:val="00186A58"/>
    <w:rsid w:val="00186A59"/>
    <w:rsid w:val="00193244"/>
    <w:rsid w:val="00195CCD"/>
    <w:rsid w:val="001971D8"/>
    <w:rsid w:val="001C1C68"/>
    <w:rsid w:val="001C5C3F"/>
    <w:rsid w:val="001C6149"/>
    <w:rsid w:val="001D6327"/>
    <w:rsid w:val="001E0A54"/>
    <w:rsid w:val="002033B0"/>
    <w:rsid w:val="00204C39"/>
    <w:rsid w:val="002059CF"/>
    <w:rsid w:val="00207545"/>
    <w:rsid w:val="002171A2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120"/>
    <w:rsid w:val="00243BD9"/>
    <w:rsid w:val="002441A7"/>
    <w:rsid w:val="002529F0"/>
    <w:rsid w:val="0025362D"/>
    <w:rsid w:val="002568BB"/>
    <w:rsid w:val="00261D49"/>
    <w:rsid w:val="00270392"/>
    <w:rsid w:val="00282687"/>
    <w:rsid w:val="00285ED6"/>
    <w:rsid w:val="002A4E80"/>
    <w:rsid w:val="002A5792"/>
    <w:rsid w:val="002A74CE"/>
    <w:rsid w:val="002A75A0"/>
    <w:rsid w:val="002C3143"/>
    <w:rsid w:val="002C45AE"/>
    <w:rsid w:val="002D0994"/>
    <w:rsid w:val="002D41C5"/>
    <w:rsid w:val="002D45BB"/>
    <w:rsid w:val="002E2F93"/>
    <w:rsid w:val="002E438E"/>
    <w:rsid w:val="002E4C4E"/>
    <w:rsid w:val="002E6FDB"/>
    <w:rsid w:val="002E71CE"/>
    <w:rsid w:val="002F164A"/>
    <w:rsid w:val="002F40A6"/>
    <w:rsid w:val="002F7D8E"/>
    <w:rsid w:val="00300862"/>
    <w:rsid w:val="00301280"/>
    <w:rsid w:val="00301755"/>
    <w:rsid w:val="00304098"/>
    <w:rsid w:val="0030660F"/>
    <w:rsid w:val="00310A69"/>
    <w:rsid w:val="003167E5"/>
    <w:rsid w:val="00317C2D"/>
    <w:rsid w:val="003242C7"/>
    <w:rsid w:val="00324F35"/>
    <w:rsid w:val="00325024"/>
    <w:rsid w:val="003273B2"/>
    <w:rsid w:val="003376D1"/>
    <w:rsid w:val="00343943"/>
    <w:rsid w:val="00343BF0"/>
    <w:rsid w:val="00343FF5"/>
    <w:rsid w:val="0035293C"/>
    <w:rsid w:val="003531C0"/>
    <w:rsid w:val="003600D5"/>
    <w:rsid w:val="003624D8"/>
    <w:rsid w:val="0036425F"/>
    <w:rsid w:val="00367C55"/>
    <w:rsid w:val="00371A68"/>
    <w:rsid w:val="00374759"/>
    <w:rsid w:val="003819C3"/>
    <w:rsid w:val="0038503D"/>
    <w:rsid w:val="00391158"/>
    <w:rsid w:val="00393DAD"/>
    <w:rsid w:val="00397EFC"/>
    <w:rsid w:val="003A1C37"/>
    <w:rsid w:val="003A46D5"/>
    <w:rsid w:val="003A6E82"/>
    <w:rsid w:val="003B059F"/>
    <w:rsid w:val="003B10C8"/>
    <w:rsid w:val="003B3BC2"/>
    <w:rsid w:val="003C2D9B"/>
    <w:rsid w:val="003C4071"/>
    <w:rsid w:val="003D57A7"/>
    <w:rsid w:val="003E3B0C"/>
    <w:rsid w:val="003E677C"/>
    <w:rsid w:val="003F2416"/>
    <w:rsid w:val="003F3603"/>
    <w:rsid w:val="00403003"/>
    <w:rsid w:val="00404BE7"/>
    <w:rsid w:val="00411359"/>
    <w:rsid w:val="0041370D"/>
    <w:rsid w:val="00415DCE"/>
    <w:rsid w:val="00417101"/>
    <w:rsid w:val="00421393"/>
    <w:rsid w:val="0042182E"/>
    <w:rsid w:val="00422070"/>
    <w:rsid w:val="00426BF7"/>
    <w:rsid w:val="00427FFE"/>
    <w:rsid w:val="00431272"/>
    <w:rsid w:val="004333EE"/>
    <w:rsid w:val="004418AA"/>
    <w:rsid w:val="0044500A"/>
    <w:rsid w:val="00446809"/>
    <w:rsid w:val="00461837"/>
    <w:rsid w:val="00462137"/>
    <w:rsid w:val="00465FC6"/>
    <w:rsid w:val="00466455"/>
    <w:rsid w:val="004713BA"/>
    <w:rsid w:val="004749D6"/>
    <w:rsid w:val="004771B9"/>
    <w:rsid w:val="00483C37"/>
    <w:rsid w:val="0048644B"/>
    <w:rsid w:val="004A2CB8"/>
    <w:rsid w:val="004A4DE4"/>
    <w:rsid w:val="004A4FAA"/>
    <w:rsid w:val="004B1C30"/>
    <w:rsid w:val="004B28BF"/>
    <w:rsid w:val="004C069C"/>
    <w:rsid w:val="004C51AF"/>
    <w:rsid w:val="004C7125"/>
    <w:rsid w:val="004D71FB"/>
    <w:rsid w:val="004E376F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27622"/>
    <w:rsid w:val="00532CA8"/>
    <w:rsid w:val="00536344"/>
    <w:rsid w:val="0053684A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96D3C"/>
    <w:rsid w:val="005A03D2"/>
    <w:rsid w:val="005A2AD9"/>
    <w:rsid w:val="005A3FDC"/>
    <w:rsid w:val="005A481E"/>
    <w:rsid w:val="005A4B92"/>
    <w:rsid w:val="005A66B0"/>
    <w:rsid w:val="005A7349"/>
    <w:rsid w:val="005B2935"/>
    <w:rsid w:val="005B7083"/>
    <w:rsid w:val="005C0BE9"/>
    <w:rsid w:val="005C1B13"/>
    <w:rsid w:val="005C22DB"/>
    <w:rsid w:val="005C2BEC"/>
    <w:rsid w:val="005D3704"/>
    <w:rsid w:val="005E3AA0"/>
    <w:rsid w:val="005F0864"/>
    <w:rsid w:val="005F41FF"/>
    <w:rsid w:val="005F4283"/>
    <w:rsid w:val="006009A1"/>
    <w:rsid w:val="00602AFE"/>
    <w:rsid w:val="0060360B"/>
    <w:rsid w:val="00612614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1020"/>
    <w:rsid w:val="00636F28"/>
    <w:rsid w:val="00637B78"/>
    <w:rsid w:val="00650CE7"/>
    <w:rsid w:val="00655734"/>
    <w:rsid w:val="006615CF"/>
    <w:rsid w:val="00662038"/>
    <w:rsid w:val="00665566"/>
    <w:rsid w:val="00670F49"/>
    <w:rsid w:val="00671AEA"/>
    <w:rsid w:val="006722F9"/>
    <w:rsid w:val="00681141"/>
    <w:rsid w:val="00683F37"/>
    <w:rsid w:val="00692DF9"/>
    <w:rsid w:val="0069378B"/>
    <w:rsid w:val="006970D8"/>
    <w:rsid w:val="006A16CA"/>
    <w:rsid w:val="006A5B30"/>
    <w:rsid w:val="006B1282"/>
    <w:rsid w:val="006B33C6"/>
    <w:rsid w:val="006B5208"/>
    <w:rsid w:val="006B57FC"/>
    <w:rsid w:val="006C37AF"/>
    <w:rsid w:val="006C58CD"/>
    <w:rsid w:val="006C77B8"/>
    <w:rsid w:val="006C7F5D"/>
    <w:rsid w:val="006D18AE"/>
    <w:rsid w:val="006D495B"/>
    <w:rsid w:val="007149DA"/>
    <w:rsid w:val="007164F7"/>
    <w:rsid w:val="0071697E"/>
    <w:rsid w:val="00722595"/>
    <w:rsid w:val="00727D47"/>
    <w:rsid w:val="00732A4E"/>
    <w:rsid w:val="007343BF"/>
    <w:rsid w:val="00734FAC"/>
    <w:rsid w:val="00735DC0"/>
    <w:rsid w:val="00744DFD"/>
    <w:rsid w:val="007452C1"/>
    <w:rsid w:val="007466A7"/>
    <w:rsid w:val="007529B0"/>
    <w:rsid w:val="0075783C"/>
    <w:rsid w:val="00760E75"/>
    <w:rsid w:val="00761C1B"/>
    <w:rsid w:val="00765679"/>
    <w:rsid w:val="00765B4E"/>
    <w:rsid w:val="007664FC"/>
    <w:rsid w:val="007727EE"/>
    <w:rsid w:val="0077481C"/>
    <w:rsid w:val="00780F64"/>
    <w:rsid w:val="007927A7"/>
    <w:rsid w:val="00794CFA"/>
    <w:rsid w:val="00797BB9"/>
    <w:rsid w:val="007A0722"/>
    <w:rsid w:val="007A1CE5"/>
    <w:rsid w:val="007B1FD8"/>
    <w:rsid w:val="007B2CF7"/>
    <w:rsid w:val="007C016A"/>
    <w:rsid w:val="007C3521"/>
    <w:rsid w:val="007C5828"/>
    <w:rsid w:val="007C75AE"/>
    <w:rsid w:val="007E567A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59F2"/>
    <w:rsid w:val="00827A88"/>
    <w:rsid w:val="00833719"/>
    <w:rsid w:val="00835A7E"/>
    <w:rsid w:val="008434F2"/>
    <w:rsid w:val="008459BB"/>
    <w:rsid w:val="00853A1F"/>
    <w:rsid w:val="0085458A"/>
    <w:rsid w:val="00860D17"/>
    <w:rsid w:val="00861F81"/>
    <w:rsid w:val="00872FCB"/>
    <w:rsid w:val="00874CEA"/>
    <w:rsid w:val="008765D1"/>
    <w:rsid w:val="00876F14"/>
    <w:rsid w:val="00882DE3"/>
    <w:rsid w:val="008832FE"/>
    <w:rsid w:val="00886731"/>
    <w:rsid w:val="00887852"/>
    <w:rsid w:val="008961BC"/>
    <w:rsid w:val="00897CB6"/>
    <w:rsid w:val="008A2373"/>
    <w:rsid w:val="008A243B"/>
    <w:rsid w:val="008A2899"/>
    <w:rsid w:val="008A312E"/>
    <w:rsid w:val="008B1EFD"/>
    <w:rsid w:val="008B4EF2"/>
    <w:rsid w:val="008B6EE6"/>
    <w:rsid w:val="008C22C3"/>
    <w:rsid w:val="008C23E2"/>
    <w:rsid w:val="008C2ACB"/>
    <w:rsid w:val="008C4EEF"/>
    <w:rsid w:val="008D3A9E"/>
    <w:rsid w:val="008D6252"/>
    <w:rsid w:val="008D7561"/>
    <w:rsid w:val="008D7E77"/>
    <w:rsid w:val="008E2FC0"/>
    <w:rsid w:val="008E4601"/>
    <w:rsid w:val="008F59C4"/>
    <w:rsid w:val="00902F80"/>
    <w:rsid w:val="00903CF1"/>
    <w:rsid w:val="00904A7A"/>
    <w:rsid w:val="00907C32"/>
    <w:rsid w:val="00927695"/>
    <w:rsid w:val="00927921"/>
    <w:rsid w:val="0093090C"/>
    <w:rsid w:val="00931961"/>
    <w:rsid w:val="00933810"/>
    <w:rsid w:val="00943799"/>
    <w:rsid w:val="00947187"/>
    <w:rsid w:val="009477DA"/>
    <w:rsid w:val="00961BB4"/>
    <w:rsid w:val="0096338B"/>
    <w:rsid w:val="00966081"/>
    <w:rsid w:val="00972A4D"/>
    <w:rsid w:val="009852FD"/>
    <w:rsid w:val="009917B5"/>
    <w:rsid w:val="009969E1"/>
    <w:rsid w:val="0099735F"/>
    <w:rsid w:val="009A231B"/>
    <w:rsid w:val="009A5027"/>
    <w:rsid w:val="009B1C95"/>
    <w:rsid w:val="009B3A64"/>
    <w:rsid w:val="009B6AE4"/>
    <w:rsid w:val="009B71BB"/>
    <w:rsid w:val="009B78E8"/>
    <w:rsid w:val="009C0738"/>
    <w:rsid w:val="009C0855"/>
    <w:rsid w:val="009C1751"/>
    <w:rsid w:val="009C53DC"/>
    <w:rsid w:val="009C71C6"/>
    <w:rsid w:val="009D7D2E"/>
    <w:rsid w:val="009E2041"/>
    <w:rsid w:val="009E5B20"/>
    <w:rsid w:val="009F6EC2"/>
    <w:rsid w:val="00A04343"/>
    <w:rsid w:val="00A06E92"/>
    <w:rsid w:val="00A14960"/>
    <w:rsid w:val="00A16D57"/>
    <w:rsid w:val="00A1735F"/>
    <w:rsid w:val="00A259A1"/>
    <w:rsid w:val="00A33D50"/>
    <w:rsid w:val="00A64C0D"/>
    <w:rsid w:val="00A66D14"/>
    <w:rsid w:val="00A73754"/>
    <w:rsid w:val="00A76A35"/>
    <w:rsid w:val="00A83D47"/>
    <w:rsid w:val="00A933D0"/>
    <w:rsid w:val="00A93CF0"/>
    <w:rsid w:val="00A965CE"/>
    <w:rsid w:val="00AA1649"/>
    <w:rsid w:val="00AB3181"/>
    <w:rsid w:val="00AC16A7"/>
    <w:rsid w:val="00AC194A"/>
    <w:rsid w:val="00AC298C"/>
    <w:rsid w:val="00AC5F87"/>
    <w:rsid w:val="00AD4C8C"/>
    <w:rsid w:val="00AD697A"/>
    <w:rsid w:val="00AD7896"/>
    <w:rsid w:val="00AE49A7"/>
    <w:rsid w:val="00AF4540"/>
    <w:rsid w:val="00B055A9"/>
    <w:rsid w:val="00B12242"/>
    <w:rsid w:val="00B16AA7"/>
    <w:rsid w:val="00B17E67"/>
    <w:rsid w:val="00B202DE"/>
    <w:rsid w:val="00B2079F"/>
    <w:rsid w:val="00B21F6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63FE9"/>
    <w:rsid w:val="00B70274"/>
    <w:rsid w:val="00B76CD1"/>
    <w:rsid w:val="00B81A2D"/>
    <w:rsid w:val="00B92C72"/>
    <w:rsid w:val="00B97252"/>
    <w:rsid w:val="00BA21FB"/>
    <w:rsid w:val="00BA53A1"/>
    <w:rsid w:val="00BA7429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4BD3"/>
    <w:rsid w:val="00C16253"/>
    <w:rsid w:val="00C21D1F"/>
    <w:rsid w:val="00C239F1"/>
    <w:rsid w:val="00C32386"/>
    <w:rsid w:val="00C33A7A"/>
    <w:rsid w:val="00C33A86"/>
    <w:rsid w:val="00C345BC"/>
    <w:rsid w:val="00C36E62"/>
    <w:rsid w:val="00C36F0C"/>
    <w:rsid w:val="00C36F5A"/>
    <w:rsid w:val="00C41963"/>
    <w:rsid w:val="00C51F70"/>
    <w:rsid w:val="00C638F4"/>
    <w:rsid w:val="00C66186"/>
    <w:rsid w:val="00C72BBC"/>
    <w:rsid w:val="00C73C3C"/>
    <w:rsid w:val="00C7412C"/>
    <w:rsid w:val="00C773C4"/>
    <w:rsid w:val="00CA7141"/>
    <w:rsid w:val="00CB1AF1"/>
    <w:rsid w:val="00CB2989"/>
    <w:rsid w:val="00CB3CAD"/>
    <w:rsid w:val="00CC202A"/>
    <w:rsid w:val="00CC4F4D"/>
    <w:rsid w:val="00CC7C2A"/>
    <w:rsid w:val="00CD0186"/>
    <w:rsid w:val="00CD4E22"/>
    <w:rsid w:val="00CD61A3"/>
    <w:rsid w:val="00CE5603"/>
    <w:rsid w:val="00CE7800"/>
    <w:rsid w:val="00CF0A46"/>
    <w:rsid w:val="00CF3794"/>
    <w:rsid w:val="00CF44D0"/>
    <w:rsid w:val="00CF4A78"/>
    <w:rsid w:val="00CF744D"/>
    <w:rsid w:val="00D007DF"/>
    <w:rsid w:val="00D07AAC"/>
    <w:rsid w:val="00D106C3"/>
    <w:rsid w:val="00D115FD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57A92"/>
    <w:rsid w:val="00D61D1A"/>
    <w:rsid w:val="00D64FB3"/>
    <w:rsid w:val="00D66440"/>
    <w:rsid w:val="00D71E3D"/>
    <w:rsid w:val="00D737D2"/>
    <w:rsid w:val="00D8061E"/>
    <w:rsid w:val="00D87B20"/>
    <w:rsid w:val="00D94536"/>
    <w:rsid w:val="00DA04E7"/>
    <w:rsid w:val="00DA5D5D"/>
    <w:rsid w:val="00DA6D48"/>
    <w:rsid w:val="00DB032D"/>
    <w:rsid w:val="00DB2ACC"/>
    <w:rsid w:val="00DB71FD"/>
    <w:rsid w:val="00DC0ED4"/>
    <w:rsid w:val="00DC1D33"/>
    <w:rsid w:val="00DC3766"/>
    <w:rsid w:val="00DC45C7"/>
    <w:rsid w:val="00DC5816"/>
    <w:rsid w:val="00DE12FA"/>
    <w:rsid w:val="00DE260F"/>
    <w:rsid w:val="00DE2646"/>
    <w:rsid w:val="00DE282B"/>
    <w:rsid w:val="00DE774A"/>
    <w:rsid w:val="00DF117E"/>
    <w:rsid w:val="00DF1306"/>
    <w:rsid w:val="00DF178C"/>
    <w:rsid w:val="00E00902"/>
    <w:rsid w:val="00E018FA"/>
    <w:rsid w:val="00E020E1"/>
    <w:rsid w:val="00E024DC"/>
    <w:rsid w:val="00E03991"/>
    <w:rsid w:val="00E05238"/>
    <w:rsid w:val="00E05262"/>
    <w:rsid w:val="00E067DA"/>
    <w:rsid w:val="00E131C5"/>
    <w:rsid w:val="00E159EB"/>
    <w:rsid w:val="00E15E0A"/>
    <w:rsid w:val="00E23957"/>
    <w:rsid w:val="00E26486"/>
    <w:rsid w:val="00E363AD"/>
    <w:rsid w:val="00E46987"/>
    <w:rsid w:val="00E46A40"/>
    <w:rsid w:val="00E50552"/>
    <w:rsid w:val="00E516F7"/>
    <w:rsid w:val="00E5756F"/>
    <w:rsid w:val="00E57653"/>
    <w:rsid w:val="00E6050F"/>
    <w:rsid w:val="00E624C3"/>
    <w:rsid w:val="00E64DF1"/>
    <w:rsid w:val="00E64E88"/>
    <w:rsid w:val="00E650FC"/>
    <w:rsid w:val="00E65EA7"/>
    <w:rsid w:val="00E710CE"/>
    <w:rsid w:val="00E722B8"/>
    <w:rsid w:val="00E7619C"/>
    <w:rsid w:val="00E929C5"/>
    <w:rsid w:val="00E9748F"/>
    <w:rsid w:val="00EA2D94"/>
    <w:rsid w:val="00EB0A48"/>
    <w:rsid w:val="00EB47FC"/>
    <w:rsid w:val="00EC17FF"/>
    <w:rsid w:val="00ED01A2"/>
    <w:rsid w:val="00ED123C"/>
    <w:rsid w:val="00EE276B"/>
    <w:rsid w:val="00EE5781"/>
    <w:rsid w:val="00EF214C"/>
    <w:rsid w:val="00EF214F"/>
    <w:rsid w:val="00EF3582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62102"/>
    <w:rsid w:val="00F71A78"/>
    <w:rsid w:val="00F765C7"/>
    <w:rsid w:val="00F80900"/>
    <w:rsid w:val="00F94E6F"/>
    <w:rsid w:val="00F96197"/>
    <w:rsid w:val="00FA4CF5"/>
    <w:rsid w:val="00FA779A"/>
    <w:rsid w:val="00FB4627"/>
    <w:rsid w:val="00FC3FBE"/>
    <w:rsid w:val="00FD0C9C"/>
    <w:rsid w:val="00FD1E67"/>
    <w:rsid w:val="00FD2AA5"/>
    <w:rsid w:val="00FD33E1"/>
    <w:rsid w:val="00FE1DDE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61E4F5E0FABDB9BBA231D10BC72AD04609E9F80943DBFBA18112A5A17237418811E8D1E19F91F23F72F9D71AD839A01C5CFEE175EB9E7C773192D2n3xEF" TargetMode="External"/><Relationship Id="rId13" Type="http://schemas.openxmlformats.org/officeDocument/2006/relationships/hyperlink" Target="https://rmsp.nalog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93337C7E8BA78BA8AA8E31CD87D1B87BD38561788515181F34B6BE641A8D56ECC3E869FE2A80FD3BC589578489B8C1FF2cCG3J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61E4F5E0FABDB9BBA231D10BC72AD04609E9F80946D6FCA48512A5A17237418811E8D1F39FC9FE3F76E6D214CD6FF15An0xB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A61E4F5E0FABDB9BBA22FDC1DAB7DDF4400B7F10344D8ABFBD314F2FE223114DA51B688A2DF82F3376CFAD21EnDx1F" TargetMode="External"/><Relationship Id="rId10" Type="http://schemas.openxmlformats.org/officeDocument/2006/relationships/hyperlink" Target="consultantplus://offline/ref=4A61E4F5E0FABDB9BBA231D10BC72AD04609E9F80947DBF4A28212A5A17237418811E8D1F39FC9FE3F76E6D214CD6FF15An0xB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61E4F5E0FABDB9BBA231D10BC72AD04609E9F80944D3FFA08112A5A17237418811E8D1F39FC9FE3F76E6D214CD6FF15An0xBF" TargetMode="External"/><Relationship Id="rId14" Type="http://schemas.openxmlformats.org/officeDocument/2006/relationships/hyperlink" Target="https://adm.gov86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2022-08-19T05:52:00Z</dcterms:modified>
</cp:coreProperties>
</file>