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начало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B140E2" w:rsidP="00FC7550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«</w:t>
            </w:r>
            <w:r w:rsidR="00FC7550" w:rsidRPr="008E038D">
              <w:rPr>
                <w:sz w:val="28"/>
                <w:szCs w:val="28"/>
              </w:rPr>
              <w:t>15</w:t>
            </w:r>
            <w:r w:rsidR="00711CDA" w:rsidRPr="008E038D">
              <w:rPr>
                <w:sz w:val="28"/>
                <w:szCs w:val="28"/>
              </w:rPr>
              <w:t>»</w:t>
            </w:r>
            <w:r w:rsidRPr="008E038D">
              <w:rPr>
                <w:sz w:val="28"/>
                <w:szCs w:val="28"/>
              </w:rPr>
              <w:t xml:space="preserve"> </w:t>
            </w:r>
            <w:r w:rsidR="00FC7550" w:rsidRPr="008E038D">
              <w:rPr>
                <w:sz w:val="28"/>
                <w:szCs w:val="28"/>
              </w:rPr>
              <w:t>апреля</w:t>
            </w:r>
            <w:r w:rsidR="00D53B84" w:rsidRPr="008E038D">
              <w:rPr>
                <w:sz w:val="28"/>
                <w:szCs w:val="28"/>
              </w:rPr>
              <w:t xml:space="preserve"> </w:t>
            </w:r>
            <w:r w:rsidR="00612D01" w:rsidRPr="008E038D">
              <w:rPr>
                <w:sz w:val="28"/>
                <w:szCs w:val="28"/>
              </w:rPr>
              <w:t>20</w:t>
            </w:r>
            <w:r w:rsidR="00D53B84" w:rsidRPr="008E038D">
              <w:rPr>
                <w:sz w:val="28"/>
                <w:szCs w:val="28"/>
              </w:rPr>
              <w:t>2</w:t>
            </w:r>
            <w:r w:rsidR="00711CDA" w:rsidRPr="008E038D">
              <w:rPr>
                <w:sz w:val="28"/>
                <w:szCs w:val="28"/>
              </w:rPr>
              <w:t>4</w:t>
            </w:r>
            <w:r w:rsidR="00612D01" w:rsidRPr="008E038D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окончание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8E038D" w:rsidRDefault="00B140E2" w:rsidP="00997CEC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«</w:t>
            </w:r>
            <w:r w:rsidR="003B40CB" w:rsidRPr="008E038D">
              <w:rPr>
                <w:sz w:val="28"/>
                <w:szCs w:val="28"/>
              </w:rPr>
              <w:t>1</w:t>
            </w:r>
            <w:r w:rsidR="00997CEC">
              <w:rPr>
                <w:sz w:val="28"/>
                <w:szCs w:val="28"/>
              </w:rPr>
              <w:t>6</w:t>
            </w:r>
            <w:r w:rsidR="00CE0647" w:rsidRPr="008E038D">
              <w:rPr>
                <w:sz w:val="28"/>
                <w:szCs w:val="28"/>
              </w:rPr>
              <w:t>»</w:t>
            </w:r>
            <w:r w:rsidRPr="008E038D">
              <w:rPr>
                <w:sz w:val="28"/>
                <w:szCs w:val="28"/>
              </w:rPr>
              <w:t xml:space="preserve"> </w:t>
            </w:r>
            <w:bookmarkStart w:id="0" w:name="_GoBack"/>
            <w:r w:rsidR="00FC7550" w:rsidRPr="008E038D">
              <w:rPr>
                <w:sz w:val="28"/>
                <w:szCs w:val="28"/>
              </w:rPr>
              <w:t>мая</w:t>
            </w:r>
            <w:bookmarkEnd w:id="0"/>
            <w:r w:rsidR="00D53B84" w:rsidRPr="008E038D">
              <w:rPr>
                <w:sz w:val="28"/>
                <w:szCs w:val="28"/>
              </w:rPr>
              <w:t xml:space="preserve"> </w:t>
            </w:r>
            <w:r w:rsidR="00612D01" w:rsidRPr="008E038D">
              <w:rPr>
                <w:sz w:val="28"/>
                <w:szCs w:val="28"/>
              </w:rPr>
              <w:t>20</w:t>
            </w:r>
            <w:r w:rsidR="00D53B84" w:rsidRPr="008E038D">
              <w:rPr>
                <w:sz w:val="28"/>
                <w:szCs w:val="28"/>
              </w:rPr>
              <w:t>24</w:t>
            </w:r>
            <w:r w:rsidR="00120F9A" w:rsidRPr="008E038D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8F6269" w:rsidRPr="008E038D">
              <w:rPr>
                <w:sz w:val="28"/>
                <w:szCs w:val="28"/>
                <w:u w:val="single"/>
              </w:rPr>
              <w:t xml:space="preserve">проект </w:t>
            </w:r>
            <w:r w:rsidR="00FC7550" w:rsidRPr="008E038D">
              <w:rPr>
                <w:sz w:val="28"/>
                <w:szCs w:val="28"/>
                <w:u w:val="single"/>
              </w:rPr>
              <w:t>решени</w:t>
            </w:r>
            <w:r w:rsidR="008F6269" w:rsidRPr="008E038D">
              <w:rPr>
                <w:sz w:val="28"/>
                <w:szCs w:val="28"/>
                <w:u w:val="single"/>
              </w:rPr>
              <w:t>я</w:t>
            </w:r>
            <w:r w:rsidR="00FC7550" w:rsidRPr="008E038D">
              <w:rPr>
                <w:sz w:val="28"/>
                <w:szCs w:val="28"/>
                <w:u w:val="single"/>
              </w:rPr>
              <w:t xml:space="preserve">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Пыть-Яхе»</w:t>
            </w:r>
            <w:r w:rsidR="00390E90" w:rsidRPr="008E038D">
              <w:rPr>
                <w:sz w:val="28"/>
                <w:szCs w:val="28"/>
                <w:u w:val="single"/>
              </w:rPr>
              <w:t xml:space="preserve"> (в ред. от 15.07.2022 № 87)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FC755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B140E2" w:rsidRPr="008E038D">
              <w:rPr>
                <w:sz w:val="28"/>
                <w:szCs w:val="28"/>
                <w:u w:val="single"/>
              </w:rPr>
              <w:t xml:space="preserve">проектом </w:t>
            </w:r>
            <w:r w:rsidR="003B50A3" w:rsidRPr="008E038D">
              <w:rPr>
                <w:sz w:val="28"/>
                <w:szCs w:val="28"/>
                <w:u w:val="single"/>
              </w:rPr>
              <w:t xml:space="preserve">вносятся изменения с целью </w:t>
            </w:r>
            <w:r w:rsidR="00FC7550" w:rsidRPr="008E038D">
              <w:rPr>
                <w:sz w:val="28"/>
                <w:szCs w:val="28"/>
                <w:u w:val="single"/>
              </w:rPr>
              <w:t>уточнения порядка рассмотрения представленных инициативных проектов. Проектом предлагается установить, что рассмотрение всех инициативных проектов включает два этапа: экспертиза и конкурсный отбор. При проведении экспертизы проводится проверка на соответствие установленным требованиям, осуществляется подготовка рекомендаций на предмет взаимосвязанного соответствия заявленной стоимости инициативного проекта, расчету оценочной стоимости реализации проекта и документов, обосновывающие такую стоимость; техническим характеристикам объекта; рекомендациям к качеству материалов, используемых для реализации проекта. Также предлагается закрепить, что инициативный проект принимается к реализации не позднее 30 рабочих дней после издания распоряжения Администрации о его поддержке.</w:t>
            </w:r>
            <w:r w:rsidR="008F6269" w:rsidRPr="008E038D">
              <w:rPr>
                <w:sz w:val="28"/>
                <w:szCs w:val="28"/>
                <w:u w:val="single"/>
              </w:rPr>
              <w:t xml:space="preserve"> Что поспособствует вовлечению более широкого круга лиц в процесс реализации инициативных проектов 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E45CE2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Pr="008E038D">
              <w:rPr>
                <w:bCs/>
                <w:sz w:val="28"/>
                <w:szCs w:val="28"/>
              </w:rPr>
              <w:t>по внутренней политике, связям с общественными организациями и СМИ </w:t>
            </w:r>
            <w:r w:rsidRPr="008E038D">
              <w:rPr>
                <w:sz w:val="28"/>
                <w:szCs w:val="28"/>
              </w:rPr>
              <w:t xml:space="preserve"> управления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A35617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высокая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FC7550" w:rsidRPr="008E038D" w:rsidRDefault="00FC7550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- </w:t>
            </w:r>
            <w:r w:rsidR="00FE1C91" w:rsidRPr="008E038D">
              <w:rPr>
                <w:sz w:val="28"/>
                <w:szCs w:val="28"/>
              </w:rPr>
              <w:t>Инициативные проекты, поступившие в Администрацию, подлежат конкурсному отбору</w:t>
            </w:r>
          </w:p>
          <w:p w:rsidR="00ED47B9" w:rsidRPr="008E038D" w:rsidRDefault="00A35617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- </w:t>
            </w:r>
            <w:r w:rsidR="00FE1C91" w:rsidRPr="008E038D">
              <w:rPr>
                <w:sz w:val="28"/>
                <w:szCs w:val="28"/>
                <w:u w:val="single"/>
              </w:rPr>
              <w:t>Инициативный проект, требующий финансирования, и по которому Администрацией принято решение о поддержке инициативного проекта, принимается к реализации не позднее 30 рабочих дней после издания распоряжения Администрации о поддержке инициативного проекта. В случае если срок реализации инициативного проекта заканчивается в следующем календарном году после года в котором принято решение о поддержке, то инициативный проект принимается к реализации в два этапа.  При этом окончанием срока первого этапа реализации считается 31 декабря календарного года, в котором принято решение о поддержке, окончанием срока второго этапа - срок реализации, указанный в инициативном проекте. При реализации второго этапа финансирование  из бюджета города Пыть-Яха не предоставляется.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FC7550" w:rsidRPr="008E038D">
              <w:rPr>
                <w:sz w:val="28"/>
                <w:szCs w:val="28"/>
                <w:u w:val="single"/>
              </w:rPr>
              <w:t>проектом предлагается уточнить порядок рассмотрения инициативных проектов, а также скорректировать срок начала их реализации со следующего года на текущий</w:t>
            </w:r>
            <w:r w:rsidR="008F6269" w:rsidRPr="008E038D">
              <w:rPr>
                <w:sz w:val="28"/>
                <w:szCs w:val="28"/>
                <w:u w:val="single"/>
              </w:rPr>
              <w:t>,</w:t>
            </w:r>
            <w:r w:rsidR="008F6269" w:rsidRPr="008E038D">
              <w:rPr>
                <w:sz w:val="28"/>
                <w:szCs w:val="28"/>
              </w:rPr>
              <w:t xml:space="preserve"> </w:t>
            </w:r>
            <w:r w:rsidR="008F6269" w:rsidRPr="008E038D">
              <w:rPr>
                <w:sz w:val="28"/>
                <w:szCs w:val="28"/>
                <w:u w:val="single"/>
              </w:rPr>
              <w:t>поддержка инициатив жителей города Пыть-Яха в решении вопросов местного значения, реализация мероприятий, имеющих приоритетное значение для жителей города Пыть-Яха по решению вопросов местного значения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FC7550" w:rsidRPr="008E038D">
              <w:rPr>
                <w:sz w:val="28"/>
                <w:szCs w:val="28"/>
                <w:u w:val="single"/>
              </w:rPr>
              <w:t xml:space="preserve">отсутствие </w:t>
            </w:r>
            <w:r w:rsidR="00FC7550"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возможности реализовать инициативные проекты в текущем году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440E10" w:rsidP="008F626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- </w:t>
            </w:r>
            <w:r w:rsidR="008F6269" w:rsidRPr="008E038D">
              <w:rPr>
                <w:sz w:val="28"/>
                <w:szCs w:val="28"/>
              </w:rPr>
              <w:t>отсутствует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- невозможно решить проблему  участниками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A16E29" w:rsidRPr="008E038D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Pr="008E038D">
              <w:rPr>
                <w:sz w:val="28"/>
                <w:szCs w:val="28"/>
              </w:rPr>
              <w:t>).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8E038D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1. </w:t>
            </w:r>
            <w:r w:rsidR="00A16E29" w:rsidRPr="008E038D">
              <w:rPr>
                <w:sz w:val="28"/>
                <w:szCs w:val="28"/>
                <w:u w:val="single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  <w:r w:rsidRPr="008E038D">
              <w:rPr>
                <w:sz w:val="28"/>
                <w:szCs w:val="28"/>
                <w:u w:val="single"/>
              </w:rPr>
              <w:t>;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«КонсультантПлюс»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A16E29" w:rsidRPr="008E038D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Решение Думы города Покачи от 29.03.2021 № 12 «О Порядке выдвижения, внесения, обсуждения, рассмотрения инициативных проектов, а также проведения их конкурсного отбора в городе Покачи»</w:t>
            </w:r>
          </w:p>
          <w:p w:rsidR="00913220" w:rsidRPr="008E038D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Решение Думы города Лангепаса от 25.12.2020 № 160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Лангепас Ханты-Мансийского автономного округа – Югры»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="00682729" w:rsidRPr="008E038D">
              <w:rPr>
                <w:sz w:val="28"/>
                <w:szCs w:val="28"/>
                <w:u w:val="single"/>
              </w:rPr>
              <w:t>КонсультантПлюс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 xml:space="preserve">Мансийского </w:t>
      </w:r>
      <w:r w:rsidR="00913220" w:rsidRPr="008E038D">
        <w:rPr>
          <w:sz w:val="28"/>
          <w:szCs w:val="28"/>
        </w:rPr>
        <w:lastRenderedPageBreak/>
        <w:t>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BB42B7" w:rsidRPr="008E038D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8F6269" w:rsidRPr="008E038D" w:rsidRDefault="008F6269" w:rsidP="005F53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Государственной программе ХМАО-Югры «Развитие гражданского общества», утвержденной постановлением Правительства ХМАО-Югры от </w:t>
            </w:r>
            <w:r w:rsidR="005F53B4" w:rsidRPr="008E038D">
              <w:rPr>
                <w:sz w:val="28"/>
                <w:szCs w:val="28"/>
                <w:u w:val="single"/>
              </w:rPr>
              <w:t xml:space="preserve">10.11.2023 № 546-п, </w:t>
            </w:r>
            <w:r w:rsidRPr="008E038D">
              <w:rPr>
                <w:sz w:val="28"/>
                <w:szCs w:val="28"/>
                <w:u w:val="single"/>
              </w:rPr>
              <w:t>Муниципальной программе «Развитие гражданского общества в городе Пыть-Яхе», утвержденной постановлением от 28.12.2023 № 369-па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5D0A74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- соблюдение органами местного самоуправления требований </w:t>
            </w:r>
            <w:r w:rsidR="00C84466" w:rsidRPr="008E038D">
              <w:rPr>
                <w:rFonts w:eastAsia="Calibri"/>
                <w:sz w:val="28"/>
                <w:szCs w:val="28"/>
                <w:lang w:eastAsia="en-US"/>
              </w:rPr>
              <w:t xml:space="preserve">действующего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 законодательства по </w:t>
            </w:r>
            <w:r w:rsidR="00A16E29" w:rsidRPr="008E038D">
              <w:rPr>
                <w:rFonts w:eastAsia="Calibri"/>
                <w:sz w:val="28"/>
                <w:szCs w:val="28"/>
                <w:lang w:eastAsia="en-US"/>
              </w:rPr>
              <w:t>выдвижению, внесению, обсуждению, рассмотрению инициативных проектов, а также проведению их конкурсного отбора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88478D" w:rsidRPr="008E038D">
              <w:rPr>
                <w:sz w:val="28"/>
                <w:szCs w:val="28"/>
              </w:rPr>
              <w:t>непринятие проекта (оставить без изменений)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FE1C9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ED47B9" w:rsidRPr="008E038D">
              <w:rPr>
                <w:sz w:val="28"/>
                <w:szCs w:val="28"/>
              </w:rPr>
              <w:t xml:space="preserve">выбранный вариант соответствует </w:t>
            </w:r>
            <w:r w:rsidR="005F53B4" w:rsidRPr="008E038D">
              <w:rPr>
                <w:sz w:val="28"/>
                <w:szCs w:val="28"/>
              </w:rPr>
              <w:t>ст. 26.1 Федеральный закон от 06.10.2003 № 131-ФЗ «Об общих принципах организации местного самоуправления в Российской Федерации»</w:t>
            </w:r>
            <w:r w:rsidR="00FE1C91" w:rsidRPr="008E038D">
              <w:rPr>
                <w:sz w:val="28"/>
                <w:szCs w:val="28"/>
              </w:rPr>
              <w:t xml:space="preserve"> и является оптимальным в вопросе рассмотрения инициативных проектов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 xml:space="preserve">7. Основные группы субъектов предпринимательской и инвестиционной деятельности, иные заинтересованные лица, включая органы местного </w:t>
      </w:r>
      <w:r w:rsidRPr="008E038D">
        <w:rPr>
          <w:sz w:val="28"/>
          <w:szCs w:val="28"/>
        </w:rPr>
        <w:lastRenderedPageBreak/>
        <w:t>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юридические лица, в том числе социально-ориентированные некоммерческие организации,</w:t>
            </w:r>
            <w:r w:rsidRPr="008E038D">
              <w:t xml:space="preserve">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8E038D" w:rsidRDefault="00FE1C91" w:rsidP="00ED47B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 данным Федеральной Налоговой инспекции РФ и Управления Министерства юстиции Российской Федерации по ХМАО – Югре на 01.04.2024 на территории города Пыть-Яха зарегистрировано 1604 субъектов малого и среднего предпринимательства, некоммерческих организаций.</w:t>
            </w:r>
          </w:p>
        </w:tc>
      </w:tr>
      <w:tr w:rsidR="00612D01" w:rsidRPr="008E038D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A16E29" w:rsidRPr="008E038D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16E29" w:rsidRPr="008E038D">
              <w:rPr>
                <w:rFonts w:eastAsia="Calibri"/>
                <w:sz w:val="28"/>
                <w:szCs w:val="28"/>
                <w:lang w:eastAsia="en-US"/>
              </w:rPr>
              <w:t>архитектуры и градостроительства;</w:t>
            </w:r>
          </w:p>
          <w:p w:rsidR="00612D01" w:rsidRPr="008E038D" w:rsidRDefault="00A16E29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C84466" w:rsidRPr="008E038D">
              <w:rPr>
                <w:rFonts w:eastAsia="Calibri"/>
                <w:sz w:val="28"/>
                <w:szCs w:val="28"/>
                <w:lang w:eastAsia="en-US"/>
              </w:rPr>
              <w:t>по внутренней политике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8E038D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E415D4" w:rsidRPr="008E038D" w:rsidRDefault="00FE1C91" w:rsidP="00384765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Инициативные проекты, поступившие в Администрацию, подлежат конкурсному отбору</w:t>
            </w:r>
          </w:p>
          <w:p w:rsidR="00FE1C91" w:rsidRPr="008E038D" w:rsidRDefault="00FE1C91" w:rsidP="00384765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Инициативный проект, требующий финансирования, и по которому Администрацией принято решение о поддержке инициативного проекта, принимается к реализации не позднее 30 рабочих дней после издания распоряжения </w:t>
            </w:r>
            <w:r w:rsidRPr="008E038D">
              <w:rPr>
                <w:sz w:val="28"/>
                <w:szCs w:val="28"/>
              </w:rPr>
              <w:lastRenderedPageBreak/>
              <w:t>Администрации о поддержке инициативного проекта. В случае если срок реализации инициативного проекта заканчивается в следующем календарном году после года в котором принято решение о поддержке, то инициативный проект принимается к реализации в два этапа.  При этом окончанием срока первого этапа реализации считается 31 декабря календарного года, в котором принято решение о поддержке, окончанием срока второго этапа - срок реализации, указанный в инициативном проекте. При реализации второго этапа финансирование  из бюджета города Пыть-Яха не предоставляется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FE1D32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5 000 000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5 000 000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5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4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 xml:space="preserve">5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E415D4" w:rsidRPr="008E038D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E415D4" w:rsidRPr="008E038D">
              <w:rPr>
                <w:sz w:val="28"/>
                <w:szCs w:val="28"/>
              </w:rPr>
              <w:t>4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20 000 000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>постановление администрации города от 28.12.2023 № 369-па «Об утверждении муниципальной программы «Развитие гражданского общества в городе Пыть-Яхе»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8E038D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461198" w:rsidRPr="008E038D" w:rsidRDefault="00461198" w:rsidP="00A16E29">
            <w:pPr>
              <w:rPr>
                <w:sz w:val="28"/>
                <w:szCs w:val="28"/>
              </w:rPr>
            </w:pPr>
          </w:p>
          <w:p w:rsidR="00A16E29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- юридические лица, в том числе социально-ориентированные некоммерческие организации, осуществляющие </w:t>
            </w:r>
            <w:r w:rsidRPr="008E038D">
              <w:rPr>
                <w:sz w:val="28"/>
                <w:szCs w:val="28"/>
              </w:rPr>
              <w:lastRenderedPageBreak/>
              <w:t>свою деятельность на территории города Пыть-Яха;</w:t>
            </w:r>
          </w:p>
          <w:p w:rsidR="00612D01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1807" w:type="pct"/>
            <w:shd w:val="clear" w:color="auto" w:fill="auto"/>
          </w:tcPr>
          <w:p w:rsidR="00461198" w:rsidRPr="008E038D" w:rsidRDefault="00461198" w:rsidP="00A16E29">
            <w:pPr>
              <w:tabs>
                <w:tab w:val="left" w:pos="600"/>
              </w:tabs>
              <w:rPr>
                <w:rStyle w:val="12"/>
                <w:sz w:val="28"/>
                <w:szCs w:val="28"/>
              </w:rPr>
            </w:pPr>
          </w:p>
          <w:p w:rsidR="00A16E29" w:rsidRPr="008E038D" w:rsidRDefault="00A16E29" w:rsidP="00A16E29">
            <w:pPr>
              <w:tabs>
                <w:tab w:val="left" w:pos="600"/>
              </w:tabs>
              <w:rPr>
                <w:rStyle w:val="12"/>
                <w:sz w:val="28"/>
                <w:szCs w:val="28"/>
              </w:rPr>
            </w:pPr>
            <w:r w:rsidRPr="008E038D">
              <w:rPr>
                <w:rStyle w:val="12"/>
                <w:sz w:val="28"/>
                <w:szCs w:val="28"/>
              </w:rPr>
              <w:t>- Рассмотрение инициативных проектов включает два этапа:</w:t>
            </w:r>
          </w:p>
          <w:p w:rsidR="00A16E29" w:rsidRPr="008E038D" w:rsidRDefault="00A16E29" w:rsidP="00A16E29">
            <w:pPr>
              <w:tabs>
                <w:tab w:val="left" w:pos="600"/>
              </w:tabs>
              <w:rPr>
                <w:rStyle w:val="12"/>
                <w:sz w:val="28"/>
                <w:szCs w:val="28"/>
              </w:rPr>
            </w:pPr>
            <w:r w:rsidRPr="008E038D">
              <w:rPr>
                <w:rStyle w:val="12"/>
                <w:sz w:val="28"/>
                <w:szCs w:val="28"/>
              </w:rPr>
              <w:t>1) этап экспертизы инициативных проектов Администрацией;</w:t>
            </w:r>
          </w:p>
          <w:p w:rsidR="00A16E29" w:rsidRPr="008E038D" w:rsidRDefault="00A16E29" w:rsidP="00A16E29">
            <w:pPr>
              <w:tabs>
                <w:tab w:val="left" w:pos="600"/>
              </w:tabs>
              <w:rPr>
                <w:rStyle w:val="12"/>
                <w:sz w:val="28"/>
                <w:szCs w:val="28"/>
              </w:rPr>
            </w:pPr>
            <w:r w:rsidRPr="008E038D">
              <w:rPr>
                <w:rStyle w:val="12"/>
                <w:sz w:val="28"/>
                <w:szCs w:val="28"/>
              </w:rPr>
              <w:lastRenderedPageBreak/>
              <w:t>2) этап проведения конкурсного отбора.</w:t>
            </w:r>
          </w:p>
          <w:p w:rsidR="00A16E29" w:rsidRPr="008E038D" w:rsidRDefault="000535C1" w:rsidP="00A16E29">
            <w:pPr>
              <w:tabs>
                <w:tab w:val="left" w:pos="600"/>
              </w:tabs>
              <w:rPr>
                <w:rStyle w:val="12"/>
                <w:sz w:val="28"/>
                <w:szCs w:val="28"/>
              </w:rPr>
            </w:pPr>
            <w:r w:rsidRPr="008E038D">
              <w:rPr>
                <w:rStyle w:val="12"/>
                <w:sz w:val="28"/>
                <w:szCs w:val="28"/>
              </w:rPr>
              <w:t>Инициативные проекты, поступившие в Администрацию, подлежат конкурсному отбору.</w:t>
            </w:r>
          </w:p>
          <w:p w:rsidR="00612D01" w:rsidRPr="008E038D" w:rsidRDefault="00A16E29" w:rsidP="00E415D4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8E038D">
              <w:rPr>
                <w:rStyle w:val="12"/>
                <w:sz w:val="28"/>
                <w:szCs w:val="28"/>
              </w:rPr>
              <w:t xml:space="preserve">- Инициативный проект, требующий финансирования, и по которому Администрацией принято решение о поддержке инициативного проекта, принимается к реализации не позднее 30 рабочих дней после издания распоряжения Администрации о поддержке инициативного проекта. В случае если срок реализации инициативного проекта заканчивается в следующем календарном году после года в котором принято решение о поддержке, то инициативный проект принимается к реализации в два этапа.  При этом окончанием срока первого этапа реализации считается 31 декабря календарного года, в котором принято решение о поддержке, окончанием срока второго этапа </w:t>
            </w:r>
            <w:r w:rsidR="00461198" w:rsidRPr="008E038D">
              <w:rPr>
                <w:rStyle w:val="12"/>
                <w:sz w:val="28"/>
                <w:szCs w:val="28"/>
              </w:rPr>
              <w:t>–</w:t>
            </w:r>
            <w:r w:rsidRPr="008E038D">
              <w:rPr>
                <w:rStyle w:val="12"/>
                <w:sz w:val="28"/>
                <w:szCs w:val="28"/>
              </w:rPr>
              <w:t xml:space="preserve"> срок реализации, указанный в инициативном проекте. При реализации второго этапа финансирование  из бюджета города Пыть-Яха не предоставляется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4A51C4" w:rsidP="00075C6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отсутс</w:t>
            </w:r>
            <w:r w:rsidR="009D496F" w:rsidRPr="008E038D">
              <w:rPr>
                <w:sz w:val="28"/>
                <w:szCs w:val="28"/>
              </w:rPr>
              <w:t>т</w:t>
            </w:r>
            <w:r w:rsidRPr="008E038D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612D01" w:rsidRPr="008E038D" w:rsidRDefault="005B3D0E" w:rsidP="005B3D0E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Расходы по направлению инициативного проекта на рассмотрение в </w:t>
            </w:r>
            <w:r w:rsidR="00027C17" w:rsidRPr="008E038D">
              <w:rPr>
                <w:sz w:val="28"/>
                <w:szCs w:val="28"/>
              </w:rPr>
              <w:t>администрацию</w:t>
            </w:r>
            <w:r w:rsidR="00027C17">
              <w:rPr>
                <w:sz w:val="28"/>
                <w:szCs w:val="28"/>
              </w:rPr>
              <w:t xml:space="preserve"> – </w:t>
            </w:r>
            <w:r w:rsidR="00027C17">
              <w:rPr>
                <w:sz w:val="28"/>
                <w:szCs w:val="28"/>
              </w:rPr>
              <w:lastRenderedPageBreak/>
              <w:t>расходы на один проект составят 609,5 руб.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A67869"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8E038D" w:rsidTr="00612D01">
        <w:tc>
          <w:tcPr>
            <w:tcW w:w="1262" w:type="pct"/>
            <w:gridSpan w:val="2"/>
            <w:shd w:val="clear" w:color="auto" w:fill="auto"/>
          </w:tcPr>
          <w:p w:rsidR="00612D01" w:rsidRPr="008E038D" w:rsidRDefault="00A67869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8E038D" w:rsidRDefault="00A67869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612D01" w:rsidRPr="008E038D" w:rsidRDefault="00A67869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A67869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612D01">
        <w:tc>
          <w:tcPr>
            <w:tcW w:w="39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8E038D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67869" w:rsidRPr="008E038D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07"/>
        <w:gridCol w:w="2030"/>
        <w:gridCol w:w="1955"/>
        <w:gridCol w:w="2142"/>
      </w:tblGrid>
      <w:tr w:rsidR="0046635A" w:rsidRPr="008E038D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12.1.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Цели предлагаемого регулирования</w:t>
            </w:r>
            <w:r w:rsidRPr="008E038D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12.2.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12.3.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.4.</w:t>
            </w:r>
          </w:p>
          <w:p w:rsidR="00612D01" w:rsidRPr="008E038D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8E038D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461198" w:rsidRPr="008E038D" w:rsidRDefault="008E038D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действующий порядок рассмотрения представленных инициативных проектов</w:t>
            </w:r>
          </w:p>
        </w:tc>
        <w:tc>
          <w:tcPr>
            <w:tcW w:w="1009" w:type="pct"/>
            <w:shd w:val="clear" w:color="auto" w:fill="auto"/>
          </w:tcPr>
          <w:p w:rsidR="00835F67" w:rsidRPr="008E038D" w:rsidRDefault="005B3D0E" w:rsidP="005B3D0E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Увеличение количества инициативных проектов, реализованных из местного бюджета с привлечением инициативных платежей</w:t>
            </w:r>
          </w:p>
        </w:tc>
        <w:tc>
          <w:tcPr>
            <w:tcW w:w="990" w:type="pct"/>
            <w:shd w:val="clear" w:color="auto" w:fill="auto"/>
          </w:tcPr>
          <w:p w:rsidR="00835F67" w:rsidRPr="008E038D" w:rsidRDefault="005B3D0E" w:rsidP="004A51C4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835F67" w:rsidP="004A51C4">
            <w:pPr>
              <w:rPr>
                <w:sz w:val="28"/>
                <w:szCs w:val="28"/>
              </w:rPr>
            </w:pP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2421"/>
        <w:gridCol w:w="2258"/>
      </w:tblGrid>
      <w:tr w:rsidR="004D1B88" w:rsidRPr="00441364" w:rsidTr="00047C76">
        <w:tc>
          <w:tcPr>
            <w:tcW w:w="2642" w:type="pct"/>
            <w:shd w:val="clear" w:color="auto" w:fill="auto"/>
            <w:vAlign w:val="bottom"/>
          </w:tcPr>
          <w:p w:rsidR="007631C9" w:rsidRPr="008E038D" w:rsidRDefault="007631C9" w:rsidP="004A51C4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управления по </w:t>
            </w:r>
            <w:r w:rsidR="004A51C4" w:rsidRPr="008E038D">
              <w:rPr>
                <w:sz w:val="28"/>
                <w:szCs w:val="28"/>
              </w:rPr>
              <w:t>внутренней политике а</w:t>
            </w:r>
            <w:r w:rsidRPr="008E038D">
              <w:rPr>
                <w:sz w:val="28"/>
                <w:szCs w:val="28"/>
              </w:rPr>
              <w:t xml:space="preserve">дминистрации города </w:t>
            </w:r>
            <w:r w:rsidR="004A51C4" w:rsidRPr="008E038D">
              <w:rPr>
                <w:sz w:val="28"/>
                <w:szCs w:val="28"/>
              </w:rPr>
              <w:t xml:space="preserve">            </w:t>
            </w:r>
            <w:r w:rsidRPr="008E038D">
              <w:rPr>
                <w:sz w:val="28"/>
                <w:szCs w:val="28"/>
              </w:rPr>
              <w:t>Пыть-Яха</w:t>
            </w:r>
            <w:r w:rsidR="004A51C4" w:rsidRPr="008E038D">
              <w:rPr>
                <w:sz w:val="28"/>
                <w:szCs w:val="28"/>
              </w:rPr>
              <w:t xml:space="preserve"> Староста Татьяна Викторовна 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612D01" w:rsidRPr="008E038D" w:rsidRDefault="00E415D4" w:rsidP="000535C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</w:t>
            </w:r>
            <w:r w:rsidR="000535C1" w:rsidRPr="008E038D">
              <w:rPr>
                <w:sz w:val="28"/>
                <w:szCs w:val="28"/>
              </w:rPr>
              <w:t>5</w:t>
            </w:r>
            <w:r w:rsidR="00D53B84" w:rsidRPr="008E038D">
              <w:rPr>
                <w:sz w:val="28"/>
                <w:szCs w:val="28"/>
              </w:rPr>
              <w:t>.</w:t>
            </w:r>
            <w:r w:rsidR="004A51C4" w:rsidRPr="008E038D">
              <w:rPr>
                <w:sz w:val="28"/>
                <w:szCs w:val="28"/>
              </w:rPr>
              <w:t>0</w:t>
            </w:r>
            <w:r w:rsidR="000535C1" w:rsidRPr="008E038D">
              <w:rPr>
                <w:sz w:val="28"/>
                <w:szCs w:val="28"/>
              </w:rPr>
              <w:t>4</w:t>
            </w:r>
            <w:r w:rsidR="00D53B84" w:rsidRPr="008E038D">
              <w:rPr>
                <w:sz w:val="28"/>
                <w:szCs w:val="28"/>
              </w:rPr>
              <w:t>.202</w:t>
            </w:r>
            <w:r w:rsidR="004A51C4" w:rsidRPr="008E038D">
              <w:rPr>
                <w:sz w:val="28"/>
                <w:szCs w:val="28"/>
              </w:rPr>
              <w:t>4</w:t>
            </w:r>
            <w:r w:rsidR="007631C9" w:rsidRPr="008E038D">
              <w:rPr>
                <w:sz w:val="28"/>
                <w:szCs w:val="28"/>
              </w:rPr>
              <w:t>г.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612D01" w:rsidRPr="00441364" w:rsidRDefault="007631C9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______________</w:t>
            </w:r>
          </w:p>
        </w:tc>
      </w:tr>
    </w:tbl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0"/>
      <w:footerReference w:type="even" r:id="rId11"/>
      <w:footerReference w:type="default" r:id="rId12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04" w:rsidRDefault="00D70E04">
      <w:r>
        <w:separator/>
      </w:r>
    </w:p>
  </w:endnote>
  <w:endnote w:type="continuationSeparator" w:id="0">
    <w:p w:rsidR="00D70E04" w:rsidRDefault="00D7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04" w:rsidRDefault="00D70E04">
      <w:r>
        <w:separator/>
      </w:r>
    </w:p>
  </w:footnote>
  <w:footnote w:type="continuationSeparator" w:id="0">
    <w:p w:rsidR="00D70E04" w:rsidRDefault="00D70E04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811C0"/>
    <w:rsid w:val="00D82B0F"/>
    <w:rsid w:val="00D82CE9"/>
    <w:rsid w:val="00D83673"/>
    <w:rsid w:val="00D836D7"/>
    <w:rsid w:val="00D838B4"/>
    <w:rsid w:val="00D8603B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CB55-7DC9-44B2-B677-8FE50A4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17154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9</cp:revision>
  <cp:lastPrinted>2020-08-11T07:33:00Z</cp:lastPrinted>
  <dcterms:created xsi:type="dcterms:W3CDTF">2024-04-15T06:15:00Z</dcterms:created>
  <dcterms:modified xsi:type="dcterms:W3CDTF">2024-04-15T07:14:00Z</dcterms:modified>
</cp:coreProperties>
</file>