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2458F2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2458F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="00595A57" w:rsidRPr="00595A57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2</w:t>
      </w:r>
      <w:r w:rsidRPr="002458F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год.</w:t>
      </w:r>
    </w:p>
    <w:p w:rsidR="00B97588" w:rsidRDefault="00B97588" w:rsidP="00B97588">
      <w:pPr>
        <w:ind w:firstLine="709"/>
        <w:jc w:val="both"/>
        <w:rPr>
          <w:rStyle w:val="a3"/>
          <w:rFonts w:asciiTheme="minorHAnsi" w:hAnsiTheme="minorHAnsi"/>
          <w:color w:val="555555"/>
          <w:sz w:val="21"/>
          <w:szCs w:val="21"/>
          <w:shd w:val="clear" w:color="auto" w:fill="FFFFFF"/>
        </w:rPr>
      </w:pPr>
    </w:p>
    <w:p w:rsidR="000A074B" w:rsidRDefault="000A074B" w:rsidP="000A074B">
      <w:pPr>
        <w:ind w:right="-1" w:firstLine="720"/>
        <w:jc w:val="both"/>
        <w:rPr>
          <w:sz w:val="26"/>
          <w:szCs w:val="26"/>
        </w:rPr>
      </w:pPr>
      <w:r w:rsidRPr="00261E46">
        <w:rPr>
          <w:sz w:val="26"/>
          <w:szCs w:val="26"/>
        </w:rPr>
        <w:t>На отчетную дату 1 428 субъектов малого и среднего предпринимательства осуществляют свою деятельность на территории города, в том числе 336 юридических лица, а также 1 086 человек,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 Кроме того, 1</w:t>
      </w:r>
      <w:r>
        <w:rPr>
          <w:sz w:val="26"/>
          <w:szCs w:val="26"/>
        </w:rPr>
        <w:t> 502 налогоплательщика, применяющие специальный налоговый режим (налог на профессиональный доход).</w:t>
      </w:r>
    </w:p>
    <w:p w:rsidR="000A074B" w:rsidRPr="00261E46" w:rsidRDefault="000A074B" w:rsidP="000A074B">
      <w:pPr>
        <w:ind w:right="-1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После установления</w:t>
      </w:r>
      <w:r w:rsidRPr="00756654">
        <w:rPr>
          <w:sz w:val="26"/>
          <w:szCs w:val="26"/>
        </w:rPr>
        <w:t xml:space="preserve"> специального налогового режима «Налог на профессиональный доход» (</w:t>
      </w:r>
      <w:proofErr w:type="spellStart"/>
      <w:r w:rsidRPr="00756654">
        <w:rPr>
          <w:sz w:val="26"/>
          <w:szCs w:val="26"/>
        </w:rPr>
        <w:t>самозанятые</w:t>
      </w:r>
      <w:proofErr w:type="spellEnd"/>
      <w:r w:rsidRPr="00756654">
        <w:rPr>
          <w:sz w:val="26"/>
          <w:szCs w:val="26"/>
        </w:rPr>
        <w:t xml:space="preserve"> граждане), часть индивидуальных предпринимателей перешли на данную систему налогообложения.</w:t>
      </w:r>
      <w:r>
        <w:rPr>
          <w:sz w:val="26"/>
          <w:szCs w:val="26"/>
        </w:rPr>
        <w:t xml:space="preserve"> Так по итогам 2022 года количество </w:t>
      </w:r>
      <w:proofErr w:type="spellStart"/>
      <w:r>
        <w:rPr>
          <w:sz w:val="26"/>
          <w:szCs w:val="26"/>
        </w:rPr>
        <w:t>самозанятых</w:t>
      </w:r>
      <w:proofErr w:type="spellEnd"/>
      <w:r>
        <w:rPr>
          <w:sz w:val="26"/>
          <w:szCs w:val="26"/>
        </w:rPr>
        <w:t xml:space="preserve"> увеличилось на 77,8% (2021 г.- 845). Количество МСП увеличилось на 2,6% (2021г.-1392).</w:t>
      </w:r>
    </w:p>
    <w:p w:rsidR="000A074B" w:rsidRDefault="000A074B" w:rsidP="000A074B">
      <w:pPr>
        <w:ind w:right="-1" w:firstLine="720"/>
        <w:jc w:val="both"/>
        <w:rPr>
          <w:sz w:val="26"/>
          <w:szCs w:val="26"/>
        </w:rPr>
      </w:pPr>
      <w:r w:rsidRPr="00261E46">
        <w:rPr>
          <w:sz w:val="26"/>
          <w:szCs w:val="26"/>
        </w:rPr>
        <w:t>Численность занятых граждан в малом бизнесе, включая индивидуальных предпринимателей</w:t>
      </w:r>
      <w:r>
        <w:rPr>
          <w:sz w:val="26"/>
          <w:szCs w:val="26"/>
        </w:rPr>
        <w:t xml:space="preserve"> и налогоплательщиков</w:t>
      </w:r>
      <w:r w:rsidRPr="001A6CDA">
        <w:rPr>
          <w:sz w:val="26"/>
          <w:szCs w:val="26"/>
        </w:rPr>
        <w:t>, применяющ</w:t>
      </w:r>
      <w:r>
        <w:rPr>
          <w:sz w:val="26"/>
          <w:szCs w:val="26"/>
        </w:rPr>
        <w:t>их</w:t>
      </w:r>
      <w:r w:rsidRPr="001A6CDA">
        <w:rPr>
          <w:sz w:val="26"/>
          <w:szCs w:val="26"/>
        </w:rPr>
        <w:t xml:space="preserve"> специальный налоговый режим,</w:t>
      </w:r>
      <w:r>
        <w:rPr>
          <w:sz w:val="26"/>
          <w:szCs w:val="26"/>
        </w:rPr>
        <w:t xml:space="preserve"> </w:t>
      </w:r>
      <w:r w:rsidRPr="00261E46">
        <w:rPr>
          <w:sz w:val="26"/>
          <w:szCs w:val="26"/>
        </w:rPr>
        <w:t>составляет 6 302 человек</w:t>
      </w:r>
      <w:r>
        <w:rPr>
          <w:sz w:val="26"/>
          <w:szCs w:val="26"/>
        </w:rPr>
        <w:t>а</w:t>
      </w:r>
      <w:r w:rsidRPr="00261E46">
        <w:rPr>
          <w:sz w:val="26"/>
          <w:szCs w:val="26"/>
        </w:rPr>
        <w:t>, что составляет 28,6 % от занятых в экономике города.</w:t>
      </w:r>
    </w:p>
    <w:p w:rsidR="00490F9E" w:rsidRDefault="00490F9E" w:rsidP="00490F9E">
      <w:pPr>
        <w:keepNext/>
        <w:ind w:firstLine="708"/>
        <w:jc w:val="both"/>
        <w:outlineLvl w:val="1"/>
        <w:rPr>
          <w:sz w:val="26"/>
        </w:rPr>
      </w:pPr>
      <w:r w:rsidRPr="000462F2">
        <w:rPr>
          <w:sz w:val="26"/>
        </w:rPr>
        <w:t>Общественное питание на территории города осуществляют 80 предприятий на 4 092 посадочных места, в том числе: 1 ресторан на 160 посадочных мест, 32 кафе на 2 164 посадочных места, 6 баров на 101 посадочное место, 12 столовых на 1 496 посадочных мест, 29 закусочных и прочих объектов общественного питания на 171 посадочное место. По сравнению с 2021 годом количество объектов</w:t>
      </w:r>
      <w:r>
        <w:rPr>
          <w:sz w:val="26"/>
        </w:rPr>
        <w:t xml:space="preserve"> </w:t>
      </w:r>
      <w:r w:rsidRPr="000462F2">
        <w:rPr>
          <w:sz w:val="26"/>
        </w:rPr>
        <w:t>общественного</w:t>
      </w:r>
      <w:r>
        <w:rPr>
          <w:sz w:val="26"/>
        </w:rPr>
        <w:t xml:space="preserve"> </w:t>
      </w:r>
      <w:r w:rsidRPr="000462F2">
        <w:rPr>
          <w:sz w:val="26"/>
        </w:rPr>
        <w:t xml:space="preserve">питания выросло на 14,3%, количество посадочных мест увеличилось на 4,7%, что говорит о развитии сферы общественного питания на территории города. </w:t>
      </w:r>
    </w:p>
    <w:p w:rsidR="00490F9E" w:rsidRDefault="00490F9E" w:rsidP="00490F9E">
      <w:pPr>
        <w:keepNext/>
        <w:ind w:firstLine="708"/>
        <w:jc w:val="both"/>
        <w:outlineLvl w:val="1"/>
        <w:rPr>
          <w:sz w:val="26"/>
          <w:szCs w:val="26"/>
        </w:rPr>
      </w:pPr>
      <w:r w:rsidRPr="000462F2">
        <w:rPr>
          <w:sz w:val="26"/>
        </w:rPr>
        <w:t>Стоит отметить, что набирает популярность сервис доставки еды, что свидетельствует о доступности жителей города к оказываемым услугам.</w:t>
      </w:r>
    </w:p>
    <w:p w:rsidR="000A074B" w:rsidRPr="000A074B" w:rsidRDefault="000A074B" w:rsidP="000A074B">
      <w:pPr>
        <w:ind w:firstLine="720"/>
        <w:jc w:val="both"/>
        <w:rPr>
          <w:sz w:val="26"/>
        </w:rPr>
      </w:pPr>
      <w:bookmarkStart w:id="0" w:name="_GoBack"/>
      <w:bookmarkEnd w:id="0"/>
      <w:r w:rsidRPr="000A074B">
        <w:rPr>
          <w:sz w:val="26"/>
        </w:rPr>
        <w:t xml:space="preserve">На 01.01.2023 года инфраструктуру потребительского рынка в городе составляют 17 торговых центров площадью 18 097,8 </w:t>
      </w:r>
      <w:proofErr w:type="spellStart"/>
      <w:r w:rsidRPr="000A074B">
        <w:rPr>
          <w:sz w:val="26"/>
        </w:rPr>
        <w:t>кв.м</w:t>
      </w:r>
      <w:proofErr w:type="spellEnd"/>
      <w:r w:rsidRPr="000A074B">
        <w:rPr>
          <w:sz w:val="26"/>
        </w:rPr>
        <w:t xml:space="preserve">., 329 продовольственных, непродовольственных и универсальных магазинов площадью 30 125,40 </w:t>
      </w:r>
      <w:proofErr w:type="spellStart"/>
      <w:r w:rsidRPr="000A074B">
        <w:rPr>
          <w:sz w:val="26"/>
        </w:rPr>
        <w:t>кв.м</w:t>
      </w:r>
      <w:proofErr w:type="spellEnd"/>
      <w:r w:rsidRPr="000A074B">
        <w:rPr>
          <w:sz w:val="26"/>
        </w:rPr>
        <w:t>., а также 60 объектов нестационарной торговли. По сравнению с 2021 годом отмечено увеличение количества торговых объектов на 5,5% и их торговой площади на 10,3%, что говорит о развитии потребительского рынка на территории города Пыть-Яха. Кроме того, увеличение площади предприятий розничной торговли вызывает соответствующий рост потребности в персонале</w:t>
      </w:r>
      <w:r w:rsidRPr="000A074B">
        <w:rPr>
          <w:color w:val="FF0000"/>
          <w:sz w:val="26"/>
        </w:rPr>
        <w:t>.</w:t>
      </w:r>
    </w:p>
    <w:p w:rsidR="000A074B" w:rsidRPr="000A074B" w:rsidRDefault="000A074B" w:rsidP="000A074B">
      <w:pPr>
        <w:ind w:firstLine="720"/>
        <w:jc w:val="both"/>
        <w:rPr>
          <w:sz w:val="26"/>
        </w:rPr>
      </w:pPr>
      <w:r w:rsidRPr="000A074B">
        <w:rPr>
          <w:sz w:val="26"/>
        </w:rPr>
        <w:t xml:space="preserve">На сегодняшний день в городе осуществляют свою деятельность  48 торговых сетей федерального и регионального уровней в 120 торговых объектах общей площадью 19 169,94 кв. м., в том числе, представлены торговые марки: «Перекресток», «Магнит», «Пятерочка», «Монетка», «Красное Белое», «Продукты </w:t>
      </w:r>
      <w:proofErr w:type="spellStart"/>
      <w:r w:rsidRPr="000A074B">
        <w:rPr>
          <w:sz w:val="26"/>
        </w:rPr>
        <w:t>Ермолино</w:t>
      </w:r>
      <w:proofErr w:type="spellEnd"/>
      <w:r w:rsidRPr="000A074B">
        <w:rPr>
          <w:sz w:val="26"/>
        </w:rPr>
        <w:t>», «Светофор», «</w:t>
      </w:r>
      <w:proofErr w:type="spellStart"/>
      <w:r w:rsidRPr="000A074B">
        <w:rPr>
          <w:sz w:val="26"/>
        </w:rPr>
        <w:t>Доброцен</w:t>
      </w:r>
      <w:proofErr w:type="spellEnd"/>
      <w:r w:rsidRPr="000A074B">
        <w:rPr>
          <w:sz w:val="26"/>
        </w:rPr>
        <w:t>», магазины цифровой и бытовой техники «DNS» и «RBT.ru», салоны связи «МТС», «Связной», «Мегафон», «Теле2», универсальные магазины «</w:t>
      </w:r>
      <w:proofErr w:type="spellStart"/>
      <w:r w:rsidRPr="000A074B">
        <w:rPr>
          <w:sz w:val="26"/>
        </w:rPr>
        <w:t>Галамарт</w:t>
      </w:r>
      <w:proofErr w:type="spellEnd"/>
      <w:r w:rsidRPr="000A074B">
        <w:rPr>
          <w:sz w:val="26"/>
        </w:rPr>
        <w:t>», «</w:t>
      </w:r>
      <w:proofErr w:type="spellStart"/>
      <w:r w:rsidRPr="000A074B">
        <w:rPr>
          <w:sz w:val="26"/>
        </w:rPr>
        <w:t>Fix</w:t>
      </w:r>
      <w:proofErr w:type="spellEnd"/>
      <w:r w:rsidRPr="000A074B">
        <w:rPr>
          <w:sz w:val="26"/>
        </w:rPr>
        <w:t xml:space="preserve"> </w:t>
      </w:r>
      <w:proofErr w:type="spellStart"/>
      <w:r w:rsidRPr="000A074B">
        <w:rPr>
          <w:sz w:val="26"/>
        </w:rPr>
        <w:t>price</w:t>
      </w:r>
      <w:proofErr w:type="spellEnd"/>
      <w:r w:rsidRPr="000A074B">
        <w:rPr>
          <w:sz w:val="26"/>
        </w:rPr>
        <w:t>», «</w:t>
      </w:r>
      <w:proofErr w:type="spellStart"/>
      <w:r w:rsidRPr="000A074B">
        <w:rPr>
          <w:sz w:val="26"/>
        </w:rPr>
        <w:t>WildBerries</w:t>
      </w:r>
      <w:proofErr w:type="spellEnd"/>
      <w:r w:rsidRPr="000A074B">
        <w:rPr>
          <w:sz w:val="26"/>
        </w:rPr>
        <w:t>», «OZON», магазины обуви «Кари», «</w:t>
      </w:r>
      <w:proofErr w:type="spellStart"/>
      <w:r w:rsidRPr="000A074B">
        <w:rPr>
          <w:sz w:val="26"/>
        </w:rPr>
        <w:t>Юничел</w:t>
      </w:r>
      <w:proofErr w:type="spellEnd"/>
      <w:r w:rsidRPr="000A074B">
        <w:rPr>
          <w:sz w:val="26"/>
        </w:rPr>
        <w:t>», «</w:t>
      </w:r>
      <w:proofErr w:type="spellStart"/>
      <w:r w:rsidRPr="000A074B">
        <w:rPr>
          <w:sz w:val="26"/>
        </w:rPr>
        <w:t>Rieker</w:t>
      </w:r>
      <w:proofErr w:type="spellEnd"/>
      <w:r w:rsidRPr="000A074B">
        <w:rPr>
          <w:sz w:val="26"/>
        </w:rPr>
        <w:t>» и другие.</w:t>
      </w:r>
    </w:p>
    <w:p w:rsidR="000A074B" w:rsidRPr="000A074B" w:rsidRDefault="000A074B" w:rsidP="000A074B">
      <w:pPr>
        <w:ind w:firstLine="720"/>
        <w:jc w:val="both"/>
        <w:rPr>
          <w:sz w:val="26"/>
        </w:rPr>
      </w:pPr>
      <w:r w:rsidRPr="000A074B">
        <w:rPr>
          <w:sz w:val="26"/>
        </w:rPr>
        <w:t xml:space="preserve">Одной из разновидностей форм торговли выступает франчайзинг (использование известной торговой марки для перепродажи). В </w:t>
      </w:r>
      <w:proofErr w:type="spellStart"/>
      <w:r w:rsidRPr="000A074B">
        <w:rPr>
          <w:sz w:val="26"/>
        </w:rPr>
        <w:t>Пыть-Яхе</w:t>
      </w:r>
      <w:proofErr w:type="spellEnd"/>
      <w:r w:rsidRPr="000A074B">
        <w:rPr>
          <w:sz w:val="26"/>
        </w:rPr>
        <w:t xml:space="preserve"> это «Сибирское золото», «585», «</w:t>
      </w:r>
      <w:proofErr w:type="spellStart"/>
      <w:r w:rsidRPr="000A074B">
        <w:rPr>
          <w:sz w:val="26"/>
        </w:rPr>
        <w:t>Юничел</w:t>
      </w:r>
      <w:proofErr w:type="spellEnd"/>
      <w:r w:rsidRPr="000A074B">
        <w:rPr>
          <w:sz w:val="26"/>
        </w:rPr>
        <w:t>», «</w:t>
      </w:r>
      <w:proofErr w:type="spellStart"/>
      <w:r w:rsidRPr="000A074B">
        <w:rPr>
          <w:sz w:val="26"/>
        </w:rPr>
        <w:t>Rieker</w:t>
      </w:r>
      <w:proofErr w:type="spellEnd"/>
      <w:r w:rsidRPr="000A074B">
        <w:rPr>
          <w:sz w:val="26"/>
        </w:rPr>
        <w:t>», «</w:t>
      </w:r>
      <w:proofErr w:type="spellStart"/>
      <w:r w:rsidRPr="000A074B">
        <w:rPr>
          <w:sz w:val="26"/>
        </w:rPr>
        <w:t>Climber</w:t>
      </w:r>
      <w:proofErr w:type="spellEnd"/>
      <w:r w:rsidRPr="000A074B">
        <w:rPr>
          <w:sz w:val="26"/>
        </w:rPr>
        <w:t xml:space="preserve"> </w:t>
      </w:r>
      <w:proofErr w:type="spellStart"/>
      <w:r w:rsidRPr="000A074B">
        <w:rPr>
          <w:sz w:val="26"/>
        </w:rPr>
        <w:t>b.c</w:t>
      </w:r>
      <w:proofErr w:type="spellEnd"/>
      <w:r w:rsidRPr="000A074B">
        <w:rPr>
          <w:sz w:val="26"/>
        </w:rPr>
        <w:t>.», «Глиссада», «</w:t>
      </w:r>
      <w:proofErr w:type="spellStart"/>
      <w:r w:rsidRPr="000A074B">
        <w:rPr>
          <w:sz w:val="26"/>
        </w:rPr>
        <w:t>VeraVictoriaVito</w:t>
      </w:r>
      <w:proofErr w:type="spellEnd"/>
      <w:r w:rsidRPr="000A074B">
        <w:rPr>
          <w:sz w:val="26"/>
        </w:rPr>
        <w:t>», «Настоящая пекарня», «</w:t>
      </w:r>
      <w:proofErr w:type="spellStart"/>
      <w:r w:rsidRPr="000A074B">
        <w:rPr>
          <w:sz w:val="26"/>
        </w:rPr>
        <w:t>Sela</w:t>
      </w:r>
      <w:proofErr w:type="spellEnd"/>
      <w:r w:rsidRPr="000A074B">
        <w:rPr>
          <w:sz w:val="26"/>
        </w:rPr>
        <w:t>» и другие.</w:t>
      </w:r>
    </w:p>
    <w:p w:rsidR="000A074B" w:rsidRPr="000A074B" w:rsidRDefault="000A074B" w:rsidP="000A074B">
      <w:pPr>
        <w:ind w:firstLine="720"/>
        <w:jc w:val="both"/>
        <w:rPr>
          <w:sz w:val="26"/>
        </w:rPr>
      </w:pPr>
      <w:r w:rsidRPr="000A074B">
        <w:rPr>
          <w:sz w:val="26"/>
        </w:rPr>
        <w:lastRenderedPageBreak/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0A074B" w:rsidRPr="000A074B" w:rsidRDefault="000A074B" w:rsidP="000A074B">
      <w:pPr>
        <w:ind w:firstLine="720"/>
        <w:jc w:val="both"/>
        <w:rPr>
          <w:sz w:val="26"/>
        </w:rPr>
      </w:pPr>
      <w:r w:rsidRPr="000A074B">
        <w:rPr>
          <w:sz w:val="26"/>
        </w:rPr>
        <w:t xml:space="preserve">В целях развития конкуренции на потребительском рынке органами местного самоуправления организуются ярмарки, в том числе ярмарки выходного дня местных товаров и сельхозпроизводителей, а также производителей сельхозпродукции из других регионов. В 2022 году проведено 7 ярмарок по реализации продовольственных и непродовольственных товаров, сельскохозяйственной продукции, а также изделий ручной работы. Всего для участия в ярмарочных мероприятиях было предоставлено 117 торговых мест.  </w:t>
      </w:r>
    </w:p>
    <w:p w:rsidR="000A074B" w:rsidRPr="000A074B" w:rsidRDefault="000A074B" w:rsidP="000A074B">
      <w:pPr>
        <w:pStyle w:val="a4"/>
        <w:suppressAutoHyphens/>
        <w:ind w:firstLine="708"/>
        <w:rPr>
          <w:sz w:val="26"/>
          <w:szCs w:val="26"/>
        </w:rPr>
      </w:pPr>
      <w:r w:rsidRPr="000A074B">
        <w:rPr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0A074B">
        <w:rPr>
          <w:sz w:val="26"/>
          <w:szCs w:val="26"/>
        </w:rPr>
        <w:t>Пыть-Яхе</w:t>
      </w:r>
      <w:proofErr w:type="spellEnd"/>
      <w:r w:rsidRPr="000A074B">
        <w:rPr>
          <w:sz w:val="26"/>
          <w:szCs w:val="26"/>
        </w:rPr>
        <w:t xml:space="preserve">» утвержден перечень из 27 товарных рынков для содействия и развития конкуренции в муниципальном образовании, с ключевыми показателями, а также 64 мероприятия по развитию таких рынков. </w:t>
      </w:r>
    </w:p>
    <w:p w:rsidR="000A074B" w:rsidRPr="000A074B" w:rsidRDefault="000A074B" w:rsidP="000A074B">
      <w:pPr>
        <w:pStyle w:val="a4"/>
        <w:suppressAutoHyphens/>
        <w:ind w:firstLine="708"/>
        <w:rPr>
          <w:sz w:val="26"/>
          <w:szCs w:val="26"/>
        </w:rPr>
      </w:pPr>
      <w:r w:rsidRPr="000A074B">
        <w:rPr>
          <w:sz w:val="26"/>
          <w:szCs w:val="26"/>
        </w:rPr>
        <w:t xml:space="preserve">При содействии развитию конкуренции на товарных рынках города в 2022 году в шаговой доступности для жителей города открылось 5 объектов по изготовлению хлеба и хлебобулочных изделий, рынок нефтепродуктов увеличился на 2-е автозаправочные станции, рынок медицинских услуг увеличился на 3 частных медицинских организации, дополнительно открылось 11 аптечных пунктов. </w:t>
      </w:r>
    </w:p>
    <w:p w:rsidR="000A074B" w:rsidRPr="000A074B" w:rsidRDefault="000A074B" w:rsidP="000A074B">
      <w:pPr>
        <w:pStyle w:val="a4"/>
        <w:suppressAutoHyphens/>
        <w:ind w:firstLine="708"/>
        <w:rPr>
          <w:sz w:val="26"/>
          <w:szCs w:val="26"/>
        </w:rPr>
      </w:pPr>
      <w:r w:rsidRPr="000A074B">
        <w:rPr>
          <w:sz w:val="26"/>
          <w:szCs w:val="26"/>
        </w:rPr>
        <w:t>Доля закупок у субъектов малого и среднего предпринимательства в общем годовом стоимостном объеме закупок составила 58,0 %, а доля закупок у субъектов малого предпринимательства, социально ориентированных некоммерческих организаций – 70,0 %.</w:t>
      </w:r>
    </w:p>
    <w:p w:rsidR="002458F2" w:rsidRPr="000A074B" w:rsidRDefault="002458F2" w:rsidP="002458F2">
      <w:pPr>
        <w:ind w:firstLine="708"/>
        <w:jc w:val="both"/>
        <w:rPr>
          <w:sz w:val="26"/>
          <w:szCs w:val="26"/>
        </w:rPr>
      </w:pPr>
      <w:r w:rsidRPr="000A074B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0A074B" w:rsidRPr="00261E46" w:rsidRDefault="000A074B" w:rsidP="000A074B">
      <w:pPr>
        <w:ind w:firstLine="708"/>
        <w:jc w:val="both"/>
        <w:rPr>
          <w:sz w:val="26"/>
          <w:szCs w:val="26"/>
        </w:rPr>
      </w:pPr>
      <w:r w:rsidRPr="000A074B">
        <w:rPr>
          <w:sz w:val="26"/>
          <w:szCs w:val="26"/>
        </w:rPr>
        <w:t>По прогнозируемым данным за 2022 год объем инвестиций в основной капитал по полному кругу предприятий составит 2 930,2 млн. рублей. В сравнении с 2021 годом, объем инвестиций увеличится на 11,6%.</w:t>
      </w:r>
    </w:p>
    <w:p w:rsidR="000A074B" w:rsidRDefault="000A074B" w:rsidP="00B97588">
      <w:pPr>
        <w:ind w:firstLine="708"/>
        <w:jc w:val="both"/>
        <w:rPr>
          <w:sz w:val="26"/>
        </w:rPr>
      </w:pPr>
    </w:p>
    <w:sectPr w:rsidR="000A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A074B"/>
    <w:rsid w:val="000C490E"/>
    <w:rsid w:val="002377C2"/>
    <w:rsid w:val="002458F2"/>
    <w:rsid w:val="00490F1A"/>
    <w:rsid w:val="00490F9E"/>
    <w:rsid w:val="004947F0"/>
    <w:rsid w:val="005018D5"/>
    <w:rsid w:val="0059548F"/>
    <w:rsid w:val="00595A57"/>
    <w:rsid w:val="005E3A60"/>
    <w:rsid w:val="00632B31"/>
    <w:rsid w:val="00670B0E"/>
    <w:rsid w:val="006F6438"/>
    <w:rsid w:val="007047E4"/>
    <w:rsid w:val="00807821"/>
    <w:rsid w:val="008506EC"/>
    <w:rsid w:val="00854AB4"/>
    <w:rsid w:val="009E32F7"/>
    <w:rsid w:val="00A03D73"/>
    <w:rsid w:val="00A705C6"/>
    <w:rsid w:val="00A71B9F"/>
    <w:rsid w:val="00B746E0"/>
    <w:rsid w:val="00B97588"/>
    <w:rsid w:val="00BF1404"/>
    <w:rsid w:val="00D4755F"/>
    <w:rsid w:val="00E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  <w:style w:type="paragraph" w:styleId="a4">
    <w:name w:val="Body Text"/>
    <w:basedOn w:val="a"/>
    <w:link w:val="1"/>
    <w:rsid w:val="000A074B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0A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0A07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5</cp:revision>
  <dcterms:created xsi:type="dcterms:W3CDTF">2024-10-21T12:24:00Z</dcterms:created>
  <dcterms:modified xsi:type="dcterms:W3CDTF">2024-10-21T12:57:00Z</dcterms:modified>
</cp:coreProperties>
</file>