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5" w:rsidRDefault="00013F65" w:rsidP="004606FF">
      <w:pPr>
        <w:pStyle w:val="a7"/>
        <w:ind w:firstLine="567"/>
        <w:contextualSpacing/>
        <w:jc w:val="both"/>
        <w:rPr>
          <w:b/>
          <w:i/>
        </w:rPr>
      </w:pPr>
      <w:r w:rsidRPr="00013F65">
        <w:rPr>
          <w:b/>
          <w:i/>
        </w:rPr>
        <w:t>Потребителям: «О качестве и безопасности детских товаров и школьных принадлежностей»</w:t>
      </w:r>
    </w:p>
    <w:p w:rsidR="00013F65" w:rsidRPr="00013F65" w:rsidRDefault="00013F65" w:rsidP="004606FF">
      <w:pPr>
        <w:pStyle w:val="a7"/>
        <w:ind w:firstLine="567"/>
        <w:contextualSpacing/>
        <w:jc w:val="both"/>
        <w:rPr>
          <w:b/>
          <w:i/>
        </w:rPr>
      </w:pPr>
    </w:p>
    <w:p w:rsidR="004606FF" w:rsidRDefault="00C747FF" w:rsidP="004606FF">
      <w:pPr>
        <w:pStyle w:val="a7"/>
        <w:ind w:firstLine="567"/>
        <w:contextualSpacing/>
        <w:jc w:val="both"/>
      </w:pPr>
      <w:r>
        <w:t xml:space="preserve">В преддверии нового учебного года </w:t>
      </w:r>
      <w:r>
        <w:t xml:space="preserve">Консультационный пункт по защите прав потребителей  ФФБУЗ «Центр гигиены и эпидемиологии в </w:t>
      </w:r>
      <w:proofErr w:type="spellStart"/>
      <w:r>
        <w:t>г</w:t>
      </w:r>
      <w:proofErr w:type="gramStart"/>
      <w:r>
        <w:t>.Н</w:t>
      </w:r>
      <w:proofErr w:type="gramEnd"/>
      <w:r>
        <w:t>ефтеюганске</w:t>
      </w:r>
      <w:proofErr w:type="spellEnd"/>
      <w:r>
        <w:t xml:space="preserve"> и Нефтеюганском райо</w:t>
      </w:r>
      <w:r w:rsidR="00013F65">
        <w:t xml:space="preserve">не и в </w:t>
      </w:r>
      <w:proofErr w:type="spellStart"/>
      <w:r w:rsidR="00013F65">
        <w:t>г.Пыть-Ях</w:t>
      </w:r>
      <w:proofErr w:type="spellEnd"/>
      <w:r w:rsidR="00013F65">
        <w:t xml:space="preserve">»  информирует потребителей </w:t>
      </w:r>
      <w:r>
        <w:t xml:space="preserve"> на  что  следу</w:t>
      </w:r>
      <w:r w:rsidR="00013F65">
        <w:t xml:space="preserve">ет обратить  внимание </w:t>
      </w:r>
      <w:r>
        <w:t xml:space="preserve">  </w:t>
      </w:r>
      <w:r>
        <w:t>при выборе детских товаров и школьных принадлежностей.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Приобретать товары для детей нужно только в местах узаконенной торговли: на специализированных рынках, школьных базарах, в магазинах. При покупке товаров детского ассортимента следует обратить особое внимание на маркировку товара, которая наносится на изделие, этикетку или товарный ярлык, на упаковку или листок-вкладыш к продукции. Маркировка на товаре должна быть достоверной и включать в себя следующую информацию: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стра</w:t>
      </w:r>
      <w:r w:rsidR="004606FF">
        <w:rPr>
          <w:color w:val="000000"/>
        </w:rPr>
        <w:t>на, где изготовлена продукция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фирмен</w:t>
      </w:r>
      <w:r w:rsidR="004606FF">
        <w:rPr>
          <w:color w:val="000000"/>
        </w:rPr>
        <w:t>ное наименование изготовителя</w:t>
      </w:r>
    </w:p>
    <w:p w:rsidR="004606FF" w:rsidRDefault="004606FF" w:rsidP="004606FF">
      <w:pPr>
        <w:pStyle w:val="a7"/>
        <w:contextualSpacing/>
        <w:jc w:val="both"/>
        <w:rPr>
          <w:color w:val="000000"/>
        </w:rPr>
      </w:pPr>
      <w:r>
        <w:rPr>
          <w:color w:val="000000"/>
        </w:rPr>
        <w:t>адрес изготовителя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наим</w:t>
      </w:r>
      <w:r w:rsidR="004606FF">
        <w:rPr>
          <w:color w:val="000000"/>
        </w:rPr>
        <w:t>енование и назначение изделия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срок службы продук</w:t>
      </w:r>
      <w:r w:rsidR="004606FF">
        <w:rPr>
          <w:color w:val="000000"/>
        </w:rPr>
        <w:t>ции (при необходимости)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возраст пол</w:t>
      </w:r>
      <w:r w:rsidR="004606FF">
        <w:rPr>
          <w:color w:val="000000"/>
        </w:rPr>
        <w:t>ьзователя (при необходимости)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вид и массовая доля (процентное содержание) натурального и химического сырья в матери</w:t>
      </w:r>
      <w:r w:rsidR="004606FF">
        <w:rPr>
          <w:color w:val="000000"/>
        </w:rPr>
        <w:t>але верха и подкладке изделия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размер изделия в соответств</w:t>
      </w:r>
      <w:r w:rsidR="004606FF">
        <w:rPr>
          <w:color w:val="000000"/>
        </w:rPr>
        <w:t>ии с типовой размерной шкалой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символ по уходу за изделием или инструкция по особенностям ухода за из</w:t>
      </w:r>
      <w:r w:rsidR="004606FF">
        <w:rPr>
          <w:color w:val="000000"/>
        </w:rPr>
        <w:t>делием в процессе эксплуатации.</w:t>
      </w:r>
    </w:p>
    <w:p w:rsidR="004606FF" w:rsidRDefault="00C747FF" w:rsidP="004606FF">
      <w:pPr>
        <w:pStyle w:val="a7"/>
        <w:contextualSpacing/>
        <w:jc w:val="both"/>
        <w:rPr>
          <w:color w:val="000000"/>
        </w:rPr>
      </w:pPr>
      <w:r w:rsidRPr="004606FF">
        <w:rPr>
          <w:color w:val="000000"/>
        </w:rPr>
        <w:t>Вся информация должна быть представлена на русском языке.</w:t>
      </w:r>
    </w:p>
    <w:p w:rsidR="00013F65" w:rsidRDefault="00013F65" w:rsidP="004606FF">
      <w:pPr>
        <w:pStyle w:val="a7"/>
        <w:contextualSpacing/>
        <w:jc w:val="both"/>
        <w:rPr>
          <w:color w:val="000000"/>
        </w:rPr>
      </w:pPr>
    </w:p>
    <w:p w:rsidR="004606FF" w:rsidRDefault="00C747FF" w:rsidP="004606FF">
      <w:pPr>
        <w:pStyle w:val="a7"/>
        <w:contextualSpacing/>
        <w:jc w:val="both"/>
        <w:rPr>
          <w:rStyle w:val="a4"/>
          <w:color w:val="000000"/>
        </w:rPr>
      </w:pPr>
      <w:r w:rsidRPr="004606FF">
        <w:rPr>
          <w:rStyle w:val="a4"/>
          <w:color w:val="000000"/>
        </w:rPr>
        <w:t>Рекомендации к выбору детской одежды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Техническим регламентом Таможенного Союза 007/2011 «О безопасности продукции, предназначенной для детей и подростков» (далее - </w:t>
      </w:r>
      <w:proofErr w:type="gram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007/2011) по функциональному назначению одежда для детей и подростков подразделяется на изделия 1-ого, 2-ого и 3-го слоев. К каждому слою одежды предъявляют свои гигиенические требования: химические, биологические. Одежда, которая может быть использована как школьная форма - это преимущественно одежда второго слоя, за исключением костюмов на подкладке (3 слой). Показатели ее безопасности регламентируются с учетом возраста, функционального назначения, площади контакта с кожей, состава используемых материалов. Одежда 2-го слоя подлежит обязательной сертификации, 3-го – декларированию. Требования к составу тканей установлены в ГОСТах. Необходимо обратить внимание </w:t>
      </w:r>
      <w:proofErr w:type="gram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 и состав материала. Ткань для школьной формы должна быть преимущественно </w:t>
      </w:r>
      <w:proofErr w:type="spell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натуральнойиз</w:t>
      </w:r>
      <w:proofErr w:type="spellEnd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хлопка, льна вискозы, в составе костюмов, сарафанов, платьев для первоклассников синтетика должна содержаться в минимальном количестве (не более 55 %), а в блузках и рубашках процент синтетики должен быть еще меньше (не более 35 %).</w:t>
      </w:r>
    </w:p>
    <w:p w:rsid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Удобный крой. Выбирая школьную форму, следует помнить, что будущие первоклассники будут носить её полдня, поэтому костюмы, платья, рубашки и сарафаны должны быть скроены так, чтобы детям было в них максимально комфортно и сидеть, и ходить, и активно двигаться. </w:t>
      </w:r>
    </w:p>
    <w:p w:rsidR="00013F65" w:rsidRDefault="00013F65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F65" w:rsidRPr="00833CA0" w:rsidRDefault="00013F65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CA0" w:rsidRDefault="00833CA0" w:rsidP="004606FF">
      <w:pPr>
        <w:pStyle w:val="a7"/>
        <w:contextualSpacing/>
        <w:jc w:val="both"/>
        <w:rPr>
          <w:color w:val="000000"/>
        </w:rPr>
      </w:pPr>
    </w:p>
    <w:p w:rsidR="004606FF" w:rsidRPr="00013F65" w:rsidRDefault="00C747FF" w:rsidP="004606FF">
      <w:pPr>
        <w:pStyle w:val="a7"/>
        <w:contextualSpacing/>
        <w:jc w:val="both"/>
        <w:rPr>
          <w:rStyle w:val="a4"/>
          <w:color w:val="000000"/>
        </w:rPr>
      </w:pPr>
      <w:r w:rsidRPr="00013F65">
        <w:rPr>
          <w:rStyle w:val="a4"/>
          <w:color w:val="000000"/>
        </w:rPr>
        <w:lastRenderedPageBreak/>
        <w:t>Рекомендации к выбору учебников, тетрадей, ранцев</w:t>
      </w:r>
    </w:p>
    <w:p w:rsidR="00833CA0" w:rsidRPr="00833CA0" w:rsidRDefault="00013F65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33CA0"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="00833CA0"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="00833CA0"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007/2011) регламентируются размеры, вес, конструкция, показатели санитарно-химической, токсикологической безопасности материалов, из которых изготовлены ученические портфели и ранцы. Маркировка ученических ранцев и портфелей и рюкзаков должна содержать информацию о возрасте пользователя. Вес портфелей, школьных ранцев и аналогичных изделий должен быть для обучающихся начальных классов не более 700 грамм и для обучающихся средних и старших классов – не более 1000 грамм.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Ученические ранцы для детей младшего школьного возраста должны быть снабжены </w:t>
      </w:r>
      <w:proofErr w:type="spell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формоустойчивой</w:t>
      </w:r>
      <w:proofErr w:type="spellEnd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спинкой, обеспечивающей его полное прилегание к спине обучающегося и равномерное распределение веса. Требования, предъявляемые к размерам изделий для учащихся начальных классов, следующие: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длина (высота) – 300 – 360 мм,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передней стенки – 220 – 260 мм,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ширина – 60 – 100 мм,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длина плечевого ремня – не менее 600 – 700 мм,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ширина плечевого ремня в верхней части (на протяжении 400 - 450 мм) – не менее 35 – 40 мм.</w:t>
      </w:r>
    </w:p>
    <w:p w:rsidR="00013F65" w:rsidRDefault="00833CA0" w:rsidP="00013F65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Ранец может иметь два отделения или одно отделение с карманом или вкладышем: основное, – для книг и тетрадей, меньшего размера, – для ручек, карандашей и т. п. Кроме того ученические портфели и ранцы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</w:t>
      </w:r>
      <w:proofErr w:type="gramEnd"/>
    </w:p>
    <w:p w:rsidR="00C747FF" w:rsidRDefault="00C747FF" w:rsidP="00013F65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13F65">
        <w:rPr>
          <w:rFonts w:ascii="Times New Roman" w:hAnsi="Times New Roman" w:cs="Times New Roman"/>
          <w:sz w:val="24"/>
          <w:szCs w:val="24"/>
        </w:rPr>
        <w:t>Учебники следует покупать только в специализированных магазинах. Там можно посмотреть сопроводительные документы и детально изучить товар. В первую очередь учебник должен быть безопасным для ребенка, а значит, краска на страницах учебника не должна размазываться, если их потереть пальцами. Для изготовления учебников не допускается применение газетной бумаги.</w:t>
      </w:r>
    </w:p>
    <w:p w:rsidR="00013F65" w:rsidRPr="00013F65" w:rsidRDefault="00013F65" w:rsidP="00013F65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7FF" w:rsidRPr="00C747FF" w:rsidRDefault="00013F65" w:rsidP="00C747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Рекомендации по выбору </w:t>
      </w:r>
      <w:r w:rsidR="00C747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детской обуви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Требования к качеству и безопасности обуви для детей и подростков (кроме спортивной и ортопедической), выпускаемой в обращение на территории Российской Федерации, установлены Техническим регламентом Таможенного союза «О безопасности продукции, предназначенной для детей и подростков» (</w:t>
      </w:r>
      <w:proofErr w:type="gramStart"/>
      <w:r>
        <w:t>ТР</w:t>
      </w:r>
      <w:proofErr w:type="gramEnd"/>
      <w:r>
        <w:t xml:space="preserve"> ТС 007/2011) от 23 сентября 2011 г. № 797) (далее – ТР ТС 007/2011).</w:t>
      </w:r>
      <w:r w:rsidR="00013F65">
        <w:t xml:space="preserve"> </w:t>
      </w:r>
      <w:r>
        <w:t>При выборе детской обуви потребителям также следует обратить внимание на наличие всей необходимой информации.</w:t>
      </w:r>
      <w:r w:rsidR="00013F65">
        <w:t xml:space="preserve"> </w:t>
      </w:r>
      <w:r>
        <w:t xml:space="preserve">В соответствии с п. 2 ст. 9 </w:t>
      </w:r>
      <w:proofErr w:type="gramStart"/>
      <w:r>
        <w:t>ТР</w:t>
      </w:r>
      <w:proofErr w:type="gramEnd"/>
      <w:r>
        <w:t xml:space="preserve"> ТС 007/2011 маркировка детской обуви (наносится на изделие, этикетку или товарный ярлык, упаковку или листок-вкладыш) должна содержать следующую информацию: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—наименование страны, где изготовлена обувь;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наименование и местонахождение изготовителя (уполномоченного изготовителем лица), импортера, дистрибьютора;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—наименование и вид (назначение) обуви;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дата изготовления;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единый знак обращения на рынке;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срок службы (при необходимости);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гарантийный срок службы (при необходимости);</w:t>
      </w:r>
    </w:p>
    <w:p w:rsidR="00013F65" w:rsidRDefault="00C747FF" w:rsidP="00013F65">
      <w:pPr>
        <w:pStyle w:val="a7"/>
        <w:ind w:firstLine="567"/>
        <w:contextualSpacing/>
        <w:jc w:val="both"/>
      </w:pPr>
      <w:r>
        <w:t>— товарный знак (при наличии).</w:t>
      </w:r>
    </w:p>
    <w:p w:rsidR="00C747FF" w:rsidRDefault="00C747FF" w:rsidP="00013F65">
      <w:pPr>
        <w:pStyle w:val="a7"/>
        <w:ind w:firstLine="567"/>
        <w:contextualSpacing/>
        <w:jc w:val="both"/>
      </w:pPr>
      <w:r>
        <w:lastRenderedPageBreak/>
        <w:t>Кроме того, маркировка должна иметь информацию о размере, модели и (или) артикуле изделия, материале верха, подкладки и подошвы, условиях эксплуатации и ухода за обувью. Маркировка должна быть достоверной, проверяемой, читаемой и доступной для осмотра и идентификации, на русском языке.</w:t>
      </w:r>
      <w:r w:rsidR="00013F65">
        <w:t xml:space="preserve"> </w:t>
      </w:r>
      <w:r>
        <w:t xml:space="preserve">Перед выпуском в обращение на рынок обувь для детей и подростков на основании ст. 12 </w:t>
      </w:r>
      <w:proofErr w:type="gramStart"/>
      <w:r>
        <w:t>ТР</w:t>
      </w:r>
      <w:proofErr w:type="gramEnd"/>
      <w:r>
        <w:t xml:space="preserve"> ТС 007/2011 должна быть подвергнута процедуре обязательной оценки (подтверждению) соответствия установленным требованиям безопасности, которая осуществляется в форме сертификации (подтверждения соответствия установленным требованиям аккредитованным органом по сертификации с участием аккредитованной испытательной лаборатории (центра).</w:t>
      </w:r>
    </w:p>
    <w:p w:rsidR="00013F65" w:rsidRDefault="00013F65" w:rsidP="00013F65">
      <w:pPr>
        <w:pStyle w:val="a7"/>
        <w:ind w:firstLine="567"/>
        <w:contextualSpacing/>
        <w:jc w:val="both"/>
      </w:pPr>
    </w:p>
    <w:p w:rsidR="00013F65" w:rsidRPr="00013F65" w:rsidRDefault="00013F65" w:rsidP="00013F65">
      <w:pPr>
        <w:pStyle w:val="a7"/>
        <w:ind w:firstLine="567"/>
        <w:contextualSpacing/>
        <w:jc w:val="both"/>
        <w:rPr>
          <w:b/>
        </w:rPr>
      </w:pPr>
      <w:r w:rsidRPr="00013F65">
        <w:rPr>
          <w:b/>
        </w:rPr>
        <w:t>Рекомендации по выбору детской мебели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2014 г. действует технический регламент Таможенного союза </w:t>
      </w:r>
      <w:proofErr w:type="gramStart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025/2012 «О безопасности мебельной продукции». 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  Технического регламента, детская мебель должна быть обязательно изготовлена из невредных для здоровья ребёнка материалов, быть износоустойчивой и прочной. Обработка торцов и краёв корпусной детской мебели должна производиться ПВХ кромкой из поливинилхлорида или бумаги. Это не только увеличивает износостойкость, но и служит дополнительным критерием для безопасности ребёнка.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и подростковая мебель должна быть эргономична, спинки соответствовать физиологическим изгибам тела.  Информация, представленная в маркировочных ярлыках детской мебели должна содержать следующее: 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изделия мебели по эксплуатационному и функциональному назначению, обозначение изделия  (цифровое, собственное, модель); 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товарный знак (логотип) изготовителя (при наличии);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наименование страны  изготовителя; 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наименование и местонахождение изготовителя; 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наименование, юридический и фактический адрес уполномоченного изготовителем лица, импортера;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дату изготовления;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гарантийный срок;</w:t>
      </w:r>
    </w:p>
    <w:p w:rsidR="00833CA0" w:rsidRP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срок службы, установленный изготовителем; </w:t>
      </w:r>
    </w:p>
    <w:p w:rsidR="00833CA0" w:rsidRDefault="00833CA0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мебели, которая  поставляется в разобранном виде,  маркировочный  ярлык должен  вкладываться в упаковку вместе с инструкцией по сборке. </w:t>
      </w:r>
    </w:p>
    <w:p w:rsidR="00013F65" w:rsidRPr="00833CA0" w:rsidRDefault="00013F65" w:rsidP="00833CA0">
      <w:pPr>
        <w:spacing w:before="100" w:beforeAutospacing="1"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CA0" w:rsidRPr="00013F65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</w:p>
    <w:p w:rsidR="00C747FF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5 статьи 18 Закона  РФ «О защиты прав потребителей» устанавливает общий порядок рассмотрения требований потребителей, связанных с приобретением товара ненадлежащего качества. Данный порядок включает в себя обязанность продавца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C747FF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возникновении спора о причинах возникновения недостатков товара, продавец (изготовитель), обязаны провести экспертизу гарантийного товара за свой счет. Экспертиза товара проводится в сроки, установленные Законом РФ «О защите прав потребителей».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C747FF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неудовлетворения продавцом требований потребителя (заявленных вследствие ненадлежащего качества товара и/или необеспечения безопасности товара) в добровольном порядке — их разрешение возможно исключительно в судебном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поскольку в силу статьи 11 ГК РФ защиту нарушенных или оспоренных гражданских прав и разрешение имущественных споров осуществляет суд. </w:t>
      </w:r>
    </w:p>
    <w:p w:rsidR="00C747FF" w:rsidRPr="00013F65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3F65">
        <w:rPr>
          <w:rFonts w:ascii="Times New Roman" w:hAnsi="Times New Roman" w:cs="Times New Roman"/>
          <w:sz w:val="24"/>
          <w:szCs w:val="24"/>
        </w:rPr>
        <w:t>Исходя из вышеизложенного потребитель вправе на основании статьи 17 Закона о защите прав потребителей, обратиться в суд с исковым заявлением о защите прав потребителя по месту:</w:t>
      </w:r>
    </w:p>
    <w:p w:rsidR="00C747FF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7FF">
        <w:rPr>
          <w:rFonts w:ascii="Times New Roman" w:hAnsi="Times New Roman" w:cs="Times New Roman"/>
          <w:sz w:val="24"/>
          <w:szCs w:val="24"/>
        </w:rPr>
        <w:t>нахождения организации;</w:t>
      </w:r>
    </w:p>
    <w:p w:rsidR="00C747FF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7FF">
        <w:rPr>
          <w:rFonts w:ascii="Times New Roman" w:hAnsi="Times New Roman" w:cs="Times New Roman"/>
          <w:sz w:val="24"/>
          <w:szCs w:val="24"/>
        </w:rPr>
        <w:t>жительства или пребывания истца;</w:t>
      </w:r>
    </w:p>
    <w:p w:rsidR="00C747FF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47FF">
        <w:rPr>
          <w:rFonts w:ascii="Times New Roman" w:hAnsi="Times New Roman" w:cs="Times New Roman"/>
          <w:sz w:val="24"/>
          <w:szCs w:val="24"/>
        </w:rPr>
        <w:t>заключения или исполнения договора.</w:t>
      </w:r>
    </w:p>
    <w:p w:rsidR="00013F65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47FF" w:rsidRDefault="00013F65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в период с 16 по 27 августа</w:t>
      </w:r>
      <w:r w:rsidR="00C747FF">
        <w:rPr>
          <w:rFonts w:ascii="Times New Roman" w:hAnsi="Times New Roman" w:cs="Times New Roman"/>
          <w:sz w:val="24"/>
          <w:szCs w:val="24"/>
        </w:rPr>
        <w:t xml:space="preserve"> 2021г  специалисты Консультационного пункта по защите пр</w:t>
      </w:r>
      <w:bookmarkStart w:id="0" w:name="_GoBack"/>
      <w:bookmarkEnd w:id="0"/>
      <w:r w:rsidR="00C747FF">
        <w:rPr>
          <w:rFonts w:ascii="Times New Roman" w:hAnsi="Times New Roman" w:cs="Times New Roman"/>
          <w:sz w:val="24"/>
          <w:szCs w:val="24"/>
        </w:rPr>
        <w:t xml:space="preserve">ав потребителей ФФБУЗ «Центр гигиены и эпидемиологии в </w:t>
      </w:r>
      <w:proofErr w:type="spellStart"/>
      <w:r w:rsidR="00C747F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747F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747FF">
        <w:rPr>
          <w:rFonts w:ascii="Times New Roman" w:hAnsi="Times New Roman" w:cs="Times New Roman"/>
          <w:sz w:val="24"/>
          <w:szCs w:val="24"/>
        </w:rPr>
        <w:t>ефтеюганске</w:t>
      </w:r>
      <w:proofErr w:type="spellEnd"/>
      <w:r w:rsidR="00C747FF">
        <w:rPr>
          <w:rFonts w:ascii="Times New Roman" w:hAnsi="Times New Roman" w:cs="Times New Roman"/>
          <w:sz w:val="24"/>
          <w:szCs w:val="24"/>
        </w:rPr>
        <w:t xml:space="preserve"> и Нефтеюганском районе и в </w:t>
      </w:r>
      <w:proofErr w:type="spellStart"/>
      <w:r w:rsidR="00C747F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="00C747FF">
        <w:rPr>
          <w:rFonts w:ascii="Times New Roman" w:hAnsi="Times New Roman" w:cs="Times New Roman"/>
          <w:sz w:val="24"/>
          <w:szCs w:val="24"/>
        </w:rPr>
        <w:t>»   проведут тематическое консультирование граждан по вопросам качества и безопасности де</w:t>
      </w:r>
      <w:r w:rsidR="00A22FAD">
        <w:rPr>
          <w:rFonts w:ascii="Times New Roman" w:hAnsi="Times New Roman" w:cs="Times New Roman"/>
          <w:sz w:val="24"/>
          <w:szCs w:val="24"/>
        </w:rPr>
        <w:t xml:space="preserve">тских товаров и школьных принадлежностей </w:t>
      </w:r>
      <w:r w:rsidR="00C747FF">
        <w:rPr>
          <w:rFonts w:ascii="Times New Roman" w:hAnsi="Times New Roman" w:cs="Times New Roman"/>
          <w:sz w:val="24"/>
          <w:szCs w:val="24"/>
        </w:rPr>
        <w:t>по телефону «горячей линии».</w:t>
      </w:r>
    </w:p>
    <w:p w:rsidR="00C747FF" w:rsidRPr="00A22FAD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FAD">
        <w:rPr>
          <w:rStyle w:val="a8"/>
          <w:rFonts w:ascii="Times New Roman" w:hAnsi="Times New Roman" w:cs="Times New Roman"/>
          <w:b/>
          <w:sz w:val="24"/>
          <w:szCs w:val="24"/>
        </w:rPr>
        <w:t>Обращаем ваше внимание, что «горячая линия» работает по будням с 9.00 до 13-00 и с 14-00 до 18.00, по пятницам – до 17-00.</w:t>
      </w:r>
    </w:p>
    <w:p w:rsidR="00C747FF" w:rsidRDefault="00C747FF" w:rsidP="00C747FF">
      <w:pPr>
        <w:pStyle w:val="a7"/>
        <w:ind w:firstLine="567"/>
        <w:jc w:val="both"/>
      </w:pPr>
      <w:r>
        <w:t>Все желающие могут получить консультацию у специалистов по вопросам качества и безопасности детской о</w:t>
      </w:r>
      <w:r w:rsidR="00A22FAD">
        <w:t>дежды, обуви, игрушек,</w:t>
      </w:r>
      <w:r>
        <w:t xml:space="preserve"> а также действующих нормативных гигиенических требований к этой категории товаров. </w:t>
      </w:r>
    </w:p>
    <w:p w:rsidR="00C747FF" w:rsidRDefault="00C747FF" w:rsidP="00C747FF">
      <w:pPr>
        <w:pStyle w:val="a7"/>
        <w:ind w:firstLine="567"/>
        <w:jc w:val="both"/>
      </w:pPr>
      <w:r>
        <w:rPr>
          <w:rStyle w:val="a8"/>
          <w:b/>
        </w:rPr>
        <w:t>Консультацио</w:t>
      </w:r>
      <w:r w:rsidR="00A22FAD">
        <w:rPr>
          <w:rStyle w:val="a8"/>
          <w:b/>
        </w:rPr>
        <w:t>нный пункт</w:t>
      </w:r>
      <w:r>
        <w:rPr>
          <w:rStyle w:val="a8"/>
          <w:b/>
        </w:rPr>
        <w:t xml:space="preserve"> по защите прав потребителей находится по адресу: </w:t>
      </w:r>
      <w:proofErr w:type="spellStart"/>
      <w:r>
        <w:rPr>
          <w:rStyle w:val="a8"/>
          <w:b/>
        </w:rPr>
        <w:t>г</w:t>
      </w:r>
      <w:proofErr w:type="gramStart"/>
      <w:r>
        <w:rPr>
          <w:rStyle w:val="a8"/>
          <w:b/>
        </w:rPr>
        <w:t>.Н</w:t>
      </w:r>
      <w:proofErr w:type="gramEnd"/>
      <w:r>
        <w:rPr>
          <w:rStyle w:val="a8"/>
          <w:b/>
        </w:rPr>
        <w:t>ефтеюганск</w:t>
      </w:r>
      <w:proofErr w:type="spellEnd"/>
      <w:r>
        <w:rPr>
          <w:rStyle w:val="a8"/>
          <w:b/>
        </w:rPr>
        <w:t xml:space="preserve">, </w:t>
      </w:r>
      <w:proofErr w:type="spellStart"/>
      <w:r>
        <w:rPr>
          <w:rStyle w:val="a8"/>
          <w:b/>
        </w:rPr>
        <w:t>ул.Набережная</w:t>
      </w:r>
      <w:proofErr w:type="spellEnd"/>
      <w:r>
        <w:rPr>
          <w:rStyle w:val="a8"/>
          <w:b/>
        </w:rPr>
        <w:t>, 12  тел. 8 (3463) 226354</w:t>
      </w:r>
    </w:p>
    <w:p w:rsidR="00C747FF" w:rsidRDefault="00C747FF" w:rsidP="00C747F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7FF" w:rsidRDefault="00C747FF" w:rsidP="00C747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7FF" w:rsidRDefault="00C747FF" w:rsidP="002B123C">
      <w:pPr>
        <w:pStyle w:val="a3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p w:rsidR="006E182F" w:rsidRDefault="006E182F" w:rsidP="002B123C">
      <w:pPr>
        <w:pStyle w:val="a3"/>
        <w:shd w:val="clear" w:color="auto" w:fill="FFFFFF"/>
        <w:rPr>
          <w:rFonts w:ascii="Verdana" w:hAnsi="Verdana"/>
          <w:color w:val="000000"/>
          <w:sz w:val="21"/>
          <w:szCs w:val="21"/>
        </w:rPr>
      </w:pPr>
    </w:p>
    <w:p w:rsidR="007B1AD1" w:rsidRDefault="007B1AD1"/>
    <w:sectPr w:rsidR="007B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76"/>
    <w:rsid w:val="00013F65"/>
    <w:rsid w:val="002B123C"/>
    <w:rsid w:val="004606FF"/>
    <w:rsid w:val="006E182F"/>
    <w:rsid w:val="007B1AD1"/>
    <w:rsid w:val="00802E76"/>
    <w:rsid w:val="00833CA0"/>
    <w:rsid w:val="00A22FAD"/>
    <w:rsid w:val="00C747FF"/>
    <w:rsid w:val="00D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23C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2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3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C7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747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23C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2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3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C74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74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04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8412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2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4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3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97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1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70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3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8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1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56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3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8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9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7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0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2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3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1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05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0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5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2021-08-03T11:06:00Z</dcterms:created>
  <dcterms:modified xsi:type="dcterms:W3CDTF">2021-08-03T11:56:00Z</dcterms:modified>
</cp:coreProperties>
</file>