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ED5" w:rsidRDefault="00442ED5" w:rsidP="004F640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42ED5" w:rsidRDefault="00442ED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42ED5" w:rsidRDefault="00442ED5">
      <w:pPr>
        <w:pStyle w:val="ConsPlusTitle"/>
        <w:jc w:val="center"/>
      </w:pPr>
    </w:p>
    <w:p w:rsidR="00442ED5" w:rsidRDefault="00442ED5">
      <w:pPr>
        <w:pStyle w:val="ConsPlusTitle"/>
        <w:jc w:val="center"/>
      </w:pPr>
      <w:r>
        <w:t>ПОСТАНОВЛЕНИЕ</w:t>
      </w:r>
    </w:p>
    <w:p w:rsidR="00442ED5" w:rsidRDefault="00442ED5">
      <w:pPr>
        <w:pStyle w:val="ConsPlusTitle"/>
        <w:jc w:val="center"/>
      </w:pPr>
      <w:r>
        <w:t>от 23 июля 2020 г. N 1095</w:t>
      </w:r>
    </w:p>
    <w:p w:rsidR="00442ED5" w:rsidRDefault="00442ED5">
      <w:pPr>
        <w:pStyle w:val="ConsPlusTitle"/>
        <w:jc w:val="center"/>
      </w:pPr>
    </w:p>
    <w:p w:rsidR="00442ED5" w:rsidRDefault="00442ED5">
      <w:pPr>
        <w:pStyle w:val="ConsPlusTitle"/>
        <w:jc w:val="center"/>
      </w:pPr>
      <w:r>
        <w:t>ОБ УТВЕРЖДЕНИИ ФЕДЕРАЛЬНОГО СТАНДАРТА</w:t>
      </w:r>
    </w:p>
    <w:p w:rsidR="00442ED5" w:rsidRDefault="00442ED5">
      <w:pPr>
        <w:pStyle w:val="ConsPlusTitle"/>
        <w:jc w:val="center"/>
      </w:pPr>
      <w:r>
        <w:t>ВНУТРЕННЕГО ГОСУДАРСТВЕННОГО (МУНИЦИПАЛЬНОГО) ФИНАНСОВОГО</w:t>
      </w:r>
    </w:p>
    <w:p w:rsidR="00442ED5" w:rsidRDefault="00442ED5">
      <w:pPr>
        <w:pStyle w:val="ConsPlusTitle"/>
        <w:jc w:val="center"/>
      </w:pPr>
      <w:r>
        <w:t>КОНТРОЛЯ "РЕАЛИЗАЦИЯ РЕЗУЛЬТАТОВ ПРОВЕРОК,</w:t>
      </w:r>
    </w:p>
    <w:p w:rsidR="00442ED5" w:rsidRDefault="00442ED5">
      <w:pPr>
        <w:pStyle w:val="ConsPlusTitle"/>
        <w:jc w:val="center"/>
      </w:pPr>
      <w:r>
        <w:t>РЕВИЗИЙ И ОБСЛЕДОВАНИЙ"</w:t>
      </w:r>
    </w:p>
    <w:p w:rsidR="00442ED5" w:rsidRDefault="00442ED5">
      <w:pPr>
        <w:pStyle w:val="ConsPlusNormal"/>
        <w:ind w:firstLine="540"/>
        <w:jc w:val="both"/>
      </w:pPr>
    </w:p>
    <w:p w:rsidR="00442ED5" w:rsidRDefault="00442ED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 статьи 269.2</w:t>
        </w:r>
      </w:hyperlink>
      <w:r>
        <w:t xml:space="preserve"> Бюджетного кодекса Российской Федерации Правительство Российской Федерации постановляет: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внутреннего государственного (муниципального) финансового контроля "Реализация результатов проверок, ревизий и обследований" (далее - стандарт).</w:t>
      </w:r>
    </w:p>
    <w:p w:rsidR="00442ED5" w:rsidRDefault="00442ED5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2. Настоящее постановление вступает в силу со дня его официального опубликования и применяется в отношении проверок, ревизий и обследований, начатых после вступления в силу настоящего постановления, за исключением </w:t>
      </w:r>
      <w:hyperlink w:anchor="P91" w:history="1">
        <w:r>
          <w:rPr>
            <w:color w:val="0000FF"/>
          </w:rPr>
          <w:t>пункта 18</w:t>
        </w:r>
      </w:hyperlink>
      <w:r>
        <w:t xml:space="preserve"> стандарта, который вступает в силу с 1 января 2021 г.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 xml:space="preserve">3. Установить, что до вступления в силу </w:t>
      </w:r>
      <w:hyperlink w:anchor="P91" w:history="1">
        <w:r>
          <w:rPr>
            <w:color w:val="0000FF"/>
          </w:rPr>
          <w:t>пункта 18</w:t>
        </w:r>
      </w:hyperlink>
      <w:r>
        <w:t xml:space="preserve"> стандарта органы внутреннего государственного (муниципального) финансового контроля вправе применять формы представлений, предписаний и уведомлений о применении бюджетных мер принуждения, установленные до вступления в силу указанного </w:t>
      </w:r>
      <w:hyperlink w:anchor="P91" w:history="1">
        <w:r>
          <w:rPr>
            <w:color w:val="0000FF"/>
          </w:rPr>
          <w:t>пункта</w:t>
        </w:r>
      </w:hyperlink>
      <w:r>
        <w:t xml:space="preserve"> стандарта.</w:t>
      </w:r>
    </w:p>
    <w:p w:rsidR="00442ED5" w:rsidRDefault="00442ED5">
      <w:pPr>
        <w:pStyle w:val="ConsPlusNormal"/>
        <w:ind w:firstLine="540"/>
        <w:jc w:val="both"/>
      </w:pPr>
    </w:p>
    <w:p w:rsidR="00442ED5" w:rsidRDefault="00442ED5">
      <w:pPr>
        <w:pStyle w:val="ConsPlusNormal"/>
        <w:jc w:val="right"/>
      </w:pPr>
      <w:r>
        <w:t>Председатель Правительства</w:t>
      </w:r>
    </w:p>
    <w:p w:rsidR="00442ED5" w:rsidRDefault="00442ED5">
      <w:pPr>
        <w:pStyle w:val="ConsPlusNormal"/>
        <w:jc w:val="right"/>
      </w:pPr>
      <w:r>
        <w:t>Российской Федерации</w:t>
      </w:r>
    </w:p>
    <w:p w:rsidR="00442ED5" w:rsidRDefault="00442ED5">
      <w:pPr>
        <w:pStyle w:val="ConsPlusNormal"/>
        <w:jc w:val="right"/>
      </w:pPr>
      <w:r>
        <w:t>М.МИШУСТИН</w:t>
      </w:r>
    </w:p>
    <w:p w:rsidR="00442ED5" w:rsidRDefault="00442ED5">
      <w:pPr>
        <w:pStyle w:val="ConsPlusNormal"/>
        <w:jc w:val="right"/>
        <w:outlineLvl w:val="0"/>
      </w:pPr>
      <w:r>
        <w:t>Утвержден</w:t>
      </w:r>
    </w:p>
    <w:p w:rsidR="00442ED5" w:rsidRDefault="00442ED5">
      <w:pPr>
        <w:pStyle w:val="ConsPlusNormal"/>
        <w:jc w:val="right"/>
      </w:pPr>
      <w:r>
        <w:t>постановлением Правительства</w:t>
      </w:r>
    </w:p>
    <w:p w:rsidR="00442ED5" w:rsidRDefault="00442ED5">
      <w:pPr>
        <w:pStyle w:val="ConsPlusNormal"/>
        <w:jc w:val="right"/>
      </w:pPr>
      <w:r>
        <w:t>Российской Федерации</w:t>
      </w:r>
    </w:p>
    <w:p w:rsidR="00442ED5" w:rsidRDefault="00442ED5">
      <w:pPr>
        <w:pStyle w:val="ConsPlusNormal"/>
        <w:jc w:val="right"/>
      </w:pPr>
      <w:r>
        <w:t>от 23 июля 2020 г. N 1095</w:t>
      </w:r>
    </w:p>
    <w:p w:rsidR="00442ED5" w:rsidRDefault="00442ED5">
      <w:pPr>
        <w:pStyle w:val="ConsPlusNormal"/>
        <w:ind w:firstLine="540"/>
        <w:jc w:val="both"/>
      </w:pPr>
    </w:p>
    <w:p w:rsidR="00442ED5" w:rsidRDefault="00442ED5">
      <w:pPr>
        <w:pStyle w:val="ConsPlusTitle"/>
        <w:jc w:val="center"/>
      </w:pPr>
      <w:bookmarkStart w:id="1" w:name="P29"/>
      <w:bookmarkEnd w:id="1"/>
      <w:r>
        <w:t>ФЕДЕРАЛЬНЫЙ СТАНДАРТ</w:t>
      </w:r>
    </w:p>
    <w:p w:rsidR="00442ED5" w:rsidRDefault="00442ED5">
      <w:pPr>
        <w:pStyle w:val="ConsPlusTitle"/>
        <w:jc w:val="center"/>
      </w:pPr>
      <w:r>
        <w:t>ВНУТРЕННЕГО ГОСУДАРСТВЕННОГО (МУНИЦИПАЛЬНОГО) ФИНАНСОВОГО</w:t>
      </w:r>
    </w:p>
    <w:p w:rsidR="00442ED5" w:rsidRDefault="00442ED5">
      <w:pPr>
        <w:pStyle w:val="ConsPlusTitle"/>
        <w:jc w:val="center"/>
      </w:pPr>
      <w:r>
        <w:t>КОНТРОЛЯ "РЕАЛИЗАЦИЯ РЕЗУЛЬТАТОВ ПРОВЕРОК,</w:t>
      </w:r>
    </w:p>
    <w:p w:rsidR="00442ED5" w:rsidRDefault="00442ED5">
      <w:pPr>
        <w:pStyle w:val="ConsPlusTitle"/>
        <w:jc w:val="center"/>
      </w:pPr>
      <w:r>
        <w:t>РЕВИЗИЙ И ОБСЛЕДОВАНИЙ"</w:t>
      </w:r>
    </w:p>
    <w:p w:rsidR="00442ED5" w:rsidRDefault="00442ED5">
      <w:pPr>
        <w:pStyle w:val="ConsPlusTitle"/>
        <w:jc w:val="center"/>
        <w:outlineLvl w:val="1"/>
      </w:pPr>
      <w:r>
        <w:t>I. Общие положения</w:t>
      </w:r>
    </w:p>
    <w:p w:rsidR="00442ED5" w:rsidRDefault="00442ED5">
      <w:pPr>
        <w:pStyle w:val="ConsPlusNormal"/>
        <w:ind w:firstLine="540"/>
        <w:jc w:val="both"/>
      </w:pPr>
    </w:p>
    <w:p w:rsidR="00442ED5" w:rsidRDefault="00442ED5">
      <w:pPr>
        <w:pStyle w:val="ConsPlusNormal"/>
        <w:ind w:firstLine="540"/>
        <w:jc w:val="both"/>
      </w:pPr>
      <w:r>
        <w:t>1. Федеральный стандарт внутреннего государственного (муниципального) финансового контроля "Реализация результатов проверок, ревизий и обследований" (далее - стандарт) разработан в целях установления: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правил реализации результатов проведения проверок, ревизий и обследований (далее - контрольное мероприятие), в том числе предусматривающих требования к содержанию представления, предписания, уведомления о применении бюджетных мер принуждения органа внутреннего государственного (муниципального) финансового контроля (далее - орган контроля);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порядка продления срока исполнения представления (предписания) органа контроля.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 xml:space="preserve">2. Документы, оформляемые в целях реализации результатов контрольного мероприятия, предусматривающие требования к объекту внутреннего государственного (муниципального) финансового контроля (далее - объект контроля), вручаются руководителю (уполномоченному представителю) объекта контроля либо направляются объекту контроля заказным почтовым </w:t>
      </w:r>
      <w:r>
        <w:lastRenderedPageBreak/>
        <w:t>отправлением с уведомлением о вручении или иным способом, подтверждающим их получение объектом контроля, в том числе с применением факсимильной связи и (или) автоматизированных информационных систем.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Документы, оформляемые в целях реализации результатов контрольного мероприятия, и информация, подготавливаемая в целях реализации результатов контрольного мероприятия, направляются иным органам и организациям, указанным в стандарте, в порядке, предусмотренном законодательством Российской Федерации.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3. Производство по делам об административных правонарушениях, направленных на реализацию результатов контрольных мероприятий, осуществляется в порядке, установленном законодательством Российской Федерации об административных правонарушениях.</w:t>
      </w:r>
    </w:p>
    <w:p w:rsidR="00442ED5" w:rsidRDefault="00442ED5">
      <w:pPr>
        <w:pStyle w:val="ConsPlusNormal"/>
        <w:ind w:firstLine="540"/>
        <w:jc w:val="both"/>
      </w:pPr>
    </w:p>
    <w:p w:rsidR="00442ED5" w:rsidRDefault="00442ED5">
      <w:pPr>
        <w:pStyle w:val="ConsPlusTitle"/>
        <w:jc w:val="center"/>
        <w:outlineLvl w:val="1"/>
      </w:pPr>
      <w:r>
        <w:t>II. Реализация результатов контрольного мероприятия</w:t>
      </w:r>
    </w:p>
    <w:p w:rsidR="00442ED5" w:rsidRDefault="00442ED5">
      <w:pPr>
        <w:pStyle w:val="ConsPlusNormal"/>
        <w:ind w:firstLine="540"/>
        <w:jc w:val="both"/>
      </w:pPr>
    </w:p>
    <w:p w:rsidR="00442ED5" w:rsidRDefault="00442ED5">
      <w:pPr>
        <w:pStyle w:val="ConsPlusNormal"/>
        <w:ind w:firstLine="540"/>
        <w:jc w:val="both"/>
      </w:pPr>
      <w:r>
        <w:t>4. Акт проверки (ревизии), возражения объекта контроля на акт проверки (ревизии) (при их наличии), а также иные материалы проверки (ревизии) подлежат рассмотрению руководителем (заместителем руководителя) органа контроля, по результатам которого принимается одно или несколько решений: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о наличии или об отсутствии оснований для направления представления и (или) предписания объекту контроля;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о наличии или об отсутствии оснований для направления информации в правоохранительные органы, органы прокуратуры и иные государственные (муниципальные) органы;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о наличии или об отсутствии оснований для назначения внеплановой выездной проверки (ревизии) (далее - повторная проверка (ревизия), в том числе при наличии: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письменных возражений от объекта контроля и представленных объектом контроля дополнительных документов, относящихся к проверенному периоду, влияющих на выводы по результатам проведения проверки (ревизии);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признаков нарушений, которые не могут в полной мере быть подтверждены в рамках проведенной проверки (ревизии).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5. Заключение, составленное по результатам обследования, возражения объекта контроля на него (при их наличии), а также иные материалы обследования подлежат рассмотрению руководителем (заместителем руководителя) органа контроля, по результатам которого может быть принято решение о проведении внеплановой выездной проверки (ревизии).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6. Акт, заключение и иные материалы контрольного мероприятия подлежат рассмотрению руководителем (заместителем руководителя) органа контроля в срок не более 50 рабочих дней со дня подписания акта, заключения.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Результаты повторной проверки (ревизии) рассматриваются в совокупности с результатами проверки (ревизии), по результатам которой принято решение о назначении повторной проверки (ревизии).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По результатам повторной проверки (ревизии) не может быть принято повторное решение о назначении внеплановой выездной проверки (ревизии) в отношении одного и того же объекта контроля, темы проверки и проверяемого периода.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Порядок рассмотрения акта, заключения и иных материалов контрольного мероприятия может быть установлен ведомственным стандартом органа контроля.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 xml:space="preserve">7. На основании решения руководителя (заместителя руководителя) органа контроля, принятого по результатам рассмотрения акта проверки (ревизии), а также иных материалов проверки (ревизии), результатов повторной проверки (ревизии), о наличии оснований для </w:t>
      </w:r>
      <w:r>
        <w:lastRenderedPageBreak/>
        <w:t>направления представления и (или) предписания объекту контроля и (или) о наличии оснований для направления информации в правоохранительные органы, органы прокуратуры и иные государственные (муниципальные) органы должностные лица органа контроля, ответственные за проведение контрольного мероприятия, при отсутствии оснований для назначения повторной проверки (ревизии) обеспечивают подготовку и направление: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представления и (или) предписания объекту контроля;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информации в правоохранительные органы, органы прокуратуры и иные государственные (муниципальные) органы.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8. Орган контроля направляет объекту контроля представление не позднее 10 рабочих дней со дня принятия решения о его направлении.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9. При наличии возможности определения суммы причиненного ущерба публично-правовому образованию орган контроля направляет объекту контроля предписание: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одновременно с представлением в случае невозможности устранения нарушения;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 xml:space="preserve">в срок не позднее 5 рабочих дней со дня окончания срока исполнения представления в случае </w:t>
      </w:r>
      <w:proofErr w:type="spellStart"/>
      <w:r>
        <w:t>неустранения</w:t>
      </w:r>
      <w:proofErr w:type="spellEnd"/>
      <w:r>
        <w:t xml:space="preserve"> нарушения либо частичного </w:t>
      </w:r>
      <w:proofErr w:type="spellStart"/>
      <w:r>
        <w:t>неустранения</w:t>
      </w:r>
      <w:proofErr w:type="spellEnd"/>
      <w:r>
        <w:t xml:space="preserve"> нарушения в установленный в представлении срок.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10. Одновременно с направлением объекту контроля представления, предписания орган контроля в порядке, установленном ведомственным стандартом органа контроля, направляет их копии: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главному распорядителю бюджетных средств в случае, если объект контроля является подведомственным ему получателем бюджетных средств;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органу исполнительной власти (органу местного самоуправления), осуществляющему функции и полномочия учредителя, в случае, если объект контроля является бюджетным или автономным учреждением.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 xml:space="preserve">11. В представлении помимо требований, предусмотренных </w:t>
      </w:r>
      <w:hyperlink r:id="rId6" w:history="1">
        <w:r>
          <w:rPr>
            <w:color w:val="0000FF"/>
          </w:rPr>
          <w:t>пунктом 2 статьи 270.2</w:t>
        </w:r>
      </w:hyperlink>
      <w:r>
        <w:t xml:space="preserve"> Бюджетного кодекса Российской Федерации, указываются: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объект контроля, тема проверки (ревизии), проверенный период;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основания проведения проверки (ревизии), реквизиты акта проверки (ревизии);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информация о выявленных нарушениях - нарушениях, по которым принято решение о направлении представления, в том числе информация о суммах средств, использованных с этими нарушениями;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положение о представлении объектом контроля информации о результатах исполнения представления с приложением копий документов, подтверждающих его исполнение, и сроки направления объектом контроля указанных информации и материалов органу контроля.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 xml:space="preserve">12. В предписании помимо требований, предусмотренных </w:t>
      </w:r>
      <w:hyperlink r:id="rId7" w:history="1">
        <w:r>
          <w:rPr>
            <w:color w:val="0000FF"/>
          </w:rPr>
          <w:t>пунктом 3 статьи 270.2</w:t>
        </w:r>
      </w:hyperlink>
      <w:r>
        <w:t xml:space="preserve"> Бюджетного кодекса Российской Федерации, указываются: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объект контроля, тема проверки (ревизии), проверенный период;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реквизиты представления, содержащего информацию о нарушении, влекущем причинение ущерба публично-правовому образованию, и информация об этом нарушении;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сумма ущерба, причиненного публично-правовому образованию (без учета объемов средств, перечисленных в возмещение указанного ущерба до направления предписания);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lastRenderedPageBreak/>
        <w:t xml:space="preserve">требование о принятии объектом контроля мер по возмещению причиненного ущерба публично-правовому образованию, в том числе мер, предусматривающих направление объектом контроля, являющимся государственным (муниципальным) органом или государственным (муниципальным) учреждением, требований о возврате средств к юридическим или физическим лицам, необоснованно их получившим, и (или) виновным должностным лицам и осуществление </w:t>
      </w:r>
      <w:proofErr w:type="spellStart"/>
      <w:r>
        <w:t>претензионно</w:t>
      </w:r>
      <w:proofErr w:type="spellEnd"/>
      <w:r>
        <w:t>-исковой работы;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положение о представлении объектом контроля информации о результатах исполнения предписания с приложением копий документов, подтверждающих его исполнение, и сроки направления объектом контроля указанных информации и материалов органу контроля.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13. Контроль за исполнением объектами контроля представлений и предписаний осуществляется должностными лицами органа контроля, ответственными за проведение контрольного мероприятия, по результатам которого принято решение о направлении представления (предписания), на основании информации, поступающей от объекта контроля в соответствии с представлением (предписанием).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14. Представление считается исполненным в случае, когда представленные объектом контроля документы, материалы и информация подтверждают устранение нарушения и (или) принятие указанных в представлении мер по устранению причин и условий нарушения, а также в случае наличия указанной информации в государственных (муниципальных) информационных системах.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Указанные в предписании требования о возмещении ущерба, причиненного публично-правовому образованию, считаются исполненными объектом контроля после зачисления в полном объеме средств возмещения ущерба на единый счет соответствующего бюджета бюджетной системы Российской Федерации.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15. Неисполнение представления или предписания является основанием для принятия решения о возбуждении должностным лицом органа контроля дела об административном правонарушении в отношении объекта контроля (его должностного лица), не исполнившего такое представление или предписание.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Неисполнение представления является основанием для принятия решения руководителем (заместителем руководителя) органа контроля о подготовке и направлении в Министерство финансов Российской Федерации, финансовый орган субъекта Российской Федерации (муниципального образования) (далее - финансовый орган), орган управления государственным внебюджетным фондом уведомления о применении бюджетных мер принуждения.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В случае неисполнения предписания Федеральное казначейство (территориальный орган Федерального казначейства), государственный (муниципальный) орган, уполномоченный нормативным правовым актом высшего исполнительного органа государственной власти субъекта Российской Федерации, муниципальным правовым актом местной администрации, направляет в суд исковое заявление о возмещении объектом контроля ущерба, причиненного соответственно Российской Федерации, субъекту Российской Федерации, муниципальному образованию.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16. Обжалование представлений и предписаний органа контроля осуществляется: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в досудебном порядке в соответствии с федеральным стандартом внутреннего государственного (муниципального) финансового контроля о правилах досудебного обжалования решений и действий (бездействия) органов контроля и их должностных лиц;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в судебном порядке по правилам, установленным законодательством Российской Федерации.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 xml:space="preserve">17. В уведомлении о применении бюджетных мер принуждения помимо информации, предусмотренной </w:t>
      </w:r>
      <w:hyperlink r:id="rId8" w:history="1">
        <w:r>
          <w:rPr>
            <w:color w:val="0000FF"/>
          </w:rPr>
          <w:t>абзацем первым пункта 5 статьи 306.2</w:t>
        </w:r>
      </w:hyperlink>
      <w:r>
        <w:t xml:space="preserve"> Бюджетного кодекса Российской Федерации, указываются объект контроля, тема проверки (ревизии), проверенный период.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lastRenderedPageBreak/>
        <w:t xml:space="preserve">Орган контроля направляет финансовому органу, органу управления государственным внебюджетным фондом уведомление о применении бюджетных мер принуждения в сроки и порядке, которые предусмотрены </w:t>
      </w:r>
      <w:hyperlink r:id="rId9" w:history="1">
        <w:r>
          <w:rPr>
            <w:color w:val="0000FF"/>
          </w:rPr>
          <w:t>абзацем третьим статьи 306.2</w:t>
        </w:r>
      </w:hyperlink>
      <w:r>
        <w:t xml:space="preserve"> Бюджетного кодекса Российской Федерации.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 xml:space="preserve">По основаниям и в порядке, которые предусмотрены </w:t>
      </w:r>
      <w:hyperlink r:id="rId10" w:history="1">
        <w:r>
          <w:rPr>
            <w:color w:val="0000FF"/>
          </w:rPr>
          <w:t>абзацем четвертым пункта 5 статьи 306.2</w:t>
        </w:r>
      </w:hyperlink>
      <w:r>
        <w:t xml:space="preserve"> Бюджетного кодекса Российской Федерации, орган контроля подготавливает уведомление о применении бюджетных мер принуждения, содержащее уточненные сведения, которое также должно содержать помимо уточненной на основании запроса финансового органа, органа управления государственным внебюджетным фондом информации, предусмотренной </w:t>
      </w:r>
      <w:hyperlink r:id="rId11" w:history="1">
        <w:r>
          <w:rPr>
            <w:color w:val="0000FF"/>
          </w:rPr>
          <w:t>абзацем первым пункта 5 статьи 306.2</w:t>
        </w:r>
      </w:hyperlink>
      <w:r>
        <w:t xml:space="preserve"> Бюджетного кодекса Российской Федерации, указание на объект контроля, тему проверки (ревизии), проверенный период.</w:t>
      </w:r>
    </w:p>
    <w:p w:rsidR="00442ED5" w:rsidRDefault="00442E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2E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2ED5" w:rsidRDefault="00442ED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42ED5" w:rsidRDefault="00442ED5">
            <w:pPr>
              <w:pStyle w:val="ConsPlusNormal"/>
              <w:jc w:val="both"/>
            </w:pPr>
            <w:r>
              <w:rPr>
                <w:color w:val="392C69"/>
              </w:rPr>
              <w:t xml:space="preserve">П. 18 </w:t>
            </w:r>
            <w:hyperlink w:anchor="P13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</w:tr>
    </w:tbl>
    <w:p w:rsidR="00442ED5" w:rsidRDefault="00442ED5">
      <w:pPr>
        <w:pStyle w:val="ConsPlusNormal"/>
        <w:spacing w:before="280"/>
        <w:ind w:firstLine="540"/>
        <w:jc w:val="both"/>
      </w:pPr>
      <w:bookmarkStart w:id="2" w:name="P91"/>
      <w:bookmarkEnd w:id="2"/>
      <w:r>
        <w:t>18. Формы представления, предписания и уведомления о применении бюджетных мер принуждения устанавливаются Министерством финансов Российской Федерации.</w:t>
      </w:r>
    </w:p>
    <w:p w:rsidR="00442ED5" w:rsidRDefault="00442ED5">
      <w:pPr>
        <w:pStyle w:val="ConsPlusNormal"/>
        <w:ind w:firstLine="540"/>
        <w:jc w:val="both"/>
      </w:pPr>
    </w:p>
    <w:p w:rsidR="00442ED5" w:rsidRDefault="00442ED5">
      <w:pPr>
        <w:pStyle w:val="ConsPlusTitle"/>
        <w:jc w:val="center"/>
        <w:outlineLvl w:val="1"/>
      </w:pPr>
      <w:r>
        <w:t>III. Продление срока исполнения представления, предписания</w:t>
      </w:r>
    </w:p>
    <w:p w:rsidR="00442ED5" w:rsidRDefault="00442ED5">
      <w:pPr>
        <w:pStyle w:val="ConsPlusNormal"/>
        <w:jc w:val="center"/>
      </w:pPr>
    </w:p>
    <w:p w:rsidR="00442ED5" w:rsidRDefault="00442ED5">
      <w:pPr>
        <w:pStyle w:val="ConsPlusNormal"/>
        <w:ind w:firstLine="540"/>
        <w:jc w:val="both"/>
      </w:pPr>
      <w:r>
        <w:t>19. Решение о продлении срока исполнения представления (предписания) принимается однократно на основании поступления в орган контроля обращения объекта контроля, которому направлено представление (предписание) о невозможности исполнения представления (предписания) в установленный срок в связи с возникновением обстоятельств, препятствующих его исполнению, с приложением заверенных в установленном порядке документов (материалов), подтверждающих наступление обстоятельств, в том числе: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 xml:space="preserve">осуществление объектом контроля </w:t>
      </w:r>
      <w:proofErr w:type="spellStart"/>
      <w:r>
        <w:t>претензионно</w:t>
      </w:r>
      <w:proofErr w:type="spellEnd"/>
      <w:r>
        <w:t>-исковой работы в целях исполнения представления (предписания);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проведение реорганизации объекта контроля;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рассмотрение жалобы объекта контроля (его уполномоченного представителя) в соответствии с федеральным стандартом внутреннего государственного (муниципального) финансового контроля о правилах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лиц;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обстоятельства, делающие невозможным исполнение представления (предписания) в установленные сроки, не зависящие от объекта контроля, в том числе обстоятельства непреодолимой силы.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>20. Обращение, содержащее основания для продления срока исполнения представления (предписания), может быть направлено органу контроля не позднее чем за 10 рабочих дней до окончания срока исполнения представления (предписания).</w:t>
      </w:r>
    </w:p>
    <w:p w:rsidR="00442ED5" w:rsidRDefault="00442ED5">
      <w:pPr>
        <w:pStyle w:val="ConsPlusNormal"/>
        <w:spacing w:before="220"/>
        <w:ind w:firstLine="540"/>
        <w:jc w:val="both"/>
      </w:pPr>
      <w:bookmarkStart w:id="3" w:name="P101"/>
      <w:bookmarkEnd w:id="3"/>
      <w:r>
        <w:t>21. Решение руководителя (заместителя руководителя) органа контроля о продлении срока исполнения требования, содержащегося в представлении (предписании), или решение об отсутствии оснований продления срока исполнения представления (предписания) принимается руководителем (заместителем руководителя) органа контроля в течение 10 рабочих дней со дня поступления соответствующего обращения.</w:t>
      </w:r>
    </w:p>
    <w:p w:rsidR="00442ED5" w:rsidRDefault="00442ED5">
      <w:pPr>
        <w:pStyle w:val="ConsPlusNormal"/>
        <w:spacing w:before="220"/>
        <w:ind w:firstLine="540"/>
        <w:jc w:val="both"/>
      </w:pPr>
      <w:r>
        <w:t xml:space="preserve">22. Орган контроля уведомляет объект контроля о решении, принятом в соответствии с </w:t>
      </w:r>
      <w:hyperlink w:anchor="P101" w:history="1">
        <w:r>
          <w:rPr>
            <w:color w:val="0000FF"/>
          </w:rPr>
          <w:t>пунктом 21</w:t>
        </w:r>
      </w:hyperlink>
      <w:r>
        <w:t xml:space="preserve"> стандарта, не позднее дня, следующего за днем принятия указанного решения.</w:t>
      </w:r>
    </w:p>
    <w:p w:rsidR="00442ED5" w:rsidRDefault="00442ED5">
      <w:pPr>
        <w:pStyle w:val="ConsPlusNormal"/>
        <w:ind w:firstLine="540"/>
        <w:jc w:val="both"/>
      </w:pPr>
    </w:p>
    <w:p w:rsidR="00442ED5" w:rsidRDefault="00442ED5">
      <w:pPr>
        <w:pStyle w:val="ConsPlusNormal"/>
        <w:ind w:firstLine="540"/>
        <w:jc w:val="both"/>
      </w:pPr>
      <w:bookmarkStart w:id="4" w:name="_GoBack"/>
      <w:bookmarkEnd w:id="4"/>
    </w:p>
    <w:p w:rsidR="00442ED5" w:rsidRDefault="00442E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53B2" w:rsidRDefault="00F853B2"/>
    <w:sectPr w:rsidR="00F853B2" w:rsidSect="004F640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D5"/>
    <w:rsid w:val="00442ED5"/>
    <w:rsid w:val="004F640E"/>
    <w:rsid w:val="00F8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3EF36-4468-47A7-A4DA-1AE75E86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2E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B8F6242728A7C3A261C931B61FC0998C39505477416BE26A22DDF42E9DD23A637560C152417DF4B20A340D86578025D6FF251FD741F9C4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B8F6242728A7C3A261C931B61FC0998C39505477416BE26A22DDF42E9DD23A637560C0534B7EF4B20A340D86578025D6FF251FD741F9C4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B8F6242728A7C3A261C931B61FC0998C39505477416BE26A22DDF42E9DD23A637560C0534B7DF4B20A340D86578025D6FF251FD741F9C4F" TargetMode="External"/><Relationship Id="rId11" Type="http://schemas.openxmlformats.org/officeDocument/2006/relationships/hyperlink" Target="consultantplus://offline/ref=7DB8F6242728A7C3A261C931B61FC0998C39505477416BE26A22DDF42E9DD23A637560C152417DF4B20A340D86578025D6FF251FD741F9C4F" TargetMode="External"/><Relationship Id="rId5" Type="http://schemas.openxmlformats.org/officeDocument/2006/relationships/hyperlink" Target="consultantplus://offline/ref=7DB8F6242728A7C3A261C931B61FC0998C39505477416BE26A22DDF42E9DD23A637560C05C417EF4B20A340D86578025D6FF251FD741F9C4F" TargetMode="External"/><Relationship Id="rId10" Type="http://schemas.openxmlformats.org/officeDocument/2006/relationships/hyperlink" Target="consultantplus://offline/ref=7DB8F6242728A7C3A261C931B61FC0998C39505477416BE26A22DDF42E9DD23A637560C152417EF4B20A340D86578025D6FF251FD741F9C4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DB8F6242728A7C3A261C931B61FC0998C39505477416BE26A22DDF42E9DD23A637560C152417FF4B20A340D86578025D6FF251FD741F9C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Сашина</cp:lastModifiedBy>
  <cp:revision>2</cp:revision>
  <dcterms:created xsi:type="dcterms:W3CDTF">2020-08-28T05:02:00Z</dcterms:created>
  <dcterms:modified xsi:type="dcterms:W3CDTF">2020-08-28T06:03:00Z</dcterms:modified>
</cp:coreProperties>
</file>