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A6" w:rsidRDefault="004A12CE">
      <w:pPr>
        <w:spacing w:after="3" w:line="278" w:lineRule="auto"/>
        <w:ind w:left="2016" w:right="1281" w:hanging="758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Опросный лист при проведении публичных консультаций в рамках оценки регулирующего воздействия </w:t>
      </w:r>
    </w:p>
    <w:p w:rsidR="005C11A6" w:rsidRDefault="004A12CE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проекта муниципального нормативного правового акта </w:t>
      </w:r>
    </w:p>
    <w:p w:rsidR="005C11A6" w:rsidRDefault="004A12CE">
      <w:pPr>
        <w:spacing w:after="198"/>
        <w:ind w:left="6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5C11A6" w:rsidRDefault="004A12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2" w:lineRule="auto"/>
        <w:ind w:left="-15" w:right="-10" w:firstLine="1212"/>
      </w:pPr>
      <w:r>
        <w:rPr>
          <w:rFonts w:ascii="Times New Roman" w:eastAsia="Times New Roman" w:hAnsi="Times New Roman" w:cs="Times New Roman"/>
          <w:sz w:val="28"/>
        </w:rPr>
        <w:t xml:space="preserve">Перечень вопросов в рамках проведения публичного обсуждения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Проекта постановления администрации города Пыть-Яха «О внесении изменений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в постановление администрации города от 15.03.2021 №101-па «Об утверждении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положения о предоставлении субсидий на возмещение недополученных доходов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хозяйствующим субъектам, осуществляющим пассажирские перевозки 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социально ориентированным тарифам».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11A6" w:rsidRDefault="004A12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4" w:lineRule="auto"/>
        <w:ind w:left="-15" w:righ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eastAsia="Times New Roman" w:hAnsi="Times New Roman" w:cs="Times New Roman"/>
          <w:i/>
        </w:rPr>
        <w:t xml:space="preserve">      </w:t>
      </w:r>
      <w:r>
        <w:rPr>
          <w:rFonts w:ascii="Times New Roman" w:eastAsia="Times New Roman" w:hAnsi="Times New Roman" w:cs="Times New Roman"/>
          <w:i/>
          <w:sz w:val="28"/>
          <w:u w:val="single" w:color="000000"/>
        </w:rPr>
        <w:t>MesheryakovaVV@gov86.org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не позднее 06 июля 2021 г. </w:t>
      </w:r>
    </w:p>
    <w:p w:rsidR="005C11A6" w:rsidRDefault="004A12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" w:line="254" w:lineRule="auto"/>
        <w:ind w:left="-15" w:right="-10" w:firstLine="55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</w:r>
    </w:p>
    <w:p w:rsidR="005C11A6" w:rsidRDefault="004A12CE">
      <w:pPr>
        <w:spacing w:after="0"/>
        <w:ind w:left="631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9683" w:type="dxa"/>
        <w:tblInd w:w="-228" w:type="dxa"/>
        <w:tblCellMar>
          <w:top w:w="82" w:type="dxa"/>
          <w:left w:w="293" w:type="dxa"/>
          <w:right w:w="2" w:type="dxa"/>
        </w:tblCellMar>
        <w:tblLook w:val="04A0" w:firstRow="1" w:lastRow="0" w:firstColumn="1" w:lastColumn="0" w:noHBand="0" w:noVBand="1"/>
      </w:tblPr>
      <w:tblGrid>
        <w:gridCol w:w="9683"/>
      </w:tblGrid>
      <w:tr w:rsidR="005C11A6">
        <w:trPr>
          <w:trHeight w:val="1983"/>
        </w:trPr>
        <w:tc>
          <w:tcPr>
            <w:tcW w:w="9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left="5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Контактная информация </w:t>
            </w:r>
          </w:p>
          <w:p w:rsidR="004A12CE" w:rsidRPr="004A12CE" w:rsidRDefault="004A12CE" w:rsidP="004A12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A12CE">
              <w:rPr>
                <w:rFonts w:ascii="Times New Roman" w:eastAsia="Times New Roman" w:hAnsi="Times New Roman" w:cs="Times New Roman"/>
                <w:sz w:val="28"/>
              </w:rPr>
              <w:t>Наименование организации - Муниципальное унитарное пассажирское автотранспортное предприятие м.о.г.Пыть-Ях</w:t>
            </w:r>
          </w:p>
          <w:p w:rsidR="004A12CE" w:rsidRPr="004A12CE" w:rsidRDefault="004A12CE" w:rsidP="004A12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A12CE">
              <w:rPr>
                <w:rFonts w:ascii="Times New Roman" w:eastAsia="Times New Roman" w:hAnsi="Times New Roman" w:cs="Times New Roman"/>
                <w:sz w:val="28"/>
              </w:rPr>
              <w:t>Сферу деятельности организации - пассажирские перевозки</w:t>
            </w:r>
          </w:p>
          <w:p w:rsidR="004A12CE" w:rsidRPr="004A12CE" w:rsidRDefault="004A12CE" w:rsidP="004A12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A12CE">
              <w:rPr>
                <w:rFonts w:ascii="Times New Roman" w:eastAsia="Times New Roman" w:hAnsi="Times New Roman" w:cs="Times New Roman"/>
                <w:sz w:val="28"/>
              </w:rPr>
              <w:t>Ф.И.О. контактного лица – Измайлов Игорь Васильевич</w:t>
            </w:r>
          </w:p>
          <w:p w:rsidR="004A12CE" w:rsidRPr="004A12CE" w:rsidRDefault="004A12CE" w:rsidP="004A12CE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A12CE">
              <w:rPr>
                <w:rFonts w:ascii="Times New Roman" w:eastAsia="Times New Roman" w:hAnsi="Times New Roman" w:cs="Times New Roman"/>
                <w:sz w:val="28"/>
              </w:rPr>
              <w:t>Номер контактного телефона – 8(3463)46-24-43</w:t>
            </w:r>
          </w:p>
          <w:p w:rsidR="005C11A6" w:rsidRDefault="004A12CE" w:rsidP="004A12CE">
            <w:r w:rsidRPr="004A12CE">
              <w:rPr>
                <w:rFonts w:ascii="Times New Roman" w:eastAsia="Times New Roman" w:hAnsi="Times New Roman" w:cs="Times New Roman"/>
                <w:sz w:val="28"/>
              </w:rPr>
              <w:t>Адрес электронной почты – mupatp@list.ru</w:t>
            </w:r>
          </w:p>
        </w:tc>
      </w:tr>
    </w:tbl>
    <w:p w:rsidR="005C11A6" w:rsidRDefault="004A12CE">
      <w:pPr>
        <w:spacing w:after="0"/>
        <w:ind w:left="6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24" w:type="dxa"/>
        <w:tblInd w:w="-106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9924"/>
      </w:tblGrid>
      <w:tr w:rsidR="005C11A6">
        <w:trPr>
          <w:trHeight w:val="653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1. На решение какой проблемы, на Ваш взгляд, направлено предлагаемое правовое регулирование? Актуальная ли данная проблема сегодня? </w:t>
            </w:r>
          </w:p>
        </w:tc>
      </w:tr>
      <w:tr w:rsidR="005C11A6">
        <w:trPr>
          <w:trHeight w:val="33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Данный проект постановления направлен на решение проблемы, касающейся возмещения выпадающих доходов хозяйствующим субъектам, осуществляющим в соответствии с муниципальными контрактами пассажирские перевозки по городским маршрутам, в связи с предоставлением отдельным категориям населения услуг по социально-ориентированным тарифам, а также затронута проблема обоснованности предоставления субсидий на возмещение недополученных  доходов хозяйствующим субъектам,  осуществляющим пассажирские перевозки по социально ориентированным тарифам, определения субъектов, имеющих право на получение вышеуказанной субсидии. Актуальна.</w:t>
            </w:r>
          </w:p>
        </w:tc>
      </w:tr>
      <w:tr w:rsidR="005C11A6">
        <w:trPr>
          <w:trHeight w:val="97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C11A6">
        <w:trPr>
          <w:trHeight w:val="33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Необходимость государственного вмешательства обоснована. Соответствует.</w:t>
            </w:r>
          </w:p>
        </w:tc>
      </w:tr>
      <w:tr w:rsidR="005C11A6">
        <w:trPr>
          <w:trHeight w:val="129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 </w:t>
            </w:r>
          </w:p>
        </w:tc>
      </w:tr>
      <w:tr w:rsidR="005C11A6">
        <w:trPr>
          <w:trHeight w:val="33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Является оптимальным. Иных вариантов для достижения целей правового регулирования не предусмотрено.</w:t>
            </w:r>
          </w:p>
        </w:tc>
      </w:tr>
      <w:tr w:rsidR="005C11A6">
        <w:trPr>
          <w:trHeight w:val="97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4.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 </w:t>
            </w:r>
          </w:p>
        </w:tc>
      </w:tr>
      <w:tr w:rsidR="005C11A6">
        <w:trPr>
          <w:trHeight w:val="33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129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 </w:t>
            </w:r>
          </w:p>
        </w:tc>
      </w:tr>
      <w:tr w:rsidR="005C11A6">
        <w:trPr>
          <w:trHeight w:val="334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Введение вышеуказанного акта не будет способствовать необоснованному изменению расстановки сил в отрасли.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</w:t>
            </w:r>
          </w:p>
        </w:tc>
      </w:tr>
    </w:tbl>
    <w:p w:rsidR="005C11A6" w:rsidRDefault="005C11A6">
      <w:pPr>
        <w:spacing w:after="0"/>
        <w:ind w:left="-1637" w:right="11348"/>
      </w:pPr>
    </w:p>
    <w:tbl>
      <w:tblPr>
        <w:tblStyle w:val="TableGrid"/>
        <w:tblW w:w="9924" w:type="dxa"/>
        <w:tblInd w:w="-106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9924"/>
      </w:tblGrid>
      <w:tr w:rsidR="005C11A6">
        <w:trPr>
          <w:trHeight w:val="65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органами местного самоуправления муниципального образования, насколько точно и недвусмысленно прописаны властные функции и полномочия?  </w:t>
            </w:r>
          </w:p>
        </w:tc>
      </w:tr>
      <w:tr w:rsidR="005C11A6">
        <w:trPr>
          <w:trHeight w:val="406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Pr="004A12CE" w:rsidRDefault="004A12CE">
            <w:r w:rsidRPr="004A12CE">
              <w:rPr>
                <w:rFonts w:ascii="Times New Roman" w:eastAsia="Times New Roman" w:hAnsi="Times New Roman" w:cs="Times New Roman"/>
                <w:sz w:val="28"/>
              </w:rPr>
              <w:t xml:space="preserve"> Обязанности и ответственность субъектов регулирования отображены полно и точно. Все административные процедуры прописаны точно.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Предполагаемые нормы соответствуют действующим нормативным правовым актам.</w:t>
            </w:r>
          </w:p>
        </w:tc>
      </w:tr>
      <w:tr w:rsidR="005C11A6">
        <w:trPr>
          <w:trHeight w:val="902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spacing w:after="32" w:line="251" w:lineRule="auto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 xml:space="preserve">8.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21" w:line="25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21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имеются ли технические ошибки;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55" w:line="23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приводит ли исполнение положений правового регулирования к избыточным действиям или, наоборот, ограничивает действия субъектов </w:t>
            </w:r>
          </w:p>
          <w:p w:rsidR="005C11A6" w:rsidRDefault="004A12CE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предпринимательской и инвестиционной деятельности;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57" w:line="23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</w:t>
            </w:r>
          </w:p>
          <w:p w:rsidR="005C11A6" w:rsidRDefault="004A12CE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затрат или появлению новых необоснованных видов затрат;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22" w:line="257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 </w:t>
            </w:r>
          </w:p>
          <w:p w:rsidR="005C11A6" w:rsidRDefault="004A12CE">
            <w:pPr>
              <w:numPr>
                <w:ilvl w:val="0"/>
                <w:numId w:val="1"/>
              </w:numPr>
              <w:spacing w:after="29" w:line="253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 </w:t>
            </w:r>
          </w:p>
          <w:p w:rsidR="005C11A6" w:rsidRDefault="004A12CE">
            <w:pPr>
              <w:numPr>
                <w:ilvl w:val="0"/>
                <w:numId w:val="1"/>
              </w:num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A12CE">
              <w:rPr>
                <w:rFonts w:ascii="Times New Roman" w:eastAsia="Times New Roman" w:hAnsi="Times New Roman" w:cs="Times New Roman"/>
                <w:sz w:val="28"/>
              </w:rPr>
              <w:t>Положений, которые необоснованно затрудняют ведение предпринимательской и инвестиционной деятельности в проекта данного акта не существует.</w:t>
            </w:r>
          </w:p>
        </w:tc>
      </w:tr>
      <w:tr w:rsidR="005C11A6">
        <w:trPr>
          <w:trHeight w:val="162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1298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10. Оцените издержки 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rFonts w:ascii="Times New Roman" w:eastAsia="Times New Roman" w:hAnsi="Times New Roman" w:cs="Times New Roman"/>
                <w:i/>
                <w:sz w:val="2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11. Какие, на Ваш взгляд, могут возникнуть проблемы и трудности с контролем соблюдения требований и норм, вводимых проектом  нормативного правового акта?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-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 </w:t>
            </w:r>
          </w:p>
        </w:tc>
      </w:tr>
      <w:tr w:rsidR="005C11A6">
        <w:trPr>
          <w:trHeight w:val="332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977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ind w:right="68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  <w:tr w:rsidR="005C11A6">
        <w:trPr>
          <w:trHeight w:val="65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C11A6">
        <w:trPr>
          <w:trHeight w:val="331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A6" w:rsidRDefault="004A12CE">
            <w:r>
              <w:rPr>
                <w:rFonts w:ascii="Times New Roman" w:eastAsia="Times New Roman" w:hAnsi="Times New Roman" w:cs="Times New Roman"/>
                <w:sz w:val="28"/>
              </w:rPr>
              <w:t xml:space="preserve"> -</w:t>
            </w:r>
          </w:p>
        </w:tc>
      </w:tr>
    </w:tbl>
    <w:p w:rsidR="005C11A6" w:rsidRDefault="004A12CE">
      <w:pPr>
        <w:spacing w:after="0"/>
        <w:ind w:left="63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11A6" w:rsidRDefault="004A12CE">
      <w:pPr>
        <w:spacing w:after="0"/>
        <w:ind w:right="405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11A6" w:rsidRDefault="004A12CE">
      <w:pPr>
        <w:spacing w:after="0"/>
        <w:ind w:left="6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5C11A6" w:rsidSect="00763411">
      <w:pgSz w:w="11906" w:h="16838"/>
      <w:pgMar w:top="571" w:right="559" w:bottom="1289" w:left="1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72124"/>
    <w:multiLevelType w:val="hybridMultilevel"/>
    <w:tmpl w:val="3BEC3144"/>
    <w:lvl w:ilvl="0" w:tplc="69B6F2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A1646">
      <w:start w:val="1"/>
      <w:numFmt w:val="bullet"/>
      <w:lvlText w:val="o"/>
      <w:lvlJc w:val="left"/>
      <w:pPr>
        <w:ind w:left="18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B2EDFE">
      <w:start w:val="1"/>
      <w:numFmt w:val="bullet"/>
      <w:lvlText w:val="▪"/>
      <w:lvlJc w:val="left"/>
      <w:pPr>
        <w:ind w:left="25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F27D48">
      <w:start w:val="1"/>
      <w:numFmt w:val="bullet"/>
      <w:lvlText w:val="•"/>
      <w:lvlJc w:val="left"/>
      <w:pPr>
        <w:ind w:left="32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E00402">
      <w:start w:val="1"/>
      <w:numFmt w:val="bullet"/>
      <w:lvlText w:val="o"/>
      <w:lvlJc w:val="left"/>
      <w:pPr>
        <w:ind w:left="40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3484E0">
      <w:start w:val="1"/>
      <w:numFmt w:val="bullet"/>
      <w:lvlText w:val="▪"/>
      <w:lvlJc w:val="left"/>
      <w:pPr>
        <w:ind w:left="47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D0FD8A">
      <w:start w:val="1"/>
      <w:numFmt w:val="bullet"/>
      <w:lvlText w:val="•"/>
      <w:lvlJc w:val="left"/>
      <w:pPr>
        <w:ind w:left="54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ED646">
      <w:start w:val="1"/>
      <w:numFmt w:val="bullet"/>
      <w:lvlText w:val="o"/>
      <w:lvlJc w:val="left"/>
      <w:pPr>
        <w:ind w:left="61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4CA6B0">
      <w:start w:val="1"/>
      <w:numFmt w:val="bullet"/>
      <w:lvlText w:val="▪"/>
      <w:lvlJc w:val="left"/>
      <w:pPr>
        <w:ind w:left="68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A6"/>
    <w:rsid w:val="000331BD"/>
    <w:rsid w:val="004A12CE"/>
    <w:rsid w:val="005C11A6"/>
    <w:rsid w:val="00763411"/>
    <w:rsid w:val="00A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EAC21-7EFF-4975-9707-85BA3E4F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41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34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31B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Бунак</dc:creator>
  <cp:lastModifiedBy>Наталья Вандышева</cp:lastModifiedBy>
  <cp:revision>2</cp:revision>
  <cp:lastPrinted>2021-07-06T04:02:00Z</cp:lastPrinted>
  <dcterms:created xsi:type="dcterms:W3CDTF">2021-07-06T04:03:00Z</dcterms:created>
  <dcterms:modified xsi:type="dcterms:W3CDTF">2021-07-06T04:03:00Z</dcterms:modified>
</cp:coreProperties>
</file>