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EAF" w:rsidRDefault="003B6EAF" w:rsidP="003B6EA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Объявление о проведении регионального этапа конкурса проектов</w:t>
      </w:r>
    </w:p>
    <w:p w:rsidR="003B6EAF" w:rsidRDefault="003B6EAF" w:rsidP="003B6EA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 представлению бюджета для граждан в 2022 году</w:t>
      </w:r>
    </w:p>
    <w:p w:rsidR="0041167F" w:rsidRDefault="0041167F" w:rsidP="003B6EAF">
      <w:pPr>
        <w:spacing w:after="120"/>
        <w:ind w:firstLine="709"/>
      </w:pP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В целях выявления и распространения лучшей практики представления бюджета публично-правовых образований в формате, обеспечивающем открытость и доступность для граждан информации об управлении общественными финансами, Департамент финансов Ханты-Мансийского автономного округа – Югры (далее – Организатор регионального конкурсного отбора) объявляет региональный этап конкурса проектов по представлению бюджета для граждан в 2022 году (далее – региональный конкурсный отбор).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Конкурс проектов по представлению бюджета для граждан (далее – Конкурс) является открытым. Участниками Конкурса могут быть физические и юридические лица. Конкурс проводится отдельно среди физических лиц и среди юридических лиц.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Претендент предоставляет только одну заявку на участие с указанием в ней соответствующей(-их) номинации (-</w:t>
      </w:r>
      <w:proofErr w:type="spellStart"/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ий</w:t>
      </w:r>
      <w:proofErr w:type="spellEnd"/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 Не допускается представление одного и того же проекта для участия в Конкурсе одновременно от физического и юридического лица.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случае предоставлением претендентом одного конкурсного проекта сразу в нескольких номинациях Конкурсная комиссия имеет право отклонить проект для участия в той (тех) номинации (-</w:t>
      </w:r>
      <w:proofErr w:type="spellStart"/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ях</w:t>
      </w:r>
      <w:proofErr w:type="spellEnd"/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), критериям которой(-ых) он не соответствует.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Физическое или юридическое лицо представляет заявку для участия не более чем в двух номинациях Конкурса.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случае представления физическим или юридическим лицом заявки для участия более чем в двух номинациях Конкурсная комиссия имеет право ограничить количество номинаций или отклонить заявку для участия в Конкурсе.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Финансовым органам городских округов и муниципальных районов Ханты-Мансийского автономного округа – Югры (далее – финансовые органы муниципальных образований), в случае принятия участия в организации проведения регионального конкурсного отбора, рекомендуется заниматься распространением среди физических и юридических лиц информации о конкурсе проектов по представлению бюджета для граждан и сбором заявок, содержащих конкурсный проект, с последующим направлением Организатору регионального конкурсного отбора.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Региональный конкурсный отбор проводится в целях определения победителей на основе отбора заявок, содержащих конкурсный проект, для последующего участия во втором туре федерального конкурса проектов по представлению бюджета для граждан.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Второй тур Конкурса проводится федеральным государственным образовательным бюджетным учреждением высшего образования «Финансовый университет при Правительстве Российской Федерации» в сроки, установленные для федерального Конкурса. Информация по федеральному Конкурсу размещена на сайте </w:t>
      </w:r>
      <w:hyperlink r:id="rId4" w:history="1">
        <w:r w:rsidRPr="003B6EAF">
          <w:rPr>
            <w:rFonts w:ascii="Arial" w:eastAsia="Times New Roman" w:hAnsi="Arial" w:cs="Arial"/>
            <w:color w:val="008ACF"/>
            <w:sz w:val="23"/>
            <w:szCs w:val="23"/>
            <w:lang w:eastAsia="ru-RU"/>
          </w:rPr>
          <w:t>www.fa.ru</w:t>
        </w:r>
      </w:hyperlink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Предметом Конкурса является разработка проекта по представлению информации о бюджете в доступной для граждан форме (далее – конкурсный проект), соответствующего требованиям, установленным Положением о проведении регионального этапа конкурса проектов по представлению бюджета для граждан в 2022 году (далее – Положение). Положение размещается на официальном сайте Организатора регионального конкурсного отбора </w:t>
      </w:r>
      <w:hyperlink r:id="rId5" w:history="1">
        <w:r w:rsidRPr="003B6EAF">
          <w:rPr>
            <w:rFonts w:ascii="Arial" w:eastAsia="Times New Roman" w:hAnsi="Arial" w:cs="Arial"/>
            <w:color w:val="008ACF"/>
            <w:sz w:val="23"/>
            <w:szCs w:val="23"/>
            <w:lang w:eastAsia="ru-RU"/>
          </w:rPr>
          <w:t>www.depfin.admhmao.ru</w:t>
        </w:r>
      </w:hyperlink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 разделе «Конкурс проектов «Бюджет для граждан».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lastRenderedPageBreak/>
        <w:t>6. Конкурс проводится среди физических лиц по следующим номинациям: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 «Бюджет для граждан в картинках»;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 «Лучший видеоролик о бюджете»;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3) «Бюджет и национальные цели развития Российской Федерации»;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4) «Лучшая информационная панель (</w:t>
      </w:r>
      <w:proofErr w:type="spellStart"/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дашборд</w:t>
      </w:r>
      <w:proofErr w:type="spellEnd"/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по бюджету для граждан»;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5)«</w:t>
      </w:r>
      <w:proofErr w:type="gramEnd"/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Лучшее предложение по изменению бюджетного законодательства»;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6) «Анализ практики развития бюджета для граждан»;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7) «Бюджет и чрезвычайные ситуации».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bookmarkStart w:id="0" w:name="_GoBack"/>
      <w:r w:rsidRPr="003B6EAF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Среди юридических лиц по следующим номинациям:</w:t>
      </w:r>
    </w:p>
    <w:bookmarkEnd w:id="0"/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 </w:t>
      </w:r>
      <w:proofErr w:type="gramStart"/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 «</w:t>
      </w:r>
      <w:proofErr w:type="gramEnd"/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Лучший проект регионального бюджета для граждан»;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 </w:t>
      </w:r>
      <w:proofErr w:type="gramStart"/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 «</w:t>
      </w:r>
      <w:proofErr w:type="gramEnd"/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Лучший проект местного бюджете для граждан»;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3) «Лучший проект отраслевого бюджета для граждан»;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4) «Лучшее </w:t>
      </w:r>
      <w:proofErr w:type="spellStart"/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event</w:t>
      </w:r>
      <w:proofErr w:type="spellEnd"/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мероприятие по проекту «Бюджет для граждан»;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5) «Бюджет и национальные цели развития Российской Федерации»;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6) «Лучшая информационная панель (</w:t>
      </w:r>
      <w:proofErr w:type="spellStart"/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дашборд</w:t>
      </w:r>
      <w:proofErr w:type="spellEnd"/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по бюджету для граждан»;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7) «Лучшее предложение по изменению бюджетного законодательства»;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8) «Анализ практики развития бюджета для граждан»;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9) «Бюджет и чрезвычайные ситуации».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Для участия в Конкурсе претендент представляет заявку для участия в региональном конкурсном отборе, а также конкурсный проект по представлению бюджета для граждан (с приложением презентаций, статей, буклетов, указанием ссылок на Интернет-ресурсы и т.п.) Организатору регионального конкурсного отбора или в финансовый орган муниципального образования, в котором находится претендент в порядке, установленном Положением.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Конкурсный проект должен соответствовать требованиям к содержанию конкурсных заданий по номинациям, установленных приложением 1 к Положению.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 Время и дата начала приема заявок: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09.00 (время местное) 29 апреля 2022 года.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Время и дата окончания приема заявок: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17.00 (время местное) 15 июня 2022 года.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Время и дата окончания приема заявок финансовым органом муниципального образования, в случае принятия участия в проведении Конкурса, Организатору регионального конкурсного отбора: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17.00 (время местное) 13 июня 2022 года.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9. Заявка на участие в региональном конкурсном отборе предоставляется претендентом в бумажном и (или) в электронном виде, с указанием в теме письма: Региональный этап конкурса проектов по представлению бюджета для граждан, следующими способами: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а) лично или почтовым отправлением на адрес Организатора регионального конкурсного отбора: ул. Мира, дом 5, г. Ханты-Мансийск, Ханты-Мансийский автономный округ – Югра (Тюменская область), 628006, или на адрес финансового органа муниципального образования, на территории которого находится претендент;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на адрес электронной почты Организатора регионального конкурсного отбора: </w:t>
      </w:r>
      <w:hyperlink r:id="rId6" w:history="1">
        <w:proofErr w:type="gramStart"/>
        <w:r w:rsidRPr="003B6EAF">
          <w:rPr>
            <w:rFonts w:ascii="Arial" w:eastAsia="Times New Roman" w:hAnsi="Arial" w:cs="Arial"/>
            <w:color w:val="008ACF"/>
            <w:sz w:val="23"/>
            <w:szCs w:val="23"/>
            <w:lang w:eastAsia="ru-RU"/>
          </w:rPr>
          <w:t>depfin@admhmaо.ru</w:t>
        </w:r>
      </w:hyperlink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.,</w:t>
      </w:r>
      <w:proofErr w:type="gramEnd"/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или на электронный адрес финансового органа муниципального образования, на территории которого находится претендент.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Заявка на участие в региональном конкурсном отборе, содержащая конкурсный проект, финансовым органом муниципального образования, в случае принятия участия в организации проведения регионального конкурсного отбора, направляется Организатору регионального конкурсного отбора на адрес электронной почты: </w:t>
      </w:r>
      <w:hyperlink r:id="rId7" w:history="1">
        <w:r w:rsidRPr="003B6EAF">
          <w:rPr>
            <w:rFonts w:ascii="Arial" w:eastAsia="Times New Roman" w:hAnsi="Arial" w:cs="Arial"/>
            <w:color w:val="008ACF"/>
            <w:sz w:val="23"/>
            <w:szCs w:val="23"/>
            <w:lang w:eastAsia="ru-RU"/>
          </w:rPr>
          <w:t>depfin@admhmaо.ru</w:t>
        </w:r>
      </w:hyperlink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10. Контактное лицо по вопросам проведения регионального конкурсного отбора – начальник отдела методологии Управления методологии и информационных технологий Тюленева Алена Андреевна, телефон – 8 (3467) 360-300 (доб. 4230).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11. Заявка для участия в региональном конкурсном отборе подается в унифицированной форме согласно приложения 2 к Положению с указанием в ней номинаций, сведений об участнике (фамилия и инициалы – для физического лица, наименование организации – для юридического лица) и контактной информации для юридического лица, адрес электронной почты для физического лица.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конкурсный проект разработан группой авторов, в заявке на участие в Конкурсе указываются сведения обо всех авторах, их адреса электронной почты. Заявка юридического лица подписывается руководителем организации и заверяется печатью.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12. При разработке конкурсного проекта участники Конкурса должны руководствоваться следующими требованиями: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 соответствие содержания конкурсного проекта выбранной номинации;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 наличие актуальности, цели, задач и обоснованных выводов по используемым в номинации проблемам;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3) возможность практического применения.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13. К участию в региональном конкурсном отборе допускаются физические и юридические лица, заявки которых соответствуют следующим требованиям: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предоставление заявки в срок;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оригинальность, отсутствие дублирования с заявками прошлых лет и текущего года по другим номинациям;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указание номинаций, в которых представлен проект;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г) общее соответствие конкурсного проекта критериям по указанным в заявке номинациям в соответствии с приложением 1 к настоящему Положению;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д) наличие отдельного документа (файла), содержащего описание конкретных предложений по реализации конкурсного проекта и практическому применению результатов его реализации в рамках процедур бюджетного процесса и реализации полномочий субъектов бюджетного процесса;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е) подготовка материалов проекта с использованием стандартного сертифицированного программного обеспечения ОС </w:t>
      </w:r>
      <w:proofErr w:type="spellStart"/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Windows</w:t>
      </w:r>
      <w:proofErr w:type="spellEnd"/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возможность их открытия и/или воспроизведения на стационарном ПК.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14. В течение 5 (пяти) рабочих дней после окончания приема заявок от претендентов и получения заявок от финансовых органов муниципальных образований, Конкурсная комиссия регионального конкурсного отбора проверяет соответствие заявок, содержащих конкурсный проект, установленным требованиям в пунктах 3.7 - 3.10 настоящего Положения.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Конкурсная комиссия осуществляет оценку заявок по каждой номинации в соответствии с приложением 1 к настоящему Положению.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Каждый член Конкурсной комиссии оценивает заявки на предмет соответствия основному и дополнительным критериям по каждой номинации. Соответствие основному критерию оценивается по </w:t>
      </w:r>
      <w:proofErr w:type="spellStart"/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десятибальной</w:t>
      </w:r>
      <w:proofErr w:type="spellEnd"/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а по дополнительным по </w:t>
      </w:r>
      <w:proofErr w:type="spellStart"/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пятибальной</w:t>
      </w:r>
      <w:proofErr w:type="spellEnd"/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шкале с последующим суммированием.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Итоговая оценка заявок участников формируется посредством определения </w:t>
      </w:r>
      <w:proofErr w:type="gramStart"/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средней оценки</w:t>
      </w:r>
      <w:proofErr w:type="gramEnd"/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проставленной членами Конкурсной комиссии.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15. Конкурсная комиссия формирует перечень победителей регионального конкурсного отбора, который состоит не более чем из трех участников, набравших наибольшее количество баллов по результатам итоговой оценки.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16. Претенденты, которым было отказано в допуске к участию в региональном конкурсном отборе, а также претенденты, не прошедшие региональный конкурсный отбор, уведомляются об этом посредством электронной почты, указанной в заявке.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17. Участники, победившие </w:t>
      </w:r>
      <w:proofErr w:type="gramStart"/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региональном конкурсном отборе</w:t>
      </w:r>
      <w:proofErr w:type="gramEnd"/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уведомляются об этом посредством электронной почты, указанной в заявке в течении 3 (трех) рабочих дней после заседания Конкурсной комиссии.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18. Участники, победившие в региональном конкурсном отборе и желающие участвовать во втором туре федерального Конкурса, в течении 5 (пяти) рабочих дней после получения уведомления от Организатора регионального конкурсного отбора направляют заявку на участие в конкурсе проектов по представлению бюджета для граждан по форме приложения 3 к Положению и Согласие на обработку персональных данных.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Согласие на обработку персональных данных заполняется в зависимости от возраста претендента, лица подающего заявку, его местонахождения по форме согласно приложению 4, приложению 5, приложению 6, приложению 7, приложению 8, приложению 9 к Положению.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19. Заявка на участие в конкурсе проектов по представлению бюджета для граждан по форме </w:t>
      </w:r>
      <w:proofErr w:type="gramStart"/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согласно приложения</w:t>
      </w:r>
      <w:proofErr w:type="gramEnd"/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3 к Положению и Согласие на обработку персональных данных предоставляется претендентом на бумажном носителе следующими способами: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лично или направляется почтовым отправлением на адрес Организатора регионального конкурсного отбора: ул. Мира, дом 5, г. Ханты-Мансийск, Ханты-Мансийский автономный округ – Югра (Тюменская область), 628006;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лично или почтовым направлением на юридический адрес финансового органа муниципального образования, на территории которого находится претендент.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Сведения об адресе финансового органа муниципального образования можно получить у контактного лица по вопросам проведения регионального конкурсного отбора, указанного в объявлении о проведении регионального конкурсного отбора.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20. Участник, не изъявивший желание участвовать во втором туре федерального Конкурса, вправе отказаться от дальнейшего участия в Конкурсе, не неся за это никакой ответственности перед Организатором регионального конкурсного отбора.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21. Победителям регионального конкурсного отбора вручаются дипломы I, II, III степени.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22. Победители Конкурса определяются Конкурсной комиссией и федеральным государственным образовательным бюджетным учреждением высшего образования «Финансовый университет при Правительстве Российской Федерации» по итогам участия во втором туре федерального Конкурса.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23. Конкурсные проекты, победившие в региональном конкурсном отборе размещаются на официальном сайте Депфина Югры </w:t>
      </w:r>
      <w:hyperlink r:id="rId8" w:history="1">
        <w:r w:rsidRPr="003B6EAF">
          <w:rPr>
            <w:rFonts w:ascii="Arial" w:eastAsia="Times New Roman" w:hAnsi="Arial" w:cs="Arial"/>
            <w:color w:val="008ACF"/>
            <w:sz w:val="23"/>
            <w:szCs w:val="23"/>
            <w:lang w:eastAsia="ru-RU"/>
          </w:rPr>
          <w:t>www.depfin.admhmao.ru</w:t>
        </w:r>
      </w:hyperlink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 разделе «Конкурс проектов «Бюджет для граждан» и в срок до 8 июля 2022 года направляются Организатором регионального конкурсного отбора в 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для участия во втором туре федерального Конкурса.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24. Вся информация о Конкурсе размещается на официальном сайте Организатора регионального конкурсного отбора </w:t>
      </w:r>
      <w:hyperlink r:id="rId9" w:history="1">
        <w:r w:rsidRPr="003B6EAF">
          <w:rPr>
            <w:rFonts w:ascii="Arial" w:eastAsia="Times New Roman" w:hAnsi="Arial" w:cs="Arial"/>
            <w:color w:val="008ACF"/>
            <w:sz w:val="23"/>
            <w:szCs w:val="23"/>
            <w:lang w:eastAsia="ru-RU"/>
          </w:rPr>
          <w:t>www.depfin.admhmao.ru</w:t>
        </w:r>
      </w:hyperlink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 разделе «Конкурс проектов «Бюджет для граждан».</w:t>
      </w:r>
    </w:p>
    <w:p w:rsidR="003B6EAF" w:rsidRPr="003B6EAF" w:rsidRDefault="003B6EAF" w:rsidP="003B6EAF">
      <w:pPr>
        <w:shd w:val="clear" w:color="auto" w:fill="FFFFFF"/>
        <w:spacing w:after="120" w:line="285" w:lineRule="atLeast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E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25. Распространение информации о конкурсных проектах осуществляется в соответствии с разделами V Положения.</w:t>
      </w:r>
    </w:p>
    <w:p w:rsidR="003B6EAF" w:rsidRPr="003B6EAF" w:rsidRDefault="003B6EAF" w:rsidP="003B6EAF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B6EA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Опубликовано: </w:t>
      </w:r>
      <w:r w:rsidRPr="003B6EA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28.04.2022 14:00        </w:t>
      </w:r>
      <w:r w:rsidRPr="003B6EA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Обновлено: </w:t>
      </w:r>
      <w:r w:rsidRPr="003B6EA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28.04.2022 14:00</w:t>
      </w:r>
    </w:p>
    <w:p w:rsidR="003B6EAF" w:rsidRDefault="003B6EAF"/>
    <w:sectPr w:rsidR="003B6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F8E"/>
    <w:rsid w:val="00374F8E"/>
    <w:rsid w:val="003B6EAF"/>
    <w:rsid w:val="0041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85E17-470A-4CA0-9499-97EE5004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6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6E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59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33045">
          <w:marLeft w:val="0"/>
          <w:marRight w:val="0"/>
          <w:marTop w:val="11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pfin.admhma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pfin@admhma%D0%B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pfin@admhma%D0%BE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epfin.admhmao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fa.ru/" TargetMode="External"/><Relationship Id="rId9" Type="http://schemas.openxmlformats.org/officeDocument/2006/relationships/hyperlink" Target="http://www.depfin.admhm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1915</Words>
  <Characters>10919</Characters>
  <Application>Microsoft Office Word</Application>
  <DocSecurity>0</DocSecurity>
  <Lines>90</Lines>
  <Paragraphs>25</Paragraphs>
  <ScaleCrop>false</ScaleCrop>
  <Company/>
  <LinksUpToDate>false</LinksUpToDate>
  <CharactersWithSpaces>12809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Медведев</dc:creator>
  <cp:keywords/>
  <dc:description/>
  <cp:lastModifiedBy>Сергей Медведев</cp:lastModifiedBy>
  <cp:revision>2</cp:revision>
  <dcterms:created xsi:type="dcterms:W3CDTF">2022-05-19T09:12:00Z</dcterms:created>
  <dcterms:modified xsi:type="dcterms:W3CDTF">2022-05-19T09:13:00Z</dcterms:modified>
</cp:coreProperties>
</file>