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EA" w:rsidRPr="00CD0BEA" w:rsidRDefault="00CD0BEA" w:rsidP="00CD0B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АУКЦИОННАЯ ДОКУМЕНТАЦИЯ (ЛОТ № 1)</w:t>
      </w:r>
    </w:p>
    <w:p w:rsidR="00CD0BEA" w:rsidRPr="00CD0BEA" w:rsidRDefault="00CD0BEA" w:rsidP="00CD0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о проведении электронного аукциона</w:t>
      </w:r>
    </w:p>
    <w:p w:rsidR="00CD0BEA" w:rsidRPr="00CD0BEA" w:rsidRDefault="00CD0BEA" w:rsidP="00CD0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нестационарного</w:t>
      </w:r>
    </w:p>
    <w:p w:rsidR="00CD0BEA" w:rsidRPr="00CD0BEA" w:rsidRDefault="00CD0BEA" w:rsidP="00CD0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торгового объекта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CD0BEA" w:rsidRPr="00CD0BEA" w:rsidRDefault="00CD0BEA" w:rsidP="00CD0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(торгово-остановочный павильон)</w:t>
      </w: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0BEA">
        <w:rPr>
          <w:rFonts w:ascii="Times New Roman" w:hAnsi="Times New Roman" w:cs="Times New Roman"/>
          <w:sz w:val="28"/>
          <w:szCs w:val="28"/>
        </w:rPr>
        <w:t>г. Пыть-Ях</w:t>
      </w:r>
    </w:p>
    <w:p w:rsidR="00CD0BEA" w:rsidRPr="00CD0BEA" w:rsidRDefault="00CD0BEA" w:rsidP="00CD0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2022 год</w:t>
      </w:r>
    </w:p>
    <w:p w:rsidR="00CD0BEA" w:rsidRPr="00CD0BEA" w:rsidRDefault="00CD0BEA" w:rsidP="00CD0BEA">
      <w:pPr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br w:type="page"/>
      </w:r>
    </w:p>
    <w:p w:rsidR="00CD0BEA" w:rsidRPr="00CD0BEA" w:rsidRDefault="00CD0BEA" w:rsidP="00CD0BEA">
      <w:pPr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положения по организации и проведению аукциона на право заключения договора на размещение нестационарного торгового объекта на территории города </w:t>
      </w:r>
      <w:proofErr w:type="spellStart"/>
      <w:r w:rsidRPr="00CD0BEA">
        <w:rPr>
          <w:rFonts w:ascii="Times New Roman" w:hAnsi="Times New Roman" w:cs="Times New Roman"/>
          <w:b/>
          <w:sz w:val="28"/>
          <w:szCs w:val="28"/>
        </w:rPr>
        <w:t>Пыть-Яха</w:t>
      </w:r>
      <w:proofErr w:type="spellEnd"/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от 20.05.2017 № 117-па (с изм.) (далее – Схема).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Уполномоченным органом по организации и проведению электронного аукциона (далее – аукциона) на право заключения договора на размещение нестационарного торгового объекта является управление по экономике администрации города Пыть-Ях (далее - уполномоченный орган/организатор аукциона).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>Место нахождения, почтовый адрес и адрес электронной почты, номер контактного телефона организатора аукциона - указаны в извещении о проведении аукциона.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Организатор аукциона:</w:t>
      </w:r>
    </w:p>
    <w:p w:rsidR="00CD0BEA" w:rsidRPr="00CD0BEA" w:rsidRDefault="00CD0BEA" w:rsidP="00CD0BE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 - разрабатывает извещение о проведении аукциона (приложение № 1 к аукционной документации) и аукционную документацию. 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- заключает договор на размещение нестационарного торгового объекта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>. (Проект договора на размещение нестационарного торгового объекта - приложение № 2 к аукционной документации).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- определяет начальную (минимальную) цена на право заключения договора на размещение нестационарного торгового объекта в год (12 месяцев). 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Начальная (минимальная) цена на право заключения договора на размещение нестационарного торгового объекта в год (12 месяцев) указана в извещении о проведении аукциона.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обеспечивает размещение извещения о проведении аукциона, аукционной документации на электронной площадке и на официальном сайте администрации города Пыть-Ях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(</w:t>
      </w:r>
      <w:hyperlink r:id="rId5" w:history="1">
        <w:r w:rsidRPr="00CD0BEA">
          <w:rPr>
            <w:rStyle w:val="a3"/>
            <w:rFonts w:ascii="Times New Roman" w:hAnsi="Times New Roman" w:cs="Times New Roman"/>
            <w:sz w:val="28"/>
            <w:szCs w:val="28"/>
          </w:rPr>
          <w:t>https://adm.gov86.org/</w:t>
        </w:r>
      </w:hyperlink>
      <w:r w:rsidRPr="00CD0BEA">
        <w:rPr>
          <w:rFonts w:ascii="Times New Roman" w:hAnsi="Times New Roman" w:cs="Times New Roman"/>
          <w:sz w:val="28"/>
          <w:szCs w:val="28"/>
        </w:rPr>
        <w:t xml:space="preserve">) (далее – официальный сайт). 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Извещение о проведении аукциона, аукционная документация размещается организатором аукциона на электронной площадке и на официальном сайте администрации города Пыть-Ях не менее чем за 30 (тридцать) календарных дней до даты проведения аукциона.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lastRenderedPageBreak/>
        <w:t>- размещает информацию о результатах электродного 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на территории города Пыть-Ях, осуществляется на основании договора на размещение нестационарного торгового объекта (далее - Договор) заключенного в соответствии с действующим законодательством Российской Федерации, законами и нормативными правовыми актами Ханты – Мансийского автономного округа - Югры в порядке и на условиях, установленных порядком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 xml:space="preserve"> от 16.11.2021 № 505-па (далее – Порядок) и муниципальными нормативными правовыми актами города Пыть-Ях. 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Договор заключается на срок до пяти лет.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Заключение Договора осуществляется по результатам проведения аукциона на право заключения Договора, проводимого в электронной форме. </w:t>
      </w:r>
    </w:p>
    <w:p w:rsidR="00CD0BEA" w:rsidRPr="00CD0BEA" w:rsidRDefault="00CD0BEA" w:rsidP="00CD0BEA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Под аукционом в электронной форме (электронным аукционом) понимается аукцион, победителем которого признается хозяйствующий 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"Интернет", выбранным 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 площадки) - указано в извещении о проведении  аукциона.</w:t>
      </w:r>
    </w:p>
    <w:p w:rsidR="00CD0BEA" w:rsidRPr="00CD0BEA" w:rsidRDefault="00CD0BEA" w:rsidP="00CD0BEA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Под электронной площадкой понимается сайт в информационно-телекоммуникационной сети "Интернет", на котором проводятся аукционы.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Аукцион на право заключения договоров на размещение нестационарного торгового объекта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>, является открытым по составу участников.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Предметом аукциона является право заключения договора на размещение нестационарного торгового объекта.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Аукцион на заключение договора на размещение нестационарного торгового объекта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 xml:space="preserve"> проводится по инициативе администрации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>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Для проведения аукциона создается аукционная комиссия. Порядок работы аукционной комиссии и ее состав утвержден распоряжением администрации города Пыть-Ях от 25.03.2022 № 475-ра.</w:t>
      </w:r>
    </w:p>
    <w:p w:rsidR="00CD0BEA" w:rsidRPr="00CD0BEA" w:rsidRDefault="00CD0BEA" w:rsidP="00CD0BEA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 xml:space="preserve">Нормативно – правовые акты администрации города Пыть-Ях </w:t>
      </w:r>
    </w:p>
    <w:p w:rsidR="00CD0BEA" w:rsidRPr="00CD0BEA" w:rsidRDefault="00CD0BEA" w:rsidP="00CD0BEA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аукциона на право заключения договора на размещение нестационарного торгового объекта </w:t>
      </w:r>
    </w:p>
    <w:p w:rsidR="00CD0BEA" w:rsidRPr="00CD0BEA" w:rsidRDefault="00CD0BEA" w:rsidP="00CD0BEA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территории города </w:t>
      </w:r>
      <w:proofErr w:type="spellStart"/>
      <w:r w:rsidRPr="00CD0BEA">
        <w:rPr>
          <w:rFonts w:ascii="Times New Roman" w:hAnsi="Times New Roman" w:cs="Times New Roman"/>
          <w:b/>
          <w:sz w:val="28"/>
          <w:szCs w:val="28"/>
        </w:rPr>
        <w:t>Пыть-Яха</w:t>
      </w:r>
      <w:proofErr w:type="spellEnd"/>
    </w:p>
    <w:p w:rsidR="00CD0BEA" w:rsidRPr="00CD0BEA" w:rsidRDefault="00CD0BEA" w:rsidP="00CD0BEA">
      <w:pPr>
        <w:tabs>
          <w:tab w:val="left" w:pos="1134"/>
        </w:tabs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 xml:space="preserve"> от 16.11.2021 № 505-па «Об утверждении порядка организации и проведению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>».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Пыть-Ях от 20.05.2017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>».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Пыть-Ях от 25.03.2022 № 475-ра «Об утверждении порядка работы аукционной комиссии по проведению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>».</w:t>
      </w:r>
    </w:p>
    <w:p w:rsidR="00CD0BEA" w:rsidRPr="00CD0BEA" w:rsidRDefault="00CD0BEA" w:rsidP="00CD0BE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Пыть-Ях от 11.03.2022 № 366-ра «О создании комиссии по приемке нестационарных торговых объектов и (или) объектов оказания услуг на территории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>».</w:t>
      </w:r>
    </w:p>
    <w:p w:rsidR="00CD0BEA" w:rsidRPr="00CD0BEA" w:rsidRDefault="00CD0BEA" w:rsidP="00CD0BEA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2.5. Решение Думы города </w:t>
      </w:r>
      <w:proofErr w:type="spellStart"/>
      <w:r w:rsidRPr="00CD0BE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D0BEA">
        <w:rPr>
          <w:rFonts w:ascii="Times New Roman" w:hAnsi="Times New Roman" w:cs="Times New Roman"/>
          <w:sz w:val="28"/>
          <w:szCs w:val="28"/>
        </w:rPr>
        <w:t xml:space="preserve"> от 28.08.2019 № 263 «Об утверждении правил благоустройства территории городского округа город Пыть-Ях».</w:t>
      </w:r>
      <w:r w:rsidRPr="00CD0BE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D0BEA" w:rsidRPr="00CD0BEA" w:rsidRDefault="00CD0BEA" w:rsidP="00CD0BEA">
      <w:pPr>
        <w:tabs>
          <w:tab w:val="left" w:pos="709"/>
        </w:tabs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Указанные нормативно – правовые акты размещены на официальном сайте администрации города Пыть-Ях в разделе </w:t>
      </w:r>
      <w:hyperlink r:id="rId6" w:history="1">
        <w:r w:rsidRPr="00CD0BEA">
          <w:rPr>
            <w:rFonts w:ascii="Times New Roman" w:hAnsi="Times New Roman" w:cs="Times New Roman"/>
            <w:sz w:val="28"/>
            <w:szCs w:val="28"/>
          </w:rPr>
          <w:t>Торги</w:t>
        </w:r>
      </w:hyperlink>
      <w:r w:rsidRPr="00CD0BEA">
        <w:rPr>
          <w:rFonts w:ascii="Times New Roman" w:hAnsi="Times New Roman" w:cs="Times New Roman"/>
          <w:sz w:val="28"/>
          <w:szCs w:val="28"/>
        </w:rPr>
        <w:t>/</w:t>
      </w:r>
      <w:hyperlink r:id="rId7" w:history="1">
        <w:r w:rsidRPr="00CD0BEA">
          <w:rPr>
            <w:rFonts w:ascii="Times New Roman" w:hAnsi="Times New Roman" w:cs="Times New Roman"/>
            <w:sz w:val="28"/>
            <w:szCs w:val="28"/>
          </w:rPr>
          <w:t>Нестационарная торговая деятельность</w:t>
        </w:r>
      </w:hyperlink>
      <w:r w:rsidRPr="00CD0BEA">
        <w:rPr>
          <w:rFonts w:ascii="Times New Roman" w:hAnsi="Times New Roman" w:cs="Times New Roman"/>
          <w:sz w:val="28"/>
          <w:szCs w:val="28"/>
        </w:rPr>
        <w:t xml:space="preserve"> или по ссылке: </w:t>
      </w:r>
      <w:hyperlink r:id="rId8" w:history="1">
        <w:r w:rsidRPr="00CD0BEA">
          <w:rPr>
            <w:rStyle w:val="a3"/>
            <w:rFonts w:ascii="Times New Roman" w:hAnsi="Times New Roman" w:cs="Times New Roman"/>
            <w:sz w:val="28"/>
            <w:szCs w:val="28"/>
          </w:rPr>
          <w:t>https://adm.gov86.org/436/443/5216/</w:t>
        </w:r>
      </w:hyperlink>
      <w:r w:rsidRPr="00CD0B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0BEA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участникам аукциона</w:t>
      </w: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3.1. 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– хозяйствующий субъект/заявитель).</w:t>
      </w:r>
    </w:p>
    <w:p w:rsidR="00CD0BEA" w:rsidRPr="00CD0BEA" w:rsidRDefault="00CD0BEA" w:rsidP="00CD0BE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3.2. Требования к участникам аукциона:</w:t>
      </w:r>
    </w:p>
    <w:p w:rsidR="00CD0BEA" w:rsidRPr="00CD0BEA" w:rsidRDefault="00CD0BEA" w:rsidP="00CD0BE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CD0BEA" w:rsidRPr="00CD0BEA" w:rsidRDefault="00CD0BEA" w:rsidP="00CD0BE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- отсутствие применения в отношении участника аукциона административного наказания в виде приостановления деятельности в </w:t>
      </w:r>
      <w:r w:rsidRPr="00CD0BEA">
        <w:rPr>
          <w:rFonts w:ascii="Times New Roman" w:hAnsi="Times New Roman" w:cs="Times New Roman"/>
          <w:sz w:val="28"/>
          <w:szCs w:val="28"/>
        </w:rPr>
        <w:lastRenderedPageBreak/>
        <w:t>порядке, предусмотренном Кодексом Российской Федерации об административных правонарушениях.</w:t>
      </w: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numPr>
          <w:ilvl w:val="0"/>
          <w:numId w:val="2"/>
        </w:numPr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 xml:space="preserve">Порядок и условия размещения нестационарного </w:t>
      </w:r>
    </w:p>
    <w:p w:rsidR="00CD0BEA" w:rsidRPr="00CD0BEA" w:rsidRDefault="00CD0BEA" w:rsidP="00CD0BEA">
      <w:pPr>
        <w:spacing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>торгового объекта</w:t>
      </w:r>
    </w:p>
    <w:p w:rsidR="00CD0BEA" w:rsidRPr="00CD0BEA" w:rsidRDefault="00CD0BEA" w:rsidP="00CD0BEA">
      <w:pPr>
        <w:spacing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BEA">
        <w:rPr>
          <w:rFonts w:ascii="Times New Roman" w:hAnsi="Times New Roman" w:cs="Times New Roman"/>
          <w:color w:val="000000"/>
          <w:sz w:val="28"/>
          <w:szCs w:val="28"/>
        </w:rPr>
        <w:t>4.1 Нестационарный торговый объект размещается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Ханты – Мансийского автономного округа - Югры, Порядка.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BEA">
        <w:rPr>
          <w:rFonts w:ascii="Times New Roman" w:hAnsi="Times New Roman" w:cs="Times New Roman"/>
          <w:color w:val="000000"/>
          <w:sz w:val="28"/>
          <w:szCs w:val="28"/>
        </w:rPr>
        <w:t>4.2. При размещении и эксплуатации нестационарного торгового объекта не допускается использовать место размещения нестационарного торгового объекта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color w:val="000000"/>
          <w:sz w:val="28"/>
          <w:szCs w:val="28"/>
        </w:rPr>
        <w:t>в целях размещения и эксплуатации иных объектов, не предусмотренных Схемой.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4.3. Размещение нестационарного торгового объекта осуществляется в соответствии с Решением Думы города Пыть-Ях от 28.08.2019г. №263 «Об утверждении правил благоустройства территории городского округа город Пыть-Ях».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Нестационарным торговым объектом является сооружения, выполненные из легких конструкций, не предусматривающих устройство заглубленных фундаментов и подземных сооружений. 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Нестационарный торговый объект должен устанавливаться на твердые виды покрытия, оборудоваться осветительным оборудованием, урнами и контейнерами для накопления отходов.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 Рекомендуемые требования к внешнему виду нестационарного торгового объекта (параметры и характеристики) представлены в приложении № 3 к аукционной документации. 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4.4. Территория, прилегающая к нестационарному торговому объекту,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>обустраивается, содержится в соответствии с Решением Думы города Пыть-Ях от 28.08.2019г. №263 «Об утверждении правил благоустройства территории городского округа город Пыть-Ях».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  <w:lang w:eastAsia="x-none"/>
        </w:rPr>
        <w:t>4.5. Нестационарный торговый объект должен оборудоваться приставной площадкой для обеспечения беспрепятственного доступа для маломобильных групп населения в соответствии с требованиями действующего законодательства.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4.6. Запрещается самовольное переоборудование нестационарного торгового объекта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 xml:space="preserve">путем создания капитального фундамента, а также путем </w:t>
      </w:r>
      <w:r w:rsidRPr="00CD0BEA">
        <w:rPr>
          <w:rFonts w:ascii="Times New Roman" w:hAnsi="Times New Roman" w:cs="Times New Roman"/>
          <w:sz w:val="28"/>
          <w:szCs w:val="28"/>
        </w:rPr>
        <w:lastRenderedPageBreak/>
        <w:t>проведения иных строительных работ, влекущих изменение конструктивных характеристик и параметров нестационарного торгового объекта,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объекта.</w:t>
      </w:r>
    </w:p>
    <w:p w:rsidR="00CD0BEA" w:rsidRPr="00CD0BEA" w:rsidRDefault="00CD0BEA" w:rsidP="00CD0BEA">
      <w:pPr>
        <w:widowControl w:val="0"/>
        <w:tabs>
          <w:tab w:val="left" w:pos="2800"/>
        </w:tabs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4.7. В целях осмотра нестационарного торгового объекта создается комиссия по приемке нестационарного торгового объекта (далее – комиссия по приемке объекта).</w:t>
      </w:r>
    </w:p>
    <w:p w:rsidR="00CD0BEA" w:rsidRPr="00CD0BEA" w:rsidRDefault="00CD0BEA" w:rsidP="00CD0BEA">
      <w:pPr>
        <w:widowControl w:val="0"/>
        <w:tabs>
          <w:tab w:val="left" w:pos="2800"/>
        </w:tabs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Порядок работы комиссии по приемке объекта и ее состав утвержден распоряжением администрации города Пыть-Ях от 11.03.2022 № 366-ра. </w:t>
      </w:r>
    </w:p>
    <w:p w:rsidR="00CD0BEA" w:rsidRPr="00CD0BEA" w:rsidRDefault="00CD0BEA" w:rsidP="00CD0BEA">
      <w:pPr>
        <w:widowControl w:val="0"/>
        <w:tabs>
          <w:tab w:val="left" w:pos="2800"/>
        </w:tabs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Основанием для эксплуатации нестационарного торгового объекта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>хозяйствующим субъектом является акт комиссии по приемке объекта, о соответствии размещенного нестационарного торгового объекта рекомендуемым требованиям, типовым архитектурным решениям, характеристикам, указанным в Договоре.</w:t>
      </w:r>
    </w:p>
    <w:p w:rsidR="00CD0BEA" w:rsidRPr="00CD0BEA" w:rsidRDefault="00CD0BEA" w:rsidP="00CD0BEA">
      <w:pPr>
        <w:widowControl w:val="0"/>
        <w:tabs>
          <w:tab w:val="left" w:pos="2800"/>
        </w:tabs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адрес Уполномоченного органа.</w:t>
      </w:r>
    </w:p>
    <w:p w:rsidR="00CD0BEA" w:rsidRPr="00CD0BEA" w:rsidRDefault="00CD0BEA" w:rsidP="00CD0BEA">
      <w:pPr>
        <w:widowControl w:val="0"/>
        <w:tabs>
          <w:tab w:val="left" w:pos="2800"/>
        </w:tabs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объекта.</w:t>
      </w:r>
    </w:p>
    <w:p w:rsidR="00CD0BEA" w:rsidRPr="00CD0BEA" w:rsidRDefault="00CD0BEA" w:rsidP="00CD0BEA">
      <w:pPr>
        <w:widowControl w:val="0"/>
        <w:tabs>
          <w:tab w:val="left" w:pos="2800"/>
        </w:tabs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 По результатам осмотра нестационарного торгового объекта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>составляется акт комиссии по приемке объекта (в 2-х экземплярах) в течение 5-и рабочих дней с момента проведения осмотра. Акт комиссии по приемке объекта подтверждает готовность нестационарного торгового объекта к эксплуатации.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При несоответствии нестационарного торгового объекта рекомендуемым требованиям, типовому архитектурному решению, характеристикам, указанным в Договоре,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осуществляется повторно.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Если по истечении срока, нарушения не устранены, Уполномоченный орган расторгает договор.</w:t>
      </w:r>
    </w:p>
    <w:p w:rsidR="00CD0BEA" w:rsidRPr="00CD0BEA" w:rsidRDefault="00CD0BEA" w:rsidP="00CD0BEA">
      <w:pPr>
        <w:widowControl w:val="0"/>
        <w:tabs>
          <w:tab w:val="left" w:pos="2800"/>
        </w:tabs>
        <w:autoSpaceDE w:val="0"/>
        <w:autoSpaceDN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 xml:space="preserve">и (или) объект оказания услуг по сравнению с указанной в схеме размещения в договоре </w:t>
      </w:r>
      <w:r w:rsidRPr="00CD0BEA">
        <w:rPr>
          <w:rFonts w:ascii="Times New Roman" w:hAnsi="Times New Roman" w:cs="Times New Roman"/>
          <w:sz w:val="28"/>
          <w:szCs w:val="28"/>
        </w:rPr>
        <w:lastRenderedPageBreak/>
        <w:t>указывается фактическая площадь нестационарного торгового объекта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>и (или) объект оказания услуг, с последующим внесением изменений в Схему.</w:t>
      </w:r>
    </w:p>
    <w:p w:rsidR="00CD0BEA" w:rsidRPr="00CD0BEA" w:rsidRDefault="00CD0BEA" w:rsidP="00CD0BE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случае если нестационарный торговый объект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подлежит демонтажу.</w:t>
      </w:r>
    </w:p>
    <w:p w:rsidR="00CD0BEA" w:rsidRPr="00CD0BEA" w:rsidRDefault="00CD0BEA" w:rsidP="00CD0B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>Прием, требования к содержанию, составу заявки на участие в аукционе, порядок и срок отзыва заявок</w:t>
      </w:r>
    </w:p>
    <w:p w:rsidR="00CD0BEA" w:rsidRPr="00CD0BEA" w:rsidRDefault="00CD0BEA" w:rsidP="00CD0B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5.1. Для участия в аукционе хозяйствующий субъект, зарегистрированный на электронной площадке в установленном порядке, подает в электронной форме: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заявку на участие в аукционе. Форма, требования к содержанию, составу заявки на участие в аукционе установлена приложением № 4 к Аукционной документации;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копия документа, удостоверяющего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5.2. 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</w:r>
    </w:p>
    <w:p w:rsidR="00CD0BEA" w:rsidRPr="00CD0BEA" w:rsidRDefault="00CD0BEA" w:rsidP="00CD0BEA">
      <w:pPr>
        <w:numPr>
          <w:ilvl w:val="1"/>
          <w:numId w:val="3"/>
        </w:numPr>
        <w:tabs>
          <w:tab w:val="left" w:pos="649"/>
          <w:tab w:val="left" w:pos="1134"/>
          <w:tab w:val="left" w:pos="1006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</w:r>
    </w:p>
    <w:p w:rsidR="00CD0BEA" w:rsidRPr="00CD0BEA" w:rsidRDefault="00CD0BEA" w:rsidP="00CD0BEA">
      <w:pPr>
        <w:numPr>
          <w:ilvl w:val="1"/>
          <w:numId w:val="3"/>
        </w:numPr>
        <w:tabs>
          <w:tab w:val="left" w:pos="1134"/>
          <w:tab w:val="left" w:pos="1006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прекращается не ранее чем за 3 дня до дня проведения аукциона. 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lastRenderedPageBreak/>
        <w:t>5.5. Заявка на участие в аукционе оператором электронной площадки не принимается в следующих случаях: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1) при поступлении заявки по истечении установленного в извещении о проведении аукциона срока приема заявок;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</w:r>
    </w:p>
    <w:p w:rsidR="00CD0BEA" w:rsidRPr="00CD0BEA" w:rsidRDefault="00CD0BEA" w:rsidP="00CD0BEA">
      <w:pPr>
        <w:tabs>
          <w:tab w:val="left" w:pos="649"/>
          <w:tab w:val="left" w:pos="10065"/>
        </w:tabs>
        <w:spacing w:line="240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этом случае заявителю возвращаются все поданные заявки на участие в аукционе.</w:t>
      </w:r>
    </w:p>
    <w:p w:rsidR="00CD0BEA" w:rsidRPr="00CD0BEA" w:rsidRDefault="00CD0BEA" w:rsidP="00CD0BEA">
      <w:pPr>
        <w:numPr>
          <w:ilvl w:val="1"/>
          <w:numId w:val="4"/>
        </w:numPr>
        <w:tabs>
          <w:tab w:val="left" w:pos="1134"/>
          <w:tab w:val="left" w:pos="1006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До дня окончания срока подачи заявок заявитель, подавший заявку, вправе изменить или отозвать её. </w:t>
      </w:r>
    </w:p>
    <w:p w:rsidR="00CD0BEA" w:rsidRPr="00CD0BEA" w:rsidRDefault="00CD0BEA" w:rsidP="00CD0BEA">
      <w:pPr>
        <w:numPr>
          <w:ilvl w:val="1"/>
          <w:numId w:val="4"/>
        </w:numPr>
        <w:tabs>
          <w:tab w:val="left" w:pos="1134"/>
          <w:tab w:val="left" w:pos="1006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Изменение заявки осуществляется путем отзыва ранее поданной и подачи новой заявки.</w:t>
      </w:r>
    </w:p>
    <w:p w:rsidR="00CD0BEA" w:rsidRPr="00CD0BEA" w:rsidRDefault="00CD0BEA" w:rsidP="00CD0BEA">
      <w:pPr>
        <w:numPr>
          <w:ilvl w:val="1"/>
          <w:numId w:val="4"/>
        </w:numPr>
        <w:tabs>
          <w:tab w:val="left" w:pos="1134"/>
          <w:tab w:val="left" w:pos="1006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</w:r>
    </w:p>
    <w:p w:rsidR="00CD0BEA" w:rsidRPr="00CD0BEA" w:rsidRDefault="00CD0BEA" w:rsidP="00CD0B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BEA" w:rsidRPr="00CD0BEA" w:rsidRDefault="00CD0BEA" w:rsidP="00CD0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proofErr w:type="gramStart"/>
      <w:r w:rsidRPr="00CD0BEA">
        <w:rPr>
          <w:rFonts w:ascii="Times New Roman" w:hAnsi="Times New Roman" w:cs="Times New Roman"/>
          <w:b/>
          <w:sz w:val="28"/>
          <w:szCs w:val="28"/>
        </w:rPr>
        <w:t>участников  аукциона</w:t>
      </w:r>
      <w:proofErr w:type="gramEnd"/>
      <w:r w:rsidRPr="00CD0BEA">
        <w:rPr>
          <w:rFonts w:ascii="Times New Roman" w:hAnsi="Times New Roman" w:cs="Times New Roman"/>
          <w:b/>
          <w:sz w:val="28"/>
          <w:szCs w:val="28"/>
        </w:rPr>
        <w:t>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6.1. Аукционная комиссия рассматривает поступившие заявки на участие в аукционе в течение одного рабочего дня со дня истечения срока приема заявок. 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Аукционная комиссия ведет протокол рассмотрения заявок на участие в аукционе (далее – протокол рассмотрения заявок),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их рассмотрения и размещается на официальном сайте и сайте электронной площадки.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6.2. 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</w:t>
      </w:r>
      <w:r w:rsidRPr="00CD0BEA">
        <w:rPr>
          <w:rFonts w:ascii="Times New Roman" w:hAnsi="Times New Roman" w:cs="Times New Roman"/>
          <w:sz w:val="28"/>
          <w:szCs w:val="28"/>
        </w:rPr>
        <w:lastRenderedPageBreak/>
        <w:t>рабочего дня, следующего за днем размещения на электронной площадке протокола рассмотрения заявок, через личный кабинет заявителей.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Хозяйствующий субъект,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6.3. Хозяйствующий субъект не допускается к участию в аукционе в случае: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1) непредставление необходимых для участия в аукционе документов или предоставления недостоверных сведений;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2) подача заявки на участие в аукционе хозяйствующим субъектом, не отнесенным к субъектам малого и среднего предпринимательства;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3) несоответствие хозяйствующего субъекта требованиям, установленных п. 3.2. 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6.4. Аукцион признается несостоявшимся в следующих случаях: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хозяйствующих субъектов или о допуске к участию в аукционе и признании участником аукциона только одного хозяйствующего субъекта;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и только один хозяйствующий субъект признан участником аукциона или в случае если единственная заявка на участие в аукционе и хозяйствующий субъект, подавший указанную заявку, соответствуют всем требованиям и указанным в извещении о проведении аукциона условиям аукциона, организатор торгов в течение 5 рабочих дней со дня рассмотрения указанной заявки направляет хозяйствующему субъекту 2 экземпляра подписанного проекта договора на размещение. При этом договор на размещение заключается по начальной цене предмета аукциона.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14"/>
          <w:szCs w:val="14"/>
        </w:rPr>
      </w:pPr>
    </w:p>
    <w:p w:rsidR="00CD0BEA" w:rsidRPr="00CD0BEA" w:rsidRDefault="00CD0BEA" w:rsidP="00CD0B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 в электронной форме, 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>заключения Договора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left="1287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7.1. Проведение аукциона осуществляется в порядке, установленном регламентом оператора электронной площадки (</w:t>
      </w:r>
      <w:hyperlink r:id="rId9" w:history="1">
        <w:r w:rsidRPr="00CD0BEA">
          <w:rPr>
            <w:rStyle w:val="a3"/>
            <w:rFonts w:ascii="Times New Roman" w:hAnsi="Times New Roman" w:cs="Times New Roman"/>
            <w:sz w:val="28"/>
            <w:szCs w:val="28"/>
          </w:rPr>
          <w:t>https://utp.sberbank-ast.ru/AP/Notice/1027/Instructions</w:t>
        </w:r>
      </w:hyperlink>
      <w:r w:rsidRPr="00CD0BEA">
        <w:rPr>
          <w:rFonts w:ascii="Times New Roman" w:hAnsi="Times New Roman" w:cs="Times New Roman"/>
          <w:sz w:val="28"/>
          <w:szCs w:val="28"/>
        </w:rPr>
        <w:t>).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аукциона к закрытой части электронной площадки (раздел электронной площадки, доступ к которому имеют только зарегистрированные на электронной площадке пользователи) и возможность подачи ими предложений о предмете аукциона. 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Подача предложений о цене (далее – торговая сессия) проводится в день и время, установленные извещением.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lastRenderedPageBreak/>
        <w:t>Торговая сессия не проводится в случаях, если: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на участие в аукционе не подано или не принято ни одной заявки, либо принята только одна заявка;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в результате рассмотрения заявок на участие в аукционе все заявки отклонены;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в результате рассмотрения заявок на участие в аукционе участником признан только один заявитель;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аукцион (лоты) отменен организатором аукциона;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- этап подачи предложений о цене по аукциону (лоту) приостановлен.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 каждому лоту.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Предложением о цене признается подписанное электронной подписью участника ценовое предложение.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При подаче предложений о цене оператор электронной площадки обеспечивает конфиденциальность информации об участниках.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величине «шага аукциона».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«Шаг аукциона» устанавливается организатором аукциона в фиксированной сумме и не изменяется в течение всего времени подачи предложений о цене.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случае если в аукционе участвовал только один участник или при проведении аукциона не принял участие ни один из участников аукциона либо в случае если по окончании аукциона не 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Порядок и срок подачи предложений о цене при проведении аукциона определяются оператором электронной площадки.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 Результаты аукциона оформляются организатором аукциона протоколом о результатах аукциона, в котором указываются: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а) дата и время проведения аукциона;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 и (или) объекта оказания услуг; 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</w:t>
      </w:r>
      <w:r w:rsidRPr="00CD0BEA">
        <w:rPr>
          <w:rFonts w:ascii="Times New Roman" w:hAnsi="Times New Roman" w:cs="Times New Roman"/>
          <w:sz w:val="28"/>
          <w:szCs w:val="28"/>
        </w:rPr>
        <w:lastRenderedPageBreak/>
        <w:t>участника аукциона, который сделал предпоследнее предложение о цене предмета аукциона;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течение дня, следующего за днем подписания протокола о результатах аукциона или о признании аукциона несостоявшимся, такой протокол размещается организатором аукциона на официальном сайте администрации города и на электронной площадке.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аукциона и участнику аукциона, сделавшему предпоследнее предложение о цене аукциона.</w:t>
      </w:r>
      <w:bookmarkStart w:id="1" w:name="Par12"/>
      <w:bookmarkEnd w:id="1"/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7.2. Организатор аукциона осуществляет направление (посредством почтового отправления заказным письмом с уведомлением о вручении либо нарочным) победителю аукциона или единственному принявшему участие в аукционе участнику двух экземпляров подписанного проекта Договора на размещение</w:t>
      </w:r>
      <w:r w:rsidRPr="00CD0BEA">
        <w:rPr>
          <w:rFonts w:ascii="Times New Roman" w:hAnsi="Times New Roman" w:cs="Times New Roman"/>
        </w:rPr>
        <w:t xml:space="preserve"> </w:t>
      </w:r>
      <w:r w:rsidRPr="00CD0BEA">
        <w:rPr>
          <w:rFonts w:ascii="Times New Roman" w:hAnsi="Times New Roman" w:cs="Times New Roman"/>
          <w:sz w:val="28"/>
          <w:szCs w:val="28"/>
        </w:rPr>
        <w:t>нестационарного торгового объекта в течение 5 рабочих дней со дня составления протокола о результатах аукциона.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Не допускается заключение указанных Договоров на размещение нестационарного торгового объекта ранее чем через 5 рабочих дней со дня размещения информации о результатах аукциона на электронной площадке.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Срок, в течение которого победитель аукциона или единственный принявший участие в аукционе участник должен подписать проект Договора на размещение нестационарного торгового объекта и предоставить его в уполномоченный орган, составляет 5 рабочих дней со дня получения такого Договора.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Если Договор на размещение в течение 5 рабочих дней со дня получения победителем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случае если в течение 5 рабочих дней со дня получения участником аукциона, который сделал предпоследнее предложение о цене предмета аукциона, или единственным принявшим участие в аукционе участником проекта Договора на размещение нестационарного торгового объекта этот участник не предоставил в уполномоченный орган подписанный им договор на размещение, такой участник признается уклонившимися от заключения Договора.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 xml:space="preserve"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</w:t>
      </w:r>
      <w:r w:rsidRPr="00CD0BEA">
        <w:rPr>
          <w:rFonts w:ascii="Times New Roman" w:hAnsi="Times New Roman" w:cs="Times New Roman"/>
          <w:sz w:val="28"/>
          <w:szCs w:val="28"/>
        </w:rPr>
        <w:lastRenderedPageBreak/>
        <w:t>перечислению в доход бюджета города Пыть-Ях оператором электронной площадки.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</w:r>
    </w:p>
    <w:p w:rsidR="00CD0BEA" w:rsidRPr="00CD0BEA" w:rsidRDefault="00CD0BEA" w:rsidP="00CD0B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0BEA" w:rsidRPr="00CD0BEA" w:rsidRDefault="00CD0BEA" w:rsidP="00CD0BEA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>Перечень обязательных работ по содержанию объекта,</w:t>
      </w:r>
    </w:p>
    <w:p w:rsidR="00CD0BEA" w:rsidRPr="00CD0BEA" w:rsidRDefault="00CD0BEA" w:rsidP="00CD0B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EA">
        <w:rPr>
          <w:rFonts w:ascii="Times New Roman" w:hAnsi="Times New Roman" w:cs="Times New Roman"/>
          <w:b/>
          <w:sz w:val="28"/>
          <w:szCs w:val="28"/>
        </w:rPr>
        <w:t>а также содержанию прилегающей территории</w:t>
      </w:r>
    </w:p>
    <w:p w:rsidR="00CD0BEA" w:rsidRPr="00CD0BEA" w:rsidRDefault="00CD0BEA" w:rsidP="00CD0B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Нестационарный торговый объект и прилегающая территория должны находиться в надлежащем санитарном и техническом состоянии: целостность конструкций; отсутствие механических повреждений; наличие покрашенного каркаса; отсутствие ржавчины и грязи на всех частях и элементах конструкций; отсутствие на всех частях и элементах наклеенных объявлений, посторонних надписей, изображений и других информационных сообщений; подсветку в темное время суток, уборку территории, содержание элементов благоустройства, работы по озеленению территорий и содержанию зеленых насаждений, освещение территории, обеспечение доступности городской среды, контроль за эксплуатацией объектов благоустройства.</w:t>
      </w:r>
    </w:p>
    <w:p w:rsidR="00CD0BEA" w:rsidRPr="00CD0BEA" w:rsidRDefault="00CD0BEA" w:rsidP="00CD0B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Минимальное расстояния от нестационарного торгового объекта до границ прилегающей территории - не менее 5 метров по периметру нестационарного торгового объекта.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EA">
        <w:rPr>
          <w:rFonts w:ascii="Times New Roman" w:hAnsi="Times New Roman" w:cs="Times New Roman"/>
          <w:sz w:val="28"/>
          <w:szCs w:val="28"/>
        </w:rPr>
        <w:t>Перечень обязательных работ</w:t>
      </w:r>
    </w:p>
    <w:p w:rsidR="00CD0BEA" w:rsidRPr="00CD0BEA" w:rsidRDefault="00CD0BEA" w:rsidP="00CD0BEA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9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3125"/>
      </w:tblGrid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Описание выполняемых работ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</w:t>
            </w:r>
          </w:p>
        </w:tc>
      </w:tr>
      <w:tr w:rsidR="00CD0BEA" w:rsidRPr="00CD0BEA" w:rsidTr="00AA7CF0">
        <w:tc>
          <w:tcPr>
            <w:tcW w:w="9991" w:type="dxa"/>
            <w:gridSpan w:val="2"/>
          </w:tcPr>
          <w:p w:rsidR="00CD0BEA" w:rsidRPr="00CD0BEA" w:rsidRDefault="00CD0BEA" w:rsidP="00CD0BE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Осенне-зимний период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от снега и мусора пассажирского тамбура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от снега и мусора в зоне прилегающих границ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от снега крыши остановочного павильона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два раза в месяц</w:t>
            </w:r>
          </w:p>
        </w:tc>
      </w:tr>
      <w:tr w:rsidR="00CD0BEA" w:rsidRPr="00CD0BEA" w:rsidTr="00AA7CF0">
        <w:tblPrEx>
          <w:tblBorders>
            <w:insideH w:val="nil"/>
          </w:tblBorders>
        </w:tblPrEx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Вывоз снега на специализированную свалку (полигон)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но не реже одного раза в </w:t>
            </w:r>
            <w:r w:rsidRPr="00CD0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 календарных дней</w:t>
            </w:r>
          </w:p>
        </w:tc>
      </w:tr>
      <w:tr w:rsidR="00CD0BEA" w:rsidRPr="00CD0BEA" w:rsidTr="00AA7CF0">
        <w:tblPrEx>
          <w:tblBorders>
            <w:insideH w:val="nil"/>
          </w:tblBorders>
        </w:tblPrEx>
        <w:tc>
          <w:tcPr>
            <w:tcW w:w="6866" w:type="dxa"/>
            <w:tcBorders>
              <w:top w:val="nil"/>
            </w:tcBorders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Вывоз мусора на полигон ТБО</w:t>
            </w:r>
          </w:p>
        </w:tc>
        <w:tc>
          <w:tcPr>
            <w:tcW w:w="3125" w:type="dxa"/>
            <w:tcBorders>
              <w:top w:val="nil"/>
            </w:tcBorders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</w:tr>
      <w:tr w:rsidR="00CD0BEA" w:rsidRPr="00CD0BEA" w:rsidTr="00AA7CF0">
        <w:tc>
          <w:tcPr>
            <w:tcW w:w="6866" w:type="dxa"/>
            <w:tcBorders>
              <w:top w:val="single" w:sz="4" w:space="0" w:color="auto"/>
            </w:tcBorders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 xml:space="preserve">Россыпь </w:t>
            </w:r>
            <w:proofErr w:type="spellStart"/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противогололедного</w:t>
            </w:r>
            <w:proofErr w:type="spellEnd"/>
            <w:r w:rsidRPr="00CD0BE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 (песок) в зоне прилегающих границ 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от снега скамьи для ожидания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9991" w:type="dxa"/>
            <w:gridSpan w:val="2"/>
          </w:tcPr>
          <w:p w:rsidR="00CD0BEA" w:rsidRPr="00CD0BEA" w:rsidRDefault="00CD0BEA" w:rsidP="00CD0BEA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Весенне-летний период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от мусора пассажирского тамбура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от мусора в зоне прилегающих границ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Подметание пассажирского тамбура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Вывоз мусора на полигон ТБО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урн для сбора мусора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Покраска стен павильона и пассажирского тамбура при выявлении отслоения краски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Мойка стен павильона и пассажирского тамбура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Мойка скамьи для ожидания транспорта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один раз в два дня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D0BEA" w:rsidRPr="00CD0BEA" w:rsidTr="00AA7CF0">
        <w:tc>
          <w:tcPr>
            <w:tcW w:w="6866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замену пришедших в негодность частей конструкций (в случаях угрозы безопасности граждан – </w:t>
            </w:r>
            <w:r w:rsidRPr="00CD0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незамедлительно)</w:t>
            </w:r>
          </w:p>
        </w:tc>
        <w:tc>
          <w:tcPr>
            <w:tcW w:w="3125" w:type="dxa"/>
            <w:vAlign w:val="center"/>
          </w:tcPr>
          <w:p w:rsidR="00CD0BEA" w:rsidRPr="00CD0BEA" w:rsidRDefault="00CD0BEA" w:rsidP="00CD0BE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CD0BEA" w:rsidRPr="00CD0BEA" w:rsidRDefault="00CD0BEA" w:rsidP="00CD0BEA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p w:rsidR="007F388E" w:rsidRPr="00CD0BEA" w:rsidRDefault="007F388E" w:rsidP="00CD0BEA">
      <w:pPr>
        <w:spacing w:line="240" w:lineRule="auto"/>
        <w:rPr>
          <w:rFonts w:ascii="Times New Roman" w:hAnsi="Times New Roman" w:cs="Times New Roman"/>
        </w:rPr>
      </w:pPr>
    </w:p>
    <w:sectPr w:rsidR="007F388E" w:rsidRPr="00CD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45D"/>
    <w:multiLevelType w:val="multilevel"/>
    <w:tmpl w:val="8752E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F865EB3"/>
    <w:multiLevelType w:val="hybridMultilevel"/>
    <w:tmpl w:val="871CE6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6A5"/>
    <w:multiLevelType w:val="multilevel"/>
    <w:tmpl w:val="169E2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508784E"/>
    <w:multiLevelType w:val="multilevel"/>
    <w:tmpl w:val="7894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EA"/>
    <w:rsid w:val="007F388E"/>
    <w:rsid w:val="00C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1BEDA-F053-423A-BE1C-7D88713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0B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443/52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.gov86.org/399/591/47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39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gov86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2022-12-12T14:16:00Z</dcterms:created>
  <dcterms:modified xsi:type="dcterms:W3CDTF">2022-12-12T14:19:00Z</dcterms:modified>
</cp:coreProperties>
</file>