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B9" w:rsidRPr="00233A76" w:rsidRDefault="003661B9" w:rsidP="003661B9">
      <w:pPr>
        <w:jc w:val="right"/>
      </w:pPr>
      <w:bookmarkStart w:id="0" w:name="_GoBack"/>
      <w:bookmarkEnd w:id="0"/>
      <w:r w:rsidRPr="00233A76">
        <w:t>Приложение 1</w:t>
      </w:r>
      <w:r>
        <w:t>3</w:t>
      </w:r>
    </w:p>
    <w:p w:rsidR="003661B9" w:rsidRPr="00233A76" w:rsidRDefault="003661B9" w:rsidP="003661B9">
      <w:pPr>
        <w:ind w:left="5245"/>
        <w:jc w:val="right"/>
      </w:pPr>
      <w:r>
        <w:t xml:space="preserve">                        </w:t>
      </w:r>
      <w:r w:rsidRPr="00233A76">
        <w:t>к приказу МКУ «ЦБ И КОМУ Г. ПЫТЬ-ЯХА» от «29_» декабря 2020 г. № 86-од</w:t>
      </w:r>
    </w:p>
    <w:p w:rsidR="003661B9" w:rsidRPr="009D1929" w:rsidRDefault="003661B9" w:rsidP="003661B9">
      <w:pPr>
        <w:jc w:val="right"/>
        <w:rPr>
          <w:szCs w:val="24"/>
        </w:rPr>
      </w:pPr>
    </w:p>
    <w:p w:rsidR="003661B9" w:rsidRDefault="003661B9" w:rsidP="003661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661B9" w:rsidRPr="0072023D" w:rsidRDefault="003661B9" w:rsidP="003661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2023D">
        <w:rPr>
          <w:b/>
          <w:sz w:val="24"/>
          <w:szCs w:val="24"/>
        </w:rPr>
        <w:t>ПОЛИТИКА</w:t>
      </w:r>
    </w:p>
    <w:p w:rsidR="003661B9" w:rsidRPr="0072023D" w:rsidRDefault="003661B9" w:rsidP="003661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2023D">
        <w:rPr>
          <w:b/>
          <w:sz w:val="24"/>
          <w:szCs w:val="24"/>
        </w:rPr>
        <w:t>в отношении обработки персональных данных</w:t>
      </w:r>
    </w:p>
    <w:p w:rsidR="003661B9" w:rsidRPr="0072023D" w:rsidRDefault="003661B9" w:rsidP="003661B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2023D">
        <w:rPr>
          <w:b/>
          <w:sz w:val="24"/>
          <w:szCs w:val="24"/>
        </w:rPr>
        <w:t>в МКУ «ЦБ И КОМУ Г. ПЫТЬ-ЯХА»</w:t>
      </w:r>
    </w:p>
    <w:p w:rsidR="003661B9" w:rsidRPr="0072023D" w:rsidRDefault="003661B9" w:rsidP="003661B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661B9" w:rsidRPr="0072023D" w:rsidRDefault="003661B9" w:rsidP="003661B9">
      <w:pPr>
        <w:widowControl/>
        <w:tabs>
          <w:tab w:val="left" w:pos="426"/>
        </w:tabs>
        <w:autoSpaceDE/>
        <w:autoSpaceDN/>
        <w:adjustRightInd/>
        <w:spacing w:before="120" w:after="240" w:line="276" w:lineRule="auto"/>
        <w:jc w:val="center"/>
        <w:rPr>
          <w:b/>
          <w:sz w:val="24"/>
          <w:szCs w:val="24"/>
        </w:rPr>
      </w:pPr>
      <w:bookmarkStart w:id="1" w:name="_Toc348956364"/>
      <w:bookmarkStart w:id="2" w:name="_Toc352150355"/>
      <w:r w:rsidRPr="0072023D">
        <w:rPr>
          <w:b/>
          <w:sz w:val="24"/>
          <w:szCs w:val="24"/>
        </w:rPr>
        <w:t>Основные термины и определения</w:t>
      </w:r>
      <w:bookmarkEnd w:id="1"/>
      <w:bookmarkEnd w:id="2"/>
    </w:p>
    <w:p w:rsidR="003661B9" w:rsidRPr="0072023D" w:rsidRDefault="003661B9" w:rsidP="003661B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3661B9" w:rsidRPr="0072023D" w:rsidRDefault="003661B9" w:rsidP="003661B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3661B9" w:rsidRPr="0072023D" w:rsidRDefault="003661B9" w:rsidP="003661B9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3661B9" w:rsidRPr="0072023D" w:rsidRDefault="003661B9" w:rsidP="003661B9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3661B9" w:rsidRPr="0072023D" w:rsidRDefault="003661B9" w:rsidP="003661B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3661B9" w:rsidRPr="0072023D" w:rsidRDefault="003661B9" w:rsidP="003661B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3661B9" w:rsidRPr="0072023D" w:rsidRDefault="003661B9" w:rsidP="003661B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3661B9" w:rsidRPr="0072023D" w:rsidRDefault="003661B9" w:rsidP="003661B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3661B9" w:rsidRPr="0072023D" w:rsidRDefault="003661B9" w:rsidP="003661B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3661B9" w:rsidRPr="0072023D" w:rsidRDefault="003661B9" w:rsidP="003661B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3661B9" w:rsidRPr="0072023D" w:rsidRDefault="003661B9" w:rsidP="003661B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3661B9" w:rsidRPr="0072023D" w:rsidRDefault="003661B9" w:rsidP="003661B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3661B9" w:rsidRPr="0072023D" w:rsidRDefault="003661B9" w:rsidP="003661B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3661B9" w:rsidRPr="0072023D" w:rsidRDefault="003661B9" w:rsidP="003661B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before="120" w:after="240" w:line="276" w:lineRule="auto"/>
        <w:jc w:val="center"/>
        <w:rPr>
          <w:b/>
          <w:sz w:val="24"/>
          <w:szCs w:val="24"/>
        </w:rPr>
      </w:pPr>
      <w:bookmarkStart w:id="3" w:name="_Toc352150356"/>
      <w:r w:rsidRPr="0072023D">
        <w:rPr>
          <w:b/>
          <w:sz w:val="24"/>
          <w:szCs w:val="24"/>
        </w:rPr>
        <w:lastRenderedPageBreak/>
        <w:t>Общие положения</w:t>
      </w:r>
      <w:bookmarkEnd w:id="3"/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Настоящая Политика в отношении обработки персональных данных в МКУ «ЦБ И КОМУ Г. ПЫТЬ-ЯХА» (далее – Политика) является официальным документом, в котором определены общие принципы, цели и порядок обработки персональных данных (далее –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), а также сведения о реализуемых мерах защиты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Настоящая Политика распространяется на всех работников МКУ «ЦБ И КОМУ Г. ПЫТЬ-ЯХА» (далее – Оператор), а также на работников сторонних организаций, взаимодействующих с Оператором на основании соответствующих договоров, нормативных, правовых и организационно-распорядительных документов. 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Настоящая Политика вступает в силу с момента ее утверждения и действует бессрочно, до замены ее новой Политикой.</w:t>
      </w:r>
    </w:p>
    <w:p w:rsidR="003661B9" w:rsidRPr="0072023D" w:rsidRDefault="003661B9" w:rsidP="003661B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before="120" w:after="240" w:line="276" w:lineRule="auto"/>
        <w:jc w:val="center"/>
        <w:rPr>
          <w:b/>
          <w:sz w:val="24"/>
          <w:szCs w:val="24"/>
        </w:rPr>
      </w:pPr>
      <w:r w:rsidRPr="0072023D">
        <w:rPr>
          <w:b/>
          <w:sz w:val="24"/>
          <w:szCs w:val="24"/>
        </w:rPr>
        <w:t>Правовые основания обработки персональных данных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Оператор обрабатывает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в соответствии со следующими нормативными и правовыми актами: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ст. ст. 23-24 Конституции Российской Федерации;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ст. ст. 86-90 Трудовым кодексом Российской Федерации;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Налоговым кодексом Российской Федерации;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Гражданским кодексом Российской Федерации;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Федеральным законом от 15.12.2001 № 167-ФЗ «Об обязательном пенсионном страховании в Российской Федерации»;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Федеральным законом от 28.12.2013 № 426-ФЗ «О специальной оценке условий труда»;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Указом Президента Российской Федерации от 17.04.2017 № 171 «О мониторинге и анализе результатов рассмотрения обращений граждан и организаций»;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Федеральным законом от 29.12.2006 № 255-ФЗ «Об обязательном социальном страховании на случай временной нетрудоспособности и в связи с материнством»;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ст. 8 Федерального закона от 31.05.1996 № 61-ФЗ «Об обороне»;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ст. 9 Федерального закона от 26.02.1997 № 31-ФЗ «О мобилизационной подготовке и мобилизации в Российской Федерации»;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Федеральным законом от 29.11.2010 № 326-ФЗ «Об обязательном медицинском страховании в Российской Федерации»;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Уставом Оператора.</w:t>
      </w:r>
    </w:p>
    <w:p w:rsidR="003661B9" w:rsidRPr="0072023D" w:rsidRDefault="003661B9" w:rsidP="003661B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before="120" w:after="240" w:line="276" w:lineRule="auto"/>
        <w:jc w:val="center"/>
        <w:rPr>
          <w:b/>
          <w:sz w:val="24"/>
          <w:szCs w:val="24"/>
        </w:rPr>
      </w:pPr>
      <w:r w:rsidRPr="0072023D">
        <w:rPr>
          <w:b/>
          <w:sz w:val="24"/>
          <w:szCs w:val="24"/>
        </w:rPr>
        <w:t xml:space="preserve">Категории субъектов </w:t>
      </w:r>
      <w:proofErr w:type="spellStart"/>
      <w:r w:rsidRPr="0072023D">
        <w:rPr>
          <w:b/>
          <w:sz w:val="24"/>
          <w:szCs w:val="24"/>
        </w:rPr>
        <w:t>ПДн</w:t>
      </w:r>
      <w:proofErr w:type="spellEnd"/>
      <w:r w:rsidRPr="0072023D">
        <w:rPr>
          <w:b/>
          <w:sz w:val="24"/>
          <w:szCs w:val="24"/>
        </w:rPr>
        <w:t xml:space="preserve"> и обрабатываемых </w:t>
      </w:r>
      <w:proofErr w:type="spellStart"/>
      <w:r w:rsidRPr="0072023D">
        <w:rPr>
          <w:b/>
          <w:sz w:val="24"/>
          <w:szCs w:val="24"/>
        </w:rPr>
        <w:t>ПДн</w:t>
      </w:r>
      <w:proofErr w:type="spellEnd"/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Оператор осуществляет обработку иных категорий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следующих категорий субъектов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: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работники Оператора;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бывшие работники Оператора;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кандидаты на замещение вакантных должностей;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клиенты Оператора.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lastRenderedPageBreak/>
        <w:t xml:space="preserve">Обработка специальных категорий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, касающихся расовой, национальной принадлежности, политических взглядов, религиозных или философских убеждений, состояния здоровья, интимной жизни, Оператором не осуществляется.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Обработка биометрических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осуществляется.</w:t>
      </w:r>
    </w:p>
    <w:p w:rsidR="003661B9" w:rsidRPr="0072023D" w:rsidRDefault="003661B9" w:rsidP="003661B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before="120" w:after="240" w:line="276" w:lineRule="auto"/>
        <w:jc w:val="center"/>
        <w:rPr>
          <w:b/>
          <w:sz w:val="24"/>
          <w:szCs w:val="24"/>
        </w:rPr>
      </w:pPr>
      <w:bookmarkStart w:id="4" w:name="_Toc352150357"/>
      <w:r w:rsidRPr="0072023D">
        <w:rPr>
          <w:b/>
          <w:sz w:val="24"/>
          <w:szCs w:val="24"/>
        </w:rPr>
        <w:t>Порядок и условия обработки персональных данных</w:t>
      </w:r>
      <w:bookmarkEnd w:id="4"/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Обработка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осуществляется на законной и справедливой основе.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Обработка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ограничивается достижением конкретных, заранее определённых и законных целей. Не допускается обработка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, несовместимая с целями сбора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Не допускается объединение баз данных, содержащих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, обработка которых осуществляется в целях, несовместимых между собой.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Обработке подлежат только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, которые отвечают целям их обработки.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Содержание и объем обрабатываемых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соответствуют заявленным целям обработки и не являются избыточными по отношению к заявленным целям их обработки.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При обработке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обеспечивается точность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. Принимаются необходимые меры по удалению или уточнению неполных, или неточных данных.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В целях информационного обеспечения Оператора могут создаваться общедоступные источники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Оператора (в том числе справочники, электронные базы данных, страницы сайта Оператора в информационно-телекоммуникационной сети «Интернет»). В общедоступные источники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могут включаться только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указанные субъектом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в письменном согласии на включение его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в общедоступные источники.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  <w:tab w:val="left" w:pos="1134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Хранение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осуществляется в форме, позволяющей определить субъекта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, не дольше, чем этого требуют цели обработки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, если срок хранения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. Обрабатываемые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по достижении целей обработки или в случае утраты необходимости в достижении этих целей, если иное не предусмотрено федеральным законом, подлежат уничтожению либо обезличиванию.</w:t>
      </w:r>
    </w:p>
    <w:p w:rsidR="003661B9" w:rsidRPr="0072023D" w:rsidRDefault="003661B9" w:rsidP="003661B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before="120" w:after="240" w:line="276" w:lineRule="auto"/>
        <w:jc w:val="center"/>
        <w:rPr>
          <w:b/>
          <w:sz w:val="24"/>
          <w:szCs w:val="24"/>
        </w:rPr>
      </w:pPr>
      <w:bookmarkStart w:id="5" w:name="_Toc352150359"/>
      <w:r w:rsidRPr="0072023D">
        <w:rPr>
          <w:b/>
          <w:sz w:val="24"/>
          <w:szCs w:val="24"/>
        </w:rPr>
        <w:t>Цели обработки персональных данных</w:t>
      </w:r>
      <w:bookmarkEnd w:id="5"/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Оператор обрабатывает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исключительно в следующих целях: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исполнения договора, стороной которого либо выгодоприобретателем или поручителем, по которому является субъект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заключения договора по инициативе субъекта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или договора, по которому субъект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будет являться выгодоприобретателем или поручителем;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исполнения требований Трудового кодекса Российской Федерации;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исполнения требований налогового законодательства Российской Федерации, в том числе в связи с исчислением и уплатой налога на доходы физических лиц, иных налогов, сборов, страховых взносов, а также в связи с предоставлением налоговых вычетов;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исполнения требований законодательства Российской Федерации об обязательном пенсионном страховании, о социальном страховании, о формировании и представлении данных индивидуального (персонифицированного) учета о каждом застрахованном лице;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lastRenderedPageBreak/>
        <w:t>обеспечение деятельности в соответствии с Уставом МКУ «ЦБ И КОМУ Г. ПЫТЬ-ЯХА»;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содействия в трудоустройстве, содействия в выборе подходящей должности;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оказания коммерческих услуг;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исполнения требований иных нормативных правовых актов.</w:t>
      </w:r>
    </w:p>
    <w:p w:rsidR="003661B9" w:rsidRPr="0072023D" w:rsidRDefault="003661B9" w:rsidP="003661B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before="120" w:after="240" w:line="276" w:lineRule="auto"/>
        <w:jc w:val="center"/>
        <w:rPr>
          <w:b/>
          <w:sz w:val="24"/>
          <w:szCs w:val="24"/>
        </w:rPr>
      </w:pPr>
      <w:r w:rsidRPr="0072023D">
        <w:rPr>
          <w:b/>
          <w:sz w:val="24"/>
          <w:szCs w:val="24"/>
        </w:rPr>
        <w:t>Условия и сроки прекращения обработки персональных данных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709"/>
        </w:tabs>
        <w:autoSpaceDE/>
        <w:autoSpaceDN/>
        <w:adjustRightInd/>
        <w:spacing w:line="276" w:lineRule="auto"/>
        <w:ind w:left="0" w:firstLine="142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Оператор прекращает обработку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в следующих случаях: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276" w:lineRule="auto"/>
        <w:ind w:left="0" w:firstLine="142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достижение целей обработки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или максимальных сроков хранения – в течение 30 дней;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276" w:lineRule="auto"/>
        <w:ind w:left="0" w:firstLine="142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утрата необходимости в достижении целей обработки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– в течение 30 дней;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276" w:lineRule="auto"/>
        <w:ind w:left="0" w:firstLine="142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предоставление субъектом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или его законным представителем сведений, подтверждающих, что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являются незаконно полученными или не являются необходимыми для заявленной цели обработки – в течение 7 дней;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276" w:lineRule="auto"/>
        <w:ind w:left="0" w:firstLine="142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невозможность обеспечения правомерности обработки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– в течение 10 дней;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276" w:lineRule="auto"/>
        <w:ind w:left="0" w:firstLine="142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отзыв субъектом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согласия на обработку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, если сохранение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более не требуется для целей обработки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– в течение 30 дней;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276" w:lineRule="auto"/>
        <w:ind w:left="0" w:firstLine="142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истечение сроков исковой давности для правоотношений, в рамках которых осуществляется либо осуществлялась обработка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709"/>
        </w:tabs>
        <w:autoSpaceDE/>
        <w:autoSpaceDN/>
        <w:adjustRightInd/>
        <w:spacing w:line="276" w:lineRule="auto"/>
        <w:ind w:left="0" w:firstLine="142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В соответствии со статьей 21, частью 5 Федерального закона от 27.07.2006 № 152-ФЗ «О персональных данных» Оператор не прекращает обработку персональных данных Субъекта и не уничтожает их в следующих случаях: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276" w:lineRule="auto"/>
        <w:ind w:left="0" w:firstLine="142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иное предусмотрено договором, стороной которого, выгодоприобретателем или </w:t>
      </w:r>
      <w:proofErr w:type="gramStart"/>
      <w:r w:rsidRPr="0072023D">
        <w:rPr>
          <w:sz w:val="24"/>
          <w:szCs w:val="24"/>
        </w:rPr>
        <w:t>поручителем</w:t>
      </w:r>
      <w:proofErr w:type="gramEnd"/>
      <w:r w:rsidRPr="0072023D">
        <w:rPr>
          <w:sz w:val="24"/>
          <w:szCs w:val="24"/>
        </w:rPr>
        <w:t xml:space="preserve"> по которому является Субъект;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276" w:lineRule="auto"/>
        <w:ind w:left="0" w:firstLine="142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Оператор вправе осуществлять обработку персональных данных без согласия Субъекта на основаниях, предусмотренных федеральными законами;</w:t>
      </w:r>
    </w:p>
    <w:p w:rsidR="003661B9" w:rsidRPr="0072023D" w:rsidRDefault="003661B9" w:rsidP="003661B9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276" w:lineRule="auto"/>
        <w:ind w:left="0" w:firstLine="142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не истекли сроки обработки персональных данных Субъекта, установленные федеральными законами РФ и иными нормативными актами.</w:t>
      </w:r>
    </w:p>
    <w:p w:rsidR="003661B9" w:rsidRPr="0072023D" w:rsidRDefault="003661B9" w:rsidP="003661B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before="120" w:after="240" w:line="276" w:lineRule="auto"/>
        <w:jc w:val="center"/>
        <w:rPr>
          <w:b/>
          <w:sz w:val="24"/>
          <w:szCs w:val="24"/>
        </w:rPr>
      </w:pPr>
      <w:bookmarkStart w:id="6" w:name="_Toc352150360"/>
      <w:r w:rsidRPr="0072023D">
        <w:rPr>
          <w:b/>
          <w:sz w:val="24"/>
          <w:szCs w:val="24"/>
        </w:rPr>
        <w:t>Меры обеспечения безопасности персональных данных</w:t>
      </w:r>
      <w:bookmarkEnd w:id="6"/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Безопасность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в области защиты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Оператор предпринимает необходимые организационные и технические меры для обеспечения безопасности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Оператор предпринимает следующие организационно-технические меры: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назначение должностных лиц, ответственных за организацию обработки и обеспечении безопасности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ограничение и регламентация состава работников Оператора, имеющих доступ к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ознакомление работников Оператора с требованиями федерального законодательства и локальных нормативных актов по обработке и защите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обеспечение учёта и хранения материальных носителей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и их обращения, исключающего хищение, подмену, несанкционированное копирование и уничтожение;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lastRenderedPageBreak/>
        <w:t xml:space="preserve">определение угроз безопасности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при их обработке в информационных системах персональных данных (далее – </w:t>
      </w:r>
      <w:proofErr w:type="spellStart"/>
      <w:r w:rsidRPr="0072023D">
        <w:rPr>
          <w:sz w:val="24"/>
          <w:szCs w:val="24"/>
        </w:rPr>
        <w:t>ИСПДн</w:t>
      </w:r>
      <w:proofErr w:type="spellEnd"/>
      <w:r w:rsidRPr="0072023D">
        <w:rPr>
          <w:sz w:val="24"/>
          <w:szCs w:val="24"/>
        </w:rPr>
        <w:t>), формирование на их основе моделей угроз;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разработка на основе модели угроз системы защиты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для соответствующего уровня защищенности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при их обработке в </w:t>
      </w:r>
      <w:proofErr w:type="spellStart"/>
      <w:r w:rsidRPr="0072023D">
        <w:rPr>
          <w:sz w:val="24"/>
          <w:szCs w:val="24"/>
        </w:rPr>
        <w:t>ИСПДн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проверка готовности и эффективности использования средств защиты информации; 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реализация разрешительной системы доступа пользователей </w:t>
      </w:r>
      <w:proofErr w:type="spellStart"/>
      <w:r w:rsidRPr="0072023D">
        <w:rPr>
          <w:sz w:val="24"/>
          <w:szCs w:val="24"/>
        </w:rPr>
        <w:t>ИСПДн</w:t>
      </w:r>
      <w:proofErr w:type="spellEnd"/>
      <w:r w:rsidRPr="0072023D">
        <w:rPr>
          <w:sz w:val="24"/>
          <w:szCs w:val="24"/>
        </w:rPr>
        <w:t xml:space="preserve"> к информационным ресурсам, программно-аппаратным средствам обработки и защиты информации;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регистрация и учёт действий пользователей </w:t>
      </w:r>
      <w:proofErr w:type="spellStart"/>
      <w:r w:rsidRPr="0072023D">
        <w:rPr>
          <w:sz w:val="24"/>
          <w:szCs w:val="24"/>
        </w:rPr>
        <w:t>ИСПДн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парольная защита доступа пользователей к </w:t>
      </w:r>
      <w:proofErr w:type="spellStart"/>
      <w:r w:rsidRPr="0072023D">
        <w:rPr>
          <w:sz w:val="24"/>
          <w:szCs w:val="24"/>
        </w:rPr>
        <w:t>ИСПДн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применение в необходимых случаях средств криптографической защиты информации для обеспечения безопасности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при передаче по открытым каналам связи и хранении на съемных машинных носителях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применение в необходимых случаях средств межсетевого экранирования;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применение в необходимых случаях средств обнаружения вторжений в корпоративную сеть, нарушающих или создающих предпосылки к нарушению установленных требований по обеспечению безопасности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обучение работников Оператора, использующих средства защиты информации, применяемые в </w:t>
      </w:r>
      <w:proofErr w:type="spellStart"/>
      <w:r w:rsidRPr="0072023D">
        <w:rPr>
          <w:sz w:val="24"/>
          <w:szCs w:val="24"/>
        </w:rPr>
        <w:t>ИСПДн</w:t>
      </w:r>
      <w:proofErr w:type="spellEnd"/>
      <w:r w:rsidRPr="0072023D">
        <w:rPr>
          <w:sz w:val="24"/>
          <w:szCs w:val="24"/>
        </w:rPr>
        <w:t>, правилам работы с ними;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учёт применяемых средств защиты информации, эксплуатационной и технической документации к ним;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использование в необходимых случаях средств защиты информации, прошедших в установленном порядке процедуру оценки соответствия;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проведение мониторинга действий пользователей </w:t>
      </w:r>
      <w:proofErr w:type="spellStart"/>
      <w:r w:rsidRPr="0072023D">
        <w:rPr>
          <w:sz w:val="24"/>
          <w:szCs w:val="24"/>
        </w:rPr>
        <w:t>ИСПДн</w:t>
      </w:r>
      <w:proofErr w:type="spellEnd"/>
      <w:r w:rsidRPr="0072023D">
        <w:rPr>
          <w:sz w:val="24"/>
          <w:szCs w:val="24"/>
        </w:rPr>
        <w:t xml:space="preserve">, проведение разбирательств по фактам нарушения требований безопасности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размещение технических средств обработки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, в пределах охраняемой территории;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поддержание технических средств охраны, сигнализации помещений в состоянии постоянной готовности.</w:t>
      </w:r>
    </w:p>
    <w:p w:rsidR="003661B9" w:rsidRPr="0072023D" w:rsidRDefault="003661B9" w:rsidP="003661B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before="120" w:after="240" w:line="276" w:lineRule="auto"/>
        <w:jc w:val="center"/>
        <w:rPr>
          <w:b/>
          <w:sz w:val="24"/>
          <w:szCs w:val="24"/>
        </w:rPr>
      </w:pPr>
      <w:r w:rsidRPr="0072023D">
        <w:rPr>
          <w:b/>
          <w:sz w:val="24"/>
          <w:szCs w:val="24"/>
        </w:rPr>
        <w:t>Права субъектов персональных данных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Субъект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имеет право на получение информации, касающейся обработки его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, в том числе содержащей: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подтверждение факта обработки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Оператором;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правовые основания и цели обработки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цели и применяемые Оператором способы обработки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или которым могут быть раскрыты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на основании договора с Оператором или на основании федерального закона;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обрабатываемые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, относящиеся к соответствующему субъекту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сроки обработки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, в том числе сроки их хранения;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lastRenderedPageBreak/>
        <w:t xml:space="preserve">порядок осуществления субъектом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прав, предусмотренных Федеральным законом «О персональных данных»;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информацию об осуществленной или о предполагаемой трансграничной передаче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по поручению Оператора, если обработка поручена или будет поручена такому лицу;</w:t>
      </w:r>
    </w:p>
    <w:p w:rsidR="003661B9" w:rsidRPr="0072023D" w:rsidRDefault="003661B9" w:rsidP="003661B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72023D">
        <w:rPr>
          <w:sz w:val="24"/>
          <w:szCs w:val="24"/>
        </w:rPr>
        <w:t>убъект</w:t>
      </w:r>
      <w:proofErr w:type="spellEnd"/>
      <w:r w:rsidRPr="0072023D">
        <w:rPr>
          <w:sz w:val="24"/>
          <w:szCs w:val="24"/>
        </w:rPr>
        <w:t xml:space="preserve">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вправе требовать от Оператора уточнения его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, их блокирования или уничтожения в случае, если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Если субъект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считает, что Оператор осуществляет обработку его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с нарушением требований Федерального закона «О персональных данных» или иным образом нарушает его права и свободы, субъект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вправе обжаловать действия или бездействие Оператора в вышестоящий орган по защите прав субъектов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(Федеральная служба по надзору в сфере связи, информационных технологий и массовых коммуникаций – </w:t>
      </w:r>
      <w:proofErr w:type="spellStart"/>
      <w:r w:rsidRPr="0072023D">
        <w:rPr>
          <w:sz w:val="24"/>
          <w:szCs w:val="24"/>
        </w:rPr>
        <w:t>Роскомнадзор</w:t>
      </w:r>
      <w:proofErr w:type="spellEnd"/>
      <w:r w:rsidRPr="0072023D">
        <w:rPr>
          <w:sz w:val="24"/>
          <w:szCs w:val="24"/>
        </w:rPr>
        <w:t>) или в судебном порядке.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Субъект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3661B9" w:rsidRPr="0072023D" w:rsidRDefault="003661B9" w:rsidP="003661B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before="120" w:after="240" w:line="276" w:lineRule="auto"/>
        <w:jc w:val="center"/>
        <w:rPr>
          <w:b/>
          <w:sz w:val="24"/>
          <w:szCs w:val="24"/>
        </w:rPr>
      </w:pPr>
      <w:bookmarkStart w:id="7" w:name="_Toc352150361"/>
      <w:r w:rsidRPr="0072023D">
        <w:rPr>
          <w:b/>
          <w:sz w:val="24"/>
          <w:szCs w:val="24"/>
        </w:rPr>
        <w:t>Заключительные положения</w:t>
      </w:r>
      <w:bookmarkEnd w:id="7"/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Контроль исполнения требований настоящей Политики осуществляется ответственным за организацию обработки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72023D">
        <w:rPr>
          <w:sz w:val="24"/>
          <w:szCs w:val="24"/>
        </w:rPr>
        <w:t xml:space="preserve">Иные права и обязанности Оператора, определяются Федеральным законом «О персональных данных» и иными нормативными правовыми актами в области защиты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.</w:t>
      </w:r>
    </w:p>
    <w:p w:rsidR="003661B9" w:rsidRPr="0072023D" w:rsidRDefault="003661B9" w:rsidP="003661B9">
      <w:pPr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72023D">
        <w:rPr>
          <w:sz w:val="24"/>
          <w:szCs w:val="24"/>
        </w:rPr>
        <w:t xml:space="preserve">Должностные лица, виновные в нарушении норм, регулирующих обработку и защиту </w:t>
      </w:r>
      <w:proofErr w:type="spellStart"/>
      <w:r w:rsidRPr="0072023D">
        <w:rPr>
          <w:sz w:val="24"/>
          <w:szCs w:val="24"/>
        </w:rPr>
        <w:t>ПДн</w:t>
      </w:r>
      <w:proofErr w:type="spellEnd"/>
      <w:r w:rsidRPr="0072023D">
        <w:rPr>
          <w:sz w:val="24"/>
          <w:szCs w:val="24"/>
        </w:rPr>
        <w:t>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6945A4" w:rsidRDefault="003661B9" w:rsidP="003661B9">
      <w:r w:rsidRPr="00B35C4B">
        <w:rPr>
          <w:sz w:val="28"/>
          <w:szCs w:val="28"/>
        </w:rPr>
        <w:br w:type="page"/>
      </w:r>
    </w:p>
    <w:sectPr w:rsidR="006945A4" w:rsidSect="00B522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2A2420"/>
    <w:multiLevelType w:val="multilevel"/>
    <w:tmpl w:val="E3302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40A543C2"/>
    <w:multiLevelType w:val="hybridMultilevel"/>
    <w:tmpl w:val="4B3CC03C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88"/>
    <w:rsid w:val="003661B9"/>
    <w:rsid w:val="006945A4"/>
    <w:rsid w:val="007D0688"/>
    <w:rsid w:val="00B5226B"/>
    <w:rsid w:val="00E1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E9837-61E0-4647-8C12-EA20588A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0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2218</Words>
  <Characters>12646</Characters>
  <Application>Microsoft Office Word</Application>
  <DocSecurity>0</DocSecurity>
  <Lines>105</Lines>
  <Paragraphs>29</Paragraphs>
  <ScaleCrop>false</ScaleCrop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4</cp:revision>
  <cp:lastPrinted>2021-04-27T10:57:00Z</cp:lastPrinted>
  <dcterms:created xsi:type="dcterms:W3CDTF">2021-04-27T09:41:00Z</dcterms:created>
  <dcterms:modified xsi:type="dcterms:W3CDTF">2021-04-27T11:41:00Z</dcterms:modified>
</cp:coreProperties>
</file>