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F70" w:rsidRDefault="00EA1F70" w:rsidP="00EA1F70">
      <w:pPr>
        <w:pStyle w:val="ConsPlusNormal"/>
        <w:jc w:val="right"/>
      </w:pPr>
      <w:r>
        <w:t>Приложение 19</w:t>
      </w:r>
    </w:p>
    <w:p w:rsidR="00EA1F70" w:rsidRDefault="00EA1F70" w:rsidP="00EA1F70">
      <w:pPr>
        <w:pStyle w:val="ConsPlusNormal"/>
        <w:jc w:val="right"/>
      </w:pPr>
      <w:r>
        <w:t>к постановлению Правительства</w:t>
      </w:r>
    </w:p>
    <w:p w:rsidR="00EA1F70" w:rsidRDefault="00EA1F70" w:rsidP="00EA1F70">
      <w:pPr>
        <w:pStyle w:val="ConsPlusNormal"/>
        <w:jc w:val="right"/>
      </w:pPr>
      <w:r>
        <w:t>Ханты-Мансийского</w:t>
      </w:r>
    </w:p>
    <w:p w:rsidR="00EA1F70" w:rsidRDefault="00EA1F70" w:rsidP="00EA1F70">
      <w:pPr>
        <w:pStyle w:val="ConsPlusNormal"/>
        <w:jc w:val="right"/>
      </w:pPr>
      <w:r>
        <w:t>автономного округа - Югры</w:t>
      </w:r>
    </w:p>
    <w:p w:rsidR="00EA1F70" w:rsidRDefault="00EA1F70" w:rsidP="00EA1F70">
      <w:pPr>
        <w:pStyle w:val="ConsPlusNormal"/>
        <w:jc w:val="right"/>
      </w:pPr>
      <w:r>
        <w:t>от 5 октября 2018 года N 344-п</w:t>
      </w:r>
    </w:p>
    <w:p w:rsidR="00EA1F70" w:rsidRDefault="00EA1F70" w:rsidP="00EA1F70">
      <w:pPr>
        <w:pStyle w:val="ConsPlusNormal"/>
        <w:jc w:val="both"/>
      </w:pPr>
    </w:p>
    <w:p w:rsidR="00EA1F70" w:rsidRDefault="00EA1F70" w:rsidP="00EA1F70">
      <w:pPr>
        <w:pStyle w:val="ConsPlusNormal"/>
        <w:jc w:val="center"/>
      </w:pPr>
      <w:r>
        <w:t>ПОРЯДОК</w:t>
      </w:r>
    </w:p>
    <w:p w:rsidR="00EA1F70" w:rsidRDefault="00EA1F70" w:rsidP="00EA1F70">
      <w:pPr>
        <w:pStyle w:val="ConsPlusNormal"/>
        <w:jc w:val="center"/>
      </w:pPr>
      <w:r>
        <w:t>РАСЧЕТА И ПРЕДОСТАВЛЕНИЯ СУБСИДИИ НА ПОДДЕРЖКУ МАЛЫХ ФОРМ</w:t>
      </w:r>
    </w:p>
    <w:p w:rsidR="00EA1F70" w:rsidRDefault="00EA1F70" w:rsidP="00EA1F70">
      <w:pPr>
        <w:pStyle w:val="ConsPlusNormal"/>
        <w:jc w:val="center"/>
      </w:pPr>
      <w:r>
        <w:t>ХОЗЯЙСТВОВАНИЯ, НА РАЗВИТИЕ МАТЕРИАЛЬНО-ТЕХНИЧЕСКОЙ БАЗЫ (ЗА</w:t>
      </w:r>
    </w:p>
    <w:p w:rsidR="00EA1F70" w:rsidRDefault="00EA1F70" w:rsidP="00EA1F70">
      <w:pPr>
        <w:pStyle w:val="ConsPlusNormal"/>
        <w:jc w:val="center"/>
      </w:pPr>
      <w:r>
        <w:t>ИСКЛЮЧЕНИЕМ ЛИЧНЫХ ПОДСОБНЫХ ХОЗЯЙСТВ) (ДАЛЕЕ - ПОРЯДОК)</w:t>
      </w:r>
    </w:p>
    <w:p w:rsidR="00EA1F70" w:rsidRDefault="00EA1F70" w:rsidP="00EA1F70">
      <w:pPr>
        <w:pStyle w:val="ConsPlusNormal"/>
        <w:jc w:val="both"/>
      </w:pPr>
    </w:p>
    <w:p w:rsidR="00EA1F70" w:rsidRDefault="00EA1F70" w:rsidP="00EA1F70">
      <w:pPr>
        <w:pStyle w:val="ConsPlusNormal"/>
        <w:jc w:val="center"/>
      </w:pPr>
      <w:r>
        <w:t>I. Условия предоставления и размер субсидии</w:t>
      </w:r>
    </w:p>
    <w:p w:rsidR="00EA1F70" w:rsidRDefault="00EA1F70" w:rsidP="00EA1F70">
      <w:pPr>
        <w:pStyle w:val="ConsPlusNormal"/>
        <w:jc w:val="both"/>
      </w:pPr>
    </w:p>
    <w:p w:rsidR="00EA1F70" w:rsidRDefault="00EA1F70" w:rsidP="00EA1F70">
      <w:pPr>
        <w:pStyle w:val="ConsPlusNormal"/>
        <w:ind w:firstLine="540"/>
        <w:jc w:val="both"/>
      </w:pPr>
      <w:r>
        <w:t>1.1. Порядок определяет правила расчета и предоставления субсидии для реализации мероприятия 2.3 "Государственная поддержка малых форм хозяйствования, создания и модернизации объектов агропромышленного комплекса, приобретения техники и оборудования" подпрограммы 2 "Развитие отрасли животноводства" на поддержку малых форм хозяйствования, на развитие материально-технической базы (за исключением личных подсобных хозяйств) (далее - субсидии) из бюджетов муниципальных образований за счет субвенций из бюджета автономного округа.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0" w:name="P461"/>
      <w:bookmarkEnd w:id="0"/>
      <w:r>
        <w:t>1.2. Субсидию предоставляют органы местного самоуправления муниципальных образований автономного округа (далее - Уполномоченный орган) с целью возмещения затрат (недополученных доходов) по следующим направлениям: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1" w:name="P462"/>
      <w:bookmarkEnd w:id="1"/>
      <w:r>
        <w:t>капитальное строительство сельскохозяйственных объектов, объектов перерабатывающих производств сельскохозяйственной продукции;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2" w:name="P463"/>
      <w:bookmarkEnd w:id="2"/>
      <w:r>
        <w:t>модернизация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приобретение сельскохозяйственной техники из перечня, утвержденного Департаментом промышленности автономного округа (далее - Департамент), и (или) соответствующей требованиям, установленным </w:t>
      </w:r>
      <w:hyperlink r:id="rId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года N 719 "О подтверждении производства промышленной продукции на территории Российской Федерации", оборудования, средств механизации и автоматизации сельскохозяйственных производств;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приобретение оборудования для перерабатывающих производств сельскохозяйственной продукции;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строительство, модернизация,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приобретение мобильных высокотехнологичных убойных пунктов с целью сбора эндокринно-ферментного и специального сырья при убое оленей (для оленеводческих организаций, занимающихся первичной переработкой мяса, иных продуктов убоя, побочного сырья (субпродуктов, крови, рогов, кожевенного и другого технического сырья)) - для юридических лиц - оленеводческих организаций.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Уполномоченный орган доводит Получателю значения показателей результативности использования субсидии, установленные соглашением о предоставлении субсидии, </w:t>
      </w:r>
      <w:r>
        <w:lastRenderedPageBreak/>
        <w:t>предусматривающие увеличение не менее чем на 0,5 процентов по отношению к отчетному финансовому году объемов собственного производства сельскохозяйственной продукции, поголовья сельскохозяйственных животных (птицы) по направлениям производственной деятельности, осуществляемым Получателем. Для Получателей, не осуществляющих производственную деятельность в отчетном финансовом году, доводятся показатели результативности использования субсидии с учетом средней продуктивности сельскохозяйственных животных (птицы) по муниципальному образованию (далее - продуктивность). Сведения о продуктивности устанавливаются в соответствии с отчетными данными, представляемыми в Уполномоченный орган Получателями, осуществляющими деятельность на территории муниципального образования.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3" w:name="P469"/>
      <w:bookmarkEnd w:id="3"/>
      <w:r>
        <w:t>1.3. Субсидия предоставляется сельскохозяйственным товаропроизводителям: крестьянским (фермерским) хозяйствам; сельскохозяйственным потребительским и производственным кооперативам; индивидуальным предпринимателям; юридическим лицам - оленеводческим организациям независимо от организационно-правовых форм, племенным организациям (далее - Получатели).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Юридическим лицам - оленеводческим организациям независимо от организационно-правовых форм субсидии предоставляются на приобретение мобильных высокотехнологичных убойных пунктов с целью сбора эндокринно-ферментного и специального сырья при убое оленей.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В целях реализации Порядка к возмещению относятся затраты за текущий финансовый год, отчетный финансовый год и год, предшествующий отчетному финансовому году.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В целях предоставления субсидии применяются следующие понятия: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сельскохозяйственный объект - объект капитального строительства, предназначенный для содержания и хозяйственного использования сельскохозяйственных животных (крупного или мелкого рогатого скота, свиней, лошадей, сельскохозяйственной птицы (за исключением экзотических пород), теплицы круглогодичного выращивания овощных и зеленных культур - с целью производства сельскохозяйственной продукции для последующей реализации, объект капитального строительства, предназначенный для хозяйственного использования в целях хранения овощей (картофеля) и соответствующий следующим характеристикам: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общая полезная площадь - не менее 650 метров квадратных (для животноводческих объектов и теплиц круглогодичного выращивания овощных и зеленных культур);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наличие действующих механизированных или автоматизированных систем поения и кормления сельскохозяйственных животных, уборки навоза (для животноводческих объектов, за исключением объектов по содержанию мелкого рогатого скота), управления микроклиматом при подключении к электроснабжению, водоснабжению, системе канализации или утилизации навоза (для животноводческих объектов);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наличие действующей механизированной или автоматизированной системы доения (для крупного или мелкого рогатого скота молочной специализации) при подключении к электроснабжению, водоснабжению;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наличие действующих механизированных или автоматизированных систем управления микроклиматом при подключении к электроснабжению (для овощехранилищ (картофелехранилищ));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наличие действующих автоматизированных систем полива и подкормки, управления микроклиматом при подключении к электроснабжению, водоснабжению (для теплиц круглогодичного выращивания овощных и зеленных культур);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вместимость не менее 50 тонн продукции (для овощехранилищ (картофелехранилищ)).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lastRenderedPageBreak/>
        <w:t>Объект перерабатывающих производств сельскохозяйственной продукции - объект капитального строительства, предназначенный для первичной и (или) последующей промышленной переработки сельскохозяйственной продукции, произведенной на территории автономного округа, для последующей реализации и соответствующий следующим характеристикам: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количество наименований производимой пищевой продукции, имеющей действующую декларацию о соответствии (сертификат соответствия), произведенной из сельскохозяйственного сырья, - не менее 10 единиц;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общая полезная площадь - не менее 150 метров квадратных;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наличие действующего подключения к электроснабжению, водоснабжению, системе канализации или утилизации отходов;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наличие действующего санитарно-эпидемиологического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санитарно-эпидемиологической экспертизы о соответствии требованиям санитарных норм и правил.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Мобильный высокотехнологичный убойный пункт с целью сбора эндокринно-ферментного и специального сырья при убое оленей: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наличие действующих механизированных или автоматизированных систем, предназначенных для убоя оленей на месте их выращивания;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наличие оборудования для сбора и хранения эндокринно-ферментного и специального сырья.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Модернизация - комплекс мероприятий, предусматривающий обновление функционально устаревшего планировочного и (или) технологического решения существующего объекта, которые приводят к улучшению (повышению) первоначально принятых нормативных показателей функционирования объекта, его технического уровня и появлению у него новых экономических характеристик, превышающих первоначальные на 30 и более процентов.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Размер субсидии, предоставляемой Уполномоченным органом в текущем финансовом году каждому Получателю, рассчитывается по формуле:</w:t>
      </w:r>
    </w:p>
    <w:p w:rsidR="00EA1F70" w:rsidRDefault="00EA1F70" w:rsidP="00EA1F70">
      <w:pPr>
        <w:pStyle w:val="ConsPlusNormal"/>
        <w:jc w:val="both"/>
      </w:pPr>
    </w:p>
    <w:p w:rsidR="00EA1F70" w:rsidRDefault="00EA1F70" w:rsidP="00EA1F70">
      <w:pPr>
        <w:pStyle w:val="ConsPlusNormal"/>
        <w:ind w:firstLine="540"/>
        <w:jc w:val="both"/>
      </w:pPr>
      <w:r>
        <w:rPr>
          <w:noProof/>
          <w:position w:val="-22"/>
        </w:rPr>
        <w:drawing>
          <wp:inline distT="0" distB="0" distL="0" distR="0">
            <wp:extent cx="1143000" cy="428625"/>
            <wp:effectExtent l="0" t="0" r="0" b="9525"/>
            <wp:docPr id="1" name="Рисунок 1" descr="base_24478_202723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4478_202723_3277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EA1F70" w:rsidRDefault="00EA1F70" w:rsidP="00EA1F70">
      <w:pPr>
        <w:pStyle w:val="ConsPlusNormal"/>
        <w:jc w:val="both"/>
      </w:pPr>
    </w:p>
    <w:p w:rsidR="00EA1F70" w:rsidRDefault="00EA1F70" w:rsidP="00EA1F70">
      <w:pPr>
        <w:pStyle w:val="ConsPlusNormal"/>
        <w:ind w:firstLine="540"/>
        <w:jc w:val="both"/>
      </w:pPr>
      <w:proofErr w:type="spellStart"/>
      <w:r>
        <w:t>Vi</w:t>
      </w:r>
      <w:proofErr w:type="spellEnd"/>
      <w:r>
        <w:t xml:space="preserve"> - размер субсидии на поддержку малых форм хозяйствования в текущем финансовом году, предоставляемых Уполномоченным органом для отдельного Получателя;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proofErr w:type="spellStart"/>
      <w:r>
        <w:t>Vis</w:t>
      </w:r>
      <w:proofErr w:type="spellEnd"/>
      <w:r>
        <w:t xml:space="preserve"> - размер субсидии на поддержку малых форм хозяйствования в текущем финансовом году на основании заявления отдельного Получателя;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proofErr w:type="spellStart"/>
      <w:r>
        <w:t>Vмоs</w:t>
      </w:r>
      <w:proofErr w:type="spellEnd"/>
      <w:r>
        <w:t xml:space="preserve"> - общий размер субсидий на поддержку малых форм хозяйствования в текущем финансовом году на основании заявлений всех Получателей отдельного муниципального образования;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proofErr w:type="spellStart"/>
      <w:r>
        <w:t>Vмо</w:t>
      </w:r>
      <w:proofErr w:type="spellEnd"/>
      <w:r>
        <w:t xml:space="preserve"> - размер субвенций, предоставляемых отдельному муниципальному образованию из бюджета автономного округа для осуществления переданного полномочия на поддержку малых форм хозяйствования.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Субсидия предоставляется в размере 50 процентов от произведенных фактических затрат, но </w:t>
      </w:r>
      <w:r>
        <w:lastRenderedPageBreak/>
        <w:t>не более 3000 тыс. рублей на 1 объект капитального строительства, электроснабжения, водоснабжения, газоснабжения, их модернизации; не более 3000 тыс. рублей на 1 мобильный высокотехнологичный убойный пункт с целью сбора эндокринно-ферментного и специального сырья при убое оленей - для юридических лиц - оленеводческих организаций; не более 1000 тыс. рублей на приобретение 1 комплекта сельскохозяйственного оборудования, 1 единицы или 1 комплекта оборудования для перерабатывающих производств сельскохозяйственной продукции; не более 500 тыс. рублей на приобретение 1 единицы сельскохозяйственной техники, средств механизации, автоматизации сельскохозяйственных производств.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1.4. Требования, которым должны соответствовать Получатели на 15-е число месяца, предшествующего месяцу регистрации заявления о предоставлении субсидии: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отсутствие просроченной задолженности по возврату в бюджет муниципального образования субсидии,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Получатели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Получатели - индивидуальные предприниматели не должны прекратить деятельность в качестве индивидуального предпринимателя (на основании информации, содержащейся в Едином федеральном реестре сведений о банкротстве, размещенной в открытом доступе в сети интернет по адресу "https://bankrot.fedresurs.ru/");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не должны получать средства из бюджета автономного округа на основании иных нормативных правовых актов или муниципальных правовых актов на цели, указанные в </w:t>
      </w:r>
      <w:hyperlink w:anchor="P461" w:history="1">
        <w:r>
          <w:rPr>
            <w:color w:val="0000FF"/>
          </w:rPr>
          <w:t>пункте 1.2</w:t>
        </w:r>
      </w:hyperlink>
      <w:r>
        <w:t xml:space="preserve"> Порядка;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наполняемость имеющихся животноводческих помещений (зданий, сооружений) сельскохозяйственными животными (птицей) соответствующего вида менее 90 процентов расчетной вместимости (при предоставлении государственной поддержки на капитальное строительство и модернизацию животноводческих сельскохозяйственных объектов).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4" w:name="P505"/>
      <w:bookmarkEnd w:id="4"/>
      <w:r>
        <w:t>1.5. Критерии отбора Получателей: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осуществление Получателем деятельности в автономном округе 12 и более месяцев;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проведение ежегодных обязательных ветеринарных профилактических обработок (мероприятий) имеющегося поголовья сельскохозяйственных животных;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наличие поголовья сельскохозяйственных животных.</w:t>
      </w:r>
    </w:p>
    <w:p w:rsidR="00EA1F70" w:rsidRDefault="00EA1F70" w:rsidP="00EA1F70">
      <w:pPr>
        <w:pStyle w:val="ConsPlusNormal"/>
        <w:jc w:val="both"/>
      </w:pPr>
    </w:p>
    <w:p w:rsidR="00EA1F70" w:rsidRDefault="00EA1F70" w:rsidP="00EA1F70">
      <w:pPr>
        <w:pStyle w:val="ConsPlusNormal"/>
        <w:jc w:val="center"/>
      </w:pPr>
      <w:r>
        <w:lastRenderedPageBreak/>
        <w:t>II. Правила предоставления субсидии</w:t>
      </w:r>
    </w:p>
    <w:p w:rsidR="00EA1F70" w:rsidRDefault="00EA1F70" w:rsidP="00EA1F70">
      <w:pPr>
        <w:pStyle w:val="ConsPlusNormal"/>
        <w:jc w:val="both"/>
      </w:pPr>
    </w:p>
    <w:p w:rsidR="00EA1F70" w:rsidRDefault="00EA1F70" w:rsidP="00EA1F70">
      <w:pPr>
        <w:pStyle w:val="ConsPlusNormal"/>
        <w:ind w:firstLine="540"/>
        <w:jc w:val="both"/>
      </w:pPr>
      <w:bookmarkStart w:id="5" w:name="P512"/>
      <w:bookmarkEnd w:id="5"/>
      <w:r>
        <w:t>2.1. Уполномоченный орган размещает информацию о порядке, сроках предоставления, наличии лимитов субсидии на своем официальном сайте (далее - Сайт) не позднее 31 января текущего финансового года.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На Сайте также размещает информацию о размерах субсидии, формах и перечне документов, необходимых для представления в Уполномоченный орган, форму Соглашения.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Получатели представляют в Уполномоченный орган до 10 декабря текущего финансового года: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6" w:name="P515"/>
      <w:bookmarkEnd w:id="6"/>
      <w:r>
        <w:t>2.1.1. На капитальное строительство сельскохозяйственных объектов, объектов перерабатывающих производств сельскохозяйственной продукции; на модернизацию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 на строительство, модернизацию,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а) при выполнении работ подрядным способом: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7" w:name="P517"/>
      <w:bookmarkEnd w:id="7"/>
      <w:r>
        <w:t>заявление о предоставлении субсидии по форме, установленной Уполномоченным органом;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справку-расчет субсидии на поддержку малых форм хозяйствования, на развитие материально-технической базы (за исключением личных подсобных хозяйств) по форме, установленной Департаментом;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справку-расчет о движении поголовья сельскохозяйственных животных по форме, установленной Департаментом (при наличии поголовья сельскохозяйственных животных и (или) птицы);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8" w:name="P520"/>
      <w:bookmarkEnd w:id="8"/>
      <w:r>
        <w:t>справку о просроченной задолженности по субсидиям, бюджетным инвестициям и иным средствам, предоставленным из бюджета муниципального образования, по форме, установленной финансовым органом муниципального образования автономного округа;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копии договоров на выполнение проектно-изыскательских работ, строительно-монтажных работ;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копию проектно-сметной документации;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копии актов о приемке выполненных работ (форма КС-2);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копии справок о стоимости выполненных работ и затрат (форма КС-3);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копии документов, подтверждающих оплату выполненных работ;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копии документов, подтверждающих членство в саморегулирующей организации строителей подрядчика, выполнившего работы по капитальному строительству сельскохозяйственных объектов, объектов перерабатывающих производств сельскохозяйственной продукции; модернизации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 на строительство, модернизацию,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</w:t>
      </w:r>
      <w:r>
        <w:lastRenderedPageBreak/>
        <w:t>производство и (или) переработку сельскохозяйственной продукции, с допуском к видам выполненных работ;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копии сертификатов качества и (или) паспорта (технического формуляра) изделия на строительные материалы, оборудование и комплектующие, использованные при строительстве (модернизации) (за исключением пиломатериалов);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копии документов, подтверждающих понесенные затраты с приложением копий договоров, накладных на приобретение строительных материалов, платежных документов (накладные расходы и плановые накопления в стоимость работ не включаются и не оплачиваются), переданных подрядной организации в соответствии с договором на выполнение строительно-монтажных работ.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9" w:name="P529"/>
      <w:bookmarkEnd w:id="9"/>
      <w: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(далее - организация) с указанием должности, фамилии и инициалов, даты заверения, оттиском печати организации (при наличии) на каждом листе документа;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б) при выполнении работ собственными силами: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10" w:name="P531"/>
      <w:bookmarkEnd w:id="10"/>
      <w:r>
        <w:t>заявление о предоставлении субсидии по форме, установленной Уполномоченным органом;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справку-расчет субсидии на поддержку малых форм хозяйствования, на развитие материально-технической базы (за исключением личных подсобных хозяйств) по форме, установленной Департаментом;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справку-расчет о движении поголовья сельскохозяйственных животных по форме, установленной Департаментом (при наличии поголовья сельскохозяйственных животных и (или) птицы);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11" w:name="P534"/>
      <w:bookmarkEnd w:id="11"/>
      <w:r>
        <w:t>справку о просроченной задолженности по субсидиям, бюджетным инвестициям и иным средствам, предоставленным из бюджета муниципального образования, по форме, установленной финансовым органом муниципального образования автономного округа;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копии документов, подтверждающих понесенные затраты, с приложением копий договоров, накладных на приобретение строительных материалов, платежных документов (накладные расходы и плановые накопления в стоимость работ не включаются и не оплачиваются);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копии сертификатов качества и (или) паспорта (технического формуляра) изделия на строительные материалы, оборудование и комплектующие, использованные при строительстве (модернизации) (за исключением пиломатериалов).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12" w:name="P537"/>
      <w:bookmarkEnd w:id="12"/>
      <w: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(далее - организация) с указанием должности, фамилии и инициалов, даты заверения, оттиском печати организации (при наличии) на каждом листе документа.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13" w:name="P538"/>
      <w:bookmarkEnd w:id="13"/>
      <w:r>
        <w:t>2.1.2. На приобретение сельскохозяйственной техники и оборудования, средств механизации и автоматизации сельскохозяйственных производств; на приобретение оборудования для перерабатывающих производств сельскохозяйственной продукции, на приобретение мобильных высокотехнологичных убойных пунктов с целью сбора эндокринно-ферментного и специального сырья при убое оленей: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14" w:name="P539"/>
      <w:bookmarkEnd w:id="14"/>
      <w:r>
        <w:t>заявление о предоставлении субсидии по форме, установленной Уполномоченным органом;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справку-расчет субсидии на поддержку малых форм хозяйствования, на развитие </w:t>
      </w:r>
      <w:r>
        <w:lastRenderedPageBreak/>
        <w:t>материально-технической базы (за исключением личных подсобных хозяйств) по форме, установленной Департаментом;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справку-расчет о движении поголовья сельскохозяйственных животных по формам, установленным Департаментом (при наличии поголовья сельскохозяйственных животных и (или) птицы);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15" w:name="P542"/>
      <w:bookmarkEnd w:id="15"/>
      <w:r>
        <w:t>справку об отсутствии просроченной задолженности по субсидиям, бюджетным инвестициям и иным средствам, предоставленным из бюджета муниципального образования, по форме, установленной финансовым органом муниципального образования;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копии документов, подтверждающих приобретение техники, оборудования, средств механизации и автоматизации (договоры, накладные, акты приема-передачи, платежные документы, подтверждающие фактические затраты);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копию технического паспорта сельскохозяйственной техники (самоходной машины) с отметкой о государственной регистрации, оборудования, средств механизации и автоматизации сельскохозяйственных производств;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копию паспорта транспортного средства (при наличии);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копию свидетельства о регистрации транспортного средства (при наличии).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16" w:name="P547"/>
      <w:bookmarkEnd w:id="16"/>
      <w: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(далее - организация) с указанием должности, фамилии и инициалов, даты заверения, оттиском печати организации (при наличии) на каждом листе документа.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2.2. Уполномоченный орган формирует единый список Получателей на текущий и очередной финансовый годы в хронологической последовательности согласно дате и времени регистрации заявления о предоставлении субсидии и прилагаемых к нему документов, указанных в </w:t>
      </w:r>
      <w:hyperlink w:anchor="P512" w:history="1">
        <w:r>
          <w:rPr>
            <w:color w:val="0000FF"/>
          </w:rPr>
          <w:t>пункте 2.1</w:t>
        </w:r>
      </w:hyperlink>
      <w:r>
        <w:t xml:space="preserve"> Порядка (далее - документы).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В случае недостаточности лимитов субсидии на ее выплату в полном объеме она в приоритетном порядке выплачивается Получателям, заявления которых зарегистрированы ранее по времени и дате.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Должностное лицо Уполномоченного органа, ответственное за прием документов, в течение 1 рабочего дня с даты поступления (доставленных непосредственно, через многофункциональный центр предоставления государственных и муниципальных услуг, или почтовой связью) регистрирует их и передает должностному лицу Уполномоченного органа, ответственному за рассмотрение документов, в течение 1 рабочего дня с даты их регистрации.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Способом фиксации результата регистрации документов ответственным должностным лицом Уполномоченного органа является направление Получателю уведомления о регистрации документов (далее - уведомление).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Уведомление вручает Получателю лично или направляет посредством почтовой связи, подписанное руководителем Уполномоченного органа или лицом, его замещающим, в течение 2 рабочих дней с даты регистрации документов.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При поступлении документов в электронной форме посредством федеральной государственной информационной системы "Единый портал государственных и муниципальных услуг (функций)", региональной информационной системы "Портал государственных и муниципальных услуг Ханты-Мансийского автономного округа - Югры", в том числе посредством автоматизированной информационно-аналитической системы агропромышленного комплекса </w:t>
      </w:r>
      <w:r>
        <w:lastRenderedPageBreak/>
        <w:t>автономного округа (далее - Портал), прием и регистрация документов обеспечивается без необходимости их дополнительной подачи в какой-либо иной форме.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Форматно-логическая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документов.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документа, подписанного электронной подписью, подтверждающее прием документов, с указанием присвоенного Получателю уникального номера, по которому в соответствующем разделе Портала Получателю будет представлена информация о ходе рассмотрения документов.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После регистрации документов, поданных Получателем посредством Портала, должностное лицо Уполномоченного органа, ответственное за предоставление государственной услуги, статус документов в личном кабинете Получателя обновляет до статуса "принято".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2.3. Требовать от Получателя представления документов, не предусмотренных Порядком, не допускается.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2.4. Документы, предусмотренные в </w:t>
      </w:r>
      <w:hyperlink w:anchor="P512" w:history="1">
        <w:r>
          <w:rPr>
            <w:color w:val="0000FF"/>
          </w:rPr>
          <w:t>пункте 2.1</w:t>
        </w:r>
      </w:hyperlink>
      <w:r>
        <w:t xml:space="preserve"> Порядка, представляются в Уполномоченный орган одним из следующих способов: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1) сформированными в 1 прошнурованный и пронумерованный комплект непосредственно, почтовым отправлением или через многофункциональный центр предоставления государственных и муниципальных услуг. Наименования, номера и даты представленных документов, количество листов в них вносятся в опись, составляемую в 2 экземплярах (первый экземпляр описи с отметкой о дате, времени и должностном лице, принявшем их, остается у Получателя, второй (копия) прилагается к представленным документам);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2) в электронной форме - с использованием Портала.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2.5. Уполномоченный орган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следующие документы (сведения):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сведения об отсутствии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(в органе местного самоуправления муниципального образования автономного округа);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выписку из Единого государственного реестра недвижимости о правах отдельного лица на </w:t>
      </w:r>
      <w:r>
        <w:lastRenderedPageBreak/>
        <w:t xml:space="preserve">имевшиеся (имеющиеся) у него объекты недвижимости (в Федеральной службе государственной регистрации, кадастра и картографии) - при предоставлении государственной поддержки в соответствии с </w:t>
      </w:r>
      <w:hyperlink w:anchor="P462" w:history="1">
        <w:r>
          <w:rPr>
            <w:color w:val="0000FF"/>
          </w:rPr>
          <w:t>абзацами вторым</w:t>
        </w:r>
      </w:hyperlink>
      <w:r>
        <w:t xml:space="preserve">, </w:t>
      </w:r>
      <w:hyperlink w:anchor="P463" w:history="1">
        <w:r>
          <w:rPr>
            <w:color w:val="0000FF"/>
          </w:rPr>
          <w:t>третьим пункта 1.2</w:t>
        </w:r>
      </w:hyperlink>
      <w:r>
        <w:t xml:space="preserve"> Порядка);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документы, подтверждающие отсутствие выплат средств бюджета муниципального образования на основании иных нормативных правовых актов или муниципальных правовых актов, - на цели, указанные в </w:t>
      </w:r>
      <w:hyperlink w:anchor="P461" w:history="1">
        <w:r>
          <w:rPr>
            <w:color w:val="0000FF"/>
          </w:rPr>
          <w:t>пункте 1.2</w:t>
        </w:r>
      </w:hyperlink>
      <w:r>
        <w:t xml:space="preserve"> Порядка (в органе местного самоуправления муниципального образования автономного округа);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Ветеринарной службе автономного округа для Получателей, имеющих в наличии поголовье сельскохозяйственных животных и птицы);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при предоставлении государственной поддержки на капитальное строительство сельскохозяйственных объектов и (или) модернизацию сельскохозяйственных объектов в соответствии с </w:t>
      </w:r>
      <w:hyperlink w:anchor="P462" w:history="1">
        <w:r>
          <w:rPr>
            <w:color w:val="0000FF"/>
          </w:rPr>
          <w:t>абзацами вторым</w:t>
        </w:r>
      </w:hyperlink>
      <w:r>
        <w:t xml:space="preserve">, </w:t>
      </w:r>
      <w:hyperlink w:anchor="P463" w:history="1">
        <w:r>
          <w:rPr>
            <w:color w:val="0000FF"/>
          </w:rPr>
          <w:t>третьим пункта 1.2</w:t>
        </w:r>
      </w:hyperlink>
      <w:r>
        <w:t xml:space="preserve"> Порядка документы, подтверждающие наполняемость имеющихся животноводческих помещений (зданий, сооружений) сельскохозяйственными животными (птицей) соответствующего вида не менее 90 процентов расчетной вместимости.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2.6. Уполномоченный орган в течение 10 рабочих дней с даты регистрации документов, указанных в </w:t>
      </w:r>
      <w:hyperlink w:anchor="P512" w:history="1">
        <w:r>
          <w:rPr>
            <w:color w:val="0000FF"/>
          </w:rPr>
          <w:t>пункте 2.1</w:t>
        </w:r>
      </w:hyperlink>
      <w:r>
        <w:t xml:space="preserve"> Порядка, осуществляет их проверку на предмет достоверности, а также проверку Получателя на соответствие требованиям, установленным </w:t>
      </w:r>
      <w:hyperlink w:anchor="P469" w:history="1">
        <w:r>
          <w:rPr>
            <w:color w:val="0000FF"/>
          </w:rPr>
          <w:t>пунктами 1.3</w:t>
        </w:r>
      </w:hyperlink>
      <w:r>
        <w:t xml:space="preserve"> - </w:t>
      </w:r>
      <w:hyperlink w:anchor="P505" w:history="1">
        <w:r>
          <w:rPr>
            <w:color w:val="0000FF"/>
          </w:rPr>
          <w:t>1.5</w:t>
        </w:r>
      </w:hyperlink>
      <w:r>
        <w:t xml:space="preserve"> Порядка.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По результатам проверки Уполномоченный орган в течение 3 рабочих дней с момента ее завершения принимает решение о предоставлении субсидии или об отказе в ее предоставлении.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Решение о предоставлении субсидии или об отказе в ее предоставлении оформляет правовым актом Уполномоченный орган.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Основанием для перечисления субсидии является соглашение о предоставлении субсидии (далее - Соглашение), заключенное между Уполномоченным органом и Получателем.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17" w:name="P573"/>
      <w:bookmarkEnd w:id="17"/>
      <w:r>
        <w:t>2.7. В течение 3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Соглашения) для подписания с его стороны.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18" w:name="P574"/>
      <w:bookmarkEnd w:id="18"/>
      <w:r>
        <w:t>Получатель в течение 5 рабочих дней с даты получения Соглашения подписывает и представляет его в Уполномоченный орган лично или почтовым отправлением. Получатель,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2.8. Соглашение заключается по форме, установленной финансовым органом муниципального образования автономного округа.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2.9. Соглашение должно содержать следующие положения: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значения показателей результативности;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направления затрат, на возмещение которых предоставляется субсидия;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согласие Получателя на осуществление Уполномоченным органом и (или) органами </w:t>
      </w:r>
      <w:r>
        <w:lastRenderedPageBreak/>
        <w:t>государственного (муниципального) финансового контроля проверок соблюдения Получателем целей, условий и порядка предоставления субсидии;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порядок контроля соблюдения Получателем условий Соглашения;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порядок, сроки и состав отчетности Получателя об использовании субсидии;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план контрольных мероприятий;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порядок возврата средств субсидии в случае выявления ее нецелевого использования, представления недостоверных сведений, ненадлежащего исполнения Соглашения;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расчет размера штрафных санкций.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2.10.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уведомление, подписанное руководителем Уполномоченного органа или лицом, его замещающим, с указанием причин отказа почтовым отправлением или вручает лично.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bookmarkStart w:id="19" w:name="P586"/>
      <w:bookmarkEnd w:id="19"/>
      <w:r>
        <w:t>2.11. Основаниями для отказа в предоставлении субсидии являются: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подписание Соглашения ненадлежащим лицом (не являющимся руководителем Получателя и не имеющим доверенность на право подписи финансовых документов (договоров) от имени Получателя);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добровольный письменный отказ Получателя от субсидии;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отсутствие лимитов, предусмотренных для предоставления субсидии в бюджете муниципального образования;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представление Соглашения с нарушением установленной формы;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нарушение Получателем срока представления в Уполномоченный орган подписанного Соглашения, установленного </w:t>
      </w:r>
      <w:hyperlink w:anchor="P574" w:history="1">
        <w:r>
          <w:rPr>
            <w:color w:val="0000FF"/>
          </w:rPr>
          <w:t>абзацем вторым пункта 2.7</w:t>
        </w:r>
      </w:hyperlink>
      <w:r>
        <w:t xml:space="preserve"> Порядка;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добровольный письменный отказ Получателя от субсидии;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непредставление Получателем документов (представление не полном объеме), указанных в </w:t>
      </w:r>
      <w:hyperlink w:anchor="P515" w:history="1">
        <w:r>
          <w:rPr>
            <w:color w:val="0000FF"/>
          </w:rPr>
          <w:t>подпунктах 2.1.1</w:t>
        </w:r>
      </w:hyperlink>
      <w:r>
        <w:t xml:space="preserve">, </w:t>
      </w:r>
      <w:hyperlink w:anchor="P538" w:history="1">
        <w:r>
          <w:rPr>
            <w:color w:val="0000FF"/>
          </w:rPr>
          <w:t>2.1.2 пункта 2.1</w:t>
        </w:r>
      </w:hyperlink>
      <w:r>
        <w:t xml:space="preserve">, </w:t>
      </w:r>
      <w:hyperlink w:anchor="P573" w:history="1">
        <w:r>
          <w:rPr>
            <w:color w:val="0000FF"/>
          </w:rPr>
          <w:t>2.7</w:t>
        </w:r>
      </w:hyperlink>
      <w:r>
        <w:t xml:space="preserve"> Порядка;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представление документов с нарушением требований к их оформлению, в соответствии с </w:t>
      </w:r>
      <w:hyperlink w:anchor="P517" w:history="1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520" w:history="1">
        <w:r>
          <w:rPr>
            <w:color w:val="0000FF"/>
          </w:rPr>
          <w:t>шестым</w:t>
        </w:r>
      </w:hyperlink>
      <w:r>
        <w:t xml:space="preserve">, </w:t>
      </w:r>
      <w:hyperlink w:anchor="P529" w:history="1">
        <w:r>
          <w:rPr>
            <w:color w:val="0000FF"/>
          </w:rPr>
          <w:t>пятнадцатым</w:t>
        </w:r>
      </w:hyperlink>
      <w:r>
        <w:t xml:space="preserve">, </w:t>
      </w:r>
      <w:hyperlink w:anchor="P531" w:history="1">
        <w:r>
          <w:rPr>
            <w:color w:val="0000FF"/>
          </w:rPr>
          <w:t>семнадцатым</w:t>
        </w:r>
      </w:hyperlink>
      <w:r>
        <w:t xml:space="preserve"> - </w:t>
      </w:r>
      <w:hyperlink w:anchor="P534" w:history="1">
        <w:r>
          <w:rPr>
            <w:color w:val="0000FF"/>
          </w:rPr>
          <w:t>двадцатым</w:t>
        </w:r>
      </w:hyperlink>
      <w:r>
        <w:t xml:space="preserve">, </w:t>
      </w:r>
      <w:hyperlink w:anchor="P537" w:history="1">
        <w:r>
          <w:rPr>
            <w:color w:val="0000FF"/>
          </w:rPr>
          <w:t>двадцать третьим подпункта 2.1.1 пункта 2.1</w:t>
        </w:r>
      </w:hyperlink>
      <w:r>
        <w:t xml:space="preserve"> Порядка, </w:t>
      </w:r>
      <w:hyperlink w:anchor="P539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542" w:history="1">
        <w:r>
          <w:rPr>
            <w:color w:val="0000FF"/>
          </w:rPr>
          <w:t>пятым</w:t>
        </w:r>
      </w:hyperlink>
      <w:r>
        <w:t xml:space="preserve">, </w:t>
      </w:r>
      <w:hyperlink w:anchor="P547" w:history="1">
        <w:r>
          <w:rPr>
            <w:color w:val="0000FF"/>
          </w:rPr>
          <w:t>десятым подпункта 2.1.2 пункта 2.1</w:t>
        </w:r>
      </w:hyperlink>
      <w:r>
        <w:t xml:space="preserve"> Порядка;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недостоверность представленной Получателем информации;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несоответствие Получателя требованиям, установленным </w:t>
      </w:r>
      <w:hyperlink w:anchor="P469" w:history="1">
        <w:r>
          <w:rPr>
            <w:color w:val="0000FF"/>
          </w:rPr>
          <w:t>пунктами 1.3</w:t>
        </w:r>
      </w:hyperlink>
      <w:r>
        <w:t xml:space="preserve"> - </w:t>
      </w:r>
      <w:hyperlink w:anchor="P505" w:history="1">
        <w:r>
          <w:rPr>
            <w:color w:val="0000FF"/>
          </w:rPr>
          <w:t>1.5</w:t>
        </w:r>
      </w:hyperlink>
      <w:r>
        <w:t xml:space="preserve"> Порядка, несоответствие предоставленной субсидии направлениям, установленным </w:t>
      </w:r>
      <w:hyperlink w:anchor="P461" w:history="1">
        <w:r>
          <w:rPr>
            <w:color w:val="0000FF"/>
          </w:rPr>
          <w:t>пунктом 1.2</w:t>
        </w:r>
      </w:hyperlink>
      <w:r>
        <w:t xml:space="preserve"> Порядка;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предоставление Получателю на строительство, приобретение, модернизацию заявленного объекта других видов государственной поддержки, включая грант на развитие малого и среднего предпринимательства, грант на создание и развитие крестьянского (фермерского) хозяйства, грант на развитие семейной животноводческой фермы на базе крестьянского (фермерского) хозяйства;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год изготовления и (или) начала эксплуатации приобретенных сельскохозяйственной техники и оборудования, средств механизации и автоматизации сельскохозяйственных производств, оборудования для перерабатывающих производств сельскохозяйственной продукции ранее </w:t>
      </w:r>
      <w:r>
        <w:lastRenderedPageBreak/>
        <w:t>отчетного финансового года;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отсутствие государственной регистрации построенных, модернизированных сельскохозяйственных объектов капитального строительства, объектов капитального строительства перерабатывающих производств сельскохозяйственной продукции, объектов электроснабжения, водоснабжения, газоснабжения, обеспечивающих производство и (или) переработку сельскохозяйственной продукции.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2.12. В случае отсутствия оснований, предусмотренных в </w:t>
      </w:r>
      <w:hyperlink w:anchor="P586" w:history="1">
        <w:r>
          <w:rPr>
            <w:color w:val="0000FF"/>
          </w:rPr>
          <w:t>пункте 2.11</w:t>
        </w:r>
      </w:hyperlink>
      <w:r>
        <w:t xml:space="preserve"> Порядка, Уполномоченный орган перечисляет субсидию Получателю в пределах утвержденных бюджетных ассигнований в порядке и на счет, установленный Соглашением. Перечисление субсидии осуществляется в срок не более 10 рабочих дней с даты подписания сторонами Соглашения на расчетный счет Получателя, открытый в кредитной российской организации.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2.13. Уполномоченный орган самостоятельно и (или) совместно с органами государственного финансового контроля осуществляет обязательную проверку соблюдения Получателем целей, условий и порядка предоставления субсидии.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Уполномоченный орган вправе устанавливать сроки и формы представления Получателем отчетности о достижении показателей результативности субсидии, а также об исполнении Получателем взятых на себя обязательств, установленных Соглашением.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Получатель ежемесячно не позднее 5 рабочего дня месяца, следующего за отчетным, представляет в Уполномоченный орган отчет об использовании субсидии по форме, установленной правовым актом Уполномоченного органа.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2.14. Уполномоченный орган не позднее 20-го числа месяца, следующего за отчетным кварталом,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форме, устанавливаемой Департаментом.</w:t>
      </w:r>
    </w:p>
    <w:p w:rsidR="00EA1F70" w:rsidRDefault="00EA1F70" w:rsidP="00EA1F70">
      <w:pPr>
        <w:pStyle w:val="ConsPlusNormal"/>
        <w:jc w:val="both"/>
      </w:pPr>
    </w:p>
    <w:p w:rsidR="00EA1F70" w:rsidRDefault="00EA1F70" w:rsidP="00EA1F70">
      <w:pPr>
        <w:pStyle w:val="ConsPlusNormal"/>
        <w:jc w:val="center"/>
      </w:pPr>
      <w:r>
        <w:t>III. Правила возврата субсидии в случае нарушения условий,</w:t>
      </w:r>
    </w:p>
    <w:p w:rsidR="00EA1F70" w:rsidRDefault="00EA1F70" w:rsidP="00EA1F70">
      <w:pPr>
        <w:pStyle w:val="ConsPlusNormal"/>
        <w:jc w:val="center"/>
      </w:pPr>
      <w:r>
        <w:t>установленных при ее предоставлении</w:t>
      </w:r>
    </w:p>
    <w:p w:rsidR="00EA1F70" w:rsidRDefault="00EA1F70" w:rsidP="00EA1F70">
      <w:pPr>
        <w:pStyle w:val="ConsPlusNormal"/>
        <w:jc w:val="both"/>
      </w:pPr>
    </w:p>
    <w:p w:rsidR="00EA1F70" w:rsidRDefault="00EA1F70" w:rsidP="00EA1F70">
      <w:pPr>
        <w:pStyle w:val="ConsPlusNormal"/>
        <w:ind w:firstLine="540"/>
        <w:jc w:val="both"/>
      </w:pPr>
      <w:bookmarkStart w:id="20" w:name="P609"/>
      <w:bookmarkEnd w:id="20"/>
      <w:r>
        <w:t>3.1. В случае выявления нарушения условий, установленных при предоставлении субсидии, представления Получателем недостоверных сведений, ненадлежащего исполнения Соглашения: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3.1.1. Уполномоченный орган в течение 5 рабочих дней с даты выявления нарушения, указанного в </w:t>
      </w:r>
      <w:hyperlink w:anchor="P609" w:history="1">
        <w:r>
          <w:rPr>
            <w:color w:val="0000FF"/>
          </w:rPr>
          <w:t>пункте 3.1</w:t>
        </w:r>
      </w:hyperlink>
      <w:r>
        <w:t xml:space="preserve"> Порядка, направляет Получателю письменное уведомление о необходимости возврата субсидии (далее - уведомление).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3.1.2. Получатель в течение 30 рабочих дней со дня получения уведомления обязан выполнить требования, указанные в нем.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3.1.3.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3.2. В случае выявления факта </w:t>
      </w:r>
      <w:proofErr w:type="spellStart"/>
      <w:r>
        <w:t>недостижения</w:t>
      </w:r>
      <w:proofErr w:type="spellEnd"/>
      <w:r>
        <w:t xml:space="preserve"> показателей результативности использования субсидии, установленных Соглашением: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3.2.1. Уполномоченный орган в течение 5 рабочих дней направляет Получателю письменное требование о необходимости уплаты штрафов (далее - требование) с указанием сроков оплаты.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Расчет суммы штрафа осуществляется по форме, установленной Соглашением.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 xml:space="preserve">3.2.2. При неоплате Получателем начисленного штрафа в установленный требованием срок, </w:t>
      </w:r>
      <w:r>
        <w:lastRenderedPageBreak/>
        <w:t>Уполномоченный орган обращается в суд в соответствии с законодательством Российской Федерации.</w:t>
      </w:r>
    </w:p>
    <w:p w:rsidR="00EA1F70" w:rsidRDefault="00EA1F70" w:rsidP="00EA1F70">
      <w:pPr>
        <w:pStyle w:val="ConsPlusNormal"/>
        <w:spacing w:before="220"/>
        <w:ind w:firstLine="540"/>
        <w:jc w:val="both"/>
      </w:pPr>
      <w:r>
        <w:t>3.3. Ответственность за достоверность фактических показателей, сведений в представленных документах несет Получатель.</w:t>
      </w:r>
    </w:p>
    <w:p w:rsidR="00EA1F70" w:rsidRDefault="00EA1F70" w:rsidP="00EA1F70">
      <w:pPr>
        <w:pStyle w:val="ConsPlusNormal"/>
        <w:jc w:val="both"/>
      </w:pPr>
    </w:p>
    <w:p w:rsidR="00EA1F70" w:rsidRDefault="00EA1F70" w:rsidP="00EA1F70">
      <w:pPr>
        <w:pStyle w:val="ConsPlusNormal"/>
        <w:jc w:val="both"/>
      </w:pPr>
    </w:p>
    <w:p w:rsidR="00EA1F70" w:rsidRDefault="00EA1F70" w:rsidP="00EA1F70">
      <w:pPr>
        <w:pStyle w:val="ConsPlusNormal"/>
        <w:jc w:val="both"/>
      </w:pPr>
    </w:p>
    <w:p w:rsidR="00EA1F70" w:rsidRDefault="00EA1F70" w:rsidP="00EA1F70">
      <w:pPr>
        <w:pStyle w:val="ConsPlusNormal"/>
        <w:jc w:val="both"/>
      </w:pPr>
    </w:p>
    <w:p w:rsidR="00A473BE" w:rsidRDefault="00A473BE">
      <w:bookmarkStart w:id="21" w:name="_GoBack"/>
      <w:bookmarkEnd w:id="21"/>
    </w:p>
    <w:sectPr w:rsidR="00A4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85"/>
    <w:rsid w:val="003A3085"/>
    <w:rsid w:val="00A473BE"/>
    <w:rsid w:val="00EA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FF227-CAC3-487B-9849-273402DA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FD69C705C274092AFC64C7FCB7B195F18CB101EED0FE214DD59AE863B5E864C41A0947D77F9FC08625A9AF25fC68G" TargetMode="External"/><Relationship Id="rId5" Type="http://schemas.openxmlformats.org/officeDocument/2006/relationships/image" Target="media/image1.wmf"/><Relationship Id="rId4" Type="http://schemas.openxmlformats.org/officeDocument/2006/relationships/hyperlink" Target="consultantplus://offline/ref=B7FD69C705C274092AFC64C7FCB7B195F18DB30DEDD3FE214DD59AE863B5E864C41A0947D77F9FC08625A9AF25fC6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5068</Words>
  <Characters>28890</Characters>
  <Application>Microsoft Office Word</Application>
  <DocSecurity>0</DocSecurity>
  <Lines>240</Lines>
  <Paragraphs>67</Paragraphs>
  <ScaleCrop>false</ScaleCrop>
  <Company/>
  <LinksUpToDate>false</LinksUpToDate>
  <CharactersWithSpaces>33891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Татьяна Семенова</cp:lastModifiedBy>
  <cp:revision>2</cp:revision>
  <dcterms:created xsi:type="dcterms:W3CDTF">2020-02-14T09:38:00Z</dcterms:created>
  <dcterms:modified xsi:type="dcterms:W3CDTF">2020-02-14T09:39:00Z</dcterms:modified>
</cp:coreProperties>
</file>