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41" w:rsidRPr="002A2DC0" w:rsidRDefault="00C66FB5" w:rsidP="00124841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Обзор типовых</w:t>
      </w:r>
      <w:r w:rsidR="00E65EFF">
        <w:rPr>
          <w:rFonts w:ascii="Times New Roman" w:eastAsia="Calibri" w:hAnsi="Times New Roman"/>
          <w:b/>
          <w:sz w:val="26"/>
          <w:szCs w:val="26"/>
        </w:rPr>
        <w:t xml:space="preserve"> нарушени</w:t>
      </w:r>
      <w:r>
        <w:rPr>
          <w:rFonts w:ascii="Times New Roman" w:eastAsia="Calibri" w:hAnsi="Times New Roman"/>
          <w:b/>
          <w:sz w:val="26"/>
          <w:szCs w:val="26"/>
        </w:rPr>
        <w:t>й</w:t>
      </w:r>
      <w:r w:rsidR="005A7DEB">
        <w:rPr>
          <w:rFonts w:ascii="Times New Roman" w:eastAsia="Calibri" w:hAnsi="Times New Roman"/>
          <w:b/>
          <w:sz w:val="26"/>
          <w:szCs w:val="26"/>
        </w:rPr>
        <w:t>,</w:t>
      </w:r>
      <w:r w:rsidR="00124841">
        <w:rPr>
          <w:rFonts w:ascii="Times New Roman" w:eastAsia="Calibri" w:hAnsi="Times New Roman"/>
          <w:b/>
          <w:sz w:val="26"/>
          <w:szCs w:val="26"/>
        </w:rPr>
        <w:t xml:space="preserve"> выявленны</w:t>
      </w:r>
      <w:r>
        <w:rPr>
          <w:rFonts w:ascii="Times New Roman" w:eastAsia="Calibri" w:hAnsi="Times New Roman"/>
          <w:b/>
          <w:sz w:val="26"/>
          <w:szCs w:val="26"/>
        </w:rPr>
        <w:t>х</w:t>
      </w:r>
      <w:r w:rsidR="00124841">
        <w:rPr>
          <w:rFonts w:ascii="Times New Roman" w:eastAsia="Calibri" w:hAnsi="Times New Roman"/>
          <w:b/>
          <w:sz w:val="26"/>
          <w:szCs w:val="26"/>
        </w:rPr>
        <w:t xml:space="preserve"> контрольно-ревизионным </w:t>
      </w:r>
      <w:r w:rsidR="00A71F81">
        <w:rPr>
          <w:rFonts w:ascii="Times New Roman" w:eastAsia="Calibri" w:hAnsi="Times New Roman"/>
          <w:b/>
          <w:sz w:val="26"/>
          <w:szCs w:val="26"/>
        </w:rPr>
        <w:t>отделом администрации города в 202</w:t>
      </w:r>
      <w:r w:rsidR="00905A2C">
        <w:rPr>
          <w:rFonts w:ascii="Times New Roman" w:eastAsia="Calibri" w:hAnsi="Times New Roman"/>
          <w:b/>
          <w:sz w:val="26"/>
          <w:szCs w:val="26"/>
        </w:rPr>
        <w:t>3</w:t>
      </w:r>
      <w:r w:rsidR="00A71F81">
        <w:rPr>
          <w:rFonts w:ascii="Times New Roman" w:eastAsia="Calibri" w:hAnsi="Times New Roman"/>
          <w:b/>
          <w:sz w:val="26"/>
          <w:szCs w:val="26"/>
        </w:rPr>
        <w:t xml:space="preserve"> году </w:t>
      </w:r>
    </w:p>
    <w:p w:rsidR="00124841" w:rsidRDefault="00124841" w:rsidP="00124841">
      <w:pPr>
        <w:tabs>
          <w:tab w:val="left" w:pos="720"/>
          <w:tab w:val="left" w:pos="126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124841" w:rsidRPr="005B0771" w:rsidTr="00082EAE">
        <w:trPr>
          <w:trHeight w:val="447"/>
        </w:trPr>
        <w:tc>
          <w:tcPr>
            <w:tcW w:w="5211" w:type="dxa"/>
            <w:shd w:val="clear" w:color="auto" w:fill="auto"/>
          </w:tcPr>
          <w:p w:rsidR="00124841" w:rsidRPr="00FA1F14" w:rsidRDefault="00124841" w:rsidP="002B4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14">
              <w:rPr>
                <w:rFonts w:ascii="Times New Roman" w:hAnsi="Times New Roman"/>
                <w:sz w:val="24"/>
                <w:szCs w:val="24"/>
              </w:rPr>
              <w:t>Описание нарушения</w:t>
            </w:r>
          </w:p>
        </w:tc>
        <w:tc>
          <w:tcPr>
            <w:tcW w:w="4360" w:type="dxa"/>
            <w:shd w:val="clear" w:color="auto" w:fill="auto"/>
          </w:tcPr>
          <w:p w:rsidR="00124841" w:rsidRPr="00FA1F14" w:rsidRDefault="00124841" w:rsidP="002B4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14">
              <w:rPr>
                <w:rFonts w:ascii="Times New Roman" w:hAnsi="Times New Roman"/>
                <w:sz w:val="24"/>
                <w:szCs w:val="24"/>
              </w:rPr>
              <w:t>Нарушение</w:t>
            </w:r>
          </w:p>
        </w:tc>
      </w:tr>
      <w:tr w:rsidR="00DE039D" w:rsidRPr="00B91672" w:rsidTr="00082EAE">
        <w:trPr>
          <w:trHeight w:val="1018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3D" w:rsidRPr="000F2B4F" w:rsidRDefault="00DE039D" w:rsidP="002B420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Нарушения </w:t>
            </w:r>
            <w:r w:rsidR="000F2B4F">
              <w:rPr>
                <w:rFonts w:ascii="Times New Roman" w:hAnsi="Times New Roman"/>
                <w:b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бюджетн</w:t>
            </w:r>
            <w:r w:rsidR="000F2B4F">
              <w:rPr>
                <w:rFonts w:ascii="Times New Roman" w:hAnsi="Times New Roman"/>
                <w:b/>
                <w:sz w:val="24"/>
                <w:szCs w:val="24"/>
              </w:rPr>
              <w:t xml:space="preserve">ых правоотношений, в том числе </w:t>
            </w:r>
            <w:r w:rsidR="000F2B4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требований к бухгалтерскому учету и составлению и представлению бухгалтерской (финансовой) отчетности государственных (муниципальных) учреждений</w:t>
            </w:r>
          </w:p>
        </w:tc>
      </w:tr>
      <w:tr w:rsidR="00A71F81" w:rsidRPr="00B91672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F81" w:rsidRPr="00B91672" w:rsidRDefault="00B91672" w:rsidP="002B420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72">
              <w:rPr>
                <w:rFonts w:ascii="Times New Roman" w:hAnsi="Times New Roman"/>
                <w:sz w:val="24"/>
                <w:szCs w:val="24"/>
              </w:rPr>
              <w:t xml:space="preserve">Неэффективное расходование </w:t>
            </w:r>
            <w:r w:rsidR="00150E02">
              <w:rPr>
                <w:rFonts w:ascii="Times New Roman" w:hAnsi="Times New Roman"/>
                <w:sz w:val="24"/>
                <w:szCs w:val="24"/>
              </w:rPr>
              <w:t xml:space="preserve">денежных </w:t>
            </w:r>
            <w:r w:rsidRPr="00B91672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F81" w:rsidRPr="00B91672" w:rsidRDefault="00A3769D" w:rsidP="002B420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50E02">
              <w:rPr>
                <w:rFonts w:ascii="Times New Roman" w:hAnsi="Times New Roman"/>
                <w:sz w:val="24"/>
                <w:szCs w:val="24"/>
              </w:rPr>
              <w:t>татья</w:t>
            </w:r>
            <w:r w:rsidR="00B91672" w:rsidRPr="00B91672">
              <w:rPr>
                <w:rFonts w:ascii="Times New Roman" w:hAnsi="Times New Roman"/>
                <w:sz w:val="24"/>
                <w:szCs w:val="24"/>
              </w:rPr>
              <w:t xml:space="preserve"> 34 Бюджетно</w:t>
            </w:r>
            <w:r w:rsidR="005E3DC5"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</w:tr>
      <w:tr w:rsidR="003C489C" w:rsidRPr="005B0771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Default="003C489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Неправомерные расходы на выплату </w:t>
            </w:r>
            <w:r w:rsidRPr="00FF6138">
              <w:rPr>
                <w:rFonts w:ascii="Times New Roman" w:hAnsi="Times New Roman"/>
                <w:sz w:val="24"/>
                <w:szCs w:val="24"/>
              </w:rPr>
              <w:t>компенсации расходов на оплату проезда к месту отдыха и обратно</w:t>
            </w:r>
            <w:r w:rsidR="00BD2C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489C" w:rsidRPr="00A53526" w:rsidRDefault="003C489C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FA1F14" w:rsidRDefault="00B771D4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Нормы </w:t>
            </w:r>
            <w:r w:rsidR="003C489C" w:rsidRPr="00FF6138">
              <w:rPr>
                <w:rFonts w:ascii="Times New Roman" w:hAnsi="Times New Roman"/>
                <w:sz w:val="24"/>
                <w:szCs w:val="24"/>
              </w:rPr>
              <w:t>Положения о компенсации расходов на оплату стоимости проезда и провоза багажа к месту использования отпуска и обратно лиц, работающих в органах местного самоуправления и муниципальных учреждений города Пыть-Яха,</w:t>
            </w:r>
            <w:r w:rsidR="007A3567">
              <w:rPr>
                <w:rFonts w:ascii="Times New Roman" w:hAnsi="Times New Roman"/>
                <w:sz w:val="24"/>
                <w:szCs w:val="24"/>
              </w:rPr>
              <w:t xml:space="preserve"> утвержденного</w:t>
            </w:r>
            <w:r w:rsidR="003C489C" w:rsidRPr="00FF6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567">
              <w:rPr>
                <w:rFonts w:ascii="Times New Roman" w:hAnsi="Times New Roman"/>
                <w:sz w:val="24"/>
                <w:szCs w:val="24"/>
              </w:rPr>
              <w:t>р</w:t>
            </w:r>
            <w:r w:rsidR="003C489C">
              <w:rPr>
                <w:rFonts w:ascii="Times New Roman" w:hAnsi="Times New Roman"/>
                <w:sz w:val="24"/>
                <w:szCs w:val="24"/>
              </w:rPr>
              <w:t>ешение</w:t>
            </w:r>
            <w:r w:rsidR="007A3567">
              <w:rPr>
                <w:rFonts w:ascii="Times New Roman" w:hAnsi="Times New Roman"/>
                <w:sz w:val="24"/>
                <w:szCs w:val="24"/>
              </w:rPr>
              <w:t>м</w:t>
            </w:r>
            <w:r w:rsidR="003C489C">
              <w:rPr>
                <w:rFonts w:ascii="Times New Roman" w:hAnsi="Times New Roman"/>
                <w:sz w:val="24"/>
                <w:szCs w:val="24"/>
              </w:rPr>
              <w:t xml:space="preserve"> Думы </w:t>
            </w:r>
            <w:r w:rsidR="003C489C" w:rsidRPr="00FF6138">
              <w:rPr>
                <w:rFonts w:ascii="Times New Roman" w:hAnsi="Times New Roman"/>
                <w:sz w:val="24"/>
                <w:szCs w:val="24"/>
              </w:rPr>
              <w:t>от 24.12.2015 № 376</w:t>
            </w:r>
          </w:p>
        </w:tc>
      </w:tr>
      <w:tr w:rsidR="00B771D4" w:rsidRPr="005B0771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D4" w:rsidRDefault="00B771D4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1D4">
              <w:rPr>
                <w:rFonts w:ascii="Times New Roman" w:hAnsi="Times New Roman"/>
                <w:bCs/>
                <w:sz w:val="24"/>
                <w:szCs w:val="24"/>
              </w:rPr>
              <w:t>Неправомерные расходы на возмещени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771D4">
              <w:rPr>
                <w:rFonts w:ascii="Times New Roman" w:hAnsi="Times New Roman"/>
                <w:bCs/>
                <w:sz w:val="24"/>
                <w:szCs w:val="24"/>
              </w:rPr>
              <w:t xml:space="preserve"> расходов, связанных со служебными командировками, работникам муниципальных учреждений города Пыть-Яха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D4" w:rsidRDefault="00B771D4" w:rsidP="00060A0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Постановление Администрации города Пыть-Яха от 24.03.2015 N 67-па</w:t>
            </w:r>
            <w:r w:rsidR="00BC0C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"Об утверждении порядка и размеров возмещения расходов, связанных со служебными командировками, работникам муниципальных учреждений города Пыть-Яха"</w:t>
            </w:r>
          </w:p>
        </w:tc>
      </w:tr>
      <w:tr w:rsidR="00150E02" w:rsidRPr="00471E13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E02" w:rsidRPr="00471E13" w:rsidRDefault="003C489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53526">
              <w:rPr>
                <w:rFonts w:ascii="Times New Roman" w:hAnsi="Times New Roman"/>
                <w:sz w:val="24"/>
                <w:szCs w:val="24"/>
              </w:rPr>
              <w:t xml:space="preserve">еправомерные </w:t>
            </w:r>
            <w:r>
              <w:rPr>
                <w:rFonts w:ascii="Times New Roman" w:hAnsi="Times New Roman"/>
                <w:sz w:val="24"/>
                <w:szCs w:val="24"/>
              </w:rPr>
              <w:t>и необоснованные выплаты по</w:t>
            </w:r>
            <w:r w:rsidRPr="00A53526">
              <w:rPr>
                <w:rFonts w:ascii="Times New Roman" w:hAnsi="Times New Roman"/>
                <w:sz w:val="24"/>
                <w:szCs w:val="24"/>
              </w:rPr>
              <w:t xml:space="preserve"> заработной платы, не предусмотренные нормативными документами и трудовыми договорами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F3" w:rsidRPr="00471E13" w:rsidRDefault="00BC0CF3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3C489C" w:rsidRPr="007B03F3">
              <w:rPr>
                <w:rFonts w:ascii="Times New Roman" w:hAnsi="Times New Roman"/>
                <w:bCs/>
                <w:sz w:val="24"/>
                <w:szCs w:val="24"/>
              </w:rPr>
              <w:t xml:space="preserve">арушение </w:t>
            </w:r>
            <w:r w:rsidR="007B03F3" w:rsidRPr="007B03F3">
              <w:rPr>
                <w:rFonts w:ascii="Times New Roman" w:hAnsi="Times New Roman"/>
                <w:bCs/>
                <w:sz w:val="24"/>
                <w:szCs w:val="24"/>
              </w:rPr>
              <w:t xml:space="preserve">норм </w:t>
            </w:r>
            <w:r w:rsidR="003C489C" w:rsidRPr="007B03F3">
              <w:rPr>
                <w:rFonts w:ascii="Times New Roman" w:hAnsi="Times New Roman"/>
                <w:bCs/>
                <w:sz w:val="24"/>
                <w:szCs w:val="24"/>
              </w:rPr>
              <w:t>трудового законодательства</w:t>
            </w:r>
            <w:r w:rsidR="007B03F3" w:rsidRPr="007B03F3">
              <w:rPr>
                <w:rFonts w:ascii="Times New Roman" w:hAnsi="Times New Roman"/>
                <w:bCs/>
                <w:sz w:val="24"/>
                <w:szCs w:val="24"/>
              </w:rPr>
              <w:t xml:space="preserve"> Российской Федерации, правовых актов органов местного самоуправления, Положения по оплате труда и приказы учреждений</w:t>
            </w:r>
            <w:r w:rsidR="007B03F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B03F3" w:rsidRPr="007B03F3">
              <w:rPr>
                <w:rFonts w:ascii="Times New Roman" w:hAnsi="Times New Roman"/>
                <w:bCs/>
                <w:sz w:val="24"/>
                <w:szCs w:val="24"/>
              </w:rPr>
              <w:t xml:space="preserve"> регламентирующих вопросы оплаты труда</w:t>
            </w:r>
          </w:p>
        </w:tc>
      </w:tr>
      <w:tr w:rsidR="003C489C" w:rsidRPr="00FF6138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447" w:rsidRDefault="005E1809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>есвоевременно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 xml:space="preserve"> некачественно</w:t>
            </w:r>
            <w:r w:rsidR="00435C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 xml:space="preserve"> первичн</w:t>
            </w:r>
            <w:r w:rsidR="007A3567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 xml:space="preserve"> (учетн</w:t>
            </w:r>
            <w:r w:rsidR="007A3567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>) документ</w:t>
            </w:r>
            <w:r w:rsidR="007A3567">
              <w:rPr>
                <w:rFonts w:ascii="Times New Roman" w:hAnsi="Times New Roman"/>
                <w:sz w:val="24"/>
                <w:szCs w:val="24"/>
              </w:rPr>
              <w:t>ов</w:t>
            </w:r>
            <w:r w:rsidR="00B114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принятие к бухгалтерскому учету </w:t>
            </w:r>
            <w:r w:rsidR="007A3567">
              <w:rPr>
                <w:rFonts w:ascii="Times New Roman" w:hAnsi="Times New Roman"/>
                <w:sz w:val="24"/>
                <w:szCs w:val="24"/>
              </w:rPr>
              <w:t xml:space="preserve">некачественных 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>первичных документов, передач</w:t>
            </w:r>
            <w:r w:rsidR="007A3567">
              <w:rPr>
                <w:rFonts w:ascii="Times New Roman" w:hAnsi="Times New Roman"/>
                <w:sz w:val="24"/>
                <w:szCs w:val="24"/>
              </w:rPr>
              <w:t>а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 первичных учетных документов для отражения в бухгалтерском учете с нарушением установленных сроков, </w:t>
            </w:r>
            <w:r w:rsidR="00B11447">
              <w:rPr>
                <w:rFonts w:ascii="Times New Roman" w:hAnsi="Times New Roman"/>
                <w:sz w:val="24"/>
                <w:szCs w:val="24"/>
              </w:rPr>
              <w:t>н</w:t>
            </w:r>
            <w:r w:rsidR="00B11447" w:rsidRPr="00471E13">
              <w:rPr>
                <w:rFonts w:ascii="Times New Roman" w:hAnsi="Times New Roman"/>
                <w:sz w:val="24"/>
                <w:szCs w:val="24"/>
              </w:rPr>
              <w:t>арушения и недостатки при оформлении регистров бухгалтерского учета</w:t>
            </w:r>
          </w:p>
          <w:p w:rsidR="00C00693" w:rsidRDefault="00C00693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Default="00A3769D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</w:t>
            </w:r>
            <w:r w:rsidR="005E180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>9,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 xml:space="preserve">10 Федерального закона 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от 06.12.2011 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>№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>402</w:t>
            </w:r>
            <w:r w:rsidR="005E1809">
              <w:rPr>
                <w:rFonts w:ascii="Times New Roman" w:hAnsi="Times New Roman"/>
                <w:sz w:val="24"/>
                <w:szCs w:val="24"/>
              </w:rPr>
              <w:t>-ФЗ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 xml:space="preserve"> «О бухгалтерском учете»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1809" w:rsidRPr="00B9228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B92284" w:rsidRPr="00B92284">
              <w:rPr>
                <w:rFonts w:ascii="Times New Roman" w:hAnsi="Times New Roman"/>
                <w:sz w:val="24"/>
                <w:szCs w:val="24"/>
              </w:rPr>
              <w:t>ы</w:t>
            </w:r>
            <w:r w:rsidR="005E1809" w:rsidRPr="00B9228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92284" w:rsidRPr="00B92284">
              <w:rPr>
                <w:rFonts w:ascii="Times New Roman" w:hAnsi="Times New Roman"/>
                <w:sz w:val="24"/>
                <w:szCs w:val="24"/>
              </w:rPr>
              <w:t>0-33</w:t>
            </w:r>
            <w:r w:rsidR="005E1809" w:rsidRPr="00B92284">
              <w:rPr>
                <w:rFonts w:ascii="Times New Roman" w:hAnsi="Times New Roman"/>
                <w:sz w:val="24"/>
                <w:szCs w:val="24"/>
              </w:rPr>
              <w:t xml:space="preserve">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 № 256н, 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Приказ Минфина </w:t>
            </w:r>
            <w:r w:rsidR="005E1809" w:rsidRPr="00471E13">
              <w:rPr>
                <w:rFonts w:ascii="Times New Roman" w:hAnsi="Times New Roman"/>
                <w:sz w:val="24"/>
                <w:szCs w:val="24"/>
              </w:rPr>
              <w:t xml:space="preserve">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</w:t>
            </w:r>
            <w:r w:rsidR="005E1809" w:rsidRPr="00471E1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внебюджетными фондами, государственными (муниципальными) учреждениями, и Методических указаний по их применению»</w:t>
            </w:r>
          </w:p>
        </w:tc>
      </w:tr>
      <w:tr w:rsidR="00060A05" w:rsidRPr="00FF6138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05" w:rsidRDefault="00060A05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48C">
              <w:rPr>
                <w:rFonts w:ascii="Times New Roman" w:hAnsi="Times New Roman"/>
                <w:sz w:val="24"/>
                <w:szCs w:val="24"/>
              </w:rPr>
              <w:lastRenderedPageBreak/>
              <w:t>Нарушения порядка оформления поступления нефинансовых активов, правильности отнесения ценностей к основным средствам, своевременности и правильности их оприходования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05" w:rsidRDefault="00484448" w:rsidP="00B73B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E2">
              <w:rPr>
                <w:rFonts w:ascii="Times New Roman" w:hAnsi="Times New Roman"/>
                <w:sz w:val="24"/>
                <w:szCs w:val="24"/>
              </w:rPr>
              <w:t>п. 37, 38, 98, 383 Инструкции</w:t>
            </w:r>
            <w:r w:rsidR="00675AA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A248E2">
              <w:rPr>
                <w:rFonts w:ascii="Times New Roman" w:hAnsi="Times New Roman"/>
                <w:sz w:val="24"/>
                <w:szCs w:val="24"/>
              </w:rPr>
              <w:t>157н</w:t>
            </w:r>
            <w:r w:rsidR="00B73BE4">
              <w:rPr>
                <w:rFonts w:ascii="Times New Roman" w:hAnsi="Times New Roman"/>
                <w:sz w:val="24"/>
                <w:szCs w:val="24"/>
              </w:rPr>
              <w:t xml:space="preserve"> от 01.12.2010 </w:t>
            </w:r>
            <w:r w:rsidRPr="00A248E2">
              <w:rPr>
                <w:rFonts w:ascii="Times New Roman" w:hAnsi="Times New Roman"/>
                <w:sz w:val="24"/>
                <w:szCs w:val="24"/>
              </w:rPr>
      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75AA2">
              <w:rPr>
                <w:rFonts w:ascii="Times New Roman" w:hAnsi="Times New Roman"/>
                <w:sz w:val="24"/>
                <w:szCs w:val="24"/>
              </w:rPr>
              <w:t>т</w:t>
            </w:r>
            <w:r w:rsidR="00B70C4B">
              <w:rPr>
                <w:rFonts w:ascii="Times New Roman" w:hAnsi="Times New Roman"/>
                <w:sz w:val="24"/>
                <w:szCs w:val="24"/>
              </w:rPr>
              <w:t xml:space="preserve">ребования </w:t>
            </w:r>
            <w:r w:rsidR="00060A05" w:rsidRPr="002B23BC">
              <w:rPr>
                <w:rFonts w:ascii="Times New Roman" w:hAnsi="Times New Roman"/>
                <w:sz w:val="24"/>
                <w:szCs w:val="24"/>
              </w:rPr>
              <w:t xml:space="preserve">Инструкции </w:t>
            </w:r>
            <w:r w:rsidR="00675AA2">
              <w:rPr>
                <w:rFonts w:ascii="Times New Roman" w:hAnsi="Times New Roman"/>
                <w:sz w:val="24"/>
                <w:szCs w:val="24"/>
              </w:rPr>
              <w:t>№</w:t>
            </w:r>
            <w:r w:rsidR="00060A05" w:rsidRPr="002B23BC">
              <w:rPr>
                <w:rFonts w:ascii="Times New Roman" w:hAnsi="Times New Roman"/>
                <w:sz w:val="24"/>
                <w:szCs w:val="24"/>
              </w:rPr>
              <w:t xml:space="preserve"> 162н</w:t>
            </w:r>
            <w:r w:rsidR="00B73BE4">
              <w:rPr>
                <w:rFonts w:ascii="Times New Roman" w:hAnsi="Times New Roman"/>
                <w:sz w:val="24"/>
                <w:szCs w:val="24"/>
              </w:rPr>
              <w:t xml:space="preserve"> от 06.12.2010</w:t>
            </w:r>
            <w:r w:rsidR="002B23BC" w:rsidRPr="002B23BC">
              <w:rPr>
                <w:rFonts w:ascii="Times New Roman" w:hAnsi="Times New Roman"/>
                <w:sz w:val="24"/>
                <w:szCs w:val="24"/>
              </w:rPr>
              <w:t xml:space="preserve"> «Об утверждении плана счетов бюджетного учета и инструкции по его применению»,</w:t>
            </w:r>
            <w:r w:rsidR="00B73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A05" w:rsidRPr="00B70C4B">
              <w:rPr>
                <w:rFonts w:ascii="Times New Roman" w:hAnsi="Times New Roman"/>
                <w:sz w:val="24"/>
                <w:szCs w:val="24"/>
              </w:rPr>
              <w:t>Инструкци</w:t>
            </w:r>
            <w:r w:rsidR="00A248E2" w:rsidRPr="00B70C4B">
              <w:rPr>
                <w:rFonts w:ascii="Times New Roman" w:hAnsi="Times New Roman"/>
                <w:sz w:val="24"/>
                <w:szCs w:val="24"/>
              </w:rPr>
              <w:t>я</w:t>
            </w:r>
            <w:r w:rsidR="00060A05" w:rsidRPr="00B70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8E2" w:rsidRPr="00B70C4B">
              <w:rPr>
                <w:rFonts w:ascii="Times New Roman" w:hAnsi="Times New Roman"/>
                <w:sz w:val="24"/>
                <w:szCs w:val="24"/>
              </w:rPr>
              <w:t>№</w:t>
            </w:r>
            <w:r w:rsidR="00060A05" w:rsidRPr="00B70C4B">
              <w:rPr>
                <w:rFonts w:ascii="Times New Roman" w:hAnsi="Times New Roman"/>
                <w:sz w:val="24"/>
                <w:szCs w:val="24"/>
              </w:rPr>
              <w:t xml:space="preserve"> 174н</w:t>
            </w:r>
            <w:r w:rsidR="00A248E2" w:rsidRPr="00B70C4B">
              <w:rPr>
                <w:rFonts w:ascii="Times New Roman" w:hAnsi="Times New Roman"/>
                <w:sz w:val="24"/>
                <w:szCs w:val="24"/>
              </w:rPr>
              <w:t xml:space="preserve"> от 16.12.2010</w:t>
            </w:r>
            <w:r w:rsidR="00B73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C4B">
              <w:rPr>
                <w:rFonts w:ascii="Times New Roman" w:hAnsi="Times New Roman"/>
                <w:sz w:val="24"/>
                <w:szCs w:val="24"/>
              </w:rPr>
              <w:t>«</w:t>
            </w:r>
            <w:r w:rsidR="00A248E2" w:rsidRPr="00B70C4B">
              <w:rPr>
                <w:rFonts w:ascii="Times New Roman" w:hAnsi="Times New Roman"/>
                <w:sz w:val="24"/>
                <w:szCs w:val="24"/>
              </w:rPr>
              <w:t>Об утверждении Плана счетов бухгалтерского учета бюджетных учреждений и Инструкции по его применению»</w:t>
            </w:r>
            <w:r w:rsidR="00B70C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0A05" w:rsidRPr="00B70C4B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="00B73BE4">
              <w:rPr>
                <w:rFonts w:ascii="Times New Roman" w:hAnsi="Times New Roman"/>
                <w:sz w:val="24"/>
                <w:szCs w:val="24"/>
              </w:rPr>
              <w:t xml:space="preserve"> № 183н от 23.12.2010 «</w:t>
            </w:r>
            <w:r w:rsidR="00B73BE4" w:rsidRPr="00B73BE4">
              <w:rPr>
                <w:rFonts w:ascii="Times New Roman" w:hAnsi="Times New Roman"/>
                <w:sz w:val="24"/>
                <w:szCs w:val="24"/>
              </w:rPr>
              <w:t>Об утверждении Плана счетов бухгалтерского учета автономных учреждений и Инструкции по его применени</w:t>
            </w:r>
            <w:r w:rsidR="00B73BE4">
              <w:rPr>
                <w:rFonts w:ascii="Times New Roman" w:hAnsi="Times New Roman"/>
                <w:sz w:val="24"/>
                <w:szCs w:val="24"/>
              </w:rPr>
              <w:t>ю»</w:t>
            </w:r>
            <w:r w:rsidR="00B70C4B" w:rsidRPr="00B70C4B">
              <w:rPr>
                <w:rFonts w:ascii="Times New Roman" w:hAnsi="Times New Roman"/>
                <w:sz w:val="24"/>
                <w:szCs w:val="24"/>
              </w:rPr>
              <w:t>.</w:t>
            </w:r>
            <w:r w:rsidR="00B70C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C0CF3" w:rsidRPr="00FF6138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F3" w:rsidRDefault="00BC0CF3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9305A">
              <w:rPr>
                <w:rFonts w:ascii="Times New Roman" w:hAnsi="Times New Roman"/>
                <w:sz w:val="24"/>
                <w:szCs w:val="24"/>
              </w:rPr>
              <w:t>ецелевое использование средств субсидий, выделенных на выполнение муниципального задания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F3" w:rsidRDefault="003E3382" w:rsidP="003E33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306.4 Бюджетного кодекса Российской Федерации, н</w:t>
            </w:r>
            <w:r w:rsidR="00BC0CF3" w:rsidRPr="00B9305A">
              <w:rPr>
                <w:rFonts w:ascii="Times New Roman" w:hAnsi="Times New Roman"/>
                <w:sz w:val="24"/>
                <w:szCs w:val="24"/>
              </w:rPr>
              <w:t>арушени</w:t>
            </w:r>
            <w:r w:rsidR="00BC0CF3">
              <w:rPr>
                <w:rFonts w:ascii="Times New Roman" w:hAnsi="Times New Roman"/>
                <w:sz w:val="24"/>
                <w:szCs w:val="24"/>
              </w:rPr>
              <w:t>е</w:t>
            </w:r>
            <w:r w:rsidR="00BC0CF3" w:rsidRPr="00B9305A">
              <w:rPr>
                <w:rFonts w:ascii="Times New Roman" w:hAnsi="Times New Roman"/>
                <w:bCs/>
                <w:sz w:val="24"/>
                <w:szCs w:val="24"/>
              </w:rPr>
              <w:t xml:space="preserve"> условий </w:t>
            </w:r>
            <w:r w:rsidR="00BC0CF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BC0CF3" w:rsidRPr="00B9305A">
              <w:rPr>
                <w:rFonts w:ascii="Times New Roman" w:hAnsi="Times New Roman"/>
                <w:sz w:val="24"/>
                <w:szCs w:val="24"/>
              </w:rPr>
              <w:t>оглашения о порядке и условиях предоставления субсидии на финансовое обеспечение муниципального задания на оказание муниципальных услуг (выполнение работ)</w:t>
            </w:r>
          </w:p>
        </w:tc>
      </w:tr>
      <w:tr w:rsidR="00BC0CF3" w:rsidRPr="00FF6138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F3" w:rsidRDefault="00BC0CF3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Недостоверность бухгалтерской отчетности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F3" w:rsidRDefault="00BC0CF3" w:rsidP="00BC0C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BBE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A30BBE">
              <w:rPr>
                <w:rFonts w:ascii="Times New Roman" w:hAnsi="Times New Roman"/>
                <w:sz w:val="24"/>
                <w:szCs w:val="24"/>
              </w:rPr>
              <w:t xml:space="preserve"> закон от 06.12.2011 № 402-ФЗ «О бухгалтерском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BBE">
              <w:rPr>
                <w:rFonts w:ascii="Times New Roman" w:hAnsi="Times New Roman"/>
                <w:sz w:val="24"/>
                <w:szCs w:val="24"/>
              </w:rPr>
              <w:t>учете», Инструкци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30BBE">
              <w:rPr>
                <w:rFonts w:ascii="Times New Roman" w:hAnsi="Times New Roman"/>
                <w:sz w:val="24"/>
                <w:szCs w:val="24"/>
              </w:rPr>
              <w:t xml:space="preserve"> по применению Единого плана счетов бухгалтерского учета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BBE">
              <w:rPr>
                <w:rFonts w:ascii="Times New Roman" w:hAnsi="Times New Roman"/>
                <w:sz w:val="24"/>
                <w:szCs w:val="24"/>
              </w:rPr>
              <w:t>для органов государственной власти (государственных органов), органов местного самоуправления,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BBE">
              <w:rPr>
                <w:rFonts w:ascii="Times New Roman" w:hAnsi="Times New Roman"/>
                <w:sz w:val="24"/>
                <w:szCs w:val="24"/>
              </w:rPr>
              <w:t>органов управления государственными внебюджетными фондами, государственных академий наук,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BBE">
              <w:rPr>
                <w:rFonts w:ascii="Times New Roman" w:hAnsi="Times New Roman"/>
                <w:sz w:val="24"/>
                <w:szCs w:val="24"/>
              </w:rPr>
              <w:t>государственных (муниципальных) учреждений, утвержденной Приказом Минфина России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BBE">
              <w:rPr>
                <w:rFonts w:ascii="Times New Roman" w:hAnsi="Times New Roman"/>
                <w:sz w:val="24"/>
                <w:szCs w:val="24"/>
              </w:rPr>
              <w:t xml:space="preserve">01.12.2010 № 157н, СГС «Концептуальные основы </w:t>
            </w:r>
            <w:r w:rsidRPr="00A30BBE"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бухгалтерского учета и отчетности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BBE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аций государственного сектора»</w:t>
            </w:r>
          </w:p>
        </w:tc>
      </w:tr>
      <w:tr w:rsidR="003C489C" w:rsidRPr="005B0771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3C489C" w:rsidRDefault="007A3567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Нарушени</w:t>
            </w:r>
            <w:r w:rsidR="00435C4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81">
              <w:rPr>
                <w:rFonts w:ascii="Times New Roman" w:hAnsi="Times New Roman"/>
                <w:sz w:val="24"/>
                <w:szCs w:val="24"/>
              </w:rPr>
              <w:t>установленных сроков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Pr="00471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размещения</w:t>
            </w:r>
            <w:r w:rsidR="003C489C" w:rsidRPr="00A71F81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3C489C" w:rsidRPr="00A71F81"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учреж</w:t>
            </w:r>
            <w:r w:rsidR="009D441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ений</w:t>
            </w:r>
            <w:r w:rsidR="003C489C" w:rsidRPr="00A71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3C489C" w:rsidRDefault="003C489C" w:rsidP="00BC0CF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F81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471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81">
              <w:rPr>
                <w:rFonts w:ascii="Times New Roman" w:hAnsi="Times New Roman"/>
                <w:sz w:val="24"/>
                <w:szCs w:val="24"/>
              </w:rPr>
              <w:t>Министерства финансов от 21.07.2011 № 86н</w:t>
            </w:r>
            <w:r w:rsidR="00E62DD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62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</w:tr>
      <w:tr w:rsidR="003C489C" w:rsidRPr="005B0771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Default="005E3DC5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DC5">
              <w:rPr>
                <w:rFonts w:ascii="Times New Roman" w:hAnsi="Times New Roman"/>
                <w:sz w:val="24"/>
                <w:szCs w:val="24"/>
              </w:rPr>
              <w:t>Нарушени</w:t>
            </w:r>
            <w:r w:rsidR="00435C4B">
              <w:rPr>
                <w:rFonts w:ascii="Times New Roman" w:hAnsi="Times New Roman"/>
                <w:sz w:val="24"/>
                <w:szCs w:val="24"/>
              </w:rPr>
              <w:t>я</w:t>
            </w:r>
            <w:r w:rsidRPr="005E3DC5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0E3E91">
              <w:rPr>
                <w:rFonts w:ascii="Times New Roman" w:hAnsi="Times New Roman"/>
                <w:sz w:val="24"/>
                <w:szCs w:val="24"/>
              </w:rPr>
              <w:t>соблюдении финансовой дисциплины и правильности ведения</w:t>
            </w:r>
            <w:r w:rsidRPr="005E3DC5">
              <w:rPr>
                <w:rFonts w:ascii="Times New Roman" w:hAnsi="Times New Roman"/>
                <w:sz w:val="24"/>
                <w:szCs w:val="24"/>
              </w:rPr>
              <w:t xml:space="preserve"> бухгалтерского учета</w:t>
            </w:r>
          </w:p>
          <w:p w:rsidR="000E3E91" w:rsidRDefault="000E3E91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Default="005E3DC5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E3DC5">
              <w:rPr>
                <w:rFonts w:ascii="Times New Roman" w:hAnsi="Times New Roman"/>
                <w:sz w:val="24"/>
                <w:szCs w:val="24"/>
              </w:rPr>
              <w:t>риказ Минфина РФ от 31.12.2000 года № 94н «Об утверждении Плана счетов бухгалтерского учета финансово-хозяйственной деятельности организаций и Инструкции по его применению»</w:t>
            </w:r>
          </w:p>
        </w:tc>
      </w:tr>
      <w:tr w:rsidR="00BD2C79" w:rsidRPr="00BD2C7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79" w:rsidRPr="00BD2C79" w:rsidRDefault="009D441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57BA">
              <w:rPr>
                <w:rFonts w:ascii="Times New Roman" w:hAnsi="Times New Roman"/>
                <w:sz w:val="24"/>
                <w:szCs w:val="24"/>
              </w:rPr>
              <w:t>Нарушени</w:t>
            </w:r>
            <w:r w:rsidR="00435C4B">
              <w:rPr>
                <w:rFonts w:ascii="Times New Roman" w:hAnsi="Times New Roman"/>
                <w:sz w:val="24"/>
                <w:szCs w:val="24"/>
              </w:rPr>
              <w:t>е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 xml:space="preserve"> порядка составления, утверждения и ведения </w:t>
            </w:r>
            <w:r w:rsidR="00BD2C79" w:rsidRPr="002857BA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ов</w:t>
            </w:r>
            <w:r w:rsidR="00BD2C79" w:rsidRPr="002857BA"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деятельности 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муниципальных автономных (бюджетных) у</w:t>
            </w:r>
            <w:r w:rsidR="00BD2C79" w:rsidRPr="002857BA">
              <w:rPr>
                <w:rFonts w:ascii="Times New Roman" w:hAnsi="Times New Roman"/>
                <w:sz w:val="24"/>
                <w:szCs w:val="24"/>
              </w:rPr>
              <w:t>чреждени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79" w:rsidRPr="00B00311" w:rsidRDefault="002857BA" w:rsidP="00B003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7BA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03.11.2006 </w:t>
            </w:r>
            <w:r w:rsidR="00884E6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 xml:space="preserve">№ 174-ФЗ «Об автономных учреждениях», </w:t>
            </w:r>
            <w:r w:rsidR="00BD2C79" w:rsidRPr="002857BA">
              <w:rPr>
                <w:rFonts w:ascii="Times New Roman" w:hAnsi="Times New Roman"/>
                <w:sz w:val="24"/>
                <w:szCs w:val="24"/>
              </w:rPr>
              <w:t>Приказ Минфина России от 28.07.2010 № 81н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О требованиях к плану финансово-хозяйственной деятельности государственного (муниципального) учреждения»</w:t>
            </w:r>
          </w:p>
        </w:tc>
      </w:tr>
      <w:tr w:rsidR="00905A2C" w:rsidRPr="00BD2C79" w:rsidTr="006A03F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2857BA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b/>
                <w:sz w:val="24"/>
                <w:szCs w:val="24"/>
              </w:rPr>
              <w:t xml:space="preserve">Нарушения при формировании, утверждении и выполнении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  <w:r w:rsidRPr="00CC76F6">
              <w:rPr>
                <w:rFonts w:ascii="Times New Roman" w:hAnsi="Times New Roman"/>
                <w:b/>
                <w:sz w:val="24"/>
                <w:szCs w:val="24"/>
              </w:rPr>
              <w:t xml:space="preserve"> задания, правовых актов, соглашений, определяющих порядок и условия предоставления субсидий на иные цели</w:t>
            </w:r>
          </w:p>
        </w:tc>
      </w:tr>
      <w:tr w:rsidR="00905A2C" w:rsidRPr="00BD2C7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>Нарушение Порядка формирования и финансового обеспечения выполнения государственного задания, установленного правовыми актами:</w:t>
            </w:r>
          </w:p>
          <w:p w:rsidR="00905A2C" w:rsidRPr="00C6731C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31C">
              <w:rPr>
                <w:rFonts w:ascii="Times New Roman" w:hAnsi="Times New Roman"/>
                <w:sz w:val="24"/>
                <w:szCs w:val="24"/>
              </w:rPr>
              <w:t>- не определение учредителем в муниципальных заданиях порядков оказания муниципальных услуг;</w:t>
            </w:r>
          </w:p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 xml:space="preserve">- невыполнение учреждениями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заданий по показателю объема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(работ)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 xml:space="preserve">- неосуществление учредителем контроля за достоверностью отчетных данных о выполнении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заданий;</w:t>
            </w:r>
          </w:p>
          <w:p w:rsidR="00905A2C" w:rsidRDefault="00A66CAC" w:rsidP="00A66C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731C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муниципальными учреждениями </w:t>
            </w:r>
            <w:r w:rsidR="00C6731C" w:rsidRPr="00C6731C">
              <w:rPr>
                <w:rFonts w:ascii="Times New Roman" w:hAnsi="Times New Roman"/>
                <w:sz w:val="24"/>
                <w:szCs w:val="24"/>
              </w:rPr>
              <w:t xml:space="preserve">недостоверной отчетности </w:t>
            </w:r>
            <w:r w:rsidR="00C6731C">
              <w:rPr>
                <w:rFonts w:ascii="Times New Roman" w:hAnsi="Times New Roman"/>
                <w:sz w:val="24"/>
                <w:szCs w:val="24"/>
              </w:rPr>
              <w:t>о выполнении</w:t>
            </w:r>
            <w:r w:rsidR="00C6731C" w:rsidRPr="00C6731C">
              <w:rPr>
                <w:rFonts w:ascii="Times New Roman" w:hAnsi="Times New Roman"/>
                <w:sz w:val="24"/>
                <w:szCs w:val="24"/>
              </w:rPr>
              <w:t xml:space="preserve"> муниципальных заданий</w:t>
            </w:r>
            <w:r w:rsidR="00C673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731C" w:rsidRPr="00CC76F6" w:rsidRDefault="00C6731C" w:rsidP="00A66C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6CAC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AF2CE8" w:rsidRPr="00AF2CE8">
              <w:rPr>
                <w:rFonts w:ascii="Times New Roman" w:hAnsi="Times New Roman"/>
                <w:sz w:val="24"/>
                <w:szCs w:val="24"/>
              </w:rPr>
              <w:t>есоответствие муниципального задания показателям фактического выполнения муниципальным</w:t>
            </w:r>
            <w:r w:rsidR="00AF2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CE8" w:rsidRPr="00AF2CE8">
              <w:rPr>
                <w:rFonts w:ascii="Times New Roman" w:hAnsi="Times New Roman"/>
                <w:sz w:val="24"/>
                <w:szCs w:val="24"/>
              </w:rPr>
              <w:t>учреждением муниципального задания в текущем финансов</w:t>
            </w:r>
            <w:r w:rsidR="00AF2CE8">
              <w:rPr>
                <w:rFonts w:ascii="Times New Roman" w:hAnsi="Times New Roman"/>
                <w:sz w:val="24"/>
                <w:szCs w:val="24"/>
              </w:rPr>
              <w:t>ом</w:t>
            </w:r>
            <w:r w:rsidR="00AF2CE8" w:rsidRPr="00AF2C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AF2CE8">
              <w:rPr>
                <w:rFonts w:ascii="Times New Roman" w:hAnsi="Times New Roman"/>
                <w:sz w:val="24"/>
                <w:szCs w:val="24"/>
              </w:rPr>
              <w:t>у</w:t>
            </w:r>
            <w:r w:rsidR="00F60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>Стать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69.2, 158 Бюджетного кодекса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положения </w:t>
            </w:r>
            <w:r w:rsidR="00C07CD6" w:rsidRPr="00C07CD6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C07CD6">
              <w:rPr>
                <w:rFonts w:ascii="Times New Roman" w:hAnsi="Times New Roman"/>
                <w:sz w:val="24"/>
                <w:szCs w:val="24"/>
              </w:rPr>
              <w:t>я</w:t>
            </w:r>
            <w:r w:rsidR="00C07CD6" w:rsidRPr="00C07CD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Пыть-Ях от 24.09.2015 № 260-па «О порядке формирования муниципального задания на оказание муниципальных услуг (выполнение работ) в отношении муниципальных учреждений города Пыть-Яха и финансового обеспечения выполнения муниципального задания»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>, регламентирующи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вопросы формирования и финансового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соглашения о предоставлении субсидии в целях финансового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задания учреждений</w:t>
            </w:r>
          </w:p>
        </w:tc>
      </w:tr>
      <w:tr w:rsidR="00905A2C" w:rsidRPr="00BD2C7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lastRenderedPageBreak/>
              <w:t>Нарушения правовых актов, регулирующих порядок предоставления субсидии бюджетным и автономным учреждениям на иные цели:</w:t>
            </w:r>
          </w:p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 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>направление учреждениями заявок, расчетов и финансово-экономических обоснований размеров субсидий на иные цели на очередной финансовый год;</w:t>
            </w:r>
          </w:p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>- необеспечение контроля за выполнением учреждениями условий предоставления субсидий на иные цели в части своевременного направления заявок на перечисление сумм субсидий на иные цели;</w:t>
            </w:r>
          </w:p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>- необеспечение контроля за расходованием субсидий на иные цели, что приводит к оплате невыполненных объемов работ (не поставленного товара) по договорам;</w:t>
            </w:r>
          </w:p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>- несоблюдение сроков направления отчетов об использовании субсидии на иные цели;</w:t>
            </w:r>
          </w:p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>- необеспечение контроля за достижением учреждениями показателей результативности и эффективности использовани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я средств субсидий на иные цели.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>Статья 78.1 Бюджетного кодекса Российской Федерации,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положения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CD6">
              <w:rPr>
                <w:rFonts w:ascii="Times New Roman" w:hAnsi="Times New Roman"/>
                <w:sz w:val="24"/>
                <w:szCs w:val="24"/>
              </w:rPr>
              <w:t>города Пыть-Яха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>, ины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>, регламентирующи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порядок и условия предоставления учреждениям субсидии на иные цели</w:t>
            </w:r>
          </w:p>
        </w:tc>
      </w:tr>
      <w:tr w:rsidR="00905A2C" w:rsidRPr="00BD2C7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CC76F6" w:rsidRDefault="00905A2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eastAsia="Calibri" w:hAnsi="Times New Roman"/>
                <w:sz w:val="24"/>
                <w:szCs w:val="24"/>
              </w:rPr>
              <w:t xml:space="preserve">Ненаправление учреждениями </w:t>
            </w:r>
            <w:r w:rsidRPr="00CC76F6">
              <w:rPr>
                <w:rFonts w:ascii="Times New Roman" w:hAnsi="Times New Roman"/>
                <w:bCs/>
                <w:sz w:val="24"/>
                <w:szCs w:val="24"/>
              </w:rPr>
              <w:t xml:space="preserve">через </w:t>
            </w:r>
            <w:r w:rsidRPr="00060A05">
              <w:rPr>
                <w:rFonts w:ascii="Times New Roman" w:hAnsi="Times New Roman"/>
                <w:sz w:val="24"/>
                <w:szCs w:val="24"/>
              </w:rPr>
              <w:t xml:space="preserve">официальный сайт в сети Интернет </w:t>
            </w:r>
            <w:hyperlink r:id="rId8" w:history="1">
              <w:r w:rsidRPr="00060A05">
                <w:rPr>
                  <w:rFonts w:ascii="Times New Roman" w:hAnsi="Times New Roman"/>
                  <w:sz w:val="24"/>
                  <w:szCs w:val="24"/>
                </w:rPr>
                <w:t>www.bus.gov.ru</w:t>
              </w:r>
            </w:hyperlink>
            <w:r w:rsidRPr="00060A05">
              <w:rPr>
                <w:rFonts w:ascii="Times New Roman" w:hAnsi="Times New Roman"/>
                <w:sz w:val="24"/>
                <w:szCs w:val="24"/>
              </w:rPr>
              <w:t xml:space="preserve"> обязательной информации об учреждении</w:t>
            </w:r>
            <w:r w:rsidRPr="00CC76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для размещения </w:t>
            </w:r>
            <w:r w:rsidRPr="00CC76F6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указанном информационном ресурсе и/или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направление информации с нарушением установленного срока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CC76F6" w:rsidRDefault="00060A05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05A2C">
              <w:rPr>
                <w:rFonts w:ascii="Times New Roman" w:hAnsi="Times New Roman"/>
                <w:sz w:val="24"/>
                <w:szCs w:val="24"/>
              </w:rPr>
              <w:t>ункт</w:t>
            </w:r>
            <w:r w:rsidR="00905A2C" w:rsidRPr="00CC76F6">
              <w:rPr>
                <w:rFonts w:ascii="Times New Roman" w:hAnsi="Times New Roman"/>
                <w:sz w:val="24"/>
                <w:szCs w:val="24"/>
              </w:rPr>
              <w:t xml:space="preserve"> 3.5 ст</w:t>
            </w:r>
            <w:r w:rsidR="00905A2C">
              <w:rPr>
                <w:rFonts w:ascii="Times New Roman" w:hAnsi="Times New Roman"/>
                <w:sz w:val="24"/>
                <w:szCs w:val="24"/>
              </w:rPr>
              <w:t>атьи</w:t>
            </w:r>
            <w:r w:rsidR="00905A2C" w:rsidRPr="00CC76F6">
              <w:rPr>
                <w:rFonts w:ascii="Times New Roman" w:hAnsi="Times New Roman"/>
                <w:sz w:val="24"/>
                <w:szCs w:val="24"/>
              </w:rPr>
              <w:t xml:space="preserve"> 32 Федерального закона от 12.01.1996 № 7-ФЗ «О некоммерческих организациях», п</w:t>
            </w:r>
            <w:r w:rsidR="00905A2C">
              <w:rPr>
                <w:rFonts w:ascii="Times New Roman" w:hAnsi="Times New Roman"/>
                <w:sz w:val="24"/>
                <w:szCs w:val="24"/>
              </w:rPr>
              <w:t>ункт</w:t>
            </w:r>
            <w:r w:rsidR="00905A2C" w:rsidRPr="00CC76F6">
              <w:rPr>
                <w:rFonts w:ascii="Times New Roman" w:hAnsi="Times New Roman"/>
                <w:sz w:val="24"/>
                <w:szCs w:val="24"/>
              </w:rPr>
              <w:t xml:space="preserve"> 15 Порядка предоставления информации государственным (муниципальным) учреждением, её размещения на официальном сайте в сети Интернет и ведения указанного сайта, утвержденного приказом Минфина России от 21.07.2011 № 86н, </w:t>
            </w:r>
            <w:r w:rsidR="00905A2C">
              <w:rPr>
                <w:rFonts w:ascii="Times New Roman" w:hAnsi="Times New Roman"/>
                <w:sz w:val="24"/>
                <w:szCs w:val="24"/>
              </w:rPr>
              <w:t xml:space="preserve">положения </w:t>
            </w:r>
            <w:r w:rsidR="00905A2C" w:rsidRPr="00CC76F6">
              <w:rPr>
                <w:rFonts w:ascii="Times New Roman" w:eastAsia="Calibri" w:hAnsi="Times New Roman"/>
                <w:sz w:val="24"/>
                <w:szCs w:val="24"/>
              </w:rPr>
              <w:t>нормативны</w:t>
            </w:r>
            <w:r w:rsidR="00905A2C"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="00905A2C" w:rsidRPr="00CC76F6">
              <w:rPr>
                <w:rFonts w:ascii="Times New Roman" w:eastAsia="Calibri" w:hAnsi="Times New Roman"/>
                <w:sz w:val="24"/>
                <w:szCs w:val="24"/>
              </w:rPr>
              <w:t xml:space="preserve"> правовы</w:t>
            </w:r>
            <w:r w:rsidR="00905A2C"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="00905A2C" w:rsidRPr="00CC76F6">
              <w:rPr>
                <w:rFonts w:ascii="Times New Roman" w:eastAsia="Calibri" w:hAnsi="Times New Roman"/>
                <w:sz w:val="24"/>
                <w:szCs w:val="24"/>
              </w:rPr>
              <w:t xml:space="preserve"> акт</w:t>
            </w:r>
            <w:r w:rsidR="00905A2C"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="00905A2C" w:rsidRPr="00CC76F6">
              <w:rPr>
                <w:rFonts w:ascii="Times New Roman" w:eastAsia="Calibri" w:hAnsi="Times New Roman"/>
                <w:sz w:val="24"/>
                <w:szCs w:val="24"/>
              </w:rPr>
              <w:t xml:space="preserve"> учредителя о передаче полномочий по направлению информации</w:t>
            </w:r>
            <w:r w:rsidR="00905A2C" w:rsidRPr="00060A05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в сети Интернет </w:t>
            </w:r>
            <w:hyperlink r:id="rId9" w:history="1">
              <w:r w:rsidR="00905A2C" w:rsidRPr="00060A05">
                <w:rPr>
                  <w:rFonts w:ascii="Times New Roman" w:hAnsi="Times New Roman"/>
                  <w:sz w:val="24"/>
                  <w:szCs w:val="24"/>
                </w:rPr>
                <w:t>www.bus.gov.ru</w:t>
              </w:r>
            </w:hyperlink>
          </w:p>
        </w:tc>
      </w:tr>
      <w:tr w:rsidR="006349B5" w:rsidRPr="00BD2C79" w:rsidTr="00E3132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B5" w:rsidRPr="006349B5" w:rsidRDefault="006349B5" w:rsidP="004770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9B5">
              <w:rPr>
                <w:rFonts w:ascii="Times New Roman" w:hAnsi="Times New Roman"/>
                <w:b/>
                <w:sz w:val="24"/>
                <w:szCs w:val="24"/>
              </w:rPr>
              <w:t>Нарушение порядка составления, утверждения и ведения бюджетных смет</w:t>
            </w:r>
          </w:p>
        </w:tc>
      </w:tr>
      <w:tr w:rsidR="006349B5" w:rsidRPr="00BD2C7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B5" w:rsidRPr="00CC76F6" w:rsidRDefault="006349B5" w:rsidP="006349B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349B5">
              <w:rPr>
                <w:rFonts w:ascii="Times New Roman" w:eastAsia="Calibri" w:hAnsi="Times New Roman"/>
                <w:sz w:val="24"/>
                <w:szCs w:val="24"/>
              </w:rPr>
              <w:t>Отсутствие обоснования (расчетов) плановых сметных показателей, отклонение этих показателей относительно текущего (очередного) финансового года на плановый период, отсутствие необходимых документов для составления бюджетной сметы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B5" w:rsidRPr="00CC76F6" w:rsidRDefault="006349B5" w:rsidP="00060A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9B5">
              <w:rPr>
                <w:rFonts w:ascii="Times New Roman" w:hAnsi="Times New Roman"/>
                <w:sz w:val="24"/>
                <w:szCs w:val="24"/>
              </w:rPr>
              <w:t xml:space="preserve">ст. 221 БК </w:t>
            </w:r>
            <w:proofErr w:type="spellStart"/>
            <w:proofErr w:type="gramStart"/>
            <w:r w:rsidRPr="006349B5">
              <w:rPr>
                <w:rFonts w:ascii="Times New Roman" w:hAnsi="Times New Roman"/>
                <w:sz w:val="24"/>
                <w:szCs w:val="24"/>
              </w:rPr>
              <w:t>РФ,Порядки</w:t>
            </w:r>
            <w:proofErr w:type="spellEnd"/>
            <w:proofErr w:type="gramEnd"/>
            <w:r w:rsidRPr="006349B5">
              <w:rPr>
                <w:rFonts w:ascii="Times New Roman" w:hAnsi="Times New Roman"/>
                <w:sz w:val="24"/>
                <w:szCs w:val="24"/>
              </w:rPr>
              <w:t xml:space="preserve"> составления, утверждения и ведения, утвержденные главным распорядителем бюджетных средств;</w:t>
            </w:r>
            <w:r w:rsidR="00060A0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6349B5">
              <w:rPr>
                <w:rFonts w:ascii="Times New Roman" w:hAnsi="Times New Roman"/>
                <w:sz w:val="24"/>
                <w:szCs w:val="24"/>
              </w:rPr>
              <w:t>бщие требования к порядку составления, утверждения и ведения бюджетных смет казенных учреждений, утвержденные Минфином РФ</w:t>
            </w:r>
          </w:p>
        </w:tc>
      </w:tr>
      <w:tr w:rsidR="00D45C80" w:rsidRPr="00BD2C7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C80" w:rsidRPr="006349B5" w:rsidRDefault="00D45C80" w:rsidP="006349B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C80">
              <w:rPr>
                <w:rFonts w:ascii="Times New Roman" w:eastAsia="Calibri" w:hAnsi="Times New Roman"/>
                <w:sz w:val="24"/>
                <w:szCs w:val="24"/>
              </w:rPr>
              <w:t>Нарушение методологии бюджетной классификации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C80" w:rsidRPr="00D45C80" w:rsidRDefault="00D45C80" w:rsidP="00D4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C80">
              <w:rPr>
                <w:rFonts w:ascii="Times New Roman" w:hAnsi="Times New Roman"/>
                <w:sz w:val="24"/>
                <w:szCs w:val="24"/>
              </w:rPr>
              <w:t xml:space="preserve">Приказ Минфина России от 29.11.2017 N 209н "Об утверждении Порядка </w:t>
            </w:r>
            <w:r w:rsidRPr="00D45C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применения классификации операций сектора государственного управления" </w:t>
            </w:r>
          </w:p>
          <w:p w:rsidR="00D45C80" w:rsidRPr="00D45C80" w:rsidRDefault="00D45C80" w:rsidP="00060A0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49B5" w:rsidRPr="005B0771" w:rsidTr="00BC0CF3">
        <w:trPr>
          <w:trHeight w:val="489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B5" w:rsidRPr="00FA1F14" w:rsidRDefault="006349B5" w:rsidP="002B4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Нарушения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сфере закупок товаров, работ, услуг</w:t>
            </w:r>
          </w:p>
        </w:tc>
      </w:tr>
      <w:tr w:rsidR="002B420B" w:rsidRPr="00026CA6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0B" w:rsidRPr="00026CA6" w:rsidRDefault="002B420B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0B">
              <w:rPr>
                <w:rFonts w:ascii="Times New Roman" w:hAnsi="Times New Roman"/>
                <w:sz w:val="24"/>
                <w:szCs w:val="24"/>
              </w:rPr>
              <w:t>существлен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B420B">
              <w:rPr>
                <w:rFonts w:ascii="Times New Roman" w:hAnsi="Times New Roman"/>
                <w:sz w:val="24"/>
                <w:szCs w:val="24"/>
              </w:rPr>
              <w:t xml:space="preserve"> закуп</w:t>
            </w:r>
            <w:r>
              <w:rPr>
                <w:rFonts w:ascii="Times New Roman" w:hAnsi="Times New Roman"/>
                <w:sz w:val="24"/>
                <w:szCs w:val="24"/>
              </w:rPr>
              <w:t>ок,</w:t>
            </w:r>
            <w:r w:rsidRPr="002B420B">
              <w:rPr>
                <w:rFonts w:ascii="Times New Roman" w:hAnsi="Times New Roman"/>
                <w:sz w:val="24"/>
                <w:szCs w:val="24"/>
              </w:rPr>
              <w:t xml:space="preserve"> не предусмотренны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2B420B">
              <w:rPr>
                <w:rFonts w:ascii="Times New Roman" w:hAnsi="Times New Roman"/>
                <w:sz w:val="24"/>
                <w:szCs w:val="24"/>
              </w:rPr>
              <w:t xml:space="preserve">планом-графиком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0B" w:rsidRPr="00026CA6" w:rsidRDefault="002B420B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20B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2B420B">
              <w:rPr>
                <w:rFonts w:ascii="Times New Roman" w:hAnsi="Times New Roman"/>
                <w:sz w:val="24"/>
                <w:szCs w:val="24"/>
              </w:rPr>
              <w:t xml:space="preserve"> 1 статьи 16 Федерального закона от 05.04.2013 № 44-ФЗ «О контрактной системе в сфере закупок товаров работ, услуг для обеспечения государственных и муниципальных нужд», условия муниципальных контрактов</w:t>
            </w:r>
          </w:p>
        </w:tc>
      </w:tr>
      <w:tr w:rsidR="002B420B" w:rsidRPr="00026CA6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0B" w:rsidRPr="002B420B" w:rsidRDefault="002B420B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20B">
              <w:rPr>
                <w:rFonts w:ascii="Times New Roman" w:hAnsi="Times New Roman"/>
                <w:sz w:val="24"/>
                <w:szCs w:val="24"/>
              </w:rPr>
              <w:t>Ненадлежащее обоснование начальной максимальной цены контракта, в том числе неверный выбор метода расчета НМЦК</w:t>
            </w:r>
            <w:r w:rsidR="00C46246">
              <w:rPr>
                <w:rFonts w:ascii="Times New Roman" w:hAnsi="Times New Roman"/>
                <w:sz w:val="24"/>
                <w:szCs w:val="24"/>
              </w:rPr>
              <w:t>, отсутствие обоснования НМЦК</w:t>
            </w:r>
            <w:r w:rsidRPr="002B4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0B" w:rsidRPr="002B420B" w:rsidRDefault="00C46246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B420B" w:rsidRPr="002B420B">
              <w:rPr>
                <w:rFonts w:ascii="Times New Roman" w:hAnsi="Times New Roman"/>
                <w:sz w:val="24"/>
                <w:szCs w:val="24"/>
              </w:rPr>
              <w:t>татья 18, 22 Федерального закона от 05.04.2013 № 44-ФЗ «О контрактной системе в сфере закупок товаров работ, услуг для обеспечения государственных и муниципальных нужд», условия муниципальных контрактов</w:t>
            </w:r>
          </w:p>
        </w:tc>
      </w:tr>
      <w:tr w:rsidR="00026CA6" w:rsidRPr="00414B8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A6" w:rsidRPr="00414B89" w:rsidRDefault="00026CA6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6CA6">
              <w:rPr>
                <w:rFonts w:ascii="Times New Roman" w:hAnsi="Times New Roman"/>
                <w:sz w:val="24"/>
                <w:szCs w:val="24"/>
              </w:rPr>
              <w:t>ри определении НМЦК методом сопоставимых рыночных цен (анализа рынка) использована несопоставимая ценовая информация с условиями планируемой закупки в части коммерческих и (или) финансовых условий выполнения работ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A6" w:rsidRPr="00414B89" w:rsidRDefault="00565CF3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026CA6" w:rsidRPr="00026CA6">
              <w:rPr>
                <w:rFonts w:ascii="Times New Roman" w:hAnsi="Times New Roman"/>
                <w:sz w:val="24"/>
                <w:szCs w:val="24"/>
              </w:rPr>
              <w:t xml:space="preserve"> 2, 3 статьи 22</w:t>
            </w:r>
            <w:r w:rsidR="002B420B">
              <w:t xml:space="preserve"> </w:t>
            </w:r>
            <w:r w:rsidR="002B420B" w:rsidRPr="002B420B">
              <w:rPr>
                <w:rFonts w:ascii="Times New Roman" w:hAnsi="Times New Roman"/>
                <w:sz w:val="24"/>
                <w:szCs w:val="24"/>
              </w:rPr>
              <w:t>Федерального закона от 05.04.2013 № 44-ФЗ «О контрактной системе в сфере закупок товаров работ, услуг для обеспечения государственных и муниципальных нужд», условия муниципальных контрактов</w:t>
            </w:r>
          </w:p>
        </w:tc>
      </w:tr>
      <w:tr w:rsidR="00026CA6" w:rsidRPr="00414B8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A6" w:rsidRDefault="0030043D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формировании и обосновании НМЦК </w:t>
            </w:r>
            <w:r w:rsidRPr="0030043D">
              <w:rPr>
                <w:rFonts w:ascii="Times New Roman" w:hAnsi="Times New Roman"/>
                <w:sz w:val="24"/>
                <w:szCs w:val="24"/>
              </w:rPr>
              <w:t xml:space="preserve">с применением метода </w:t>
            </w:r>
            <w:r>
              <w:rPr>
                <w:rFonts w:ascii="Times New Roman" w:hAnsi="Times New Roman"/>
                <w:sz w:val="24"/>
                <w:szCs w:val="24"/>
              </w:rPr>
              <w:t>сопоставимых рыночных цен (</w:t>
            </w:r>
            <w:r w:rsidRPr="0030043D">
              <w:rPr>
                <w:rFonts w:ascii="Times New Roman" w:hAnsi="Times New Roman"/>
                <w:sz w:val="24"/>
                <w:szCs w:val="24"/>
              </w:rPr>
              <w:t>анализа рынка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0043D">
              <w:rPr>
                <w:rFonts w:ascii="Times New Roman" w:hAnsi="Times New Roman"/>
                <w:sz w:val="24"/>
                <w:szCs w:val="24"/>
              </w:rPr>
              <w:t xml:space="preserve"> использована информация о ценах товаров, работ, услуг, полученная от поставщиков (подрядчиков, исполнителей), не осуществляющих поставки идентичных товаров, работ, услуг (или при их отсутствии однородных товаров, работ, услуг), планируемых к закупке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A6" w:rsidRPr="00026CA6" w:rsidRDefault="0030043D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026CA6" w:rsidRPr="00026CA6">
              <w:rPr>
                <w:rFonts w:ascii="Times New Roman" w:hAnsi="Times New Roman"/>
                <w:sz w:val="24"/>
                <w:szCs w:val="24"/>
              </w:rPr>
              <w:t xml:space="preserve">асть 5 статьи 22 </w:t>
            </w:r>
            <w:r w:rsidR="002B420B" w:rsidRPr="002B420B">
              <w:rPr>
                <w:rFonts w:ascii="Times New Roman" w:hAnsi="Times New Roman"/>
                <w:sz w:val="24"/>
                <w:szCs w:val="24"/>
              </w:rPr>
              <w:t>Федерального закона от 05.04.2013 № 44-ФЗ «О контрактной системе в сфере закупок товаров работ, услуг для обеспечения государственных и муниципальных нужд», условия муниципальных контрактов</w:t>
            </w:r>
          </w:p>
        </w:tc>
      </w:tr>
      <w:tr w:rsidR="00F3717C" w:rsidRPr="00C946F9" w:rsidTr="005B5D48">
        <w:trPr>
          <w:trHeight w:val="79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17C" w:rsidRPr="00CC76F6" w:rsidRDefault="00F3717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C76F6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условий контракта, если возможность изменения условий контракта не предусмотрена законодательством Российской Федерации о контрактной системе в сфере закупок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17C" w:rsidRPr="00CC76F6" w:rsidRDefault="00F3717C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асть</w:t>
            </w:r>
            <w:r w:rsidRPr="00CC76F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2 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атьи</w:t>
            </w:r>
            <w:r w:rsidRPr="00CC76F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34, 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асть</w:t>
            </w:r>
            <w:r w:rsidRPr="00CC76F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 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атьи</w:t>
            </w:r>
            <w:r w:rsidRPr="00CC76F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95 Федерального закона от 05.04.2013 № 44-ФЗ «О контрактной системе в сфере закупок товаров, работ, услуг для обеспечения госуда</w:t>
            </w:r>
            <w:r w:rsidR="00B1244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рственных и муниципальных нужд»</w:t>
            </w:r>
          </w:p>
        </w:tc>
      </w:tr>
      <w:tr w:rsidR="00905A2C" w:rsidRPr="00414B8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414B89" w:rsidRDefault="00905A2C" w:rsidP="002B420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>Неисполнение обязательств по оплате заказчиком поставленного товара выполненной работы, оказанной услуги в установленные контрактом сроки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4" w:rsidRPr="00414B89" w:rsidRDefault="00905A2C" w:rsidP="001E13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 xml:space="preserve">пункт 2 части 1 статьи 94 </w:t>
            </w:r>
            <w:r w:rsidR="001E13A8" w:rsidRPr="001E13A8">
              <w:rPr>
                <w:rFonts w:ascii="Times New Roman" w:hAnsi="Times New Roman"/>
                <w:sz w:val="24"/>
                <w:szCs w:val="24"/>
              </w:rPr>
              <w:t>Федерального закона от 05.04.2013 № 44-ФЗ «О контрактной системе в сфере закупок товаров работ, услуг для обеспечения государственных и муниципальных нужд»</w:t>
            </w:r>
          </w:p>
        </w:tc>
      </w:tr>
      <w:tr w:rsidR="00730D58" w:rsidRPr="00414B8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58" w:rsidRPr="000B3F04" w:rsidRDefault="001A251B" w:rsidP="002B420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730D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существление приемки и оплаты фактически не поставленных товаров, не выполненных работ, не оказанных услуг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58" w:rsidRPr="00414B89" w:rsidRDefault="00730D58" w:rsidP="001E13A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части </w:t>
            </w:r>
            <w:hyperlink r:id="rId10" w:history="1">
              <w:r w:rsidRPr="00730D58">
                <w:rPr>
                  <w:rFonts w:ascii="Times New Roman" w:hAnsi="Times New Roman"/>
                  <w:sz w:val="24"/>
                  <w:szCs w:val="24"/>
                </w:rPr>
                <w:t>1</w:t>
              </w:r>
            </w:hyperlink>
            <w:r w:rsidRPr="00730D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1" w:history="1">
              <w:r w:rsidRPr="00730D58">
                <w:rPr>
                  <w:rFonts w:ascii="Times New Roman" w:hAnsi="Times New Roman"/>
                  <w:sz w:val="24"/>
                  <w:szCs w:val="24"/>
                </w:rPr>
                <w:t xml:space="preserve">7 </w:t>
              </w:r>
              <w:r w:rsidR="001A251B" w:rsidRPr="00730D58">
                <w:rPr>
                  <w:rFonts w:ascii="Times New Roman" w:hAnsi="Times New Roman"/>
                  <w:sz w:val="24"/>
                  <w:szCs w:val="24"/>
                </w:rPr>
                <w:t>статьи 94</w:t>
              </w:r>
            </w:hyperlink>
            <w:r w:rsidR="001A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420B" w:rsidRPr="002B420B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05.04.2013 № 44-ФЗ «О контрактной системе в сфере закупок товаров работ, услуг для обеспечения </w:t>
            </w:r>
            <w:r w:rsidR="002B420B" w:rsidRPr="002B420B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и муниципальных нужд»</w:t>
            </w:r>
          </w:p>
        </w:tc>
      </w:tr>
      <w:tr w:rsidR="00905A2C" w:rsidRPr="00414B8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414B89" w:rsidRDefault="00905A2C" w:rsidP="002B420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lastRenderedPageBreak/>
              <w:t>Ненадлежащая проверка (экспертиза) заказчиком предоставленных поставщиком (подрядчиком, исполнителем) результатов, предусмотренных контрактом, в части их соответствия условиям контракта (приняты работы (услуги), не соответствующие условиям контракта)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2C" w:rsidRPr="00414B89" w:rsidRDefault="00905A2C" w:rsidP="002E697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 xml:space="preserve">часть 3 статьи 94 </w:t>
            </w:r>
            <w:r w:rsidR="002B420B" w:rsidRPr="002B420B">
              <w:rPr>
                <w:rFonts w:ascii="Times New Roman" w:hAnsi="Times New Roman"/>
                <w:sz w:val="24"/>
                <w:szCs w:val="24"/>
              </w:rPr>
              <w:t>Федерального закона от 05.04.2013 № 44-ФЗ «О контрактной системе в сфере закупок товаров работ, услуг для обеспечения государственных и муниципальных нужд»</w:t>
            </w:r>
          </w:p>
        </w:tc>
      </w:tr>
      <w:tr w:rsidR="002B420B" w:rsidRPr="00C946F9" w:rsidTr="00F6502E">
        <w:trPr>
          <w:trHeight w:val="103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0B" w:rsidRPr="00355653" w:rsidRDefault="002B420B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контрактах</w:t>
            </w:r>
            <w:r w:rsidRPr="002B420B">
              <w:rPr>
                <w:rFonts w:ascii="Times New Roman" w:hAnsi="Times New Roman"/>
                <w:sz w:val="24"/>
                <w:szCs w:val="24"/>
              </w:rPr>
              <w:t xml:space="preserve"> срок оплаты оказанных поставщиком (подрядчиком, исполнителем) услуг не соответствует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установленным</w:t>
            </w:r>
            <w:r w:rsidR="00BA119C">
              <w:rPr>
                <w:rFonts w:ascii="Times New Roman" w:hAnsi="Times New Roman"/>
                <w:sz w:val="24"/>
                <w:szCs w:val="24"/>
              </w:rPr>
              <w:t xml:space="preserve"> Законом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0B" w:rsidRPr="00355653" w:rsidRDefault="002E6974" w:rsidP="002E697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2B420B" w:rsidRPr="002B420B">
              <w:rPr>
                <w:rFonts w:ascii="Times New Roman" w:hAnsi="Times New Roman"/>
                <w:sz w:val="24"/>
                <w:szCs w:val="24"/>
              </w:rPr>
              <w:t>асть</w:t>
            </w:r>
            <w:r w:rsidR="002B4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420B" w:rsidRPr="002B420B">
              <w:rPr>
                <w:rFonts w:ascii="Times New Roman" w:hAnsi="Times New Roman"/>
                <w:sz w:val="24"/>
                <w:szCs w:val="24"/>
              </w:rPr>
              <w:t>13.1 статьи 34 Федерального закона от 05.04.2013 № 44-ФЗ «О контрактной системе в сфере закупок товаров работ, услуг для обеспечения государственных и муниципальных нужд»</w:t>
            </w:r>
          </w:p>
        </w:tc>
      </w:tr>
      <w:tr w:rsidR="00C07CD6" w:rsidRPr="00C946F9" w:rsidTr="00C07CD6">
        <w:trPr>
          <w:trHeight w:val="79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BA" w:rsidRPr="00026CA6" w:rsidRDefault="00F3717C" w:rsidP="003330E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717C">
              <w:rPr>
                <w:rFonts w:ascii="Times New Roman" w:hAnsi="Times New Roman"/>
                <w:sz w:val="24"/>
                <w:szCs w:val="24"/>
                <w:lang w:eastAsia="ar-SA"/>
              </w:rPr>
              <w:t>Несоблюд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ение</w:t>
            </w:r>
            <w:r w:rsidRPr="00F3717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й</w:t>
            </w:r>
            <w:r w:rsidRPr="00F3717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применении заказчиками мер ответственности в случае нарушения поставщиками (подрядчиками, исполнителями) условий контрактов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D6" w:rsidRPr="00F3717C" w:rsidRDefault="00C07CD6" w:rsidP="001805D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17C">
              <w:rPr>
                <w:rFonts w:ascii="Times New Roman" w:hAnsi="Times New Roman"/>
                <w:bCs/>
                <w:sz w:val="24"/>
                <w:szCs w:val="24"/>
              </w:rPr>
              <w:t>часть 6 статьи 34</w:t>
            </w:r>
            <w:r w:rsidR="001805D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1805D4" w:rsidRPr="001805D4">
              <w:rPr>
                <w:rFonts w:ascii="Times New Roman" w:hAnsi="Times New Roman"/>
                <w:bCs/>
                <w:sz w:val="24"/>
                <w:szCs w:val="24"/>
              </w:rPr>
              <w:t>пункта 3 части 1 статьи 94</w:t>
            </w:r>
            <w:r w:rsidR="001805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3717C">
              <w:rPr>
                <w:rFonts w:ascii="Times New Roman" w:hAnsi="Times New Roman"/>
                <w:bCs/>
                <w:sz w:val="24"/>
                <w:szCs w:val="24"/>
              </w:rPr>
              <w:t>Федерального закона от 05.04.2013 № 44-ФЗ «О контрактной системе в сфере закупок товаров работ, услуг для обеспечения государственных и муниципальных нужд»</w:t>
            </w:r>
          </w:p>
        </w:tc>
      </w:tr>
      <w:tr w:rsidR="00C07CD6" w:rsidRPr="00C946F9" w:rsidTr="00C07CD6">
        <w:trPr>
          <w:trHeight w:val="79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D6" w:rsidRPr="00CC76F6" w:rsidRDefault="00C07CD6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76F6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проведение/проведение ненадлежащим образом экспертизы поставляемого товара, выполненной работы в части их соответствия условиям соответствующих контрактов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D6" w:rsidRPr="00CC76F6" w:rsidRDefault="00C07CD6" w:rsidP="002E697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асть</w:t>
            </w:r>
            <w:r w:rsidRPr="00CC76F6">
              <w:rPr>
                <w:rFonts w:ascii="Times New Roman" w:hAnsi="Times New Roman"/>
                <w:bCs/>
                <w:sz w:val="24"/>
                <w:szCs w:val="24"/>
              </w:rPr>
              <w:t xml:space="preserve"> 3 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атьи</w:t>
            </w:r>
            <w:r w:rsidRPr="00CC76F6">
              <w:rPr>
                <w:rFonts w:ascii="Times New Roman" w:hAnsi="Times New Roman"/>
                <w:bCs/>
                <w:sz w:val="24"/>
                <w:szCs w:val="24"/>
              </w:rPr>
              <w:t xml:space="preserve">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07CD6" w:rsidRPr="00C946F9" w:rsidTr="00C07CD6">
        <w:trPr>
          <w:trHeight w:val="79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D6" w:rsidRPr="00CC76F6" w:rsidRDefault="00C07CD6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 xml:space="preserve">Осуществление приемки товаров, работ, услуг, не соответствующих условиям контракта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D6" w:rsidRPr="00CC76F6" w:rsidRDefault="00C07CD6" w:rsidP="002E697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F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1 ч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1 ст</w:t>
            </w:r>
            <w:r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 xml:space="preserve">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26CA6" w:rsidRPr="00C946F9" w:rsidTr="00C07CD6">
        <w:trPr>
          <w:trHeight w:val="79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A6" w:rsidRPr="00435C4B" w:rsidRDefault="00026CA6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26CA6">
              <w:rPr>
                <w:rFonts w:ascii="Times New Roman" w:hAnsi="Times New Roman"/>
                <w:sz w:val="24"/>
                <w:szCs w:val="24"/>
              </w:rPr>
              <w:t>еправомерно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26CA6">
              <w:rPr>
                <w:rFonts w:ascii="Times New Roman" w:hAnsi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26CA6">
              <w:rPr>
                <w:rFonts w:ascii="Times New Roman" w:hAnsi="Times New Roman"/>
                <w:sz w:val="24"/>
                <w:szCs w:val="24"/>
              </w:rPr>
              <w:t xml:space="preserve"> существенных условий муниципальных контрактов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A6" w:rsidRPr="00CC76F6" w:rsidRDefault="00026CA6" w:rsidP="002B420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026CA6">
              <w:rPr>
                <w:rFonts w:ascii="Times New Roman" w:hAnsi="Times New Roman"/>
                <w:sz w:val="24"/>
                <w:szCs w:val="24"/>
              </w:rPr>
              <w:t xml:space="preserve"> 2 статьи 34, части 1 статьи 95 </w:t>
            </w:r>
            <w:r w:rsidRPr="00CC76F6">
              <w:rPr>
                <w:rFonts w:ascii="Times New Roman" w:hAnsi="Times New Roman"/>
                <w:sz w:val="24"/>
                <w:szCs w:val="24"/>
              </w:rPr>
              <w:t>Федерального закона от 05.04.2013 № 44-ФЗ «О контрактной системе в сфере закупок товаров, работ, услуг для обеспечения госуда</w:t>
            </w:r>
            <w:r w:rsidR="002B420B">
              <w:rPr>
                <w:rFonts w:ascii="Times New Roman" w:hAnsi="Times New Roman"/>
                <w:sz w:val="24"/>
                <w:szCs w:val="24"/>
              </w:rPr>
              <w:t>рственных и муниципальных нужд»</w:t>
            </w:r>
          </w:p>
        </w:tc>
      </w:tr>
      <w:tr w:rsidR="00F3717C" w:rsidRPr="00C946F9" w:rsidTr="002B420B">
        <w:trPr>
          <w:trHeight w:val="55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17C" w:rsidRPr="00F3717C" w:rsidRDefault="00F3717C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17C">
              <w:rPr>
                <w:rFonts w:ascii="Times New Roman" w:hAnsi="Times New Roman"/>
                <w:sz w:val="24"/>
                <w:szCs w:val="24"/>
              </w:rPr>
              <w:t>Отсутствие надлежащего контроля за соблюдением подрядчиком условий контракта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17C" w:rsidRPr="00F3717C" w:rsidRDefault="00F3717C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3717C">
              <w:rPr>
                <w:rFonts w:ascii="Times New Roman" w:hAnsi="Times New Roman"/>
                <w:sz w:val="24"/>
                <w:szCs w:val="24"/>
              </w:rPr>
              <w:t xml:space="preserve">асть 1 статьи 101 </w:t>
            </w:r>
            <w:r w:rsidR="002B420B" w:rsidRPr="002B420B">
              <w:rPr>
                <w:rFonts w:ascii="Times New Roman" w:hAnsi="Times New Roman"/>
                <w:sz w:val="24"/>
                <w:szCs w:val="24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559A4" w:rsidRPr="00C946F9" w:rsidTr="00C07CD6">
        <w:trPr>
          <w:trHeight w:val="79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4" w:rsidRPr="00F3717C" w:rsidRDefault="00F65566" w:rsidP="002B420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размещение</w:t>
            </w:r>
            <w:r w:rsidR="00E559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несвоевременное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размещение</w:t>
            </w:r>
            <w:r w:rsidR="00E559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информации и документов в реестр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="00E559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контрактов Единой информационной системы в сфере закупок,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размещение</w:t>
            </w:r>
            <w:r w:rsidR="00E559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недостоверной информации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4" w:rsidRDefault="00F65566" w:rsidP="002B4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</w:t>
            </w:r>
            <w:r w:rsidR="00E559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="00E559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2, 3 статьи 103 </w:t>
            </w:r>
            <w:r w:rsidR="002B420B" w:rsidRPr="00CC76F6">
              <w:rPr>
                <w:rFonts w:ascii="Times New Roman" w:hAnsi="Times New Roman"/>
                <w:sz w:val="24"/>
                <w:szCs w:val="24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3D5349" w:rsidRDefault="003D5349" w:rsidP="00060A05">
      <w:pPr>
        <w:spacing w:before="100" w:beforeAutospacing="1" w:after="100" w:afterAutospacing="1" w:line="240" w:lineRule="auto"/>
      </w:pPr>
    </w:p>
    <w:sectPr w:rsidR="003D5349" w:rsidSect="00E97B30">
      <w:footerReference w:type="even" r:id="rId12"/>
      <w:footerReference w:type="defaul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A9" w:rsidRDefault="007B03F3">
      <w:pPr>
        <w:spacing w:after="0" w:line="240" w:lineRule="auto"/>
      </w:pPr>
      <w:r>
        <w:separator/>
      </w:r>
    </w:p>
  </w:endnote>
  <w:endnote w:type="continuationSeparator" w:id="0">
    <w:p w:rsidR="00B56FA9" w:rsidRDefault="007B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44" w:rsidRDefault="00A3769D" w:rsidP="00B73D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5644" w:rsidRDefault="007763EB" w:rsidP="00B73DA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44" w:rsidRDefault="00A3769D" w:rsidP="00B73D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63EB">
      <w:rPr>
        <w:rStyle w:val="a5"/>
        <w:noProof/>
      </w:rPr>
      <w:t>5</w:t>
    </w:r>
    <w:r>
      <w:rPr>
        <w:rStyle w:val="a5"/>
      </w:rPr>
      <w:fldChar w:fldCharType="end"/>
    </w:r>
  </w:p>
  <w:p w:rsidR="00BD5644" w:rsidRDefault="007763EB" w:rsidP="00B73D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A9" w:rsidRDefault="007B03F3">
      <w:pPr>
        <w:spacing w:after="0" w:line="240" w:lineRule="auto"/>
      </w:pPr>
      <w:r>
        <w:separator/>
      </w:r>
    </w:p>
  </w:footnote>
  <w:footnote w:type="continuationSeparator" w:id="0">
    <w:p w:rsidR="00B56FA9" w:rsidRDefault="007B0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F5A83"/>
    <w:multiLevelType w:val="multilevel"/>
    <w:tmpl w:val="0B02CE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41"/>
    <w:rsid w:val="00026CA6"/>
    <w:rsid w:val="00060A05"/>
    <w:rsid w:val="00082EAE"/>
    <w:rsid w:val="000B3F04"/>
    <w:rsid w:val="000E3E91"/>
    <w:rsid w:val="000F0A02"/>
    <w:rsid w:val="000F2B4F"/>
    <w:rsid w:val="00124841"/>
    <w:rsid w:val="00150E02"/>
    <w:rsid w:val="001805D4"/>
    <w:rsid w:val="00192DBA"/>
    <w:rsid w:val="001A251B"/>
    <w:rsid w:val="001A4B3B"/>
    <w:rsid w:val="001A4FD0"/>
    <w:rsid w:val="001E13A8"/>
    <w:rsid w:val="0024144F"/>
    <w:rsid w:val="002431C1"/>
    <w:rsid w:val="002857BA"/>
    <w:rsid w:val="002B23BC"/>
    <w:rsid w:val="002B420B"/>
    <w:rsid w:val="002E6974"/>
    <w:rsid w:val="002F17B2"/>
    <w:rsid w:val="0030043D"/>
    <w:rsid w:val="0030198E"/>
    <w:rsid w:val="00311FB1"/>
    <w:rsid w:val="003330E5"/>
    <w:rsid w:val="00355653"/>
    <w:rsid w:val="003853CA"/>
    <w:rsid w:val="003A103D"/>
    <w:rsid w:val="003A170C"/>
    <w:rsid w:val="003C489C"/>
    <w:rsid w:val="003C7A71"/>
    <w:rsid w:val="003D5349"/>
    <w:rsid w:val="003E3382"/>
    <w:rsid w:val="00414B89"/>
    <w:rsid w:val="0042748C"/>
    <w:rsid w:val="00435C4B"/>
    <w:rsid w:val="00471E13"/>
    <w:rsid w:val="00477067"/>
    <w:rsid w:val="00484448"/>
    <w:rsid w:val="004B0901"/>
    <w:rsid w:val="00551AFD"/>
    <w:rsid w:val="00565CF3"/>
    <w:rsid w:val="005A7DEB"/>
    <w:rsid w:val="005E1809"/>
    <w:rsid w:val="005E3DC5"/>
    <w:rsid w:val="006349B5"/>
    <w:rsid w:val="00660A8E"/>
    <w:rsid w:val="00675AA2"/>
    <w:rsid w:val="00697C9D"/>
    <w:rsid w:val="006A3EA8"/>
    <w:rsid w:val="006E46FF"/>
    <w:rsid w:val="00730D58"/>
    <w:rsid w:val="007763EB"/>
    <w:rsid w:val="007A3567"/>
    <w:rsid w:val="007B03F3"/>
    <w:rsid w:val="00884E69"/>
    <w:rsid w:val="00905A2C"/>
    <w:rsid w:val="0092504A"/>
    <w:rsid w:val="009D441C"/>
    <w:rsid w:val="00A248E2"/>
    <w:rsid w:val="00A3769D"/>
    <w:rsid w:val="00A53526"/>
    <w:rsid w:val="00A66CAC"/>
    <w:rsid w:val="00A71F81"/>
    <w:rsid w:val="00AF2CE8"/>
    <w:rsid w:val="00B00311"/>
    <w:rsid w:val="00B11447"/>
    <w:rsid w:val="00B1244E"/>
    <w:rsid w:val="00B4186E"/>
    <w:rsid w:val="00B56FA9"/>
    <w:rsid w:val="00B70C4B"/>
    <w:rsid w:val="00B73BE4"/>
    <w:rsid w:val="00B771D4"/>
    <w:rsid w:val="00B91672"/>
    <w:rsid w:val="00B9190B"/>
    <w:rsid w:val="00B92284"/>
    <w:rsid w:val="00BA119C"/>
    <w:rsid w:val="00BA5F59"/>
    <w:rsid w:val="00BC0CF3"/>
    <w:rsid w:val="00BD2C79"/>
    <w:rsid w:val="00C00693"/>
    <w:rsid w:val="00C07CD6"/>
    <w:rsid w:val="00C46246"/>
    <w:rsid w:val="00C66FB5"/>
    <w:rsid w:val="00C6731C"/>
    <w:rsid w:val="00C67BFE"/>
    <w:rsid w:val="00D23114"/>
    <w:rsid w:val="00D45C80"/>
    <w:rsid w:val="00DE039D"/>
    <w:rsid w:val="00E559A4"/>
    <w:rsid w:val="00E56BBA"/>
    <w:rsid w:val="00E62DD6"/>
    <w:rsid w:val="00E65EFF"/>
    <w:rsid w:val="00F3717C"/>
    <w:rsid w:val="00F60B3D"/>
    <w:rsid w:val="00F6502E"/>
    <w:rsid w:val="00F65566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A8FE7-DB46-4646-AB55-988CD941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484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124841"/>
    <w:rPr>
      <w:rFonts w:ascii="Calibri" w:eastAsia="Times New Roman" w:hAnsi="Calibri" w:cs="Times New Roman"/>
      <w:lang w:val="x-none" w:eastAsia="x-none"/>
    </w:rPr>
  </w:style>
  <w:style w:type="character" w:styleId="a5">
    <w:name w:val="page number"/>
    <w:basedOn w:val="a0"/>
    <w:rsid w:val="00124841"/>
  </w:style>
  <w:style w:type="paragraph" w:styleId="a6">
    <w:name w:val="Body Text"/>
    <w:basedOn w:val="a"/>
    <w:link w:val="1"/>
    <w:rsid w:val="00311FB1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311FB1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link w:val="a6"/>
    <w:rsid w:val="0031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8">
    <w:name w:val="Hyperlink"/>
    <w:basedOn w:val="a0"/>
    <w:uiPriority w:val="99"/>
    <w:unhideWhenUsed/>
    <w:rsid w:val="00B91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972&amp;dst=29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972&amp;dst=101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1E84-363F-4955-A44D-D62A8CEA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Флорида Губайдулина</dc:creator>
  <cp:keywords/>
  <dc:description/>
  <cp:lastModifiedBy>Ирина Гацук</cp:lastModifiedBy>
  <cp:revision>36</cp:revision>
  <dcterms:created xsi:type="dcterms:W3CDTF">2024-04-11T10:06:00Z</dcterms:created>
  <dcterms:modified xsi:type="dcterms:W3CDTF">2024-04-15T04:27:00Z</dcterms:modified>
</cp:coreProperties>
</file>