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ind w:left="142"/>
        <w:jc w:val="center"/>
        <w:spacing w:after="0"/>
        <w:rPr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Реестр сельских туристических маршрутов, туров и программ Ханты-Мансийского автономного округа – Югры</w:t>
      </w:r>
      <w:r/>
    </w:p>
    <w:p>
      <w:r/>
      <w:r/>
    </w:p>
    <w:tbl>
      <w:tblPr>
        <w:tblStyle w:val="835"/>
        <w:tblW w:w="5000" w:type="pct"/>
        <w:tblLayout w:type="fixed"/>
        <w:tblLook w:val="04A0" w:firstRow="1" w:lastRow="0" w:firstColumn="1" w:lastColumn="0" w:noHBand="0" w:noVBand="1"/>
      </w:tblPr>
      <w:tblGrid>
        <w:gridCol w:w="459"/>
        <w:gridCol w:w="1511"/>
        <w:gridCol w:w="1792"/>
        <w:gridCol w:w="2159"/>
        <w:gridCol w:w="1334"/>
        <w:gridCol w:w="1641"/>
        <w:gridCol w:w="1768"/>
        <w:gridCol w:w="1425"/>
        <w:gridCol w:w="2697"/>
      </w:tblGrid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п\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Продолжительность, сезонность, стоимость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Категория туристов / экскурсантов 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pStyle w:val="832"/>
              <w:ind w:left="111" w:right="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«Легенды Югана»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ур выходного дня. Посещение Угутского краеведческого музея, тематическая экскурсия, знакомство с исторической личностью богатырем Монти Тонья, камнем желаний и другими. В рамках экскурсии -  прохождение квеста, мастер-классы, викторины, краеведческое лото.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 часа, всесезонно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Входной билет детский – 40,00 рублей, взрослый 60,00 рублей, экскурсионное обслуживание до 10 человек – 200 рублей, свыше 10 человек – 250 рублей.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П. С. Бахлыкова»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Фефилова Татьяна Юрьевна,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к.и.н. культурологии, заведующий филиалом,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с. п. Угут,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ул. Угутская, 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8(3462) 737-769, </w:t>
            </w:r>
            <w:hyperlink r:id="rId9" w:tooltip="mailto:ugutmuseum@yandex.ru," w:history="1">
              <w:r>
                <w:rPr>
                  <w:highlight w:val="none"/>
                </w:rPr>
                <w:t xml:space="preserve">ugutmuseum@yandex.ru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«Купечество Западной Сибири»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Тур выходного дня. Посещение Угутского краеведческого музея, обзорная экскурсия, знакомство с последними купцами Югана, экспозициями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«Торговые пути» и «Христианизация», квест, мастер-классы, викторины, краеведческое лото, пешеходная экскурсия «Купеческий дом».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течение года.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Продолжительность 2 ч.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Входной билет детский – 40,00 руб., взрослый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60,00 руб., экскурсионное обслуживание до 10 человек – 200 руб., свыше 10 человек – 250 руб.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Имеются условия для приема граждан старшего поколения и людей с ограниченными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П. С. Бахлыкова»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Фефилова Татьяна Юрьевна,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к.и.н. культурологии, заведующий филиалом,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с. п. Угут,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ул. Угутская, 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8(3462) 737-769, </w:t>
            </w:r>
            <w:hyperlink r:id="rId10" w:tooltip="mailto:ugutmuseum@yandex.ru," w:history="1">
              <w:r>
                <w:rPr>
                  <w:highlight w:val="none"/>
                </w:rPr>
                <w:t xml:space="preserve">ugutmuseum@yandex.ru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«Люди реки Юган»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Обзорная экскурсия по стационарным экспозициям Угутского краеведческого музея: «Люди реки Юган», «Мастерская художника», «Мир вокруг нас: живая природа Югана». Мастер-классы, викторины, настольные краеведческие игры (лото, пазлы, найди отличия и т.д.)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 течение года.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Продолжительность 2 ч.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Входной билет детский – 40,00 руб., взрослый 60,00 руб., экскурсионное обслуживание до 10 человек – 200 руб., свыше 10 человек – 250 руб.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pStyle w:val="832"/>
              <w:contextualSpacing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  <w:lang w:val="ru-RU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sz w:val="22"/>
                <w:szCs w:val="22"/>
                <w:highlight w:val="none"/>
                <w:lang w:val="ru-RU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П. С. Бахлыкова»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Фефилова Татьяна Юрьевна,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к.и.н. культурологии, заведующий филиалом,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с. п. Угут,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ул. Угутская, 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8(3462) 737-769, </w:t>
            </w:r>
            <w:hyperlink r:id="rId11" w:tooltip="mailto:ugutmuseum@yandex.ru," w:history="1">
              <w:r>
                <w:rPr>
                  <w:highlight w:val="none"/>
                </w:rPr>
                <w:t xml:space="preserve">ugutmuseum@yandex.ru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Туристический маршрут «Мэн кутыва ёвта» («Добро пожаловать на стойбище»)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процессе реализации данного маршрута туристы становятся на время жителями хантыйских сезонных стойбищ.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остей встречают на территории музея, проводят обряд очищения дымом. В этноизбушке туристам предлагается традиционный чай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брусничным листом и сушками, знакомство с традиционной хантыйской кухней.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Далее проводится э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кскурсия по экспозициям музея «Музей приглашает гостей» и экскурсия по территории музея «Прогулка по стойбищу». Для детей и взрослых проводятся традиционные спортивные состязания.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 этноизбушке запланированы мастер-классы по пошиву традиционной куклы «Клюковка».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Завершает тур фотосессия в национальных костюмах в здании музея.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течение года.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Продолжительность - 2 часа.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 билет – 310 руб.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Дети, взрослые, семьи, пожилые, школьные группы, молодежь и т.д.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Граждане старшего поколения проходят маршрут на общих основаниях.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Для людей с ограниченными возможностями здоровья каждая заявка </w:t>
            </w: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планируется индивидуально, разрабатываются мероприятия в соответствии с особенностями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 пожеланиями участников маршрута.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«Лянторский хантыйский этнографический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г.п. Лянтор,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/>
            <w:hyperlink r:id="rId12" w:tooltip="mailto:lyantorhm@yandex.ru" w:history="1"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13" w:tooltip="http://lhem.ru/" w:history="1"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beforeAutospacing="0" w:afterAutospacing="0"/>
            </w:pPr>
            <w:r>
              <w:rPr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bCs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beforeAutospacing="0" w:afterAutospacing="0"/>
            </w:pPr>
            <w:r>
              <w:rPr>
                <w:bCs/>
                <w:sz w:val="22"/>
                <w:szCs w:val="22"/>
              </w:rPr>
              <w:t xml:space="preserve">Туристический маршрут «В гостях у Няние» («Хлебушко</w:t>
            </w:r>
            <w:r>
              <w:rPr>
                <w:color w:val="000000"/>
                <w:sz w:val="22"/>
                <w:szCs w:val="22"/>
              </w:rPr>
              <w:t xml:space="preserve">»)</w:t>
            </w:r>
            <w:r>
              <w:rPr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процессе реализации данного маршрута туристам рассказывается о традиционной хантыйской кухне 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выпечке хлеба. Также, для гостей разработаны традиционные хантыйские настольные игры, мастер-классы.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 это погрзит гостей в жизнь ханты.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человек в группе: от 1 до 20 человек.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Продолжительность - 2 часа.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 билет – 1500 руб.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Дети, взрослые, семьи, пожилые, школьные группы,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молодежь и т.д.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Граждане старшего поколения проходят маршрут на </w:t>
            </w: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общих основаниях.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«Лянторский хантыйский этнографический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г.п. Лянтор,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/>
            <w:hyperlink r:id="rId14" w:tooltip="mailto:lyantorhm@yandex.ru" w:history="1"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15" w:tooltip="http://lhem.ru/" w:history="1"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beforeAutospacing="0" w:afterAutospacing="0"/>
              <w:rPr>
                <w:color w:val="000000"/>
              </w:rPr>
            </w:pPr>
            <w:r>
              <w:rPr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Туристско-экскурсионный маршрут по объекту культурного наследия в границах городского поселения Лянтор «Городище Лянторское 2»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процессе реализации маршрута туристам предлагается: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экскурсия по объекту культурного наследия «Городище Лянторское 2»;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интерактивная игра «Песчаные тайны»;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просмотр этнографического фильма «Жизнь в тайге»;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фотосессия в национальных костюмах народа ханты.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r>
            <w:r/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Продолжительность 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час 30 минут.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 билет – 1500 руб.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Дети, взрослые, семьи, пожилые, школьные группы, молодежь и т.д.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Граждане старшего поколения проходят маршрут на общих основаниях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«Лянторский хантыйский этнографический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г.п. Лянтор,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/>
            <w:hyperlink r:id="rId16" w:tooltip="mailto:lyantorhm@yandex.ru" w:history="1"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17" w:tooltip="http://lhem.ru/" w:history="1"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Этнотуристическая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компания «Ювонт-Кот (Лесной дом)»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Предоставление этнорекреационных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услуг: охота, рыбалка, катание на оленях. Организация выездов в тайгу, активный отдых, речные прогулки.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Данилец Андрей Васильевич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с.п. Русскинская,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ул. Новоселов,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Тел: 89825284258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Экскурсионная программа «Мир священной реки Тром-Аган»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Миссию Русскинского музея Природ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ы и Человека имени Ядрошникова Александра Павловича можно обозначить двумя фразами: «Спасение и сохранение для будущих поколений природного и культурного наследия Тром-аганской земли» и «Уважение и любовь к истории, природе и людям Югры через их познание».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Своим рождением музей обязан Ядрошникову А. П., энтузиасту, любителю-таксидермисту.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color w:val="2b3042"/>
                <w:sz w:val="22"/>
                <w:szCs w:val="22"/>
              </w:rPr>
              <w:t xml:space="preserve">Для инвалидов-колясочников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Парковка для инвалидов – не далее 50 м от входа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Кнопка вызова помощника на входной двери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Двери шириной более 0,9 м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Пороги отсутствуют (не более 1,4 см)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Пандусы шириной не менее 1 м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Отдельный оборудованный туалет для инвалидов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Подъезд к оборудованию/экспонатам – шире 0,9 м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Часть экспозиций – на высоте 0,7–1,2 м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Возможность посещения 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группой инвалидов на колясках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color w:val="2b3042"/>
                <w:sz w:val="22"/>
                <w:szCs w:val="22"/>
              </w:rPr>
              <w:t xml:space="preserve">Для инвалидов по зрению (слепых)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Кнопка вызова помощника на входной двери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Отдельные экспозиции (контактные зоны)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Сотрудник-помощник для помощи в передвижении внутри ОК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2b304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МБУК «Русскинской музей Природы и Человека им. Ядрошникова А.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с.п. Русскинская, ул. Русскиных, 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8(3462)737949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/>
            <w:hyperlink r:id="rId18" w:tooltip="mailto:rusmuseum1988@yandex.ru" w:history="1">
              <w:r>
                <w:rPr>
                  <w:rStyle w:val="822"/>
                </w:rPr>
                <w:t xml:space="preserve">rusmuseum1988@yandex.ru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Тур выходного дня в деревню Русскинская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Удивительное путеше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ствие в традиционную культуру коренного населения нашего края. Визит в Русскинской начианется с посещения уникального Русскинского музея Природы и Человека им. Ядрошникова А.П. Его история удивительна, а в экспозициях представлено свыше 7 000 экспонатов -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чучела пушных зверьков и более крупных видов — кабанов, оленей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, лосей, медведей, пернатая дичь, хищные и перелетные птицы, Многочисленные предметы этнографии рассказывают о быте и культуре коренных западносибирских народов — это образцы утвари и одежды, орудия промысла и рукоделия, традиционные средства передвижения.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Этнопарке Русскинской представлены арт-объекты, созданные по эскизам детских рисунков. Рядом находится детское игровое пространство «Йонтех».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2b304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bCs/>
                <w:color w:val="2b3042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«СургутИнтур»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«Туристическо-визовый центр «НАШ МИР»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 (3462) 351-789, 357-077 </w:t>
            </w:r>
            <w:hyperlink r:id="rId19" w:tooltip="mailto:tur2@surgutintur.ru" w:history="1">
              <w:r>
                <w:rPr>
                  <w:rStyle w:val="836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tur</w:t>
              </w:r>
              <w:r>
                <w:rPr>
                  <w:rStyle w:val="836"/>
                  <w:rFonts w:ascii="Times New Roman" w:hAnsi="Times New Roman" w:cs="Times New Roman"/>
                  <w:sz w:val="22"/>
                  <w:szCs w:val="22"/>
                </w:rPr>
                <w:t xml:space="preserve">2@</w:t>
              </w:r>
              <w:r>
                <w:rPr>
                  <w:rStyle w:val="836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surgutintur</w:t>
              </w:r>
              <w:r>
                <w:rPr>
                  <w:rStyle w:val="836"/>
                  <w:rFonts w:ascii="Times New Roman" w:hAnsi="Times New Roman" w:cs="Times New Roman"/>
                  <w:sz w:val="22"/>
                  <w:szCs w:val="22"/>
                </w:rPr>
                <w:t xml:space="preserve">.</w:t>
              </w:r>
              <w:r>
                <w:rPr>
                  <w:rStyle w:val="836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Сургут,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лет Победы, 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тел: (3462) 550-636,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65-75-58, 89128157558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/>
            <w:hyperlink r:id="rId20" w:tooltip="http://www.nash-tour.com" w:history="1">
              <w:r>
                <w:rPr>
                  <w:rStyle w:val="836"/>
                  <w:rFonts w:ascii="Times New Roman" w:hAnsi="Times New Roman" w:cs="Times New Roman"/>
                  <w:sz w:val="22"/>
                  <w:szCs w:val="22"/>
                </w:rPr>
                <w:t xml:space="preserve">www.nash-tour.com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Экскурсия в помещение памятника деревянного зодчества.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«Храм святого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великомученика и целителя Пантелеймона»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Храм построен в 1894 году. Восстановлен в конце 90-х годов XX в. Во время восстановления храма под полом была обнаружена церковная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книга XIX века. Ею оказался типикон (устав), выпущенный в Москве типографией Синода в 1877 году. Храм является образцом традиционного деревянного зодчества.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ООО «КЕИ-2»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с.п. Тундрино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ул. Центральная, д.40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8(922)652-72-21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Тур выходного дня на базе отдыха «Кедровое»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Отдохнуть от городской суеты, привести в равновесие психологическое и физическое состояние, восстановиться на свежем воздухе всего за пару дней - это сюда!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Рыбалка, уха, чай из местных трав, речные и лесные прогулки, фотосессии в разных сельских локациях и с лошадьми, русская баня, другие виды досуга на природе по вашему усмотрению - все для по-настоящему восстанавливающего отдыха!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База "Кедровое" разместилась на живописном берегу реки Курья возле уникального кедрового бора. Место поистине волшебное,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умиротворённое, насыщенное прекрасными природными видами и атмосферой гармонии.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ООО «КЕИ-2»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с.п. Тундрино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8(922)652-72-21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Елена Капка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beforeAutospacing="0" w:afterAutospacing="0"/>
            </w:pPr>
            <w:r>
              <w:rPr>
                <w:sz w:val="22"/>
                <w:szCs w:val="22"/>
              </w:rPr>
              <w:t xml:space="preserve">Тур выходного дня «Удивительное путешествие по Сургутскому району»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4"/>
              <w:contextualSpacing/>
              <w:jc w:val="center"/>
              <w:spacing w:beforeAutospacing="0" w:afterAutospacing="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beforeAutospacing="0" w:afterAutospacing="0"/>
            </w:pPr>
            <w:r>
              <w:rPr>
                <w:sz w:val="22"/>
                <w:szCs w:val="22"/>
              </w:rPr>
              <w:t xml:space="preserve">Автобусно-пешеходная экскурсия (2 дня/1ночь).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4"/>
              <w:contextualSpacing/>
              <w:jc w:val="center"/>
              <w:spacing w:beforeAutospacing="0" w:afterAutospacing="0"/>
            </w:pPr>
            <w:r>
              <w:rPr>
                <w:sz w:val="22"/>
                <w:szCs w:val="22"/>
              </w:rPr>
              <w:t xml:space="preserve">Всем, кто интересуется историей родного края, кто хочет отдохнуть от городской суеты, повидать изумительной красоты природу, хороших и добрых людей!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4"/>
              <w:contextualSpacing/>
              <w:jc w:val="center"/>
              <w:spacing w:beforeAutospacing="0" w:afterAutospacing="0"/>
            </w:pPr>
            <w:r>
              <w:rPr>
                <w:sz w:val="22"/>
                <w:szCs w:val="22"/>
              </w:rPr>
              <w:t xml:space="preserve">Подробная программа тура по ссылке </w:t>
            </w:r>
            <w:hyperlink r:id="rId21" w:tooltip="https://ugrasr.ru/deyatelnost/turizm/turyi-vyixodnogo-dnya/udivitelnoe-puteshestvie-po-surgutskomu-rajonu.html" w:history="1">
              <w:r>
                <w:rPr>
                  <w:rStyle w:val="836"/>
                  <w:color w:val="auto"/>
                  <w:sz w:val="22"/>
                  <w:szCs w:val="22"/>
                </w:rPr>
                <w:t xml:space="preserve">https://ugrasr.ru/deyatelnost/turizm/turyi-vyixodnogo-dnya/udivitelnoe-puteshestvie-po-surgutskomu-rajonu.html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12 800 руб./чел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«Туристическо-визовый центр «НАШ МИР»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Сургут,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лет Победы, 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тел: (3462) 550-636,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65-75-58, 89128157558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/>
            <w:hyperlink r:id="rId22" w:tooltip="http://www.nash-tour.com" w:history="1">
              <w:r>
                <w:rPr>
                  <w:rStyle w:val="836"/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www.nash-tour.com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Тур выходного дня на спортивно-туристическую базу «Ляминские  берега» (с.п. Лямина)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Отдых для родителей с детьми, индивидуальный или в большой дружной компании. Рыбалка, прогулки по лесу, активные игры на свежем воздухе, прокат спортивного и рыболовного инвентаря, мангальная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зона, сауна.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br/>
              <w:t xml:space="preserve">Красота, да и только!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«Туристическо-визовый центр «НАШ МИР»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МАУ ДО «СШОР» Сургутского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Сургут,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лет Победы, 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тел: (3462) 550-636,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65-75-58, 89128157558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/>
            <w:hyperlink r:id="rId23" w:tooltip="http://www.nash-tour.com" w:history="1">
              <w:r>
                <w:rPr>
                  <w:rStyle w:val="836"/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www.nash-tour.com</w:t>
              </w:r>
            </w:hyperlink>
            <w:r>
              <w:rPr>
                <w:rStyle w:val="836"/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Style w:val="836"/>
              </w:rPr>
            </w:r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Style w:val="836"/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Style w:val="836"/>
              </w:rPr>
            </w:r>
          </w:p>
          <w:p>
            <w:pPr>
              <w:contextualSpacing/>
              <w:jc w:val="center"/>
            </w:pPr>
            <w:r>
              <w:rPr>
                <w:rStyle w:val="836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+7 (3463) 743-567</w:t>
            </w:r>
            <w:r>
              <w:rPr>
                <w:rStyle w:val="836"/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Style w:val="836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/>
            <w:hyperlink r:id="rId24" w:tooltip="https://vk.com/public206680932" w:history="1">
              <w:r>
                <w:rPr>
                  <w:rStyle w:val="836"/>
                  <w:rFonts w:ascii="Times New Roman" w:hAnsi="Times New Roman" w:eastAsia="Calibri" w:cs="Times New Roman"/>
                  <w:color w:val="auto"/>
                  <w:sz w:val="22"/>
                  <w:szCs w:val="22"/>
                  <w:lang w:val="en-US" w:eastAsia="en-US"/>
                </w:rPr>
                <w:t xml:space="preserve">https://vk.com/public206680932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Туристско-экскурсионный маршрут «Выходные в Сайгатина»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Сочетание активного, творческо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го, релаксирующего отдыха в пространстве арт-дачи «Морошка», прогулок на квадроциклах и рыбалки на берегу протоки Остяцкий Живец. Песни у костра, чаепитие, спортивные игры, фотосесии в арт-пространстве дачи «Морошка» - отличный заряд энергии и впечатлений.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бесснежный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АНО Арт-дача «Морошка»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Сайгатина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 (922) 250-93-46,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/>
            <w:hyperlink r:id="rId25" w:tooltip="mailto:artdacha86@yandex.ru" w:history="1">
              <w:r>
                <w:rPr>
                  <w:rStyle w:val="836"/>
                  <w:rFonts w:ascii="Times New Roman" w:hAnsi="Times New Roman" w:cs="Times New Roman"/>
                  <w:sz w:val="22"/>
                  <w:szCs w:val="22"/>
                </w:rPr>
                <w:t xml:space="preserve">artdacha86@yandex.ru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/>
            <w:hyperlink r:id="rId26" w:tooltip="http://artdachamoroshka.tilda.ws" w:history="1">
              <w:r>
                <w:rPr>
                  <w:rStyle w:val="836"/>
                  <w:rFonts w:ascii="Times New Roman" w:hAnsi="Times New Roman" w:cs="Times New Roman"/>
                  <w:sz w:val="22"/>
                  <w:szCs w:val="22"/>
                </w:rPr>
                <w:t xml:space="preserve">http://artdachamoroshka.tilda.ws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Карина Никора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Этноэкскурсия «К пимским ханты»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Незабываемое путешествие на этностойбище ханты с заездом в Лянторский хантыйский этнографический музей.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На стойбище проживает семья Валерия Яковлевича Кантерова. Его предки занимались традиционными промыслами на этой земле более 150 лет. Валерий Яковлевич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познакомит гостей с особенностями стойбищных построек и их назначением – лобазом, коралем, чувалом.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Покажет традиционные орудия рыбной ловли и охоты. Посетители стойбища смогут примерить национальную одежду, покормить оленей, продегустировать блюда аборигенной кухни, чай из докоросов. В зависимости от сезона, гости смогут прокатиться на оленьей упряжке.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Посещение настоящего стойбища коренных народов Севера оставит самые глубокие впечатления.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ограничения для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ИП Белозеров И.А.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+7 (922) 653-83-73,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/>
            <w:hyperlink r:id="rId27" w:tooltip="mailto:ilja_80@mail.ru" w:history="1">
              <w:r>
                <w:rPr>
                  <w:rStyle w:val="836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ilja</w:t>
              </w:r>
              <w:r>
                <w:rPr>
                  <w:rStyle w:val="836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_80@</w:t>
              </w:r>
              <w:r>
                <w:rPr>
                  <w:rStyle w:val="836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mail</w:t>
              </w:r>
              <w:r>
                <w:rPr>
                  <w:rStyle w:val="836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.</w:t>
              </w:r>
              <w:r>
                <w:rPr>
                  <w:rStyle w:val="836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Илья Белозеров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Тур на охотничье хозяйство «Еловое»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Рыбалка и охота в живописном природном уголке, знакомство с элементами традиционной культуры ханты на берегу реки Моховая, прогулки на свежем воздухе, приготовление блюд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на мангале, традиционная русская баня – замечательный отдых для любой компании.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ограничения для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ООО «Еловое»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+7 (3462) 51-78-68,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61-38-24,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Александр Продан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hyperlink r:id="rId28" w:tooltip="mailto:Elovoe@yandex.ru" w:history="1">
              <w:r>
                <w:rPr>
                  <w:rStyle w:val="836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Elovoe</w:t>
              </w:r>
              <w:r>
                <w:rPr>
                  <w:rStyle w:val="836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@</w:t>
              </w:r>
              <w:r>
                <w:rPr>
                  <w:rStyle w:val="836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yandex</w:t>
              </w:r>
              <w:r>
                <w:rPr>
                  <w:rStyle w:val="836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.</w:t>
              </w:r>
              <w:r>
                <w:rPr>
                  <w:rStyle w:val="836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83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выходного дня для многодетных семей.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енково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Рассказывается о местных традициях села,  проводятся мастер-классы, посещение музея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посвященный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истории семьи Герасимовых.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Многодетные семьи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Тимофеев Василий Сергеевич,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АНО «Центр социально-культурных инициатив «Территория возможностей»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+7-929-240-97-15,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va-surgut-13@mail.ru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1"/>
    <w:next w:val="811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2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1"/>
    <w:next w:val="811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2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2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2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2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2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2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2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1"/>
    <w:next w:val="811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2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1"/>
    <w:next w:val="811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2"/>
    <w:link w:val="657"/>
    <w:uiPriority w:val="10"/>
    <w:rPr>
      <w:sz w:val="48"/>
      <w:szCs w:val="48"/>
    </w:rPr>
  </w:style>
  <w:style w:type="paragraph" w:styleId="659">
    <w:name w:val="Subtitle"/>
    <w:basedOn w:val="811"/>
    <w:next w:val="811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2"/>
    <w:link w:val="659"/>
    <w:uiPriority w:val="11"/>
    <w:rPr>
      <w:sz w:val="24"/>
      <w:szCs w:val="24"/>
    </w:rPr>
  </w:style>
  <w:style w:type="paragraph" w:styleId="661">
    <w:name w:val="Quote"/>
    <w:basedOn w:val="811"/>
    <w:next w:val="811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1"/>
    <w:next w:val="811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2"/>
    <w:link w:val="665"/>
    <w:uiPriority w:val="99"/>
  </w:style>
  <w:style w:type="paragraph" w:styleId="667">
    <w:name w:val="Footer"/>
    <w:basedOn w:val="811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2"/>
    <w:link w:val="667"/>
    <w:uiPriority w:val="99"/>
  </w:style>
  <w:style w:type="character" w:styleId="669">
    <w:name w:val="Caption Char"/>
    <w:basedOn w:val="829"/>
    <w:link w:val="667"/>
    <w:uiPriority w:val="99"/>
  </w:style>
  <w:style w:type="table" w:styleId="670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Footnote Text Char"/>
    <w:link w:val="831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rPr>
      <w:sz w:val="24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 w:customStyle="1">
    <w:name w:val="Символ сноски"/>
    <w:qFormat/>
  </w:style>
  <w:style w:type="character" w:styleId="816" w:customStyle="1">
    <w:name w:val="Привязка сноски"/>
    <w:rPr>
      <w:vertAlign w:val="superscript"/>
    </w:rPr>
  </w:style>
  <w:style w:type="character" w:styleId="817" w:customStyle="1">
    <w:name w:val="ListLabel 1"/>
    <w:qFormat/>
    <w:rPr>
      <w:rFonts w:ascii="Times New Roman" w:hAnsi="Times New Roman" w:cs="Times New Roman"/>
      <w:sz w:val="24"/>
      <w:szCs w:val="24"/>
    </w:rPr>
  </w:style>
  <w:style w:type="character" w:styleId="818" w:customStyle="1">
    <w:name w:val="Интернет-ссылка"/>
    <w:basedOn w:val="812"/>
    <w:uiPriority w:val="99"/>
    <w:unhideWhenUsed/>
    <w:rPr>
      <w:color w:val="0000ff" w:themeColor="hyperlink"/>
      <w:u w:val="single"/>
    </w:rPr>
  </w:style>
  <w:style w:type="character" w:styleId="819" w:customStyle="1">
    <w:name w:val="ListLabel 333"/>
    <w:qFormat/>
    <w:rPr>
      <w:rFonts w:ascii="Times New Roman" w:hAnsi="Times New Roman" w:cs="Times New Roman"/>
      <w:sz w:val="24"/>
      <w:szCs w:val="24"/>
    </w:rPr>
  </w:style>
  <w:style w:type="character" w:styleId="820" w:customStyle="1">
    <w:name w:val="ListLabel 334"/>
    <w:qFormat/>
    <w:rPr>
      <w:rFonts w:ascii="Times New Roman" w:hAnsi="Times New Roman" w:cs="Times New Roman"/>
      <w:sz w:val="24"/>
      <w:szCs w:val="24"/>
      <w:highlight w:val="yellow"/>
    </w:rPr>
  </w:style>
  <w:style w:type="character" w:styleId="821" w:customStyle="1">
    <w:name w:val="ListLabel 335"/>
    <w:qFormat/>
    <w:rPr>
      <w:rFonts w:ascii="Times New Roman" w:hAnsi="Times New Roman" w:eastAsia="Times New Roman" w:cs="Times New Roman"/>
      <w:sz w:val="22"/>
      <w:szCs w:val="22"/>
      <w:lang w:eastAsia="en-US"/>
    </w:rPr>
  </w:style>
  <w:style w:type="character" w:styleId="822" w:customStyle="1">
    <w:name w:val="ListLabel 336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823" w:customStyle="1">
    <w:name w:val="ListLabel 337"/>
    <w:qFormat/>
    <w:rPr>
      <w:rFonts w:ascii="Times New Roman" w:hAnsi="Times New Roman" w:cs="Times New Roman"/>
      <w:sz w:val="22"/>
      <w:szCs w:val="22"/>
    </w:rPr>
  </w:style>
  <w:style w:type="character" w:styleId="824" w:customStyle="1">
    <w:name w:val="ListLabel 338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825" w:customStyle="1">
    <w:name w:val="ListLabel 339"/>
    <w:qFormat/>
    <w:rPr>
      <w:rFonts w:ascii="Times New Roman" w:hAnsi="Times New Roman" w:eastAsia="Calibri" w:cs="Times New Roman"/>
      <w:bCs/>
      <w:sz w:val="22"/>
      <w:szCs w:val="22"/>
      <w:lang w:eastAsia="en-US"/>
    </w:rPr>
  </w:style>
  <w:style w:type="paragraph" w:styleId="826" w:customStyle="1">
    <w:name w:val="Заголовок"/>
    <w:basedOn w:val="811"/>
    <w:next w:val="827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27">
    <w:name w:val="Body Text"/>
    <w:basedOn w:val="811"/>
    <w:pPr>
      <w:spacing w:after="140" w:line="276" w:lineRule="auto"/>
    </w:pPr>
  </w:style>
  <w:style w:type="paragraph" w:styleId="828">
    <w:name w:val="List"/>
    <w:basedOn w:val="827"/>
  </w:style>
  <w:style w:type="paragraph" w:styleId="829">
    <w:name w:val="Caption"/>
    <w:basedOn w:val="811"/>
    <w:qFormat/>
    <w:pPr>
      <w:spacing w:before="120" w:after="120"/>
      <w:suppressLineNumbers/>
    </w:pPr>
    <w:rPr>
      <w:i/>
      <w:iCs/>
    </w:rPr>
  </w:style>
  <w:style w:type="paragraph" w:styleId="830">
    <w:name w:val="index heading"/>
    <w:basedOn w:val="811"/>
    <w:qFormat/>
    <w:pPr>
      <w:suppressLineNumbers/>
    </w:pPr>
  </w:style>
  <w:style w:type="paragraph" w:styleId="831">
    <w:name w:val="footnote text"/>
    <w:basedOn w:val="811"/>
    <w:pPr>
      <w:ind w:left="339" w:hanging="339"/>
      <w:suppressLineNumbers/>
    </w:pPr>
    <w:rPr>
      <w:sz w:val="20"/>
      <w:szCs w:val="20"/>
    </w:rPr>
  </w:style>
  <w:style w:type="paragraph" w:styleId="832" w:customStyle="1">
    <w:name w:val="Table Paragraph"/>
    <w:basedOn w:val="811"/>
    <w:qFormat/>
    <w:pPr>
      <w:jc w:val="center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833">
    <w:name w:val="List Paragraph"/>
    <w:basedOn w:val="811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</w:rPr>
  </w:style>
  <w:style w:type="paragraph" w:styleId="834">
    <w:name w:val="Normal (Web)"/>
    <w:basedOn w:val="811"/>
    <w:uiPriority w:val="99"/>
    <w:qFormat/>
    <w:pPr>
      <w:spacing w:beforeAutospacing="1" w:afterAutospacing="1"/>
    </w:pPr>
    <w:rPr>
      <w:rFonts w:ascii="Times New Roman" w:hAnsi="Times New Roman" w:eastAsia="Times New Roman" w:cs="Times New Roman"/>
      <w:lang w:eastAsia="ru-RU" w:bidi="ar-SA"/>
    </w:rPr>
  </w:style>
  <w:style w:type="table" w:styleId="835">
    <w:name w:val="Table Grid"/>
    <w:basedOn w:val="81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6">
    <w:name w:val="Hyperlink"/>
    <w:basedOn w:val="81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ugutmuseum@yandex.ru," TargetMode="External"/><Relationship Id="rId10" Type="http://schemas.openxmlformats.org/officeDocument/2006/relationships/hyperlink" Target="mailto:ugutmuseum@yandex.ru," TargetMode="External"/><Relationship Id="rId11" Type="http://schemas.openxmlformats.org/officeDocument/2006/relationships/hyperlink" Target="mailto:ugutmuseum@yandex.ru," TargetMode="External"/><Relationship Id="rId12" Type="http://schemas.openxmlformats.org/officeDocument/2006/relationships/hyperlink" Target="mailto:lyantorhm@yandex.ru" TargetMode="External"/><Relationship Id="rId13" Type="http://schemas.openxmlformats.org/officeDocument/2006/relationships/hyperlink" Target="http://lhem.ru/" TargetMode="External"/><Relationship Id="rId14" Type="http://schemas.openxmlformats.org/officeDocument/2006/relationships/hyperlink" Target="mailto:lyantorhm@yandex.ru" TargetMode="External"/><Relationship Id="rId15" Type="http://schemas.openxmlformats.org/officeDocument/2006/relationships/hyperlink" Target="http://lhem.ru/" TargetMode="External"/><Relationship Id="rId16" Type="http://schemas.openxmlformats.org/officeDocument/2006/relationships/hyperlink" Target="mailto:lyantorhm@yandex.ru" TargetMode="External"/><Relationship Id="rId17" Type="http://schemas.openxmlformats.org/officeDocument/2006/relationships/hyperlink" Target="http://lhem.ru/" TargetMode="External"/><Relationship Id="rId18" Type="http://schemas.openxmlformats.org/officeDocument/2006/relationships/hyperlink" Target="mailto:rusmuseum1988@yandex.ru" TargetMode="External"/><Relationship Id="rId19" Type="http://schemas.openxmlformats.org/officeDocument/2006/relationships/hyperlink" Target="mailto:tur2@surgutintur.ru" TargetMode="External"/><Relationship Id="rId20" Type="http://schemas.openxmlformats.org/officeDocument/2006/relationships/hyperlink" Target="http://www.nash-tour.com" TargetMode="External"/><Relationship Id="rId21" Type="http://schemas.openxmlformats.org/officeDocument/2006/relationships/hyperlink" Target="https://ugrasr.ru/deyatelnost/turizm/turyi-vyixodnogo-dnya/udivitelnoe-puteshestvie-po-surgutskomu-rajonu.html" TargetMode="External"/><Relationship Id="rId22" Type="http://schemas.openxmlformats.org/officeDocument/2006/relationships/hyperlink" Target="http://www.nash-tour.com" TargetMode="External"/><Relationship Id="rId23" Type="http://schemas.openxmlformats.org/officeDocument/2006/relationships/hyperlink" Target="http://www.nash-tour.com" TargetMode="External"/><Relationship Id="rId24" Type="http://schemas.openxmlformats.org/officeDocument/2006/relationships/hyperlink" Target="https://vk.com/public206680932" TargetMode="External"/><Relationship Id="rId25" Type="http://schemas.openxmlformats.org/officeDocument/2006/relationships/hyperlink" Target="mailto:artdacha86@yandex.ru" TargetMode="External"/><Relationship Id="rId26" Type="http://schemas.openxmlformats.org/officeDocument/2006/relationships/hyperlink" Target="http://artdachamoroshka.tilda.ws" TargetMode="External"/><Relationship Id="rId27" Type="http://schemas.openxmlformats.org/officeDocument/2006/relationships/hyperlink" Target="mailto:ilja_80@mail.ru" TargetMode="External"/><Relationship Id="rId28" Type="http://schemas.openxmlformats.org/officeDocument/2006/relationships/hyperlink" Target="mailto:Elovoe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26</cp:revision>
  <dcterms:created xsi:type="dcterms:W3CDTF">2022-03-15T09:55:00Z</dcterms:created>
  <dcterms:modified xsi:type="dcterms:W3CDTF">2024-05-17T08:56:45Z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