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EA" w:rsidRDefault="00DD2BEA" w:rsidP="00DD2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2.2. Основные меры по профилактике массовых неинфекционных (отравлений) и приоритетных заболеваний в связи с вредным воздействием факторов среды обитания в г. Пыть-Ях.</w:t>
      </w:r>
    </w:p>
    <w:p w:rsidR="00DD2BEA" w:rsidRDefault="00DD2BEA" w:rsidP="00DD2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  Результаты деятельности по безопасности питания</w:t>
      </w:r>
      <w:r w:rsidR="006F6B2C">
        <w:rPr>
          <w:rFonts w:ascii="Times New Roman" w:hAnsi="Times New Roman" w:cs="Times New Roman"/>
          <w:b/>
          <w:sz w:val="24"/>
          <w:szCs w:val="24"/>
        </w:rPr>
        <w:t>.</w:t>
      </w:r>
    </w:p>
    <w:p w:rsidR="000F3D16" w:rsidRPr="009D7FA0" w:rsidRDefault="000F3D16" w:rsidP="000F3D16">
      <w:pPr>
        <w:pStyle w:val="Default"/>
        <w:ind w:firstLine="709"/>
        <w:jc w:val="both"/>
      </w:pPr>
      <w:proofErr w:type="gramStart"/>
      <w:r w:rsidRPr="009D7FA0">
        <w:t>Питание в жизни современного человека продолжает оставаться одной из наиболее значимой компонентой основ «здоровой» жизнедеятельности человека, способной оказывать непосредственное и опосредованное влияние на состояние здоровья населения, уровень и структуру заболеваемости, продолжительность и качество жизни.</w:t>
      </w:r>
      <w:proofErr w:type="gramEnd"/>
      <w:r w:rsidRPr="009D7FA0">
        <w:t xml:space="preserve"> Поэтому необходимое условие обеспечения санитарно-эпидемиологического благополучия населения – это безопасность пищи. Не способные восполнить существующие в питании нарушения, вызванные дефицитом природных микроэлементов, сложившиеся на настоящий момент традиционные способы питания населения, личные и национальные пищевые привычки усугубляются неблагоприятным воздействием окружающей среды, стрессами, кризисами, динамикой жизнедеятельности. В связи с этим осуществление мониторинга за степенью загрязнения продуктов питания и продовольственного сырья чужеродными веществами различной природы, уровнем материально-технического и санитарно-технического состояния пищевых объектов, разработкой и внедрением новых технологий производства «здоровой» пищи, использование этих данных при разработке критериев для оценки риска влияния на здоровье населения носят приоритетный характер в деятельности учреждений государственного санитарно-эпидемиологического надзора по разделу гигиены питания и являются одним из направлений государственной политики в области здорового питания населения Российской Федерации. </w:t>
      </w:r>
    </w:p>
    <w:p w:rsidR="000F3D16" w:rsidRPr="000F3D16" w:rsidRDefault="000F3D16" w:rsidP="000F3D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A0">
        <w:rPr>
          <w:rFonts w:ascii="Times New Roman" w:hAnsi="Times New Roman" w:cs="Times New Roman"/>
          <w:sz w:val="24"/>
          <w:szCs w:val="24"/>
        </w:rPr>
        <w:t>Основными особенностями, которые опр</w:t>
      </w:r>
      <w:r>
        <w:rPr>
          <w:rFonts w:ascii="Times New Roman" w:hAnsi="Times New Roman" w:cs="Times New Roman"/>
          <w:sz w:val="24"/>
          <w:szCs w:val="24"/>
        </w:rPr>
        <w:t>еделяли деятельность ТО Роспотребнадзора в г. Нефтеюганске, Нефтеюган</w:t>
      </w:r>
      <w:r w:rsidR="00684569">
        <w:rPr>
          <w:rFonts w:ascii="Times New Roman" w:hAnsi="Times New Roman" w:cs="Times New Roman"/>
          <w:sz w:val="24"/>
          <w:szCs w:val="24"/>
        </w:rPr>
        <w:t xml:space="preserve">ском районе и г. </w:t>
      </w:r>
      <w:proofErr w:type="spellStart"/>
      <w:r w:rsidR="00684569">
        <w:rPr>
          <w:rFonts w:ascii="Times New Roman" w:hAnsi="Times New Roman" w:cs="Times New Roman"/>
          <w:sz w:val="24"/>
          <w:szCs w:val="24"/>
        </w:rPr>
        <w:t>Пыть-Яхе</w:t>
      </w:r>
      <w:proofErr w:type="spellEnd"/>
      <w:r w:rsidR="00684569">
        <w:rPr>
          <w:rFonts w:ascii="Times New Roman" w:hAnsi="Times New Roman" w:cs="Times New Roman"/>
          <w:sz w:val="24"/>
          <w:szCs w:val="24"/>
        </w:rPr>
        <w:t xml:space="preserve"> в 20</w:t>
      </w:r>
      <w:r w:rsidR="000915EE">
        <w:rPr>
          <w:rFonts w:ascii="Times New Roman" w:hAnsi="Times New Roman" w:cs="Times New Roman"/>
          <w:sz w:val="24"/>
          <w:szCs w:val="24"/>
        </w:rPr>
        <w:t>2</w:t>
      </w:r>
      <w:r w:rsidR="00981EF5">
        <w:rPr>
          <w:rFonts w:ascii="Times New Roman" w:hAnsi="Times New Roman" w:cs="Times New Roman"/>
          <w:sz w:val="24"/>
          <w:szCs w:val="24"/>
        </w:rPr>
        <w:t>1</w:t>
      </w:r>
      <w:r w:rsidRPr="009D7FA0">
        <w:rPr>
          <w:rFonts w:ascii="Times New Roman" w:hAnsi="Times New Roman" w:cs="Times New Roman"/>
          <w:sz w:val="24"/>
          <w:szCs w:val="24"/>
        </w:rPr>
        <w:t xml:space="preserve"> году были реализация Единых санитарных требований применяемых на всей территории Таможенного союза.</w:t>
      </w:r>
    </w:p>
    <w:p w:rsidR="00815036" w:rsidRPr="004C0A95" w:rsidRDefault="00815036" w:rsidP="00815036">
      <w:pPr>
        <w:tabs>
          <w:tab w:val="left" w:pos="18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A95">
        <w:rPr>
          <w:rFonts w:ascii="Times New Roman" w:hAnsi="Times New Roman" w:cs="Times New Roman"/>
          <w:sz w:val="24"/>
          <w:szCs w:val="24"/>
        </w:rPr>
        <w:t>Деятельность по надзору за питанием населения осуществлялась по следующим   направлениям:</w:t>
      </w:r>
    </w:p>
    <w:p w:rsidR="00815036" w:rsidRPr="004C0A95" w:rsidRDefault="00815036" w:rsidP="00815036">
      <w:pPr>
        <w:pStyle w:val="a3"/>
        <w:numPr>
          <w:ilvl w:val="0"/>
          <w:numId w:val="1"/>
        </w:numPr>
        <w:spacing w:after="0"/>
        <w:jc w:val="both"/>
      </w:pPr>
      <w:r w:rsidRPr="004C0A95">
        <w:t>осуществление контроля выполнения технических регламентов в области безопасности пищевых продук</w:t>
      </w:r>
      <w:r w:rsidR="00340A30">
        <w:t>тов на территории   города Пыть-Ях</w:t>
      </w:r>
    </w:p>
    <w:p w:rsidR="00815036" w:rsidRPr="004C0A95" w:rsidRDefault="00815036" w:rsidP="00815036">
      <w:pPr>
        <w:pStyle w:val="a3"/>
        <w:numPr>
          <w:ilvl w:val="0"/>
          <w:numId w:val="1"/>
        </w:numPr>
        <w:spacing w:after="0"/>
        <w:jc w:val="both"/>
      </w:pPr>
      <w:r w:rsidRPr="004C0A95">
        <w:t>реализация мер по профилактике заболеваемости населения, обусловленной дефицитом микронутриентов, информированию населения об основных принципах здорового питания, мерах личной и общественной профилактики алиментарно-зависимых заболеваний;</w:t>
      </w:r>
    </w:p>
    <w:p w:rsidR="00815036" w:rsidRPr="004C0A95" w:rsidRDefault="00815036" w:rsidP="00815036">
      <w:pPr>
        <w:pStyle w:val="a3"/>
        <w:numPr>
          <w:ilvl w:val="0"/>
          <w:numId w:val="1"/>
        </w:numPr>
        <w:spacing w:after="0"/>
        <w:jc w:val="both"/>
      </w:pPr>
      <w:r w:rsidRPr="004C0A95">
        <w:t>совершенствование государственного санитарно-эпидемиологического надзора за применением   генетически модифицированных организмов (ГМО);</w:t>
      </w:r>
    </w:p>
    <w:p w:rsidR="00815036" w:rsidRPr="004C0A95" w:rsidRDefault="00815036" w:rsidP="00815036">
      <w:pPr>
        <w:pStyle w:val="a3"/>
        <w:numPr>
          <w:ilvl w:val="0"/>
          <w:numId w:val="1"/>
        </w:numPr>
        <w:spacing w:after="0"/>
        <w:jc w:val="both"/>
      </w:pPr>
      <w:r w:rsidRPr="004C0A95">
        <w:t xml:space="preserve">реализация мер по выполнению Концепции демографической политики Российской Федерации на период до 2025 года, в том числе, направленных на снижение алкоголизации населения и курения табака и осуществления надзора за алкогольной продукцией и табачными изделиями на </w:t>
      </w:r>
      <w:r w:rsidR="00340A30">
        <w:t>территории   города Пыть-Ях</w:t>
      </w:r>
    </w:p>
    <w:p w:rsidR="00815036" w:rsidRPr="004C0A95" w:rsidRDefault="00815036" w:rsidP="00815036">
      <w:pPr>
        <w:pStyle w:val="a3"/>
        <w:spacing w:after="0"/>
        <w:ind w:left="720"/>
        <w:jc w:val="both"/>
      </w:pPr>
    </w:p>
    <w:p w:rsidR="000F3D16" w:rsidRDefault="000F3D16" w:rsidP="000F3D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Сотрудниками Роспотребн</w:t>
      </w:r>
      <w:r w:rsidR="00176E94">
        <w:rPr>
          <w:rFonts w:ascii="Times New Roman" w:hAnsi="Times New Roman" w:cs="Times New Roman"/>
          <w:sz w:val="24"/>
          <w:szCs w:val="24"/>
        </w:rPr>
        <w:t>адзора,  при проведении плановых</w:t>
      </w:r>
      <w:r>
        <w:rPr>
          <w:rFonts w:ascii="Times New Roman" w:hAnsi="Times New Roman" w:cs="Times New Roman"/>
          <w:sz w:val="24"/>
          <w:szCs w:val="24"/>
        </w:rPr>
        <w:t xml:space="preserve"> и внеплановых мероприятий по контролю в предприятиях торговли, общественного питания, предприятий пищевой пр</w:t>
      </w:r>
      <w:r w:rsidR="003E3A02">
        <w:rPr>
          <w:rFonts w:ascii="Times New Roman" w:hAnsi="Times New Roman" w:cs="Times New Roman"/>
          <w:sz w:val="24"/>
          <w:szCs w:val="24"/>
        </w:rPr>
        <w:t>омышленности города Пыть-Ях</w:t>
      </w:r>
      <w:r>
        <w:rPr>
          <w:rFonts w:ascii="Times New Roman" w:hAnsi="Times New Roman" w:cs="Times New Roman"/>
          <w:sz w:val="24"/>
          <w:szCs w:val="24"/>
        </w:rPr>
        <w:t xml:space="preserve"> обращается особое внимание:</w:t>
      </w:r>
    </w:p>
    <w:p w:rsidR="000F3D16" w:rsidRDefault="000F3D16" w:rsidP="000F3D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проведение производственного контроля при производстве и реализации пищевой продукции.</w:t>
      </w:r>
    </w:p>
    <w:p w:rsidR="000F3D16" w:rsidRPr="004D3700" w:rsidRDefault="000F3D16" w:rsidP="000F3D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 осуществление условий хранения и реализации молочной, мясной, птицеводческой продукции и т.д.</w:t>
      </w:r>
    </w:p>
    <w:p w:rsidR="004D3700" w:rsidRPr="004D3700" w:rsidRDefault="004D3700" w:rsidP="004D37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Документацию, подтверждающую качество и безопасность пищевой продукции.</w:t>
      </w:r>
    </w:p>
    <w:p w:rsidR="000F3D16" w:rsidRDefault="000F3D16" w:rsidP="000F3D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уровень гигиенического обучения сотрудников предприятий пищевой промышленности и предприятий торговли.  </w:t>
      </w:r>
    </w:p>
    <w:p w:rsidR="007E2941" w:rsidRPr="00633148" w:rsidRDefault="00392353" w:rsidP="00BA088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Проверки предприятий торговли, общественного питания и пищевой промышленности проводились </w:t>
      </w:r>
      <w:r w:rsidR="00BA0885">
        <w:rPr>
          <w:rFonts w:ascii="Times New Roman" w:hAnsi="Times New Roman" w:cs="Times New Roman"/>
          <w:sz w:val="24"/>
          <w:szCs w:val="24"/>
        </w:rPr>
        <w:t>на основании плана работ на 20</w:t>
      </w:r>
      <w:r w:rsidR="008B75C0">
        <w:rPr>
          <w:rFonts w:ascii="Times New Roman" w:hAnsi="Times New Roman" w:cs="Times New Roman"/>
          <w:sz w:val="24"/>
          <w:szCs w:val="24"/>
        </w:rPr>
        <w:t>2</w:t>
      </w:r>
      <w:r w:rsidR="00981E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год, приказов Федеральной службы  по надзору в сфере защиты прав потребителей и благополучия человека, изданных по поручению правительства РФ, на основании жалоб от населения.</w:t>
      </w:r>
      <w:r w:rsidR="00826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 в 20</w:t>
      </w:r>
      <w:r w:rsidR="008B75C0">
        <w:rPr>
          <w:rFonts w:ascii="Times New Roman" w:hAnsi="Times New Roman" w:cs="Times New Roman"/>
          <w:sz w:val="24"/>
          <w:szCs w:val="24"/>
        </w:rPr>
        <w:t>2</w:t>
      </w:r>
      <w:r w:rsidR="00981EF5">
        <w:rPr>
          <w:rFonts w:ascii="Times New Roman" w:hAnsi="Times New Roman" w:cs="Times New Roman"/>
          <w:sz w:val="24"/>
          <w:szCs w:val="24"/>
        </w:rPr>
        <w:t>1</w:t>
      </w:r>
      <w:r w:rsidR="00826FF1">
        <w:rPr>
          <w:rFonts w:ascii="Times New Roman" w:hAnsi="Times New Roman" w:cs="Times New Roman"/>
          <w:sz w:val="24"/>
          <w:szCs w:val="24"/>
        </w:rPr>
        <w:t xml:space="preserve"> году проведено </w:t>
      </w:r>
      <w:r w:rsidR="003F0070">
        <w:rPr>
          <w:rFonts w:ascii="Times New Roman" w:hAnsi="Times New Roman" w:cs="Times New Roman"/>
          <w:sz w:val="24"/>
          <w:szCs w:val="24"/>
        </w:rPr>
        <w:t>39</w:t>
      </w:r>
      <w:r w:rsidR="00826FF1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8B75C0">
        <w:rPr>
          <w:rFonts w:ascii="Times New Roman" w:hAnsi="Times New Roman" w:cs="Times New Roman"/>
          <w:sz w:val="24"/>
          <w:szCs w:val="24"/>
        </w:rPr>
        <w:t>й</w:t>
      </w:r>
      <w:r w:rsidR="00E3017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E30176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E30176">
        <w:rPr>
          <w:rFonts w:ascii="Times New Roman" w:hAnsi="Times New Roman" w:cs="Times New Roman"/>
          <w:sz w:val="24"/>
          <w:szCs w:val="24"/>
        </w:rPr>
        <w:t xml:space="preserve"> объектами пищевой промышленности и предприятий торговли пищевыми продуктами. При проведении плановых и внеплановых мероприятий предприятий торговли и общественного  питания проводится большая работа по </w:t>
      </w:r>
      <w:proofErr w:type="gramStart"/>
      <w:r w:rsidR="00E30176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E30176">
        <w:rPr>
          <w:rFonts w:ascii="Times New Roman" w:hAnsi="Times New Roman" w:cs="Times New Roman"/>
          <w:sz w:val="24"/>
          <w:szCs w:val="24"/>
        </w:rPr>
        <w:t xml:space="preserve">  условиями хранения, поставки и реализации скоропортящейся, молочной, мясной продукции. Основные </w:t>
      </w:r>
      <w:proofErr w:type="gramStart"/>
      <w:r w:rsidR="00E30176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="00E30176">
        <w:rPr>
          <w:rFonts w:ascii="Times New Roman" w:hAnsi="Times New Roman" w:cs="Times New Roman"/>
          <w:sz w:val="24"/>
          <w:szCs w:val="24"/>
        </w:rPr>
        <w:t xml:space="preserve">  выявленные при осуществлении надзорных мероприятий: </w:t>
      </w:r>
      <w:r w:rsidR="00BA0885">
        <w:rPr>
          <w:rFonts w:ascii="Times New Roman" w:hAnsi="Times New Roman" w:cs="Times New Roman"/>
          <w:sz w:val="24"/>
          <w:szCs w:val="24"/>
        </w:rPr>
        <w:t xml:space="preserve">отсутствие производственного контроля в процессе производства и реализации продуктов питания; содержание производственных помещений, технологического оборудования  и  инвентаря, используемых  в процессе производства и реализации с нарушением  санитарных  норм;  нарушение поточности технологического процесса при производстве и хранении пищевой продукции, недостаточный набор производственных помещений, отсутствие документации, подтверждающей качество и безопасность реализуемых продуктов питания; нарушение сроков реализации  и условий хранения продуктов питания; нарушения условий хранения и удаления  отходов при реализации и производстве продуктов питания; наличие на продуктах питания и объектах внешней среды микробного  обсеменения, по результатам лабораторных исследований; выявление пищевой продукции с признаками фальсификации; нарушения сроков прохождения периодических и предварительных медицинских осмотров, аттестации по курсу санитарно-гигиенического минимума, курение табака в помещениях, предназначенных для предоставления услуг общественного питания, отсутствие необходимых сведений для потребителей о продавце, о реализуемой продукции. </w:t>
      </w:r>
    </w:p>
    <w:p w:rsidR="008C3FFE" w:rsidRPr="008C3FFE" w:rsidRDefault="008C3FFE" w:rsidP="00BD0D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результатам проведенных проверок были применены меры административного наказания.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юридические лица, должностные лица, допустившие нарушения санитарного законодательства и  законодательства в сфере защиты прав потребителей,  при осуществлении деятельности по производству, торговле пищевыми продуктам</w:t>
      </w:r>
      <w:r w:rsidR="00392353">
        <w:rPr>
          <w:rFonts w:ascii="Times New Roman" w:hAnsi="Times New Roman" w:cs="Times New Roman"/>
          <w:sz w:val="24"/>
          <w:szCs w:val="24"/>
        </w:rPr>
        <w:t xml:space="preserve">и и </w:t>
      </w:r>
      <w:r w:rsidR="0015664F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DB1CC0">
        <w:rPr>
          <w:rFonts w:ascii="Times New Roman" w:hAnsi="Times New Roman" w:cs="Times New Roman"/>
          <w:sz w:val="24"/>
          <w:szCs w:val="24"/>
        </w:rPr>
        <w:t xml:space="preserve"> </w:t>
      </w:r>
      <w:r w:rsidR="0015664F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392353">
        <w:rPr>
          <w:rFonts w:ascii="Times New Roman" w:hAnsi="Times New Roman" w:cs="Times New Roman"/>
          <w:sz w:val="24"/>
          <w:szCs w:val="24"/>
        </w:rPr>
        <w:t>общественного питания в 20</w:t>
      </w:r>
      <w:r w:rsidR="008B75C0">
        <w:rPr>
          <w:rFonts w:ascii="Times New Roman" w:hAnsi="Times New Roman" w:cs="Times New Roman"/>
          <w:sz w:val="24"/>
          <w:szCs w:val="24"/>
        </w:rPr>
        <w:t>2</w:t>
      </w:r>
      <w:r w:rsidR="006205C8">
        <w:rPr>
          <w:rFonts w:ascii="Times New Roman" w:hAnsi="Times New Roman" w:cs="Times New Roman"/>
          <w:sz w:val="24"/>
          <w:szCs w:val="24"/>
        </w:rPr>
        <w:t>1</w:t>
      </w:r>
      <w:r w:rsidR="00BA0885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всего составлено  </w:t>
      </w:r>
      <w:r w:rsidR="008B75C0">
        <w:rPr>
          <w:rFonts w:ascii="Times New Roman" w:hAnsi="Times New Roman" w:cs="Times New Roman"/>
          <w:sz w:val="24"/>
          <w:szCs w:val="24"/>
        </w:rPr>
        <w:t>13</w:t>
      </w:r>
      <w:r w:rsidR="00DB1CC0">
        <w:rPr>
          <w:rFonts w:ascii="Times New Roman" w:hAnsi="Times New Roman" w:cs="Times New Roman"/>
          <w:sz w:val="24"/>
          <w:szCs w:val="24"/>
        </w:rPr>
        <w:t xml:space="preserve"> </w:t>
      </w:r>
      <w:r w:rsidR="00DD687F">
        <w:rPr>
          <w:rFonts w:ascii="Times New Roman" w:hAnsi="Times New Roman" w:cs="Times New Roman"/>
          <w:sz w:val="24"/>
          <w:szCs w:val="24"/>
        </w:rPr>
        <w:t xml:space="preserve"> протоколов</w:t>
      </w:r>
      <w:r>
        <w:rPr>
          <w:rFonts w:ascii="Times New Roman" w:hAnsi="Times New Roman" w:cs="Times New Roman"/>
          <w:sz w:val="24"/>
          <w:szCs w:val="24"/>
        </w:rPr>
        <w:t xml:space="preserve"> об административном </w:t>
      </w:r>
      <w:r w:rsidR="0060361B">
        <w:rPr>
          <w:rFonts w:ascii="Times New Roman" w:hAnsi="Times New Roman" w:cs="Times New Roman"/>
          <w:sz w:val="24"/>
          <w:szCs w:val="24"/>
        </w:rPr>
        <w:t>нарушении по статьям  6.3</w:t>
      </w:r>
      <w:r w:rsidR="001679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6.6, 6.25, </w:t>
      </w:r>
      <w:r w:rsidR="00392353">
        <w:rPr>
          <w:rFonts w:ascii="Times New Roman" w:hAnsi="Times New Roman" w:cs="Times New Roman"/>
          <w:sz w:val="24"/>
          <w:szCs w:val="24"/>
        </w:rPr>
        <w:t xml:space="preserve">14.2, </w:t>
      </w:r>
      <w:r w:rsidR="0060361B">
        <w:rPr>
          <w:rFonts w:ascii="Times New Roman" w:hAnsi="Times New Roman" w:cs="Times New Roman"/>
          <w:sz w:val="24"/>
          <w:szCs w:val="24"/>
        </w:rPr>
        <w:t xml:space="preserve">14.43 ч.1, 14.43 ч.2, </w:t>
      </w:r>
      <w:r w:rsidR="00392353">
        <w:rPr>
          <w:rFonts w:ascii="Times New Roman" w:hAnsi="Times New Roman" w:cs="Times New Roman"/>
          <w:sz w:val="24"/>
          <w:szCs w:val="24"/>
        </w:rPr>
        <w:t xml:space="preserve">14.5,  14.45, 14.53 ч.1, </w:t>
      </w:r>
      <w:r w:rsidR="0060361B">
        <w:rPr>
          <w:rFonts w:ascii="Times New Roman" w:hAnsi="Times New Roman" w:cs="Times New Roman"/>
          <w:sz w:val="24"/>
          <w:szCs w:val="24"/>
        </w:rPr>
        <w:t>14.7, 14.8 ч.1</w:t>
      </w:r>
      <w:proofErr w:type="gramEnd"/>
      <w:r w:rsidR="006036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14.15, 15.12</w:t>
      </w:r>
      <w:r w:rsidR="00BA0885">
        <w:rPr>
          <w:rFonts w:ascii="Times New Roman" w:hAnsi="Times New Roman" w:cs="Times New Roman"/>
          <w:sz w:val="24"/>
          <w:szCs w:val="24"/>
        </w:rPr>
        <w:t xml:space="preserve"> ч.2</w:t>
      </w:r>
      <w:r>
        <w:rPr>
          <w:rFonts w:ascii="Times New Roman" w:hAnsi="Times New Roman" w:cs="Times New Roman"/>
          <w:sz w:val="24"/>
          <w:szCs w:val="24"/>
        </w:rPr>
        <w:t xml:space="preserve"> КоАП РФ. В ходе контрольно-надзорной деятельн</w:t>
      </w:r>
      <w:r w:rsidR="00BA0885">
        <w:rPr>
          <w:rFonts w:ascii="Times New Roman" w:hAnsi="Times New Roman" w:cs="Times New Roman"/>
          <w:sz w:val="24"/>
          <w:szCs w:val="24"/>
        </w:rPr>
        <w:t>ости в 20</w:t>
      </w:r>
      <w:r w:rsidR="008B75C0">
        <w:rPr>
          <w:rFonts w:ascii="Times New Roman" w:hAnsi="Times New Roman" w:cs="Times New Roman"/>
          <w:sz w:val="24"/>
          <w:szCs w:val="24"/>
        </w:rPr>
        <w:t>2</w:t>
      </w:r>
      <w:r w:rsidR="006205C8">
        <w:rPr>
          <w:rFonts w:ascii="Times New Roman" w:hAnsi="Times New Roman" w:cs="Times New Roman"/>
          <w:sz w:val="24"/>
          <w:szCs w:val="24"/>
        </w:rPr>
        <w:t>1</w:t>
      </w:r>
      <w:r w:rsidR="00BA0885">
        <w:rPr>
          <w:rFonts w:ascii="Times New Roman" w:hAnsi="Times New Roman" w:cs="Times New Roman"/>
          <w:sz w:val="24"/>
          <w:szCs w:val="24"/>
        </w:rPr>
        <w:t xml:space="preserve"> </w:t>
      </w:r>
      <w:r w:rsidR="001679A1">
        <w:rPr>
          <w:rFonts w:ascii="Times New Roman" w:hAnsi="Times New Roman" w:cs="Times New Roman"/>
          <w:sz w:val="24"/>
          <w:szCs w:val="24"/>
        </w:rPr>
        <w:t>году  забракован</w:t>
      </w:r>
      <w:r w:rsidR="001679A1" w:rsidRPr="001679A1">
        <w:rPr>
          <w:rFonts w:ascii="Times New Roman" w:hAnsi="Times New Roman" w:cs="Times New Roman"/>
          <w:sz w:val="24"/>
          <w:szCs w:val="24"/>
        </w:rPr>
        <w:t>о</w:t>
      </w:r>
      <w:r w:rsidR="005D5EC3">
        <w:rPr>
          <w:rFonts w:ascii="Times New Roman" w:hAnsi="Times New Roman" w:cs="Times New Roman"/>
          <w:sz w:val="24"/>
          <w:szCs w:val="24"/>
        </w:rPr>
        <w:t xml:space="preserve">  </w:t>
      </w:r>
      <w:r w:rsidR="006205C8">
        <w:rPr>
          <w:rFonts w:ascii="Times New Roman" w:hAnsi="Times New Roman" w:cs="Times New Roman"/>
          <w:sz w:val="24"/>
          <w:szCs w:val="24"/>
        </w:rPr>
        <w:t>7</w:t>
      </w:r>
      <w:r w:rsidR="00DF3A2A" w:rsidRPr="005D5EC3">
        <w:rPr>
          <w:rFonts w:ascii="Times New Roman" w:hAnsi="Times New Roman" w:cs="Times New Roman"/>
          <w:sz w:val="24"/>
          <w:szCs w:val="24"/>
        </w:rPr>
        <w:t xml:space="preserve"> партии</w:t>
      </w:r>
      <w:r w:rsidRPr="005D5EC3">
        <w:rPr>
          <w:rFonts w:ascii="Times New Roman" w:hAnsi="Times New Roman" w:cs="Times New Roman"/>
          <w:sz w:val="24"/>
          <w:szCs w:val="24"/>
        </w:rPr>
        <w:t xml:space="preserve"> некач</w:t>
      </w:r>
      <w:r w:rsidR="00BD0D03" w:rsidRPr="005D5EC3">
        <w:rPr>
          <w:rFonts w:ascii="Times New Roman" w:hAnsi="Times New Roman" w:cs="Times New Roman"/>
          <w:sz w:val="24"/>
          <w:szCs w:val="24"/>
        </w:rPr>
        <w:t>ес</w:t>
      </w:r>
      <w:r w:rsidR="005D5EC3" w:rsidRPr="005D5EC3">
        <w:rPr>
          <w:rFonts w:ascii="Times New Roman" w:hAnsi="Times New Roman" w:cs="Times New Roman"/>
          <w:sz w:val="24"/>
          <w:szCs w:val="24"/>
        </w:rPr>
        <w:t xml:space="preserve">твенной продукции, объемом </w:t>
      </w:r>
      <w:r w:rsidR="008B75C0">
        <w:rPr>
          <w:rFonts w:ascii="Times New Roman" w:hAnsi="Times New Roman" w:cs="Times New Roman"/>
          <w:sz w:val="24"/>
          <w:szCs w:val="24"/>
        </w:rPr>
        <w:t>20</w:t>
      </w:r>
      <w:r w:rsidR="005D5EC3" w:rsidRPr="005D5EC3">
        <w:rPr>
          <w:rFonts w:ascii="Times New Roman" w:hAnsi="Times New Roman" w:cs="Times New Roman"/>
          <w:sz w:val="24"/>
          <w:szCs w:val="24"/>
        </w:rPr>
        <w:t xml:space="preserve"> </w:t>
      </w:r>
      <w:r w:rsidRPr="005D5EC3">
        <w:rPr>
          <w:rFonts w:ascii="Times New Roman" w:hAnsi="Times New Roman" w:cs="Times New Roman"/>
          <w:sz w:val="24"/>
          <w:szCs w:val="24"/>
        </w:rPr>
        <w:t>кг.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причинами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забраковки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пищевой продукции является продукция с истекшим сроком годности, продукция без сопроводительных документов, подтверждающих их происхождение, качество и безопасность, несоответствие продукции при лабораторном исследовании. </w:t>
      </w:r>
    </w:p>
    <w:p w:rsidR="006205C8" w:rsidRDefault="00E30176" w:rsidP="00620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 целью снижения вредного воздействия потребления алкоголя в стране распоряжением   Правительства  Российской  Федерации от 30 декабря 2009 года №2128-р утверждена Концепция государственной политики по снижению масштабов злоупотребления  алкоголем и  профилактике алкоголизма среди населения Российской Федерации на период до 202</w:t>
      </w:r>
      <w:r w:rsidR="006205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г.,  целями  которой являются: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снижение уровня потребления алкогольной продукции;  повышение эффективности системы профилактики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злоупотребления алкогольной продукцией;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 эффективности регулирования алкогольного рынка. Специалистами ТО</w:t>
      </w:r>
      <w:r w:rsidR="00BA0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3148">
        <w:rPr>
          <w:rFonts w:ascii="Times New Roman" w:hAnsi="Times New Roman" w:cs="Times New Roman"/>
          <w:color w:val="000000"/>
          <w:sz w:val="24"/>
          <w:szCs w:val="24"/>
        </w:rPr>
        <w:t>Роспотребнадзора в течение 20</w:t>
      </w:r>
      <w:r w:rsidR="00956ED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05C8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при осуществлении надзора за производством и оборотом алко</w:t>
      </w:r>
      <w:r w:rsidR="00633148">
        <w:rPr>
          <w:rFonts w:ascii="Times New Roman" w:hAnsi="Times New Roman" w:cs="Times New Roman"/>
          <w:color w:val="000000"/>
          <w:sz w:val="24"/>
          <w:szCs w:val="24"/>
        </w:rPr>
        <w:t xml:space="preserve">гольной продукции обследовано </w:t>
      </w:r>
      <w:r w:rsidR="006205C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33148" w:rsidRPr="003D7A51">
        <w:rPr>
          <w:rFonts w:ascii="Times New Roman" w:hAnsi="Times New Roman" w:cs="Times New Roman"/>
          <w:color w:val="000000"/>
          <w:sz w:val="24"/>
          <w:szCs w:val="24"/>
        </w:rPr>
        <w:t xml:space="preserve"> предприятий</w:t>
      </w:r>
      <w:r w:rsidRPr="003D7A51">
        <w:rPr>
          <w:rFonts w:ascii="Times New Roman" w:hAnsi="Times New Roman" w:cs="Times New Roman"/>
          <w:color w:val="000000"/>
          <w:sz w:val="24"/>
          <w:szCs w:val="24"/>
        </w:rPr>
        <w:t xml:space="preserve"> занятых в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оборота алкоголя, </w:t>
      </w:r>
      <w:r w:rsidR="003D7A51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6205C8">
        <w:rPr>
          <w:rFonts w:ascii="Times New Roman" w:hAnsi="Times New Roman" w:cs="Times New Roman"/>
          <w:sz w:val="24"/>
          <w:szCs w:val="24"/>
        </w:rPr>
        <w:t>1</w:t>
      </w:r>
      <w:r w:rsidR="00DF3A2A">
        <w:rPr>
          <w:rFonts w:ascii="Times New Roman" w:hAnsi="Times New Roman" w:cs="Times New Roman"/>
          <w:sz w:val="24"/>
          <w:szCs w:val="24"/>
        </w:rPr>
        <w:t xml:space="preserve"> меропри</w:t>
      </w:r>
      <w:r w:rsidR="00F14F87">
        <w:rPr>
          <w:rFonts w:ascii="Times New Roman" w:hAnsi="Times New Roman" w:cs="Times New Roman"/>
          <w:sz w:val="24"/>
          <w:szCs w:val="24"/>
        </w:rPr>
        <w:t>ятий</w:t>
      </w:r>
      <w:r>
        <w:rPr>
          <w:rFonts w:ascii="Times New Roman" w:hAnsi="Times New Roman" w:cs="Times New Roman"/>
          <w:sz w:val="24"/>
          <w:szCs w:val="24"/>
        </w:rPr>
        <w:t xml:space="preserve"> с лабораторными исследованиями алкогольно</w:t>
      </w:r>
      <w:r w:rsidR="00633148">
        <w:rPr>
          <w:rFonts w:ascii="Times New Roman" w:hAnsi="Times New Roman" w:cs="Times New Roman"/>
          <w:sz w:val="24"/>
          <w:szCs w:val="24"/>
        </w:rPr>
        <w:t xml:space="preserve">й продукции, всего исследовано </w:t>
      </w:r>
      <w:r w:rsidR="006205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образц</w:t>
      </w:r>
      <w:r w:rsidR="006205C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алко</w:t>
      </w:r>
      <w:r w:rsidR="00DF3A2A">
        <w:rPr>
          <w:rFonts w:ascii="Times New Roman" w:hAnsi="Times New Roman" w:cs="Times New Roman"/>
          <w:sz w:val="24"/>
          <w:szCs w:val="24"/>
        </w:rPr>
        <w:t>гольной продукции.</w:t>
      </w:r>
      <w:r>
        <w:rPr>
          <w:rFonts w:ascii="Times New Roman" w:hAnsi="Times New Roman" w:cs="Times New Roman"/>
          <w:sz w:val="24"/>
          <w:szCs w:val="24"/>
        </w:rPr>
        <w:t xml:space="preserve"> Образцы исследованных проб алкогольной продукции по исследованным  санитарно-химическим и микробиологическим показателям соответствуют  гигиеническим нормативам. </w:t>
      </w:r>
      <w:r w:rsidR="006205C8" w:rsidRPr="006205C8">
        <w:rPr>
          <w:rFonts w:ascii="Times New Roman" w:hAnsi="Times New Roman" w:cs="Times New Roman"/>
          <w:sz w:val="24"/>
          <w:szCs w:val="24"/>
        </w:rPr>
        <w:t>Образцы исследованных проб алкогольной продукции по исследованным  санитарно-химическим и микробиологическим показателям соответствуют  гигиеническим нормативам.  Результатом деятельности  специалистов  Роспотребнадзора является снижение отравлений спиртосодержащей продукцией</w:t>
      </w:r>
      <w:r w:rsidR="006205C8">
        <w:rPr>
          <w:rFonts w:ascii="Times New Roman" w:hAnsi="Times New Roman" w:cs="Times New Roman"/>
          <w:sz w:val="24"/>
          <w:szCs w:val="24"/>
        </w:rPr>
        <w:t>.</w:t>
      </w:r>
    </w:p>
    <w:p w:rsidR="00E30176" w:rsidRDefault="00E30176" w:rsidP="00620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последние годы большое внимание уделяется надзору за пищевой продукцией, содержащей генетически модифицированные организмы (ГМО). Создана законодательная, нормативная и методическая база, включающая все аспекты производства, оборота и контроля этой продукции, система оценки её безопасности, основанная на проведении комплекса медико-биологических, медико-генетических и технологических исследований. В  лаборатории автономного округа постоянно проводится пострегистрационный мониторинг за пищевыми продуктами, содержащими ГМО,  продуктов питания отобранны</w:t>
      </w:r>
      <w:r w:rsidR="006F6B2C">
        <w:rPr>
          <w:rFonts w:ascii="Times New Roman" w:hAnsi="Times New Roman" w:cs="Times New Roman"/>
          <w:sz w:val="24"/>
          <w:szCs w:val="24"/>
        </w:rPr>
        <w:t>х в предприятиях торговли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Нефтеюганск</w:t>
      </w:r>
      <w:r w:rsidR="006F6B2C">
        <w:rPr>
          <w:rFonts w:ascii="Times New Roman" w:hAnsi="Times New Roman" w:cs="Times New Roman"/>
          <w:sz w:val="24"/>
          <w:szCs w:val="24"/>
        </w:rPr>
        <w:t>ого региона</w:t>
      </w:r>
      <w:r>
        <w:rPr>
          <w:rFonts w:ascii="Times New Roman" w:hAnsi="Times New Roman" w:cs="Times New Roman"/>
          <w:sz w:val="24"/>
          <w:szCs w:val="24"/>
        </w:rPr>
        <w:t>, не соответствующих исследований не зарегистрировано. Мониторинг за производством и оборотом пищевых продуктов, содержащих ГМО, проводится на основании экспертизы сопроводительной документации, исследования образцов самой продукции в лаборатории ХМАО-Югры,  при проведении мероприятий по контролю на объектах.     В соответствии  с Постановлением Главного государственного санитарного врача РФ от 25.06.2007 г. №42  «Об утверждении СанПиН 2.3.2.2227-07»  с 01.09.2007 г. установлен пороговый уровень процентного содержания генетически модифицированного компонента – 0,9% для маркировки пищевых продуктов, полученных из ГМО. Продолжено исследование пищевы</w:t>
      </w:r>
      <w:r w:rsidR="00DF3A2A">
        <w:rPr>
          <w:rFonts w:ascii="Times New Roman" w:hAnsi="Times New Roman" w:cs="Times New Roman"/>
          <w:sz w:val="24"/>
          <w:szCs w:val="24"/>
        </w:rPr>
        <w:t>х продуктов на ГМО:  так,</w:t>
      </w:r>
      <w:r w:rsidR="00BA0885">
        <w:rPr>
          <w:rFonts w:ascii="Times New Roman" w:hAnsi="Times New Roman" w:cs="Times New Roman"/>
          <w:sz w:val="24"/>
          <w:szCs w:val="24"/>
        </w:rPr>
        <w:t xml:space="preserve"> в 20</w:t>
      </w:r>
      <w:r w:rsidR="00956ED0">
        <w:rPr>
          <w:rFonts w:ascii="Times New Roman" w:hAnsi="Times New Roman" w:cs="Times New Roman"/>
          <w:sz w:val="24"/>
          <w:szCs w:val="24"/>
        </w:rPr>
        <w:t>2</w:t>
      </w:r>
      <w:r w:rsidR="006205C8">
        <w:rPr>
          <w:rFonts w:ascii="Times New Roman" w:hAnsi="Times New Roman" w:cs="Times New Roman"/>
          <w:sz w:val="24"/>
          <w:szCs w:val="24"/>
        </w:rPr>
        <w:t>1</w:t>
      </w:r>
      <w:r w:rsidR="00BA0885">
        <w:rPr>
          <w:rFonts w:ascii="Times New Roman" w:hAnsi="Times New Roman" w:cs="Times New Roman"/>
          <w:sz w:val="24"/>
          <w:szCs w:val="24"/>
        </w:rPr>
        <w:t xml:space="preserve"> году исследовано </w:t>
      </w:r>
      <w:r w:rsidR="00956ED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проб</w:t>
      </w:r>
      <w:r w:rsidR="00BA088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пищевых продуктов</w:t>
      </w:r>
      <w:r w:rsidR="00BA0885">
        <w:rPr>
          <w:rFonts w:ascii="Times New Roman" w:hAnsi="Times New Roman" w:cs="Times New Roman"/>
          <w:sz w:val="24"/>
          <w:szCs w:val="24"/>
        </w:rPr>
        <w:t xml:space="preserve"> </w:t>
      </w:r>
      <w:r w:rsidR="00D021E8">
        <w:rPr>
          <w:rFonts w:ascii="Times New Roman" w:hAnsi="Times New Roman" w:cs="Times New Roman"/>
          <w:sz w:val="24"/>
          <w:szCs w:val="24"/>
        </w:rPr>
        <w:t>на Г</w:t>
      </w:r>
      <w:r w:rsidR="00BA0885">
        <w:rPr>
          <w:rFonts w:ascii="Times New Roman" w:hAnsi="Times New Roman" w:cs="Times New Roman"/>
          <w:sz w:val="24"/>
          <w:szCs w:val="24"/>
        </w:rPr>
        <w:t>МО (20</w:t>
      </w:r>
      <w:r w:rsidR="00377489">
        <w:rPr>
          <w:rFonts w:ascii="Times New Roman" w:hAnsi="Times New Roman" w:cs="Times New Roman"/>
          <w:sz w:val="24"/>
          <w:szCs w:val="24"/>
        </w:rPr>
        <w:t>20</w:t>
      </w:r>
      <w:r w:rsidR="00BA0885">
        <w:rPr>
          <w:rFonts w:ascii="Times New Roman" w:hAnsi="Times New Roman" w:cs="Times New Roman"/>
          <w:sz w:val="24"/>
          <w:szCs w:val="24"/>
        </w:rPr>
        <w:t xml:space="preserve"> г. -</w:t>
      </w:r>
      <w:r w:rsidR="00956ED0">
        <w:rPr>
          <w:rFonts w:ascii="Times New Roman" w:hAnsi="Times New Roman" w:cs="Times New Roman"/>
          <w:sz w:val="24"/>
          <w:szCs w:val="24"/>
        </w:rPr>
        <w:t>24</w:t>
      </w:r>
      <w:r w:rsidR="00BA0885">
        <w:rPr>
          <w:rFonts w:ascii="Times New Roman" w:hAnsi="Times New Roman" w:cs="Times New Roman"/>
          <w:sz w:val="24"/>
          <w:szCs w:val="24"/>
        </w:rPr>
        <w:t xml:space="preserve"> проб, 201</w:t>
      </w:r>
      <w:r w:rsidR="003774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</w:t>
      </w:r>
      <w:r w:rsidR="00633148">
        <w:rPr>
          <w:rFonts w:ascii="Times New Roman" w:hAnsi="Times New Roman" w:cs="Times New Roman"/>
          <w:sz w:val="24"/>
          <w:szCs w:val="24"/>
        </w:rPr>
        <w:t xml:space="preserve">. - </w:t>
      </w:r>
      <w:r w:rsidR="0037748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).  Расширен ассортимент продуктов, исследованных на ГМО: исследовались молочные продукты (творог, йогурты, кисломолочные продукты)   импортные фрукты и овощи, пиво, ГМО не обнаружены. </w:t>
      </w:r>
    </w:p>
    <w:p w:rsidR="00E30176" w:rsidRDefault="00E30176" w:rsidP="00E30176">
      <w:pPr>
        <w:pStyle w:val="2"/>
        <w:numPr>
          <w:ilvl w:val="12"/>
          <w:numId w:val="0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Правильное питание обеспечивает нормальный рост и развитие детей, способствует профилактике заболеваний, продлению жизни людей, повышению работоспособности и создаёт условия для адекватной адаптации их к окружающей среде. Среди основных причин  большинства заболеваний – вредные условия труда, загрязнение окружающей среды, потребляемая в пищу некачественная вода и продукты питания. Сложившиеся в питании населения округа привычки,  отсутствие сбалансированного питания, отличные от принципов «рациональности» и «адекватности», снижают его способность оказывать профилактическое воздействие на соматическую заболеваемость и сдерживать ее рост, проявлять корригирующее действие на физическое и психическое развитие детей и подростков, продолжительности жизни и здоровье нации в целом. </w:t>
      </w:r>
    </w:p>
    <w:p w:rsidR="00572F29" w:rsidRPr="00DB1CC0" w:rsidRDefault="00E30176" w:rsidP="00DB1CC0">
      <w:pPr>
        <w:pStyle w:val="2"/>
        <w:numPr>
          <w:ilvl w:val="12"/>
          <w:numId w:val="0"/>
        </w:numPr>
        <w:spacing w:line="240" w:lineRule="auto"/>
        <w:ind w:firstLine="720"/>
        <w:jc w:val="both"/>
        <w:rPr>
          <w:rStyle w:val="FontStyle22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путей решения проблемы рационального питания является применение биологически активных добавок к пище (БАД),  оборот которых в последние годы значительно вырос  и на потребительском рынке находится большое количество как отечественных, так и импортных БАД. На территории г. Пыть-Ях</w:t>
      </w:r>
      <w:r w:rsidR="00BA0885">
        <w:rPr>
          <w:rFonts w:ascii="Times New Roman" w:hAnsi="Times New Roman" w:cs="Times New Roman"/>
          <w:sz w:val="24"/>
          <w:szCs w:val="24"/>
        </w:rPr>
        <w:t xml:space="preserve"> в 20</w:t>
      </w:r>
      <w:r w:rsidR="00956ED0">
        <w:rPr>
          <w:rFonts w:ascii="Times New Roman" w:hAnsi="Times New Roman" w:cs="Times New Roman"/>
          <w:sz w:val="24"/>
          <w:szCs w:val="24"/>
        </w:rPr>
        <w:t>2</w:t>
      </w:r>
      <w:r w:rsidR="003774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году на контроле состоит 12 объектов, занятых в области оборота БАД к пище.  Предприятия по производству биологически активных добавок в автономном ок</w:t>
      </w:r>
      <w:r w:rsidR="00633148">
        <w:rPr>
          <w:rFonts w:ascii="Times New Roman" w:hAnsi="Times New Roman" w:cs="Times New Roman"/>
          <w:sz w:val="24"/>
          <w:szCs w:val="24"/>
        </w:rPr>
        <w:t>руге не зарегистрированы.</w:t>
      </w:r>
      <w:r w:rsidR="00DB1C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72F29">
        <w:rPr>
          <w:rFonts w:ascii="Times New Roman" w:hAnsi="Times New Roman" w:cs="Times New Roman"/>
          <w:sz w:val="24"/>
          <w:szCs w:val="24"/>
        </w:rPr>
        <w:t>В 20</w:t>
      </w:r>
      <w:r w:rsidR="00956ED0">
        <w:rPr>
          <w:rFonts w:ascii="Times New Roman" w:hAnsi="Times New Roman" w:cs="Times New Roman"/>
          <w:sz w:val="24"/>
          <w:szCs w:val="24"/>
        </w:rPr>
        <w:t>2</w:t>
      </w:r>
      <w:r w:rsidR="00377489">
        <w:rPr>
          <w:rFonts w:ascii="Times New Roman" w:hAnsi="Times New Roman" w:cs="Times New Roman"/>
          <w:sz w:val="24"/>
          <w:szCs w:val="24"/>
        </w:rPr>
        <w:t>1</w:t>
      </w:r>
      <w:r w:rsidR="00572F29">
        <w:rPr>
          <w:rFonts w:ascii="Times New Roman" w:hAnsi="Times New Roman" w:cs="Times New Roman"/>
          <w:sz w:val="24"/>
          <w:szCs w:val="24"/>
        </w:rPr>
        <w:t xml:space="preserve"> году в ходе контрольно-надзорных мероприятий проведены лабораторные исследования БАД и</w:t>
      </w:r>
      <w:r w:rsidR="00572F29">
        <w:rPr>
          <w:rStyle w:val="FontStyle22"/>
          <w:sz w:val="24"/>
          <w:szCs w:val="24"/>
        </w:rPr>
        <w:t xml:space="preserve"> специализированной пищевой продукции </w:t>
      </w:r>
      <w:r w:rsidR="00572F29">
        <w:rPr>
          <w:rFonts w:ascii="Times New Roman" w:hAnsi="Times New Roman" w:cs="Times New Roman"/>
          <w:iCs/>
          <w:sz w:val="24"/>
          <w:szCs w:val="24"/>
        </w:rPr>
        <w:t>детского диетического лечебного питания</w:t>
      </w:r>
      <w:r w:rsidR="00572F29">
        <w:rPr>
          <w:rStyle w:val="FontStyle22"/>
          <w:sz w:val="24"/>
          <w:szCs w:val="24"/>
        </w:rPr>
        <w:t xml:space="preserve">, всего исследовано 9 проб БАД, в том числе по санитарно-химическим </w:t>
      </w:r>
      <w:r w:rsidR="00572F29">
        <w:rPr>
          <w:rStyle w:val="FontStyle22"/>
          <w:sz w:val="24"/>
          <w:szCs w:val="24"/>
        </w:rPr>
        <w:lastRenderedPageBreak/>
        <w:t>показателям 6 проб, по микробиологическим показателям 6 проб,  на содержание биологически активных веществ 2 пробы,</w:t>
      </w:r>
      <w:r w:rsidR="00572F29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санитарно-эпидемиологическая экспертиза маркировки  2 образцов БАД, </w:t>
      </w:r>
      <w:r w:rsidR="00572F29">
        <w:rPr>
          <w:rStyle w:val="FontStyle22"/>
          <w:sz w:val="24"/>
          <w:szCs w:val="24"/>
        </w:rPr>
        <w:t xml:space="preserve"> не соответствующих нормативным требованиям   по микробиологическим  и санитарно-химическим показателям не</w:t>
      </w:r>
      <w:proofErr w:type="gramEnd"/>
      <w:r w:rsidR="00572F29">
        <w:rPr>
          <w:rStyle w:val="FontStyle22"/>
          <w:sz w:val="24"/>
          <w:szCs w:val="24"/>
        </w:rPr>
        <w:t xml:space="preserve"> обнаружено.</w:t>
      </w:r>
      <w:r w:rsidR="00572F29">
        <w:rPr>
          <w:sz w:val="24"/>
          <w:szCs w:val="24"/>
        </w:rPr>
        <w:t xml:space="preserve"> </w:t>
      </w:r>
      <w:r w:rsidR="00572F2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проверке реализуемой продукции фальсифицированных БАД, подлежащих изъятию из оборота, не обнаружено. </w:t>
      </w:r>
      <w:r w:rsidR="00572F29">
        <w:rPr>
          <w:rFonts w:ascii="Times New Roman" w:hAnsi="Times New Roman" w:cs="Times New Roman"/>
          <w:sz w:val="24"/>
          <w:szCs w:val="24"/>
        </w:rPr>
        <w:t xml:space="preserve"> В 20</w:t>
      </w:r>
      <w:r w:rsidR="00956ED0">
        <w:rPr>
          <w:rFonts w:ascii="Times New Roman" w:hAnsi="Times New Roman" w:cs="Times New Roman"/>
          <w:sz w:val="24"/>
          <w:szCs w:val="24"/>
        </w:rPr>
        <w:t>2</w:t>
      </w:r>
      <w:r w:rsidR="00377489">
        <w:rPr>
          <w:rFonts w:ascii="Times New Roman" w:hAnsi="Times New Roman" w:cs="Times New Roman"/>
          <w:sz w:val="24"/>
          <w:szCs w:val="24"/>
        </w:rPr>
        <w:t>1</w:t>
      </w:r>
      <w:r w:rsidR="00572F29">
        <w:rPr>
          <w:rFonts w:ascii="Times New Roman" w:hAnsi="Times New Roman" w:cs="Times New Roman"/>
          <w:sz w:val="24"/>
          <w:szCs w:val="24"/>
        </w:rPr>
        <w:t xml:space="preserve"> году в ходе контрольно-надзорных мероприятий по соблюдению норм санитарного законодательства при реализации БАД выявлены следующие основные нарушения: не проводится производственный контроль БАД на этапе реализации  в нарушение требований санитарного законодательства; в программу производственного контроля не включен полный перечень официально изданных санитарных норм и правил. По результатам проверок приняты меры административного реагирования, составлены протоколы об административном правонарушении  по ст. 6.3 КоАП РФ,  выданы предписания об устранении выявленных нарушений.</w:t>
      </w:r>
    </w:p>
    <w:p w:rsidR="00E30176" w:rsidRDefault="00E30176" w:rsidP="00E30176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Одним из основных направлений профилактики заболеваний обусловленных </w:t>
      </w:r>
      <w:proofErr w:type="spellStart"/>
      <w:r>
        <w:rPr>
          <w:sz w:val="24"/>
          <w:szCs w:val="24"/>
        </w:rPr>
        <w:t>микронутриентной</w:t>
      </w:r>
      <w:proofErr w:type="spellEnd"/>
      <w:r>
        <w:rPr>
          <w:sz w:val="24"/>
          <w:szCs w:val="24"/>
        </w:rPr>
        <w:t xml:space="preserve"> недостаточностью, является обогащение продуктов питания витаминами и микронутриентами в первую очередь в образовательных, лечебно-профилактических, оздоровительных учреждениях, учреждениях социальной защиты.  Использование в пищу йодированной соли признается </w:t>
      </w:r>
      <w:proofErr w:type="spellStart"/>
      <w:r>
        <w:rPr>
          <w:sz w:val="24"/>
          <w:szCs w:val="24"/>
        </w:rPr>
        <w:t>нутрициологами</w:t>
      </w:r>
      <w:proofErr w:type="spellEnd"/>
      <w:r>
        <w:rPr>
          <w:sz w:val="24"/>
          <w:szCs w:val="24"/>
        </w:rPr>
        <w:t xml:space="preserve"> и эндокринологами одним из наиболее действенных способов профилактики йод дефицитных состояний. В связи с этим в рамках реализации комплексных программ, направленных на снижение и предупреждение возникновения йод дефицита, санитарной службой города проводится работа по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содержанием йода в йодированной соли и других продуктах питания. </w:t>
      </w:r>
      <w:r w:rsidR="00E53425" w:rsidRPr="00E53425">
        <w:rPr>
          <w:sz w:val="24"/>
          <w:szCs w:val="24"/>
        </w:rPr>
        <w:t>По результатам лабораторного контроля в  2021 г.  было исследовано 24 пробы соли,  в  2020 году – исследовано  22 пробы соли,   в 2019году  - 22 пробы соли, неудовлетворительных  результатов лабораторных исследований не выявлено.  В рационы питания детских дошкольных учреждений, школ, детских социальных учреждений, практически повсеместно, введены блюда из морской капусты, морепродуктов, хлебобулочные изделия с йодсодержащими препаратами, йодированное молоко, йодированное яйцо,  плавленые сырки с йодом, сухая морская капуста в качестве добавки ко вторым блюдам и закускам, йодированная соль.</w:t>
      </w:r>
    </w:p>
    <w:p w:rsidR="00E30176" w:rsidRDefault="00E30176" w:rsidP="00E30176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Для обогащения рациона  питания обучающихся и воспитанников витаминами и микронутриентами, для профилактики заболеваний, обусловленных дефицитом железа в питании обучающихся, воспитанников муниципальных образовательных учреждений включены следующие продукты: ягоды свежие брусника, клюква, чёрная смородина, плоды шиповника; свежие фрукты (апельсины, лимоны, яблоки и т.п.); ламинария, содержащая в своем составе йод, железо, магний; овощи свежие, зелень; крупы: гречневая, кукурузная, ячменная, ячневая и т.д. содержащие в своем составе витамины группы «В», «Р», «РР», микронутриенты «К», «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>», «М</w:t>
      </w:r>
      <w:proofErr w:type="gramStart"/>
      <w:r>
        <w:rPr>
          <w:sz w:val="24"/>
          <w:szCs w:val="24"/>
          <w:lang w:val="en-US"/>
        </w:rPr>
        <w:t>g</w:t>
      </w:r>
      <w:proofErr w:type="gramEnd"/>
      <w:r>
        <w:rPr>
          <w:sz w:val="24"/>
          <w:szCs w:val="24"/>
        </w:rPr>
        <w:t>», «</w:t>
      </w:r>
      <w:r>
        <w:rPr>
          <w:sz w:val="24"/>
          <w:szCs w:val="24"/>
          <w:lang w:val="en-US"/>
        </w:rPr>
        <w:t>Fe</w:t>
      </w:r>
      <w:r>
        <w:rPr>
          <w:sz w:val="24"/>
          <w:szCs w:val="24"/>
        </w:rPr>
        <w:t>» и т.п.; соки и нектары обогащенные витаминами и</w:t>
      </w:r>
      <w:r w:rsidR="00572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 минералами (витамин </w:t>
      </w:r>
      <w:r w:rsidR="00572F29">
        <w:rPr>
          <w:sz w:val="24"/>
          <w:szCs w:val="24"/>
        </w:rPr>
        <w:t>«</w:t>
      </w:r>
      <w:r>
        <w:rPr>
          <w:sz w:val="24"/>
          <w:szCs w:val="24"/>
        </w:rPr>
        <w:t>С</w:t>
      </w:r>
      <w:r w:rsidR="00572F29">
        <w:rPr>
          <w:sz w:val="24"/>
          <w:szCs w:val="24"/>
        </w:rPr>
        <w:t>»</w:t>
      </w:r>
      <w:r>
        <w:rPr>
          <w:sz w:val="24"/>
          <w:szCs w:val="24"/>
        </w:rPr>
        <w:t xml:space="preserve">, кальцием, железом и т.п.); кондитерские мучные изделия (промышленного изготовления) обогащённые  железом и кальцием; бакалейные изделия: какао обогащённое витамином «С».  </w:t>
      </w:r>
    </w:p>
    <w:p w:rsidR="00E30176" w:rsidRDefault="00B12BEB" w:rsidP="00E30176">
      <w:pPr>
        <w:pStyle w:val="a4"/>
        <w:ind w:firstLine="708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В течение 20</w:t>
      </w:r>
      <w:r w:rsidR="00956ED0">
        <w:rPr>
          <w:sz w:val="24"/>
          <w:szCs w:val="24"/>
        </w:rPr>
        <w:t>2</w:t>
      </w:r>
      <w:r w:rsidR="00E53425">
        <w:rPr>
          <w:sz w:val="24"/>
          <w:szCs w:val="24"/>
        </w:rPr>
        <w:t>1</w:t>
      </w:r>
      <w:r w:rsidR="00E30176">
        <w:rPr>
          <w:sz w:val="24"/>
          <w:szCs w:val="24"/>
        </w:rPr>
        <w:t xml:space="preserve"> года работниками муниципальной системы здравоохранения велась активная работа по гигиеническому обучению населения, в том числе формированию здорового образа жизни и рациональному (сбалансированному и витаминизированному) питанию:</w:t>
      </w:r>
      <w:r w:rsidR="00774932">
        <w:rPr>
          <w:sz w:val="24"/>
          <w:szCs w:val="24"/>
        </w:rPr>
        <w:t xml:space="preserve"> </w:t>
      </w:r>
      <w:r w:rsidR="00E30176">
        <w:rPr>
          <w:sz w:val="24"/>
          <w:szCs w:val="24"/>
        </w:rPr>
        <w:t>теле-трансляции видеоролика по здоровому образу жизни рациональному питанию и грудному вскармливанию;</w:t>
      </w:r>
      <w:r w:rsidR="007D4712">
        <w:rPr>
          <w:sz w:val="24"/>
          <w:szCs w:val="24"/>
        </w:rPr>
        <w:t xml:space="preserve"> </w:t>
      </w:r>
      <w:r w:rsidR="00E30176">
        <w:rPr>
          <w:sz w:val="24"/>
          <w:szCs w:val="24"/>
        </w:rPr>
        <w:t>публикации в средствах массовой информации по рациональному питанию (лечебное питание при артериальной гипертонии, здоровое питание;</w:t>
      </w:r>
      <w:proofErr w:type="gramEnd"/>
      <w:r w:rsidR="00E30176">
        <w:rPr>
          <w:sz w:val="24"/>
          <w:szCs w:val="24"/>
        </w:rPr>
        <w:t xml:space="preserve"> качество </w:t>
      </w:r>
      <w:proofErr w:type="gramStart"/>
      <w:r w:rsidR="00E30176">
        <w:rPr>
          <w:sz w:val="24"/>
          <w:szCs w:val="24"/>
        </w:rPr>
        <w:t>еды-качество</w:t>
      </w:r>
      <w:proofErr w:type="gramEnd"/>
      <w:r w:rsidR="00E30176">
        <w:rPr>
          <w:sz w:val="24"/>
          <w:szCs w:val="24"/>
        </w:rPr>
        <w:t xml:space="preserve"> жизни; рациональный выход из постов; рациональное построение повседневных пищевых рационов; физиология поста и прочие);</w:t>
      </w:r>
      <w:r w:rsidR="00572F29">
        <w:rPr>
          <w:sz w:val="24"/>
          <w:szCs w:val="24"/>
        </w:rPr>
        <w:t xml:space="preserve"> </w:t>
      </w:r>
      <w:r w:rsidR="00E30176">
        <w:rPr>
          <w:sz w:val="24"/>
          <w:szCs w:val="24"/>
        </w:rPr>
        <w:t>лектории с преподавателями образовательных учреждений по теме рационального питания.</w:t>
      </w:r>
      <w:r w:rsidR="00572F29">
        <w:rPr>
          <w:sz w:val="24"/>
          <w:szCs w:val="24"/>
        </w:rPr>
        <w:t xml:space="preserve">  </w:t>
      </w:r>
      <w:proofErr w:type="gramStart"/>
      <w:r w:rsidR="00E30176">
        <w:rPr>
          <w:sz w:val="24"/>
          <w:szCs w:val="24"/>
        </w:rPr>
        <w:t xml:space="preserve">В работе общеобразовательных организациях используются образовательные программы, </w:t>
      </w:r>
      <w:r w:rsidR="00E30176">
        <w:rPr>
          <w:sz w:val="24"/>
          <w:szCs w:val="24"/>
        </w:rPr>
        <w:lastRenderedPageBreak/>
        <w:t xml:space="preserve">направленные на формирование культуры здоровья у детей и подростков: образовательная программа «Разговор о правильном питании» (1-2 классы), «Две недели в лагере здоровья» (3-4 классы), «Формула правильного питания» (5-6 классы), разработанная Институтом возрастной физиологии Российской академии образования; программа «Здоровье школьника» разработанная НИИ гигиены и охраны здоровья детей и подростков Российской академии медицинских наук. </w:t>
      </w:r>
      <w:proofErr w:type="gramEnd"/>
    </w:p>
    <w:p w:rsidR="00E30176" w:rsidRDefault="00E30176" w:rsidP="00E3017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Растет сеть специализированных торговых предприятий и отделов по реализации диетических продуктов питания.  Практически повсеместно в торговой сети имеется широкий выбор питьевой, минеральной и искусственно минерализованной воды отечественного и импортного производства с содержанием йода: «Тюменская», «Янтарная слеза», «Ваше здоровье+», «Благовест», «Архыз», «Курган» и другие. Аптечная сеть округа располагает большим ассортиментом лечебно-профилактических препаратов, биологически-активных добавок к пище: калий йодид-100, йодид-200,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антиструмин</w:t>
      </w:r>
      <w:proofErr w:type="spellEnd"/>
      <w:r>
        <w:rPr>
          <w:rFonts w:ascii="Times New Roman" w:hAnsi="Times New Roman" w:cs="Times New Roman"/>
          <w:sz w:val="24"/>
          <w:szCs w:val="24"/>
        </w:rPr>
        <w:t>, «Йод-актив»,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Йодомарин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«Фито-йод»,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Кламин</w:t>
      </w:r>
      <w:proofErr w:type="spellEnd"/>
      <w:r>
        <w:rPr>
          <w:rFonts w:ascii="Times New Roman" w:hAnsi="Times New Roman" w:cs="Times New Roman"/>
          <w:sz w:val="24"/>
          <w:szCs w:val="24"/>
        </w:rPr>
        <w:t>», йодированные леденцы, дрожжи с йодом, разнообразные минерально-витаминные и поливитаминные комплексы.</w:t>
      </w:r>
    </w:p>
    <w:p w:rsidR="00E30176" w:rsidRPr="006F6B2C" w:rsidRDefault="00E30176" w:rsidP="006F6B2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2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целях возмещения природного недостатка йода, других микронутриентов и жизненно необходимых веществ в </w:t>
      </w:r>
      <w:r>
        <w:rPr>
          <w:rFonts w:ascii="Times New Roman" w:hAnsi="Times New Roman" w:cs="Times New Roman"/>
          <w:bCs/>
          <w:sz w:val="24"/>
          <w:szCs w:val="24"/>
        </w:rPr>
        <w:t>ОАО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ХлебокомбинатНефтеюганский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г. Нефтеюганск производится хлеб  «Молочный отрубяной» и хлеб «8 злаков», при выпечке хлеба используется  йодированная соль. </w:t>
      </w:r>
      <w:r>
        <w:rPr>
          <w:rFonts w:ascii="Times New Roman" w:hAnsi="Times New Roman" w:cs="Times New Roman"/>
          <w:sz w:val="24"/>
          <w:szCs w:val="24"/>
        </w:rPr>
        <w:t xml:space="preserve">Так же в город доставляется  обогащенная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микронутриенатами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йодом продукция  из г. Москвы и Московской области, г. Санкт-Петербурга, Пермской области, Курганской области, Свердловской области, Тюменской области, Омской области, Новосибирской области, Самарской области, Республики Башкортостан, Республики Удмуртия.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357A" w:rsidRPr="00406410" w:rsidRDefault="0075357A" w:rsidP="00406410">
      <w:pPr>
        <w:ind w:firstLine="708"/>
        <w:jc w:val="both"/>
        <w:rPr>
          <w:rFonts w:ascii="Times New Roman" w:hAnsi="Times New Roman" w:cs="Times New Roman"/>
        </w:rPr>
      </w:pPr>
    </w:p>
    <w:sectPr w:rsidR="0075357A" w:rsidRPr="00406410" w:rsidSect="00EB5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31" w:rsidRDefault="001D2031" w:rsidP="003E5951">
      <w:pPr>
        <w:spacing w:after="0" w:line="240" w:lineRule="auto"/>
      </w:pPr>
      <w:r>
        <w:separator/>
      </w:r>
    </w:p>
  </w:endnote>
  <w:endnote w:type="continuationSeparator" w:id="0">
    <w:p w:rsidR="001D2031" w:rsidRDefault="001D2031" w:rsidP="003E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51" w:rsidRDefault="003E595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960740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3E5951" w:rsidRDefault="003E595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6A4">
          <w:rPr>
            <w:noProof/>
          </w:rPr>
          <w:t>108</w:t>
        </w:r>
        <w:r>
          <w:fldChar w:fldCharType="end"/>
        </w:r>
      </w:p>
    </w:sdtContent>
  </w:sdt>
  <w:p w:rsidR="003E5951" w:rsidRDefault="003E595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51" w:rsidRDefault="003E59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31" w:rsidRDefault="001D2031" w:rsidP="003E5951">
      <w:pPr>
        <w:spacing w:after="0" w:line="240" w:lineRule="auto"/>
      </w:pPr>
      <w:r>
        <w:separator/>
      </w:r>
    </w:p>
  </w:footnote>
  <w:footnote w:type="continuationSeparator" w:id="0">
    <w:p w:rsidR="001D2031" w:rsidRDefault="001D2031" w:rsidP="003E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51" w:rsidRDefault="003E595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51" w:rsidRDefault="003E595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51" w:rsidRDefault="003E59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27279"/>
    <w:multiLevelType w:val="hybridMultilevel"/>
    <w:tmpl w:val="AAA27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36"/>
    <w:rsid w:val="00007DA7"/>
    <w:rsid w:val="00011562"/>
    <w:rsid w:val="00051883"/>
    <w:rsid w:val="000915EE"/>
    <w:rsid w:val="000F3D16"/>
    <w:rsid w:val="001251F0"/>
    <w:rsid w:val="0015664F"/>
    <w:rsid w:val="001679A1"/>
    <w:rsid w:val="00176E94"/>
    <w:rsid w:val="00180DF9"/>
    <w:rsid w:val="001A4B55"/>
    <w:rsid w:val="001D2031"/>
    <w:rsid w:val="001D7FAE"/>
    <w:rsid w:val="00220336"/>
    <w:rsid w:val="002450C0"/>
    <w:rsid w:val="002F678D"/>
    <w:rsid w:val="00326D78"/>
    <w:rsid w:val="00332619"/>
    <w:rsid w:val="00340A30"/>
    <w:rsid w:val="003635C7"/>
    <w:rsid w:val="00377489"/>
    <w:rsid w:val="00392353"/>
    <w:rsid w:val="003D7A51"/>
    <w:rsid w:val="003E3A02"/>
    <w:rsid w:val="003E5951"/>
    <w:rsid w:val="003F0070"/>
    <w:rsid w:val="003F4A13"/>
    <w:rsid w:val="00406410"/>
    <w:rsid w:val="004C0A95"/>
    <w:rsid w:val="004D3700"/>
    <w:rsid w:val="00526C66"/>
    <w:rsid w:val="00551922"/>
    <w:rsid w:val="0055505A"/>
    <w:rsid w:val="00572F29"/>
    <w:rsid w:val="005829C8"/>
    <w:rsid w:val="00582FCE"/>
    <w:rsid w:val="005B668F"/>
    <w:rsid w:val="005D30B7"/>
    <w:rsid w:val="005D5EC3"/>
    <w:rsid w:val="005F3233"/>
    <w:rsid w:val="0060361B"/>
    <w:rsid w:val="006205C8"/>
    <w:rsid w:val="00633148"/>
    <w:rsid w:val="00684569"/>
    <w:rsid w:val="006F0293"/>
    <w:rsid w:val="006F4031"/>
    <w:rsid w:val="006F6B2C"/>
    <w:rsid w:val="007040CE"/>
    <w:rsid w:val="0075357A"/>
    <w:rsid w:val="00774932"/>
    <w:rsid w:val="007D4712"/>
    <w:rsid w:val="007E2941"/>
    <w:rsid w:val="008052F2"/>
    <w:rsid w:val="00815036"/>
    <w:rsid w:val="00826FF1"/>
    <w:rsid w:val="00894263"/>
    <w:rsid w:val="008B75C0"/>
    <w:rsid w:val="008C3FFE"/>
    <w:rsid w:val="008D125B"/>
    <w:rsid w:val="00925314"/>
    <w:rsid w:val="009303BB"/>
    <w:rsid w:val="00956ED0"/>
    <w:rsid w:val="00981EF5"/>
    <w:rsid w:val="009967CF"/>
    <w:rsid w:val="009B6A31"/>
    <w:rsid w:val="009D7FA0"/>
    <w:rsid w:val="00A10188"/>
    <w:rsid w:val="00A179C6"/>
    <w:rsid w:val="00A47FCE"/>
    <w:rsid w:val="00A603B1"/>
    <w:rsid w:val="00A929BE"/>
    <w:rsid w:val="00AF12F9"/>
    <w:rsid w:val="00B12BEB"/>
    <w:rsid w:val="00B23B5B"/>
    <w:rsid w:val="00B74FCA"/>
    <w:rsid w:val="00B84A62"/>
    <w:rsid w:val="00B8707A"/>
    <w:rsid w:val="00BA0885"/>
    <w:rsid w:val="00BD0D03"/>
    <w:rsid w:val="00BD2BDC"/>
    <w:rsid w:val="00BF53CE"/>
    <w:rsid w:val="00C5647A"/>
    <w:rsid w:val="00C77067"/>
    <w:rsid w:val="00D021E8"/>
    <w:rsid w:val="00D11637"/>
    <w:rsid w:val="00D133B7"/>
    <w:rsid w:val="00D154B2"/>
    <w:rsid w:val="00D3203C"/>
    <w:rsid w:val="00DA4945"/>
    <w:rsid w:val="00DB1CC0"/>
    <w:rsid w:val="00DC3AE7"/>
    <w:rsid w:val="00DD2BEA"/>
    <w:rsid w:val="00DD687F"/>
    <w:rsid w:val="00DF3A2A"/>
    <w:rsid w:val="00E30176"/>
    <w:rsid w:val="00E50F44"/>
    <w:rsid w:val="00E53425"/>
    <w:rsid w:val="00E754D6"/>
    <w:rsid w:val="00EB56A4"/>
    <w:rsid w:val="00EF29C4"/>
    <w:rsid w:val="00F14F87"/>
    <w:rsid w:val="00F169BC"/>
    <w:rsid w:val="00F87E3D"/>
    <w:rsid w:val="00FB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503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7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F3D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0F3D1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BD2BDC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2"/>
    <w:basedOn w:val="a"/>
    <w:link w:val="20"/>
    <w:uiPriority w:val="99"/>
    <w:unhideWhenUsed/>
    <w:rsid w:val="00E301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30176"/>
  </w:style>
  <w:style w:type="character" w:customStyle="1" w:styleId="FontStyle22">
    <w:name w:val="Font Style22"/>
    <w:rsid w:val="003635C7"/>
    <w:rPr>
      <w:rFonts w:ascii="Times New Roman" w:hAnsi="Times New Roman" w:cs="Times New Roman" w:hint="default"/>
      <w:color w:val="00000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E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951"/>
  </w:style>
  <w:style w:type="paragraph" w:styleId="a9">
    <w:name w:val="footer"/>
    <w:basedOn w:val="a"/>
    <w:link w:val="aa"/>
    <w:uiPriority w:val="99"/>
    <w:unhideWhenUsed/>
    <w:rsid w:val="003E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503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D7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F3D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0F3D1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BD2BDC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2"/>
    <w:basedOn w:val="a"/>
    <w:link w:val="20"/>
    <w:uiPriority w:val="99"/>
    <w:unhideWhenUsed/>
    <w:rsid w:val="00E301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30176"/>
  </w:style>
  <w:style w:type="character" w:customStyle="1" w:styleId="FontStyle22">
    <w:name w:val="Font Style22"/>
    <w:rsid w:val="003635C7"/>
    <w:rPr>
      <w:rFonts w:ascii="Times New Roman" w:hAnsi="Times New Roman" w:cs="Times New Roman" w:hint="default"/>
      <w:color w:val="00000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E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951"/>
  </w:style>
  <w:style w:type="paragraph" w:styleId="a9">
    <w:name w:val="footer"/>
    <w:basedOn w:val="a"/>
    <w:link w:val="aa"/>
    <w:uiPriority w:val="99"/>
    <w:unhideWhenUsed/>
    <w:rsid w:val="003E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 URPN</Company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Milkowa</dc:creator>
  <cp:lastModifiedBy>admin</cp:lastModifiedBy>
  <cp:revision>7</cp:revision>
  <dcterms:created xsi:type="dcterms:W3CDTF">2022-01-31T10:44:00Z</dcterms:created>
  <dcterms:modified xsi:type="dcterms:W3CDTF">2022-03-03T11:34:00Z</dcterms:modified>
</cp:coreProperties>
</file>