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54" w:rsidRPr="00010D54" w:rsidRDefault="00F16954" w:rsidP="00F16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54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F16954" w:rsidRPr="00010D54" w:rsidRDefault="00F16954" w:rsidP="00F16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54">
        <w:rPr>
          <w:rFonts w:ascii="Times New Roman" w:hAnsi="Times New Roman" w:cs="Times New Roman"/>
          <w:b/>
          <w:sz w:val="28"/>
          <w:szCs w:val="28"/>
        </w:rPr>
        <w:t xml:space="preserve">об антимонопольном </w:t>
      </w:r>
      <w:proofErr w:type="spellStart"/>
      <w:r w:rsidRPr="00010D54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010D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44101" w:rsidRPr="00010D54">
        <w:rPr>
          <w:rFonts w:ascii="Times New Roman" w:hAnsi="Times New Roman" w:cs="Times New Roman"/>
          <w:b/>
          <w:sz w:val="28"/>
          <w:szCs w:val="28"/>
        </w:rPr>
        <w:t>город</w:t>
      </w:r>
      <w:r w:rsidR="009E08C1" w:rsidRPr="00010D54">
        <w:rPr>
          <w:rFonts w:ascii="Times New Roman" w:hAnsi="Times New Roman" w:cs="Times New Roman"/>
          <w:b/>
          <w:sz w:val="28"/>
          <w:szCs w:val="28"/>
        </w:rPr>
        <w:t>е</w:t>
      </w:r>
      <w:r w:rsidR="00A44101" w:rsidRPr="00010D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4101" w:rsidRPr="00010D54">
        <w:rPr>
          <w:rFonts w:ascii="Times New Roman" w:hAnsi="Times New Roman" w:cs="Times New Roman"/>
          <w:b/>
          <w:sz w:val="28"/>
          <w:szCs w:val="28"/>
        </w:rPr>
        <w:t>Пыть-Ях</w:t>
      </w:r>
      <w:r w:rsidR="009E08C1" w:rsidRPr="00010D54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A44101" w:rsidRPr="00010D54">
        <w:rPr>
          <w:rFonts w:ascii="Times New Roman" w:hAnsi="Times New Roman" w:cs="Times New Roman"/>
          <w:b/>
          <w:sz w:val="28"/>
          <w:szCs w:val="28"/>
        </w:rPr>
        <w:t xml:space="preserve"> за 2021</w:t>
      </w:r>
      <w:r w:rsidRPr="00010D5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51489" w:rsidRPr="00010D54" w:rsidRDefault="00451489" w:rsidP="004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40F" w:rsidRPr="00010D54" w:rsidRDefault="00BF140F" w:rsidP="004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489" w:rsidRPr="00010D54" w:rsidRDefault="00451489" w:rsidP="004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5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51489" w:rsidRPr="00010D54" w:rsidRDefault="00451489" w:rsidP="004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54" w:rsidRPr="00624670" w:rsidRDefault="00F16954" w:rsidP="00182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D54">
        <w:rPr>
          <w:rFonts w:ascii="Times New Roman" w:hAnsi="Times New Roman" w:cs="Times New Roman"/>
          <w:sz w:val="28"/>
          <w:szCs w:val="28"/>
        </w:rPr>
        <w:t xml:space="preserve">Ежегодный доклад об антимонопольном </w:t>
      </w:r>
      <w:proofErr w:type="spellStart"/>
      <w:r w:rsidRPr="00010D54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010D54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городской округ город Пыть-Ях</w:t>
      </w:r>
      <w:r w:rsidR="00A44101" w:rsidRPr="00010D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</w:t>
      </w:r>
      <w:r w:rsidRPr="00010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D54">
        <w:rPr>
          <w:rFonts w:ascii="Times New Roman" w:hAnsi="Times New Roman" w:cs="Times New Roman"/>
          <w:sz w:val="28"/>
          <w:szCs w:val="28"/>
        </w:rPr>
        <w:t xml:space="preserve">(далее – доклад) подготовлен в соответствии с постановлением Правительства Ханты-Мансийского автономного округа </w:t>
      </w:r>
      <w:r w:rsidR="00F02614" w:rsidRPr="00010D54">
        <w:rPr>
          <w:rFonts w:ascii="Times New Roman" w:hAnsi="Times New Roman" w:cs="Times New Roman"/>
          <w:sz w:val="28"/>
          <w:szCs w:val="28"/>
        </w:rPr>
        <w:t>– Югры от 25 января 2019 года №</w:t>
      </w:r>
      <w:r w:rsidR="00616A03" w:rsidRPr="00010D54">
        <w:rPr>
          <w:rFonts w:ascii="Times New Roman" w:hAnsi="Times New Roman" w:cs="Times New Roman"/>
          <w:sz w:val="28"/>
          <w:szCs w:val="28"/>
        </w:rPr>
        <w:t xml:space="preserve"> </w:t>
      </w:r>
      <w:r w:rsidRPr="00010D54">
        <w:rPr>
          <w:rFonts w:ascii="Times New Roman" w:hAnsi="Times New Roman" w:cs="Times New Roman"/>
          <w:sz w:val="28"/>
          <w:szCs w:val="28"/>
        </w:rPr>
        <w:t xml:space="preserve">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</w:t>
      </w:r>
      <w:r w:rsidRPr="00624670">
        <w:rPr>
          <w:rFonts w:ascii="Times New Roman" w:hAnsi="Times New Roman" w:cs="Times New Roman"/>
          <w:sz w:val="28"/>
          <w:szCs w:val="28"/>
        </w:rPr>
        <w:t xml:space="preserve">автономного округа – Югры и органов местного самоуправления муниципальных образований Ханты-Мансийского автономного округа – Югры», приказа Департамента экономического развития Ханты-Мансийского автономного округа – Югры </w:t>
      </w:r>
      <w:r w:rsidR="00B44BC3" w:rsidRPr="00624670">
        <w:rPr>
          <w:rFonts w:ascii="Times New Roman" w:hAnsi="Times New Roman" w:cs="Times New Roman"/>
          <w:sz w:val="28"/>
          <w:szCs w:val="28"/>
        </w:rPr>
        <w:t>от 07.02.2019 №</w:t>
      </w:r>
      <w:r w:rsidR="00616A03" w:rsidRPr="00624670">
        <w:rPr>
          <w:rFonts w:ascii="Times New Roman" w:hAnsi="Times New Roman" w:cs="Times New Roman"/>
          <w:sz w:val="28"/>
          <w:szCs w:val="28"/>
        </w:rPr>
        <w:t xml:space="preserve"> </w:t>
      </w:r>
      <w:r w:rsidRPr="00624670">
        <w:rPr>
          <w:rFonts w:ascii="Times New Roman" w:hAnsi="Times New Roman" w:cs="Times New Roman"/>
          <w:sz w:val="28"/>
          <w:szCs w:val="28"/>
        </w:rPr>
        <w:t xml:space="preserve">21 «Об антимонопольном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- Югре». </w:t>
      </w:r>
    </w:p>
    <w:p w:rsidR="00E52C5E" w:rsidRPr="00624670" w:rsidRDefault="001821D3" w:rsidP="00182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В докладе отражены основные мероприятия по организации и функционированию в муниципальном образовании городской округ город Пыть-Ях системы внутреннего обеспечения соответствия требованиям антимонопольного законодательства, </w:t>
      </w:r>
      <w:r w:rsidR="00E52C5E" w:rsidRPr="00624670">
        <w:rPr>
          <w:rFonts w:ascii="Times New Roman" w:hAnsi="Times New Roman" w:cs="Times New Roman"/>
          <w:sz w:val="28"/>
          <w:szCs w:val="28"/>
        </w:rPr>
        <w:t>информация об исполнении Плана мероприятий по снижению рисков нарушения антимоноп</w:t>
      </w:r>
      <w:r w:rsidR="00A44101" w:rsidRPr="00624670">
        <w:rPr>
          <w:rFonts w:ascii="Times New Roman" w:hAnsi="Times New Roman" w:cs="Times New Roman"/>
          <w:sz w:val="28"/>
          <w:szCs w:val="28"/>
        </w:rPr>
        <w:t>ольного законодательства на 2021</w:t>
      </w:r>
      <w:r w:rsidR="00E52C5E" w:rsidRPr="00624670">
        <w:rPr>
          <w:rFonts w:ascii="Times New Roman" w:hAnsi="Times New Roman" w:cs="Times New Roman"/>
          <w:sz w:val="28"/>
          <w:szCs w:val="28"/>
        </w:rPr>
        <w:t xml:space="preserve"> год, </w:t>
      </w:r>
      <w:r w:rsidR="00E52C5E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результаты анализа выявленных нарушений антимонопольного законодательства в деятельности админ</w:t>
      </w:r>
      <w:r w:rsidR="00A44101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истрации города Пыть-Яха за 2021</w:t>
      </w:r>
      <w:r w:rsidR="00E52C5E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а также выводы об эффективности функционирования антимонопольного </w:t>
      </w:r>
      <w:proofErr w:type="spellStart"/>
      <w:r w:rsidR="00E52C5E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E52C5E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деятельности админ</w:t>
      </w:r>
      <w:r w:rsidR="00A44101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Пыть-Яха за 2021</w:t>
      </w:r>
      <w:r w:rsidR="00E52C5E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7270D" w:rsidRPr="00624670" w:rsidRDefault="00E7270D" w:rsidP="009E08C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40F" w:rsidRPr="00624670" w:rsidRDefault="00BF140F" w:rsidP="00805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40F" w:rsidRPr="00624670" w:rsidRDefault="00BF140F" w:rsidP="00805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BF1" w:rsidRPr="00624670" w:rsidRDefault="00805BF1" w:rsidP="00805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467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2. Мероприятия, проведенные администрацией города Пыть-Яха, </w:t>
      </w:r>
    </w:p>
    <w:p w:rsidR="00805BF1" w:rsidRPr="00624670" w:rsidRDefault="00805BF1" w:rsidP="00805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4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E5E34" w:rsidRPr="00624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организации и </w:t>
      </w:r>
      <w:r w:rsidRPr="00624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функционированию </w:t>
      </w:r>
      <w:r w:rsidRPr="00624670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</w:t>
      </w:r>
    </w:p>
    <w:p w:rsidR="00451489" w:rsidRPr="00624670" w:rsidRDefault="00451489" w:rsidP="00F1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9FD" w:rsidRPr="00624670" w:rsidRDefault="00103A56" w:rsidP="00C0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528DB" w:rsidRPr="00624670">
        <w:rPr>
          <w:rFonts w:ascii="Times New Roman" w:hAnsi="Times New Roman" w:cs="Times New Roman"/>
          <w:sz w:val="28"/>
          <w:szCs w:val="28"/>
        </w:rPr>
        <w:t>эффективного функционирования</w:t>
      </w:r>
      <w:r w:rsidRPr="00624670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>) администрацией города Пыть-Яха</w:t>
      </w:r>
      <w:r w:rsidR="00C179FD" w:rsidRPr="00624670">
        <w:rPr>
          <w:rFonts w:ascii="Times New Roman" w:hAnsi="Times New Roman" w:cs="Times New Roman"/>
          <w:sz w:val="28"/>
          <w:szCs w:val="28"/>
        </w:rPr>
        <w:t>, осуществлены следующие мероприятия:</w:t>
      </w:r>
    </w:p>
    <w:p w:rsidR="00C00AA3" w:rsidRPr="00624670" w:rsidRDefault="009E08C1" w:rsidP="00C00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>1. П</w:t>
      </w:r>
      <w:r w:rsidR="00C00AA3" w:rsidRPr="00624670">
        <w:rPr>
          <w:rFonts w:ascii="Times New Roman" w:hAnsi="Times New Roman" w:cs="Times New Roman"/>
          <w:sz w:val="28"/>
          <w:szCs w:val="28"/>
        </w:rPr>
        <w:t>одготовка</w:t>
      </w:r>
      <w:r w:rsidRPr="0062467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00AA3" w:rsidRPr="00624670">
        <w:rPr>
          <w:rFonts w:ascii="Times New Roman" w:hAnsi="Times New Roman" w:cs="Times New Roman"/>
          <w:sz w:val="28"/>
          <w:szCs w:val="28"/>
        </w:rPr>
        <w:t>а</w:t>
      </w:r>
      <w:r w:rsidRPr="00624670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города Пыть-Яха «О внесении изменений в распоряжение администрации города от 20.07.2020 № 1291-ра «Об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>)» с целью у</w:t>
      </w:r>
      <w:r w:rsidR="00C179FD" w:rsidRPr="00624670">
        <w:rPr>
          <w:rFonts w:ascii="Times New Roman" w:hAnsi="Times New Roman" w:cs="Times New Roman"/>
          <w:sz w:val="28"/>
          <w:szCs w:val="28"/>
        </w:rPr>
        <w:t>совершенствован</w:t>
      </w:r>
      <w:r w:rsidRPr="00624670">
        <w:rPr>
          <w:rFonts w:ascii="Times New Roman" w:hAnsi="Times New Roman" w:cs="Times New Roman"/>
          <w:sz w:val="28"/>
          <w:szCs w:val="28"/>
        </w:rPr>
        <w:t>ия</w:t>
      </w:r>
      <w:r w:rsidR="00C179FD" w:rsidRPr="00624670">
        <w:rPr>
          <w:rFonts w:ascii="Times New Roman" w:hAnsi="Times New Roman" w:cs="Times New Roman"/>
          <w:sz w:val="28"/>
          <w:szCs w:val="28"/>
        </w:rPr>
        <w:t xml:space="preserve"> механизм правового регулирова</w:t>
      </w:r>
      <w:r w:rsidRPr="00624670">
        <w:rPr>
          <w:rFonts w:ascii="Times New Roman" w:hAnsi="Times New Roman" w:cs="Times New Roman"/>
          <w:sz w:val="28"/>
          <w:szCs w:val="28"/>
        </w:rPr>
        <w:t xml:space="preserve">ния антимонопольного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 xml:space="preserve">, а также актуализации </w:t>
      </w:r>
      <w:r w:rsidR="00C00AA3" w:rsidRPr="00624670">
        <w:rPr>
          <w:rFonts w:ascii="Times New Roman" w:hAnsi="Times New Roman" w:cs="Times New Roman"/>
          <w:sz w:val="28"/>
          <w:szCs w:val="28"/>
        </w:rPr>
        <w:t>состава</w:t>
      </w:r>
    </w:p>
    <w:p w:rsidR="00C179FD" w:rsidRPr="00624670" w:rsidRDefault="00C00AA3" w:rsidP="00E53E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>комиссии по соблюдению соответствия деятельности администрации города.</w:t>
      </w:r>
    </w:p>
    <w:p w:rsidR="00C179FD" w:rsidRPr="00624670" w:rsidRDefault="00037E86" w:rsidP="00E53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2. И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сполнен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ие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План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мероприятий по снижению рисков нарушения антимонопольного законодательства в </w:t>
      </w:r>
      <w:r w:rsidR="00E93AF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городе </w:t>
      </w:r>
      <w:proofErr w:type="spellStart"/>
      <w:r w:rsidR="00E93AF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E93AF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2021</w:t>
      </w:r>
      <w:r w:rsidR="00E53EA4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год, утвержденного распоряжением администрации города от 22.12.2020 № </w:t>
      </w:r>
      <w:r w:rsidR="00E53EA4" w:rsidRPr="00624670">
        <w:rPr>
          <w:rFonts w:ascii="Times New Roman" w:hAnsi="Times New Roman" w:cs="Times New Roman"/>
          <w:sz w:val="28"/>
          <w:szCs w:val="28"/>
        </w:rPr>
        <w:t>2513-ра.</w:t>
      </w:r>
    </w:p>
    <w:p w:rsidR="00037E86" w:rsidRPr="00624670" w:rsidRDefault="00037E86" w:rsidP="00037E8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3. 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постоянной основе в 2021 году </w:t>
      </w:r>
      <w:r w:rsidRPr="00624670">
        <w:rPr>
          <w:rFonts w:ascii="Times New Roman" w:hAnsi="Times New Roman" w:cs="Times New Roman"/>
          <w:bCs/>
          <w:sz w:val="28"/>
          <w:szCs w:val="28"/>
        </w:rPr>
        <w:t>уполномоченным структурным подразделением, ответственным за организацию и функционирование системы внутреннего обеспечения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управлением по правовым вопросам:</w:t>
      </w:r>
    </w:p>
    <w:p w:rsidR="00037E86" w:rsidRPr="00624670" w:rsidRDefault="00037E86" w:rsidP="00037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проводилась экспертиза проектов нормативных правовых актов, разработанных структурными подразделениями администрации города </w:t>
      </w:r>
      <w:r w:rsidR="00F07A27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на предмет выявления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положений, содержащих риск нарушения антимонопольного законодательства</w:t>
      </w:r>
      <w:r w:rsidR="00F07A27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6954C1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положений, которые не относятся к рискам нарушения </w:t>
      </w:r>
      <w:r w:rsidR="007E72DC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антимонопольного законодательства</w:t>
      </w:r>
      <w:r w:rsidR="00BE05A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7E72DC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05A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но могут </w:t>
      </w:r>
      <w:r w:rsidR="00F07A27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BE05A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пособствовать созданию условий для</w:t>
      </w:r>
      <w:r w:rsidR="00F07A27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их </w:t>
      </w:r>
      <w:r w:rsidR="00BE05A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возникновения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037E86" w:rsidRPr="00624670" w:rsidRDefault="00037E86" w:rsidP="00037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проводилось консультирование муниципальных служащих администрации города по вопросам функционирования антимонопольного </w:t>
      </w:r>
      <w:proofErr w:type="spellStart"/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37E86" w:rsidRPr="00624670" w:rsidRDefault="00037E86" w:rsidP="00037E8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lastRenderedPageBreak/>
        <w:t xml:space="preserve">4. Принятие участия в семинаре – совещании с </w:t>
      </w:r>
      <w:r w:rsidR="00C179FD" w:rsidRPr="00624670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(далее – ИОГВ) автономного округа и органами местного самоуправления муниципальных образований автономного округа</w:t>
      </w:r>
      <w:r w:rsidRPr="00624670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62467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24670">
        <w:rPr>
          <w:rFonts w:ascii="Times New Roman" w:hAnsi="Times New Roman" w:cs="Times New Roman"/>
          <w:sz w:val="28"/>
          <w:szCs w:val="28"/>
        </w:rPr>
        <w:t xml:space="preserve"> ОМСУ) по итогам анализа выявленных нарушений антимонопольного законодательства и оценки эффективности функционирования в автономном округе антимонопольного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 xml:space="preserve"> (обсуждение выявленных нарушений антимонопольного законодательства при проведении экспертизы проектов нормативных правовых актов и анализе нормативных правовых актов).</w:t>
      </w:r>
    </w:p>
    <w:p w:rsidR="00E93AF3" w:rsidRPr="00624670" w:rsidRDefault="00BE05A3" w:rsidP="00037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5. 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ие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анализ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сведений о выявленных </w:t>
      </w:r>
      <w:r w:rsidR="004A7958" w:rsidRPr="00624670">
        <w:rPr>
          <w:rFonts w:ascii="Times New Roman" w:hAnsi="Times New Roman" w:cs="Times New Roman"/>
          <w:sz w:val="28"/>
          <w:szCs w:val="28"/>
        </w:rPr>
        <w:t>в работе структурных подразделений администрации города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6A0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нарушений антимонопольного законодательства 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за 2021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год. </w:t>
      </w:r>
      <w:r w:rsidR="004A7958" w:rsidRPr="00624670">
        <w:rPr>
          <w:rFonts w:ascii="Times New Roman" w:hAnsi="Times New Roman" w:cs="Times New Roman"/>
          <w:sz w:val="28"/>
          <w:szCs w:val="28"/>
        </w:rPr>
        <w:t>Анализ проведен на основании информации, предоставленной с</w:t>
      </w:r>
      <w:r w:rsidR="008C3F3A" w:rsidRPr="00624670">
        <w:rPr>
          <w:rFonts w:ascii="Times New Roman" w:hAnsi="Times New Roman" w:cs="Times New Roman"/>
          <w:sz w:val="28"/>
          <w:szCs w:val="28"/>
        </w:rPr>
        <w:t xml:space="preserve">труктурными подразделениями </w:t>
      </w:r>
      <w:r w:rsidR="00E93AF3" w:rsidRPr="00624670">
        <w:rPr>
          <w:rFonts w:ascii="Times New Roman" w:hAnsi="Times New Roman" w:cs="Times New Roman"/>
          <w:sz w:val="28"/>
          <w:szCs w:val="28"/>
        </w:rPr>
        <w:t>адми</w:t>
      </w:r>
      <w:r w:rsidR="004A7958" w:rsidRPr="00624670">
        <w:rPr>
          <w:rFonts w:ascii="Times New Roman" w:hAnsi="Times New Roman" w:cs="Times New Roman"/>
          <w:sz w:val="28"/>
          <w:szCs w:val="28"/>
        </w:rPr>
        <w:t>нистрации города ежеквартально</w:t>
      </w:r>
      <w:r w:rsidR="008C3F3A" w:rsidRPr="00624670">
        <w:rPr>
          <w:rFonts w:ascii="Times New Roman" w:hAnsi="Times New Roman" w:cs="Times New Roman"/>
          <w:sz w:val="28"/>
          <w:szCs w:val="28"/>
        </w:rPr>
        <w:t xml:space="preserve">, </w:t>
      </w:r>
      <w:r w:rsidR="00E93AF3" w:rsidRPr="00624670">
        <w:rPr>
          <w:rFonts w:ascii="Times New Roman" w:hAnsi="Times New Roman" w:cs="Times New Roman"/>
          <w:sz w:val="28"/>
          <w:szCs w:val="28"/>
        </w:rPr>
        <w:t>о выявленных контрольными органами нарушениях антимонопольного законодательства и мерах, принятых для устранения выявленных нарушений.</w:t>
      </w:r>
    </w:p>
    <w:p w:rsidR="00BE05A3" w:rsidRPr="00624670" w:rsidRDefault="00BE05A3" w:rsidP="00037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6. Принятие участия в ежегодном конкурсе «Лучшие проекты (практики) по функционированию системы антимонопольного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>». Представлен на конкурс проект (практика) «Интеграция методов антикоррупционной и антимонопольной экспертиз при подготовке и принятии муниципальных нормативных правовых актов».</w:t>
      </w:r>
    </w:p>
    <w:p w:rsidR="00DE5E34" w:rsidRPr="00624670" w:rsidRDefault="00BE05A3" w:rsidP="00BE05A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7. Разработка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утвержден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ие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План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мероприятий по снижению рисков нарушения антимонопольного законодательства в </w:t>
      </w:r>
      <w:r w:rsidR="007528D0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городе </w:t>
      </w:r>
      <w:proofErr w:type="spellStart"/>
      <w:r w:rsidR="007528D0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Пыть-Яхе</w:t>
      </w:r>
      <w:proofErr w:type="spellEnd"/>
      <w:r w:rsidR="007528D0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2022 </w:t>
      </w:r>
      <w:r w:rsidR="00C179FD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год.</w:t>
      </w:r>
    </w:p>
    <w:p w:rsidR="00E7270D" w:rsidRPr="00624670" w:rsidRDefault="00E7270D" w:rsidP="00E7270D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B383A" w:rsidRPr="00624670" w:rsidRDefault="00E7270D" w:rsidP="008C27A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24670">
        <w:rPr>
          <w:rFonts w:ascii="Times New Roman" w:hAnsi="Times New Roman" w:cs="Times New Roman"/>
          <w:b/>
          <w:sz w:val="28"/>
          <w:szCs w:val="28"/>
        </w:rPr>
        <w:t>3.</w:t>
      </w:r>
      <w:r w:rsidRPr="00624670">
        <w:rPr>
          <w:rFonts w:ascii="Times New Roman" w:hAnsi="Times New Roman" w:cs="Times New Roman"/>
          <w:sz w:val="28"/>
          <w:szCs w:val="28"/>
        </w:rPr>
        <w:t xml:space="preserve"> </w:t>
      </w:r>
      <w:r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Информация об исполнении Плана </w:t>
      </w:r>
      <w:r w:rsidR="008C27A0"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по снижению рисков нарушения антимоноп</w:t>
      </w:r>
      <w:r w:rsidR="004C25DA"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ольного законодательства на 2021</w:t>
      </w:r>
      <w:r w:rsidR="008C27A0"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CB383A" w:rsidRPr="00624670" w:rsidRDefault="00CB383A" w:rsidP="008C27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932D2" w:rsidRPr="00624670" w:rsidRDefault="000932D2" w:rsidP="001222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24670">
        <w:rPr>
          <w:rFonts w:ascii="Times New Roman" w:hAnsi="Times New Roman"/>
          <w:sz w:val="28"/>
          <w:szCs w:val="28"/>
        </w:rPr>
        <w:t xml:space="preserve">Осуществление экспертизы проектов нормативных правовых актов на предмет выявления положений, содержащих возможные риски нарушения антимонопольного законодательства. В течение 2021 года </w:t>
      </w:r>
      <w:r w:rsidRPr="00624670">
        <w:rPr>
          <w:rFonts w:ascii="Times New Roman" w:hAnsi="Times New Roman" w:cs="Times New Roman"/>
          <w:bCs/>
          <w:sz w:val="28"/>
          <w:szCs w:val="28"/>
        </w:rPr>
        <w:t xml:space="preserve">уполномоченным </w:t>
      </w:r>
      <w:r w:rsidRPr="0062467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структурным подразделением, ответственным за организацию и функционирование системы внутреннего обеспечения – управлением по правовым вопросам </w:t>
      </w:r>
      <w:r w:rsidR="0077433F" w:rsidRPr="00624670">
        <w:rPr>
          <w:rFonts w:ascii="Times New Roman" w:hAnsi="Times New Roman" w:cs="Times New Roman"/>
          <w:bCs/>
          <w:sz w:val="28"/>
          <w:szCs w:val="28"/>
        </w:rPr>
        <w:t xml:space="preserve">была проведена экспертиза </w:t>
      </w:r>
      <w:r w:rsidR="0077433F" w:rsidRPr="00624670">
        <w:rPr>
          <w:rFonts w:ascii="Times New Roman" w:hAnsi="Times New Roman"/>
          <w:sz w:val="28"/>
          <w:szCs w:val="28"/>
        </w:rPr>
        <w:t xml:space="preserve">проектов муниципальных нормативных правовых актов на предмет выявления положений, содержащих возможные риски нарушения антимонопольного законодательства в отношении </w:t>
      </w:r>
      <w:r w:rsidR="00625D6B" w:rsidRPr="00624670">
        <w:rPr>
          <w:rFonts w:ascii="Times New Roman" w:hAnsi="Times New Roman"/>
          <w:sz w:val="28"/>
          <w:szCs w:val="28"/>
        </w:rPr>
        <w:t xml:space="preserve">25 проектов муниципальных правовых актов </w:t>
      </w:r>
      <w:r w:rsidR="001261C3" w:rsidRPr="00624670">
        <w:rPr>
          <w:rFonts w:ascii="Times New Roman" w:hAnsi="Times New Roman"/>
          <w:sz w:val="28"/>
          <w:szCs w:val="28"/>
        </w:rPr>
        <w:t xml:space="preserve">администрации города Пыть-Яха. </w:t>
      </w:r>
    </w:p>
    <w:p w:rsidR="000932D2" w:rsidRPr="00624670" w:rsidRDefault="001261C3" w:rsidP="001222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4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общественной экспертизы проектов нормативных правовых актов на предмет возможного нарушения антимонопольного законодательства на интернет-портале для публичного обсуждения проектов и действующих нормативных правовых актов, принимаемых администрацией города, размещенном по адресу: </w:t>
      </w:r>
      <w:hyperlink r:id="rId8" w:history="1">
        <w:r w:rsidRPr="00624670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http://regulation.admhmao.ru</w:t>
        </w:r>
      </w:hyperlink>
      <w:r w:rsidR="00203A0E" w:rsidRPr="00624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03A0E" w:rsidRPr="00624670">
        <w:rPr>
          <w:rFonts w:ascii="Times New Roman" w:hAnsi="Times New Roman" w:cs="Times New Roman"/>
          <w:sz w:val="28"/>
          <w:szCs w:val="28"/>
        </w:rPr>
        <w:t>В 2021 году на интернет-портале размещены 32 проекта нормативных правовых актов для проведения о</w:t>
      </w:r>
      <w:r w:rsidR="00C641C7" w:rsidRPr="00624670">
        <w:rPr>
          <w:rFonts w:ascii="Times New Roman" w:hAnsi="Times New Roman" w:cs="Times New Roman"/>
          <w:sz w:val="28"/>
          <w:szCs w:val="28"/>
        </w:rPr>
        <w:t>бщественной экспертизы, из них 7 проектов</w:t>
      </w:r>
      <w:r w:rsidR="00203A0E" w:rsidRPr="00624670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разработанный во исполнение переданных государственных полномочий.</w:t>
      </w:r>
    </w:p>
    <w:p w:rsidR="001222CF" w:rsidRPr="00624670" w:rsidRDefault="00203A0E" w:rsidP="00203A0E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624670">
        <w:rPr>
          <w:rFonts w:ascii="Times New Roman" w:hAnsi="Times New Roman"/>
          <w:b w:val="0"/>
          <w:sz w:val="28"/>
          <w:szCs w:val="28"/>
        </w:rPr>
        <w:t xml:space="preserve">Предоставление в Департамент экономического развития Ханты - Мансийского автономного округа – Югры сведений о выявленных нарушениях антимонопольного законодательства и мероприятиях по снижению рисков антимонопольного законодательства. </w:t>
      </w:r>
      <w:r w:rsidRPr="00624670">
        <w:rPr>
          <w:rFonts w:ascii="Times New Roman" w:hAnsi="Times New Roman" w:cs="Times New Roman"/>
          <w:b w:val="0"/>
          <w:sz w:val="28"/>
          <w:szCs w:val="28"/>
        </w:rPr>
        <w:t>В 2021</w:t>
      </w:r>
      <w:r w:rsidR="001222CF" w:rsidRPr="00624670">
        <w:rPr>
          <w:rFonts w:ascii="Times New Roman" w:hAnsi="Times New Roman" w:cs="Times New Roman"/>
          <w:b w:val="0"/>
          <w:sz w:val="28"/>
          <w:szCs w:val="28"/>
        </w:rPr>
        <w:t xml:space="preserve"> году нарушения не выявлены, следовательно, предоставление в Департамент данной информации не требовалось.</w:t>
      </w:r>
      <w:r w:rsidR="001222CF" w:rsidRPr="00624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DFB" w:rsidRPr="00624670" w:rsidRDefault="00203A0E" w:rsidP="005D4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4. </w:t>
      </w:r>
      <w:r w:rsidR="005D4DFB" w:rsidRPr="00624670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D4DFB" w:rsidRPr="00624670">
        <w:rPr>
          <w:rFonts w:ascii="Times New Roman" w:hAnsi="Times New Roman"/>
          <w:sz w:val="28"/>
          <w:szCs w:val="28"/>
        </w:rPr>
        <w:t>совершенствования</w:t>
      </w:r>
      <w:r w:rsidRPr="00624670">
        <w:rPr>
          <w:rFonts w:ascii="Times New Roman" w:hAnsi="Times New Roman"/>
          <w:sz w:val="28"/>
          <w:szCs w:val="28"/>
        </w:rPr>
        <w:t xml:space="preserve"> </w:t>
      </w:r>
      <w:r w:rsidR="00EB4596" w:rsidRPr="00624670">
        <w:rPr>
          <w:rFonts w:ascii="Times New Roman" w:hAnsi="Times New Roman"/>
          <w:sz w:val="28"/>
          <w:szCs w:val="28"/>
        </w:rPr>
        <w:t xml:space="preserve">механизма реализации переданных государственных полномочий в 2021 году вносились изменения в 2 муниципальных нормативных правовых акта, в отношении которых проводилась антимонопольная экспертиза. </w:t>
      </w:r>
      <w:r w:rsidR="005D4DFB" w:rsidRPr="00624670">
        <w:rPr>
          <w:rFonts w:ascii="Times New Roman" w:hAnsi="Times New Roman"/>
          <w:sz w:val="28"/>
          <w:szCs w:val="28"/>
        </w:rPr>
        <w:t>Также в декабре 2021 года подготовлен проект</w:t>
      </w:r>
      <w:r w:rsidR="005D4DFB" w:rsidRPr="00624670">
        <w:rPr>
          <w:rFonts w:ascii="Times New Roman" w:hAnsi="Times New Roman"/>
          <w:b/>
          <w:sz w:val="28"/>
          <w:szCs w:val="28"/>
        </w:rPr>
        <w:t xml:space="preserve"> </w:t>
      </w:r>
      <w:r w:rsidR="005D4DFB" w:rsidRPr="00624670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города Пыть-Яха «О внесении изменений в распоряжение администрации города от 20.07.2020 № 1291-ра «Об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5D4DFB" w:rsidRPr="00624670">
        <w:rPr>
          <w:rFonts w:ascii="Times New Roman" w:hAnsi="Times New Roman" w:cs="Times New Roman"/>
          <w:sz w:val="28"/>
          <w:szCs w:val="28"/>
        </w:rPr>
        <w:lastRenderedPageBreak/>
        <w:t>комплаенса</w:t>
      </w:r>
      <w:proofErr w:type="spellEnd"/>
      <w:r w:rsidR="005D4DFB" w:rsidRPr="00624670">
        <w:rPr>
          <w:rFonts w:ascii="Times New Roman" w:hAnsi="Times New Roman" w:cs="Times New Roman"/>
          <w:sz w:val="28"/>
          <w:szCs w:val="28"/>
        </w:rPr>
        <w:t xml:space="preserve">)» с целью усовершенствования механизм правового регулирования антимонопольного </w:t>
      </w:r>
      <w:proofErr w:type="spellStart"/>
      <w:r w:rsidR="005D4DFB"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5D4DFB" w:rsidRPr="00624670">
        <w:rPr>
          <w:rFonts w:ascii="Times New Roman" w:hAnsi="Times New Roman" w:cs="Times New Roman"/>
          <w:sz w:val="28"/>
          <w:szCs w:val="28"/>
        </w:rPr>
        <w:t>, а также актуализации состава</w:t>
      </w:r>
    </w:p>
    <w:p w:rsidR="005D4DFB" w:rsidRPr="00624670" w:rsidRDefault="005D4DFB" w:rsidP="005D4D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>комиссии по соблюдению соответствия деятельности администрации города.</w:t>
      </w:r>
    </w:p>
    <w:p w:rsidR="00A0266E" w:rsidRPr="00624670" w:rsidRDefault="005D4DFB" w:rsidP="00A0266E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4670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624670">
        <w:rPr>
          <w:rFonts w:ascii="Times New Roman" w:hAnsi="Times New Roman"/>
          <w:b w:val="0"/>
          <w:sz w:val="28"/>
          <w:szCs w:val="28"/>
        </w:rPr>
        <w:t>Подготовка и внесение изменений в нормативные правовые акты, при выявлении условий для возникновения рисков нарушения антимонопольного законодательства</w:t>
      </w:r>
      <w:r w:rsidR="00A0266E" w:rsidRPr="00624670">
        <w:rPr>
          <w:rFonts w:ascii="Times New Roman" w:hAnsi="Times New Roman"/>
          <w:b w:val="0"/>
          <w:sz w:val="28"/>
          <w:szCs w:val="28"/>
        </w:rPr>
        <w:t xml:space="preserve"> обусловлены результатами проведенных экспертиз Департаментом</w:t>
      </w:r>
      <w:r w:rsidR="00A0266E" w:rsidRPr="00624670">
        <w:rPr>
          <w:rFonts w:ascii="Times New Roman" w:hAnsi="Times New Roman"/>
          <w:sz w:val="28"/>
          <w:szCs w:val="28"/>
        </w:rPr>
        <w:t xml:space="preserve"> </w:t>
      </w:r>
      <w:r w:rsidR="00A0266E" w:rsidRPr="00624670">
        <w:rPr>
          <w:rFonts w:ascii="Times New Roman" w:hAnsi="Times New Roman" w:cs="Times New Roman"/>
          <w:b w:val="0"/>
          <w:sz w:val="28"/>
          <w:szCs w:val="28"/>
        </w:rPr>
        <w:t xml:space="preserve">экономического развития Ханты-Мансийского автономного округа – Югры, в которых были выявлены положения, содержащие возможные риски нарушения антимонопольного законодательства Российской Федерации, а также положения, которые не относятся к рискам нарушения антимонопольного законодательства, но могут способствовать созданию условий для их возникновения. </w:t>
      </w:r>
    </w:p>
    <w:p w:rsidR="00185A74" w:rsidRPr="00624670" w:rsidRDefault="00185A74" w:rsidP="00185A74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4670">
        <w:rPr>
          <w:rFonts w:ascii="Times New Roman" w:hAnsi="Times New Roman" w:cs="Times New Roman"/>
          <w:b w:val="0"/>
          <w:sz w:val="28"/>
          <w:szCs w:val="28"/>
        </w:rPr>
        <w:t xml:space="preserve">Созданная многоуровневая система посредством модуля «Антимонопольный </w:t>
      </w:r>
      <w:proofErr w:type="spellStart"/>
      <w:r w:rsidRPr="00624670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Pr="00624670">
        <w:rPr>
          <w:rFonts w:ascii="Times New Roman" w:hAnsi="Times New Roman" w:cs="Times New Roman"/>
          <w:b w:val="0"/>
          <w:sz w:val="28"/>
          <w:szCs w:val="28"/>
        </w:rPr>
        <w:t xml:space="preserve">» специализированного программного обеспечения в целях оптимизации и автоматизации процесса взаимодействия Департамента экономического развития автономного округа, исполнительных органов государственной власти и органов местного самоуправления, способствует проведению всесторонней и комплексной экспертизы проектов муниципальных нормативных правовых на предмет наличия (отсутствия) в них положений, содержащих возможные риски нарушения антимонопольного законодательства, и не допущению издания нормативных правовых актов, принятие которых может повлечь нарушение антимонопольного законодательства. Так, в 2021 году в модуль «Антимонопольный </w:t>
      </w:r>
      <w:proofErr w:type="spellStart"/>
      <w:r w:rsidRPr="00624670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Pr="00624670">
        <w:rPr>
          <w:rFonts w:ascii="Times New Roman" w:hAnsi="Times New Roman" w:cs="Times New Roman"/>
          <w:b w:val="0"/>
          <w:sz w:val="28"/>
          <w:szCs w:val="28"/>
        </w:rPr>
        <w:t xml:space="preserve">» специализированного программного обеспечения </w:t>
      </w:r>
      <w:r w:rsidRPr="006246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загружено 11 </w:t>
      </w:r>
      <w:r w:rsidRPr="00624670">
        <w:rPr>
          <w:rFonts w:ascii="Times New Roman" w:hAnsi="Times New Roman" w:cs="Times New Roman"/>
          <w:b w:val="0"/>
          <w:sz w:val="28"/>
          <w:szCs w:val="28"/>
        </w:rPr>
        <w:t>проектов муниципальных нормативных правовых актов. Из них 6 проектов муниципальных нормативных правовых актов прошли экспертизу на предмет наличия (отсутствия) положений, содержащих возможные риски нарушения антимонопольного законодательства, следовательно, получили положительные заключения</w:t>
      </w:r>
      <w:r w:rsidRPr="006246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в отношении 5 </w:t>
      </w:r>
      <w:r w:rsidRPr="00624670">
        <w:rPr>
          <w:rFonts w:ascii="Times New Roman" w:hAnsi="Times New Roman" w:cs="Times New Roman"/>
          <w:b w:val="0"/>
          <w:sz w:val="28"/>
          <w:szCs w:val="28"/>
        </w:rPr>
        <w:t xml:space="preserve">проектов муниципальных нормативных правовых актов подготовлены отрицательные заключения, </w:t>
      </w:r>
      <w:r w:rsidRPr="00624670">
        <w:rPr>
          <w:rFonts w:ascii="Times New Roman" w:hAnsi="Times New Roman" w:cs="Times New Roman"/>
          <w:b w:val="0"/>
          <w:sz w:val="28"/>
          <w:szCs w:val="28"/>
        </w:rPr>
        <w:lastRenderedPageBreak/>
        <w:t>среди них в 2 проектах МНПА выявлены положения, содержащие возможные риски нарушения антимонопольного законодательства Российской Федерации, а также положения, которые не относятся к рискам нарушения антимонопольного законодательства, но могут способствовать созданию условий для их возникновения, в 3 проектах МНПА не выявлены положения, содержащие возможные риски нарушения антимонопольного законодательства Российской Федерации, но были выявлены условия, способствующие их возникновению.</w:t>
      </w:r>
    </w:p>
    <w:p w:rsidR="00D61325" w:rsidRPr="00624670" w:rsidRDefault="005D4DFB" w:rsidP="00D61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/>
          <w:sz w:val="28"/>
          <w:szCs w:val="28"/>
        </w:rPr>
        <w:t>6. Сбор сведений о наличии выявленных нарушений антимонопольного законодательства контролирующими органами</w:t>
      </w:r>
      <w:r w:rsidR="00D61325" w:rsidRPr="00624670">
        <w:rPr>
          <w:rFonts w:ascii="Times New Roman" w:hAnsi="Times New Roman"/>
          <w:sz w:val="28"/>
          <w:szCs w:val="28"/>
        </w:rPr>
        <w:t xml:space="preserve"> осуществляется путем предоставления</w:t>
      </w:r>
      <w:r w:rsidR="00053851" w:rsidRPr="00624670">
        <w:rPr>
          <w:rFonts w:ascii="Times New Roman" w:hAnsi="Times New Roman"/>
          <w:sz w:val="28"/>
          <w:szCs w:val="28"/>
        </w:rPr>
        <w:t xml:space="preserve"> </w:t>
      </w:r>
      <w:r w:rsidR="00D61325" w:rsidRPr="00624670">
        <w:rPr>
          <w:rFonts w:ascii="Times New Roman" w:hAnsi="Times New Roman" w:cs="Times New Roman"/>
          <w:sz w:val="28"/>
          <w:szCs w:val="28"/>
        </w:rPr>
        <w:t>структурными</w:t>
      </w:r>
      <w:r w:rsidR="00053851" w:rsidRPr="00624670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города в управление по правовым вопросам </w:t>
      </w:r>
      <w:r w:rsidR="00D61325" w:rsidRPr="00624670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053851" w:rsidRPr="00624670">
        <w:rPr>
          <w:rFonts w:ascii="Times New Roman" w:hAnsi="Times New Roman" w:cs="Times New Roman"/>
          <w:sz w:val="28"/>
          <w:szCs w:val="28"/>
        </w:rPr>
        <w:t>информацию о выявленных контрольными органами нарушениях антимонопольного законодательства и мерах, принятых для устранения выявленных нарушений.</w:t>
      </w:r>
      <w:r w:rsidR="00D61325" w:rsidRPr="00624670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="001F4BF8" w:rsidRPr="00624670">
        <w:rPr>
          <w:rFonts w:ascii="Times New Roman" w:hAnsi="Times New Roman" w:cs="Times New Roman"/>
          <w:sz w:val="28"/>
          <w:szCs w:val="28"/>
        </w:rPr>
        <w:t xml:space="preserve">Управлением Федеральной антимонопольной службы по Ханты- Мансийскому автономному округу – Югре </w:t>
      </w:r>
      <w:r w:rsidR="008032F3" w:rsidRPr="00624670">
        <w:rPr>
          <w:rFonts w:ascii="Times New Roman" w:hAnsi="Times New Roman" w:cs="Times New Roman"/>
          <w:sz w:val="28"/>
          <w:szCs w:val="28"/>
        </w:rPr>
        <w:t>в ходе рассмотрения жалобы по электронному аукциону «Выполнение работ по ак</w:t>
      </w:r>
      <w:r w:rsidR="003A33F3" w:rsidRPr="00624670">
        <w:rPr>
          <w:rFonts w:ascii="Times New Roman" w:hAnsi="Times New Roman" w:cs="Times New Roman"/>
          <w:sz w:val="28"/>
          <w:szCs w:val="28"/>
        </w:rPr>
        <w:t>туали</w:t>
      </w:r>
      <w:r w:rsidR="00472B3E" w:rsidRPr="00624670">
        <w:rPr>
          <w:rFonts w:ascii="Times New Roman" w:hAnsi="Times New Roman" w:cs="Times New Roman"/>
          <w:sz w:val="28"/>
          <w:szCs w:val="28"/>
        </w:rPr>
        <w:t>за</w:t>
      </w:r>
      <w:r w:rsidR="003A33F3" w:rsidRPr="00624670">
        <w:rPr>
          <w:rFonts w:ascii="Times New Roman" w:hAnsi="Times New Roman" w:cs="Times New Roman"/>
          <w:sz w:val="28"/>
          <w:szCs w:val="28"/>
        </w:rPr>
        <w:t xml:space="preserve">ции схем теплоснабжения, водоснабжения и водоотведения муниципального </w:t>
      </w:r>
      <w:r w:rsidR="00472B3E" w:rsidRPr="00624670">
        <w:rPr>
          <w:rFonts w:ascii="Times New Roman" w:hAnsi="Times New Roman" w:cs="Times New Roman"/>
          <w:sz w:val="28"/>
          <w:szCs w:val="28"/>
        </w:rPr>
        <w:t>образования городского округа Пыть-Ях</w:t>
      </w:r>
      <w:r w:rsidR="008032F3" w:rsidRPr="00624670">
        <w:rPr>
          <w:rFonts w:ascii="Times New Roman" w:hAnsi="Times New Roman" w:cs="Times New Roman"/>
          <w:sz w:val="28"/>
          <w:szCs w:val="28"/>
        </w:rPr>
        <w:t xml:space="preserve">» </w:t>
      </w:r>
      <w:r w:rsidR="001F4BF8" w:rsidRPr="00624670">
        <w:rPr>
          <w:rFonts w:ascii="Times New Roman" w:hAnsi="Times New Roman" w:cs="Times New Roman"/>
          <w:sz w:val="28"/>
          <w:szCs w:val="28"/>
        </w:rPr>
        <w:t xml:space="preserve">выявлено нарушение </w:t>
      </w:r>
      <w:r w:rsidR="004D3178" w:rsidRPr="00624670">
        <w:rPr>
          <w:rFonts w:ascii="Times New Roman" w:hAnsi="Times New Roman" w:cs="Times New Roman"/>
          <w:sz w:val="28"/>
          <w:szCs w:val="28"/>
        </w:rPr>
        <w:t>пункта 1 части 1 статьи 31.</w:t>
      </w:r>
      <w:r w:rsidR="008032F3" w:rsidRPr="00624670">
        <w:rPr>
          <w:rFonts w:ascii="Times New Roman" w:hAnsi="Times New Roman" w:cs="Times New Roman"/>
          <w:sz w:val="28"/>
          <w:szCs w:val="28"/>
        </w:rPr>
        <w:t xml:space="preserve">, пункта 2 части 5 статьи 66 Федерального закона </w:t>
      </w:r>
      <w:r w:rsidR="00472B3E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от 05.04.2013 №</w:t>
      </w:r>
      <w:r w:rsidR="008032F3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72B3E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D4DFB" w:rsidRPr="00624670" w:rsidRDefault="005D4DFB" w:rsidP="00342779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4670">
        <w:rPr>
          <w:rFonts w:ascii="Times New Roman" w:hAnsi="Times New Roman"/>
          <w:b w:val="0"/>
          <w:sz w:val="28"/>
          <w:szCs w:val="28"/>
        </w:rPr>
        <w:t>7.</w:t>
      </w:r>
      <w:r w:rsidR="00342779" w:rsidRPr="00624670">
        <w:rPr>
          <w:rFonts w:ascii="Times New Roman" w:hAnsi="Times New Roman"/>
          <w:b w:val="0"/>
          <w:sz w:val="28"/>
          <w:szCs w:val="28"/>
        </w:rPr>
        <w:t xml:space="preserve"> </w:t>
      </w:r>
      <w:r w:rsidRPr="00624670">
        <w:rPr>
          <w:rFonts w:ascii="Times New Roman" w:hAnsi="Times New Roman"/>
          <w:b w:val="0"/>
          <w:sz w:val="28"/>
          <w:szCs w:val="28"/>
        </w:rPr>
        <w:t xml:space="preserve">Организация обучения муниципальных служащих по направлению «Антимонопольный </w:t>
      </w:r>
      <w:proofErr w:type="spellStart"/>
      <w:r w:rsidRPr="00624670">
        <w:rPr>
          <w:rFonts w:ascii="Times New Roman" w:hAnsi="Times New Roman"/>
          <w:b w:val="0"/>
          <w:sz w:val="28"/>
          <w:szCs w:val="28"/>
        </w:rPr>
        <w:t>комплаенс</w:t>
      </w:r>
      <w:proofErr w:type="spellEnd"/>
      <w:r w:rsidRPr="00624670">
        <w:rPr>
          <w:rFonts w:ascii="Times New Roman" w:hAnsi="Times New Roman"/>
          <w:b w:val="0"/>
          <w:sz w:val="28"/>
          <w:szCs w:val="28"/>
        </w:rPr>
        <w:t>»</w:t>
      </w:r>
      <w:r w:rsidR="00BE3416" w:rsidRPr="00624670">
        <w:rPr>
          <w:rFonts w:ascii="Times New Roman" w:hAnsi="Times New Roman"/>
          <w:b w:val="0"/>
          <w:sz w:val="28"/>
          <w:szCs w:val="28"/>
        </w:rPr>
        <w:t xml:space="preserve">. В 2021 году </w:t>
      </w:r>
      <w:r w:rsidR="00053851" w:rsidRPr="00624670">
        <w:rPr>
          <w:rFonts w:ascii="Times New Roman" w:hAnsi="Times New Roman"/>
          <w:b w:val="0"/>
          <w:sz w:val="28"/>
          <w:szCs w:val="28"/>
        </w:rPr>
        <w:t>обучение не проводилось.</w:t>
      </w:r>
    </w:p>
    <w:p w:rsidR="00CB383A" w:rsidRPr="00624670" w:rsidRDefault="00536D41" w:rsidP="00CB38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CB383A"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Анализ выявленных нарушений антимонопольного законодательства в деятельности </w:t>
      </w:r>
      <w:r w:rsidR="00616A03"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города Пыть-Яха </w:t>
      </w:r>
      <w:r w:rsidR="00342779"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2021</w:t>
      </w:r>
      <w:r w:rsidR="00CB383A" w:rsidRPr="0062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B383A" w:rsidRPr="00624670" w:rsidRDefault="00CB383A" w:rsidP="00CB383A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643A9" w:rsidRPr="00624670" w:rsidRDefault="00616A03" w:rsidP="003427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3643A9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выявленных нарушений антимонопольного законодательства в деятельности администрации города Пыть-Яха</w:t>
      </w:r>
      <w:r w:rsidR="003643A9" w:rsidRPr="006246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43A9" w:rsidRPr="00624670">
        <w:rPr>
          <w:rFonts w:ascii="Times New Roman" w:hAnsi="Times New Roman" w:cs="Times New Roman"/>
          <w:sz w:val="28"/>
          <w:szCs w:val="28"/>
        </w:rPr>
        <w:t>проводится</w:t>
      </w:r>
      <w:r w:rsidRPr="00624670">
        <w:rPr>
          <w:rFonts w:ascii="Times New Roman" w:hAnsi="Times New Roman" w:cs="Times New Roman"/>
          <w:sz w:val="28"/>
          <w:szCs w:val="28"/>
        </w:rPr>
        <w:t xml:space="preserve"> на основании информации, предоставленной структурными подразделениями </w:t>
      </w:r>
      <w:r w:rsidRPr="00624670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ежеквартально, о выявленных контрольными органами нарушениях антимонопольного законодательства и мерах, принятых для устранения выявленных</w:t>
      </w:r>
      <w:r w:rsidR="003643A9" w:rsidRPr="00624670">
        <w:rPr>
          <w:rFonts w:ascii="Times New Roman" w:hAnsi="Times New Roman" w:cs="Times New Roman"/>
          <w:sz w:val="28"/>
          <w:szCs w:val="28"/>
        </w:rPr>
        <w:t xml:space="preserve"> нарушений, </w:t>
      </w:r>
      <w:r w:rsidR="003643A9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информации Управления Федеральной антимонопольной службы по автономному округу о выявленных нарушениях антимонопольного законода</w:t>
      </w:r>
      <w:r w:rsidR="000959FE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тельства, а именно: </w:t>
      </w:r>
      <w:r w:rsidR="00342779" w:rsidRPr="00624670">
        <w:rPr>
          <w:rFonts w:ascii="Times New Roman" w:hAnsi="Times New Roman" w:cs="Times New Roman"/>
          <w:sz w:val="28"/>
          <w:szCs w:val="28"/>
        </w:rPr>
        <w:t xml:space="preserve">пункта 1 части 1 статьи 31., пункта 2 части 5 статьи 66 Федерального закона </w:t>
      </w:r>
      <w:r w:rsidR="00342779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05.04.2013 №44-ФЗ «О контрактной системе в сфере закупок товаров, работ, услуг для обеспечения государственных и муниципальных нужд» </w:t>
      </w:r>
      <w:r w:rsidR="000959FE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(далее – Федеральный закон № 44-ФЗ) </w:t>
      </w:r>
      <w:r w:rsidR="003643A9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указанный период.</w:t>
      </w:r>
    </w:p>
    <w:p w:rsidR="00342779" w:rsidRPr="00624670" w:rsidRDefault="00CB383A" w:rsidP="003427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По результатам анал</w:t>
      </w:r>
      <w:r w:rsidR="00342779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иза выявленных нарушений за 2021</w:t>
      </w:r>
      <w:r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установлено,</w:t>
      </w:r>
      <w:r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342779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рассмотрения жалобы по электронному аукциону </w:t>
      </w:r>
      <w:r w:rsidR="00342779" w:rsidRPr="00624670">
        <w:rPr>
          <w:rFonts w:ascii="Times New Roman" w:hAnsi="Times New Roman" w:cs="Times New Roman"/>
          <w:sz w:val="28"/>
          <w:szCs w:val="28"/>
        </w:rPr>
        <w:t xml:space="preserve">«Выполнение работ по актуализации схем теплоснабжения, водоснабжения и водоотведения муниципального образования городского округа Пыть-Ях» </w:t>
      </w:r>
      <w:r w:rsidR="00342779" w:rsidRPr="0062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антимонопольной службы по автономному округу </w:t>
      </w:r>
      <w:r w:rsidR="00342779" w:rsidRPr="00624670">
        <w:rPr>
          <w:rFonts w:ascii="Times New Roman" w:hAnsi="Times New Roman" w:cs="Times New Roman"/>
          <w:sz w:val="28"/>
          <w:szCs w:val="28"/>
        </w:rPr>
        <w:t xml:space="preserve">выявлено нарушение пункта 1 части 1 статьи </w:t>
      </w:r>
      <w:proofErr w:type="gramStart"/>
      <w:r w:rsidR="00342779" w:rsidRPr="00624670">
        <w:rPr>
          <w:rFonts w:ascii="Times New Roman" w:hAnsi="Times New Roman" w:cs="Times New Roman"/>
          <w:sz w:val="28"/>
          <w:szCs w:val="28"/>
        </w:rPr>
        <w:t>31.,</w:t>
      </w:r>
      <w:proofErr w:type="gramEnd"/>
      <w:r w:rsidR="00342779" w:rsidRPr="00624670">
        <w:rPr>
          <w:rFonts w:ascii="Times New Roman" w:hAnsi="Times New Roman" w:cs="Times New Roman"/>
          <w:sz w:val="28"/>
          <w:szCs w:val="28"/>
        </w:rPr>
        <w:t xml:space="preserve"> пункта 2 части 5 статьи 66 Федерального закона </w:t>
      </w:r>
      <w:r w:rsidR="00342779" w:rsidRPr="00624670">
        <w:rPr>
          <w:rFonts w:ascii="Times New Roman" w:hAnsi="Times New Roman" w:cs="Times New Roman"/>
          <w:bCs/>
          <w:sz w:val="28"/>
          <w:szCs w:val="28"/>
          <w:lang w:eastAsia="ru-RU"/>
        </w:rPr>
        <w:t>№ 44-ФЗ. Об устранении нарушений законодательства выдано предписание, которое было исполнено.</w:t>
      </w:r>
    </w:p>
    <w:p w:rsidR="00CB383A" w:rsidRPr="00624670" w:rsidRDefault="00BF140F" w:rsidP="00BF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Касаемо нарушений антимонопольного законодательства (ст. 15-17 Федерального закона от 26.07.2006 № 135-ФЗ) в 2021 году нарушения контрольными органами не выявлены. </w:t>
      </w:r>
    </w:p>
    <w:p w:rsidR="00BF140F" w:rsidRPr="00624670" w:rsidRDefault="00BF140F" w:rsidP="00CB38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40F" w:rsidRPr="00624670" w:rsidRDefault="00BF140F" w:rsidP="00CB3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3A" w:rsidRPr="00624670" w:rsidRDefault="00536D41" w:rsidP="00CB38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B383A" w:rsidRPr="0062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B383A" w:rsidRPr="00624670">
        <w:rPr>
          <w:rFonts w:ascii="Times New Roman" w:hAnsi="Times New Roman" w:cs="Times New Roman"/>
          <w:b/>
          <w:sz w:val="28"/>
          <w:szCs w:val="28"/>
        </w:rPr>
        <w:t>О выявлении и оценке рисков нарушения антимонопольного законодательства</w:t>
      </w:r>
    </w:p>
    <w:p w:rsidR="00CB383A" w:rsidRPr="00624670" w:rsidRDefault="00CB383A" w:rsidP="00CB383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DEF" w:rsidRPr="00624670" w:rsidRDefault="004F3DEF" w:rsidP="00CB38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24670">
        <w:rPr>
          <w:rFonts w:ascii="Times New Roman" w:hAnsi="Times New Roman" w:cs="Times New Roman"/>
          <w:color w:val="00000A"/>
          <w:sz w:val="28"/>
          <w:szCs w:val="28"/>
        </w:rPr>
        <w:t>В целях исключения положений</w:t>
      </w:r>
      <w:r w:rsidR="00536D41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, противоречащих нормам антимонопольного законодательства на стадии разработки проектов муниципальных нормативных правовых актов на </w:t>
      </w:r>
      <w:proofErr w:type="gramStart"/>
      <w:r w:rsidR="00536D41" w:rsidRPr="00624670">
        <w:rPr>
          <w:rFonts w:ascii="Times New Roman" w:hAnsi="Times New Roman" w:cs="Times New Roman"/>
          <w:color w:val="00000A"/>
          <w:sz w:val="28"/>
          <w:szCs w:val="28"/>
        </w:rPr>
        <w:t>постоянной основе</w:t>
      </w:r>
      <w:proofErr w:type="gramEnd"/>
      <w:r w:rsidR="00536D41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проводится антимонопольная экспертиза проектов муниципальных нормативных правовых актов, подготовленных структурными подразделениями администрации города Пыть-Яха.</w:t>
      </w:r>
    </w:p>
    <w:p w:rsidR="000179C8" w:rsidRPr="00624670" w:rsidRDefault="00536D41" w:rsidP="00621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  <w:sectPr w:rsidR="000179C8" w:rsidRPr="00624670" w:rsidSect="000179C8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24670">
        <w:rPr>
          <w:rFonts w:ascii="Times New Roman" w:hAnsi="Times New Roman" w:cs="Times New Roman"/>
          <w:color w:val="00000A"/>
          <w:sz w:val="28"/>
          <w:szCs w:val="28"/>
        </w:rPr>
        <w:lastRenderedPageBreak/>
        <w:t>Так, в</w:t>
      </w:r>
      <w:r w:rsidR="00C850B5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2021</w:t>
      </w:r>
      <w:r w:rsidR="00CB383A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году </w:t>
      </w:r>
      <w:r w:rsidR="004F3DEF" w:rsidRPr="00624670">
        <w:rPr>
          <w:rFonts w:ascii="Times New Roman" w:hAnsi="Times New Roman" w:cs="Times New Roman"/>
          <w:bCs/>
          <w:sz w:val="28"/>
          <w:szCs w:val="28"/>
        </w:rPr>
        <w:t>у</w:t>
      </w:r>
      <w:r w:rsidR="005B4E87" w:rsidRPr="00624670">
        <w:rPr>
          <w:rFonts w:ascii="Times New Roman" w:hAnsi="Times New Roman" w:cs="Times New Roman"/>
          <w:bCs/>
          <w:sz w:val="28"/>
          <w:szCs w:val="28"/>
        </w:rPr>
        <w:t>полномоченным структурным подразделением, ответственным за организацию и функционирование системы внутреннего обеспечения – управлением по правовым вопросам</w:t>
      </w:r>
      <w:r w:rsidR="00CB383A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проведено </w:t>
      </w:r>
      <w:r w:rsidR="00621388" w:rsidRPr="00624670">
        <w:rPr>
          <w:rFonts w:ascii="Times New Roman" w:hAnsi="Times New Roman" w:cs="Times New Roman"/>
          <w:color w:val="00000A"/>
          <w:sz w:val="28"/>
          <w:szCs w:val="28"/>
        </w:rPr>
        <w:t>25</w:t>
      </w:r>
      <w:r w:rsidR="00CB383A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экспертиз проектов нормативных правовых актов. </w:t>
      </w:r>
      <w:r w:rsidRPr="00624670">
        <w:rPr>
          <w:rFonts w:ascii="Times New Roman" w:hAnsi="Times New Roman" w:cs="Times New Roman"/>
          <w:color w:val="00000A"/>
          <w:sz w:val="28"/>
          <w:szCs w:val="28"/>
        </w:rPr>
        <w:t>По результатам проведения экспертиз</w:t>
      </w:r>
      <w:r w:rsidR="00CB383A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85A74" w:rsidRPr="00624670">
        <w:rPr>
          <w:rFonts w:ascii="Times New Roman" w:hAnsi="Times New Roman" w:cs="Times New Roman"/>
          <w:color w:val="00000A"/>
          <w:sz w:val="28"/>
          <w:szCs w:val="28"/>
        </w:rPr>
        <w:t>в</w:t>
      </w:r>
      <w:r w:rsidR="00621388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2 проекта</w:t>
      </w:r>
      <w:r w:rsidR="00185A74" w:rsidRPr="00624670">
        <w:rPr>
          <w:rFonts w:ascii="Times New Roman" w:hAnsi="Times New Roman" w:cs="Times New Roman"/>
          <w:color w:val="00000A"/>
          <w:sz w:val="28"/>
          <w:szCs w:val="28"/>
        </w:rPr>
        <w:t>х муниципальных правовых актов</w:t>
      </w:r>
      <w:r w:rsidR="00621388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были</w:t>
      </w:r>
      <w:r w:rsidR="004F3DEF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CB383A" w:rsidRPr="00624670">
        <w:rPr>
          <w:rFonts w:ascii="Times New Roman" w:hAnsi="Times New Roman" w:cs="Times New Roman"/>
          <w:color w:val="00000A"/>
          <w:sz w:val="28"/>
          <w:szCs w:val="28"/>
        </w:rPr>
        <w:t>выявлены</w:t>
      </w:r>
      <w:r w:rsidR="00621388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 условия</w:t>
      </w:r>
      <w:r w:rsidR="00CB383A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, </w:t>
      </w:r>
      <w:r w:rsidR="00621388" w:rsidRPr="00624670">
        <w:rPr>
          <w:rFonts w:ascii="Times New Roman" w:hAnsi="Times New Roman" w:cs="Times New Roman"/>
          <w:color w:val="00000A"/>
          <w:sz w:val="28"/>
          <w:szCs w:val="28"/>
        </w:rPr>
        <w:t xml:space="preserve">способствующие возникновению </w:t>
      </w:r>
      <w:r w:rsidRPr="00624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</w:t>
      </w:r>
      <w:r w:rsidR="00621388" w:rsidRPr="00624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624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нарушения антимонопольного законодательства</w:t>
      </w:r>
      <w:r w:rsidR="00CB383A" w:rsidRPr="00624670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0179C8" w:rsidRPr="00624670" w:rsidRDefault="002056AC" w:rsidP="00017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70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179C8" w:rsidRPr="00624670">
        <w:rPr>
          <w:rFonts w:ascii="Times New Roman" w:hAnsi="Times New Roman" w:cs="Times New Roman"/>
          <w:b/>
          <w:sz w:val="28"/>
          <w:szCs w:val="28"/>
        </w:rPr>
        <w:t xml:space="preserve">. Информация о достижении ключевых показателей эффективности антимонопольного </w:t>
      </w:r>
      <w:proofErr w:type="spellStart"/>
      <w:r w:rsidR="000179C8" w:rsidRPr="00624670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0179C8" w:rsidRPr="00624670" w:rsidRDefault="000179C8" w:rsidP="000179C8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ff0"/>
        <w:tblW w:w="0" w:type="auto"/>
        <w:tblInd w:w="988" w:type="dxa"/>
        <w:tblLook w:val="04A0" w:firstRow="1" w:lastRow="0" w:firstColumn="1" w:lastColumn="0" w:noHBand="0" w:noVBand="1"/>
      </w:tblPr>
      <w:tblGrid>
        <w:gridCol w:w="1426"/>
        <w:gridCol w:w="1393"/>
        <w:gridCol w:w="1810"/>
        <w:gridCol w:w="1795"/>
        <w:gridCol w:w="1626"/>
        <w:gridCol w:w="1344"/>
        <w:gridCol w:w="2150"/>
        <w:gridCol w:w="1274"/>
      </w:tblGrid>
      <w:tr w:rsidR="0054482A" w:rsidRPr="00624670" w:rsidTr="0054482A">
        <w:tc>
          <w:tcPr>
            <w:tcW w:w="12818" w:type="dxa"/>
            <w:gridSpan w:val="8"/>
          </w:tcPr>
          <w:p w:rsidR="0054482A" w:rsidRPr="00624670" w:rsidRDefault="0054482A" w:rsidP="0054482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24670">
              <w:rPr>
                <w:b/>
                <w:sz w:val="28"/>
                <w:szCs w:val="28"/>
              </w:rPr>
              <w:t>Наименование показателя</w:t>
            </w:r>
          </w:p>
        </w:tc>
      </w:tr>
      <w:tr w:rsidR="0054482A" w:rsidRPr="00624670" w:rsidTr="0054482A">
        <w:tc>
          <w:tcPr>
            <w:tcW w:w="2819" w:type="dxa"/>
            <w:gridSpan w:val="2"/>
          </w:tcPr>
          <w:p w:rsidR="0054482A" w:rsidRPr="00624670" w:rsidRDefault="0054482A" w:rsidP="0054482A">
            <w:pPr>
              <w:pStyle w:val="Default"/>
              <w:jc w:val="both"/>
            </w:pPr>
            <w:r w:rsidRPr="00624670">
              <w:t xml:space="preserve">Кол-во размещения проектов МНПА в многоуровневой системе посредством модуля «Антимонопольный </w:t>
            </w:r>
            <w:proofErr w:type="spellStart"/>
            <w:r w:rsidRPr="00624670">
              <w:t>комплаенс</w:t>
            </w:r>
            <w:proofErr w:type="spellEnd"/>
            <w:r w:rsidRPr="00624670">
              <w:t>»</w:t>
            </w:r>
          </w:p>
        </w:tc>
        <w:tc>
          <w:tcPr>
            <w:tcW w:w="3605" w:type="dxa"/>
            <w:gridSpan w:val="2"/>
          </w:tcPr>
          <w:p w:rsidR="0054482A" w:rsidRPr="00624670" w:rsidRDefault="0054482A" w:rsidP="000179C8">
            <w:pPr>
              <w:pStyle w:val="Default"/>
              <w:jc w:val="both"/>
              <w:rPr>
                <w:sz w:val="28"/>
                <w:szCs w:val="28"/>
              </w:rPr>
            </w:pPr>
            <w:r w:rsidRPr="00624670">
              <w:t xml:space="preserve">Получено отрицательных заключений на проекты МНПА, размещенные в многоуровневой системе посредством модуля «Антимонопольный </w:t>
            </w:r>
            <w:proofErr w:type="spellStart"/>
            <w:r w:rsidRPr="00624670">
              <w:t>комплаенс</w:t>
            </w:r>
            <w:proofErr w:type="spellEnd"/>
            <w:r w:rsidRPr="00624670">
              <w:t>»</w:t>
            </w:r>
          </w:p>
        </w:tc>
        <w:tc>
          <w:tcPr>
            <w:tcW w:w="2970" w:type="dxa"/>
            <w:gridSpan w:val="2"/>
          </w:tcPr>
          <w:p w:rsidR="0054482A" w:rsidRPr="00624670" w:rsidRDefault="0054482A" w:rsidP="000179C8">
            <w:pPr>
              <w:pStyle w:val="Default"/>
              <w:jc w:val="both"/>
              <w:rPr>
                <w:sz w:val="28"/>
                <w:szCs w:val="28"/>
              </w:rPr>
            </w:pPr>
            <w:r w:rsidRPr="00624670">
              <w:t xml:space="preserve">Кол-во размещенных проектов МНПА </w:t>
            </w:r>
            <w:r w:rsidRPr="00624670">
              <w:rPr>
                <w:shd w:val="clear" w:color="auto" w:fill="FFFFFF"/>
              </w:rPr>
              <w:t xml:space="preserve">на интернет-портале для публичного обсуждения проектов </w:t>
            </w:r>
          </w:p>
        </w:tc>
        <w:tc>
          <w:tcPr>
            <w:tcW w:w="3424" w:type="dxa"/>
            <w:gridSpan w:val="2"/>
          </w:tcPr>
          <w:p w:rsidR="0054482A" w:rsidRPr="00624670" w:rsidRDefault="0054482A" w:rsidP="0054482A">
            <w:pPr>
              <w:pStyle w:val="Default"/>
              <w:jc w:val="both"/>
              <w:rPr>
                <w:sz w:val="28"/>
                <w:szCs w:val="28"/>
              </w:rPr>
            </w:pPr>
            <w:r w:rsidRPr="00624670">
              <w:t xml:space="preserve">Количество нарушений антимонопольного законодательства (ст. 15-17 Федерального закона от 26.07.2006 № 135-ФЗ), выявленных контрольными органами </w:t>
            </w:r>
          </w:p>
        </w:tc>
      </w:tr>
      <w:tr w:rsidR="0054482A" w:rsidRPr="00624670" w:rsidTr="0054482A">
        <w:tc>
          <w:tcPr>
            <w:tcW w:w="1426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2020 г.</w:t>
            </w:r>
          </w:p>
        </w:tc>
        <w:tc>
          <w:tcPr>
            <w:tcW w:w="1393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2021 г.</w:t>
            </w:r>
          </w:p>
        </w:tc>
        <w:tc>
          <w:tcPr>
            <w:tcW w:w="1810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2020 г.</w:t>
            </w:r>
          </w:p>
        </w:tc>
        <w:tc>
          <w:tcPr>
            <w:tcW w:w="1795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2021 г.</w:t>
            </w:r>
          </w:p>
        </w:tc>
        <w:tc>
          <w:tcPr>
            <w:tcW w:w="1626" w:type="dxa"/>
          </w:tcPr>
          <w:p w:rsidR="0054482A" w:rsidRPr="00624670" w:rsidRDefault="0054482A" w:rsidP="0054482A">
            <w:pPr>
              <w:pStyle w:val="Default"/>
              <w:jc w:val="center"/>
              <w:rPr>
                <w:sz w:val="28"/>
                <w:szCs w:val="28"/>
              </w:rPr>
            </w:pPr>
            <w:r w:rsidRPr="00624670">
              <w:t>2020 г.</w:t>
            </w:r>
          </w:p>
        </w:tc>
        <w:tc>
          <w:tcPr>
            <w:tcW w:w="1344" w:type="dxa"/>
          </w:tcPr>
          <w:p w:rsidR="0054482A" w:rsidRPr="00624670" w:rsidRDefault="0054482A" w:rsidP="0054482A">
            <w:pPr>
              <w:pStyle w:val="Default"/>
              <w:jc w:val="center"/>
              <w:rPr>
                <w:sz w:val="28"/>
                <w:szCs w:val="28"/>
              </w:rPr>
            </w:pPr>
            <w:r w:rsidRPr="00624670">
              <w:t>2021 г.</w:t>
            </w:r>
          </w:p>
        </w:tc>
        <w:tc>
          <w:tcPr>
            <w:tcW w:w="2150" w:type="dxa"/>
          </w:tcPr>
          <w:p w:rsidR="0054482A" w:rsidRPr="00624670" w:rsidRDefault="0054482A" w:rsidP="0054482A">
            <w:pPr>
              <w:pStyle w:val="Default"/>
              <w:jc w:val="center"/>
              <w:rPr>
                <w:sz w:val="28"/>
                <w:szCs w:val="28"/>
              </w:rPr>
            </w:pPr>
            <w:r w:rsidRPr="00624670">
              <w:t>2020 г.</w:t>
            </w:r>
          </w:p>
        </w:tc>
        <w:tc>
          <w:tcPr>
            <w:tcW w:w="1274" w:type="dxa"/>
          </w:tcPr>
          <w:p w:rsidR="0054482A" w:rsidRPr="00624670" w:rsidRDefault="0054482A" w:rsidP="0054482A">
            <w:pPr>
              <w:pStyle w:val="Default"/>
              <w:jc w:val="center"/>
              <w:rPr>
                <w:sz w:val="28"/>
                <w:szCs w:val="28"/>
              </w:rPr>
            </w:pPr>
            <w:r w:rsidRPr="00624670">
              <w:t>2021 г.</w:t>
            </w:r>
          </w:p>
        </w:tc>
      </w:tr>
      <w:tr w:rsidR="0054482A" w:rsidRPr="00624670" w:rsidTr="0054482A">
        <w:trPr>
          <w:trHeight w:val="119"/>
        </w:trPr>
        <w:tc>
          <w:tcPr>
            <w:tcW w:w="1426" w:type="dxa"/>
          </w:tcPr>
          <w:p w:rsidR="0054482A" w:rsidRPr="00624670" w:rsidRDefault="0054482A" w:rsidP="0054482A">
            <w:pPr>
              <w:pStyle w:val="Default"/>
              <w:jc w:val="center"/>
              <w:rPr>
                <w:sz w:val="28"/>
                <w:szCs w:val="28"/>
              </w:rPr>
            </w:pPr>
            <w:r w:rsidRPr="00624670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11</w:t>
            </w:r>
          </w:p>
        </w:tc>
        <w:tc>
          <w:tcPr>
            <w:tcW w:w="1810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0</w:t>
            </w:r>
          </w:p>
        </w:tc>
        <w:tc>
          <w:tcPr>
            <w:tcW w:w="1795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5</w:t>
            </w:r>
          </w:p>
        </w:tc>
        <w:tc>
          <w:tcPr>
            <w:tcW w:w="1626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24</w:t>
            </w:r>
          </w:p>
        </w:tc>
        <w:tc>
          <w:tcPr>
            <w:tcW w:w="1344" w:type="dxa"/>
          </w:tcPr>
          <w:p w:rsidR="0054482A" w:rsidRPr="00624670" w:rsidRDefault="0054482A" w:rsidP="0054482A">
            <w:pPr>
              <w:pStyle w:val="Default"/>
              <w:jc w:val="center"/>
            </w:pPr>
            <w:r w:rsidRPr="00624670">
              <w:t>32</w:t>
            </w:r>
          </w:p>
        </w:tc>
        <w:tc>
          <w:tcPr>
            <w:tcW w:w="2150" w:type="dxa"/>
          </w:tcPr>
          <w:p w:rsidR="0054482A" w:rsidRPr="00624670" w:rsidRDefault="0054482A" w:rsidP="0054482A">
            <w:pPr>
              <w:pStyle w:val="Default"/>
              <w:jc w:val="center"/>
              <w:rPr>
                <w:sz w:val="28"/>
                <w:szCs w:val="28"/>
              </w:rPr>
            </w:pPr>
            <w:r w:rsidRPr="00624670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</w:tcPr>
          <w:p w:rsidR="0054482A" w:rsidRPr="00624670" w:rsidRDefault="0054482A" w:rsidP="0054482A">
            <w:pPr>
              <w:pStyle w:val="Default"/>
              <w:jc w:val="center"/>
              <w:rPr>
                <w:sz w:val="28"/>
                <w:szCs w:val="28"/>
              </w:rPr>
            </w:pPr>
            <w:r w:rsidRPr="00624670">
              <w:rPr>
                <w:sz w:val="28"/>
                <w:szCs w:val="28"/>
              </w:rPr>
              <w:t>0</w:t>
            </w:r>
          </w:p>
        </w:tc>
      </w:tr>
    </w:tbl>
    <w:p w:rsidR="0054482A" w:rsidRPr="00624670" w:rsidRDefault="0054482A" w:rsidP="000179C8">
      <w:pPr>
        <w:pStyle w:val="Default"/>
        <w:ind w:firstLine="709"/>
        <w:jc w:val="both"/>
        <w:rPr>
          <w:sz w:val="28"/>
          <w:szCs w:val="28"/>
        </w:rPr>
      </w:pPr>
    </w:p>
    <w:p w:rsidR="0054482A" w:rsidRPr="00624670" w:rsidRDefault="0054482A" w:rsidP="000179C8">
      <w:pPr>
        <w:pStyle w:val="Default"/>
        <w:ind w:firstLine="709"/>
        <w:jc w:val="both"/>
        <w:rPr>
          <w:sz w:val="28"/>
          <w:szCs w:val="28"/>
        </w:rPr>
      </w:pPr>
    </w:p>
    <w:p w:rsidR="00621388" w:rsidRPr="00624670" w:rsidRDefault="00621388" w:rsidP="00F16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BC3" w:rsidRPr="00624670" w:rsidRDefault="00B44BC3" w:rsidP="00702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B44BC3" w:rsidRPr="00624670" w:rsidSect="000179C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D25D9" w:rsidRPr="00624670" w:rsidRDefault="001D25D9" w:rsidP="001D2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6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Выводы </w:t>
      </w:r>
      <w:r w:rsidRPr="00624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эффективности организации и </w:t>
      </w:r>
      <w:r w:rsidRPr="00624670">
        <w:rPr>
          <w:rFonts w:ascii="Times New Roman" w:hAnsi="Times New Roman" w:cs="Times New Roman"/>
          <w:b/>
          <w:sz w:val="28"/>
          <w:szCs w:val="28"/>
        </w:rPr>
        <w:t xml:space="preserve">функционирования антимонопольного </w:t>
      </w:r>
      <w:proofErr w:type="spellStart"/>
      <w:r w:rsidRPr="00624670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246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деятельности </w:t>
      </w:r>
      <w:r w:rsidRPr="00624670">
        <w:rPr>
          <w:rFonts w:ascii="Times New Roman" w:hAnsi="Times New Roman" w:cs="Times New Roman"/>
          <w:b/>
          <w:sz w:val="28"/>
          <w:szCs w:val="28"/>
        </w:rPr>
        <w:t>администрации города Пыть-Яха</w:t>
      </w:r>
    </w:p>
    <w:p w:rsidR="001D25D9" w:rsidRPr="00624670" w:rsidRDefault="001D25D9" w:rsidP="004365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EA4" w:rsidRPr="00624670" w:rsidRDefault="00E53EA4" w:rsidP="00E53E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Анализ эффективности организации и функционирования антимонопольного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 xml:space="preserve"> в деятельности администрации города Пыть-Яха в 2021 году позволяет сделать вывод о том, что принятый комплекс мер, направленных на функционирование антимонопольного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 xml:space="preserve"> в </w:t>
      </w:r>
      <w:r w:rsidR="0083773F" w:rsidRPr="00624670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 w:rsidR="0083773F" w:rsidRPr="00624670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>, является достаточным и эффективным, что подтверждается:</w:t>
      </w:r>
    </w:p>
    <w:p w:rsidR="00E53EA4" w:rsidRPr="00624670" w:rsidRDefault="00E53EA4" w:rsidP="00837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>- снижением количества нарушений ан</w:t>
      </w:r>
      <w:r w:rsidR="0083773F" w:rsidRPr="00624670">
        <w:rPr>
          <w:rFonts w:ascii="Times New Roman" w:hAnsi="Times New Roman" w:cs="Times New Roman"/>
          <w:sz w:val="28"/>
          <w:szCs w:val="28"/>
        </w:rPr>
        <w:t xml:space="preserve">тимонопольного законодательства. Так, в 2020 году выявлено 3 нарушения антимонопольного законодательства, в 2021 году нарушения антимонопольного законодательства </w:t>
      </w:r>
      <w:r w:rsidR="0083773F" w:rsidRPr="00624670">
        <w:rPr>
          <w:rFonts w:ascii="Times New Roman" w:hAnsi="Times New Roman" w:cs="Times New Roman"/>
          <w:b/>
          <w:sz w:val="28"/>
          <w:szCs w:val="28"/>
        </w:rPr>
        <w:t>не выявлены</w:t>
      </w:r>
      <w:r w:rsidR="0083773F" w:rsidRPr="00624670">
        <w:rPr>
          <w:rFonts w:ascii="Times New Roman" w:hAnsi="Times New Roman" w:cs="Times New Roman"/>
          <w:sz w:val="28"/>
          <w:szCs w:val="28"/>
        </w:rPr>
        <w:t xml:space="preserve">, </w:t>
      </w:r>
      <w:r w:rsidRPr="00624670">
        <w:rPr>
          <w:rFonts w:ascii="Times New Roman" w:hAnsi="Times New Roman" w:cs="Times New Roman"/>
          <w:sz w:val="28"/>
          <w:szCs w:val="28"/>
        </w:rPr>
        <w:t>что говорит о положительной динамике нарушений антимонопольного законодательства.</w:t>
      </w:r>
    </w:p>
    <w:p w:rsidR="00621388" w:rsidRPr="00624670" w:rsidRDefault="0083773F" w:rsidP="008377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- увеличением количества проводимых </w:t>
      </w:r>
      <w:r w:rsidRPr="00624670">
        <w:rPr>
          <w:rFonts w:ascii="Times New Roman" w:hAnsi="Times New Roman" w:cs="Times New Roman"/>
          <w:bCs/>
          <w:sz w:val="28"/>
          <w:szCs w:val="28"/>
        </w:rPr>
        <w:t xml:space="preserve">уполномоченным структурным подразделением, ответственным за организацию и функционирование системы внутреннего обеспечения – управлением по правовым вопросам экспертиз на </w:t>
      </w:r>
      <w:r w:rsidRPr="00624670">
        <w:rPr>
          <w:rFonts w:ascii="Times New Roman" w:hAnsi="Times New Roman"/>
          <w:sz w:val="28"/>
          <w:szCs w:val="28"/>
        </w:rPr>
        <w:t xml:space="preserve">проекты муниципальных нормативных правовых актов на предмет выявления положений, содержащих возможные риски нарушения антимонопольного законодательства. Так в 2020 году было проведено 17 экспертиз на проекты муниципальных правовых актов администрации города Пыть-Яха, в </w:t>
      </w:r>
      <w:r w:rsidRPr="00624670">
        <w:rPr>
          <w:rFonts w:ascii="Times New Roman" w:hAnsi="Times New Roman" w:cs="Times New Roman"/>
          <w:sz w:val="28"/>
          <w:szCs w:val="28"/>
        </w:rPr>
        <w:t>2021 году</w:t>
      </w:r>
      <w:r w:rsidRPr="00624670">
        <w:rPr>
          <w:rFonts w:ascii="Times New Roman" w:hAnsi="Times New Roman"/>
          <w:sz w:val="28"/>
          <w:szCs w:val="28"/>
        </w:rPr>
        <w:t xml:space="preserve"> </w:t>
      </w:r>
      <w:r w:rsidRPr="00624670">
        <w:rPr>
          <w:rFonts w:ascii="Times New Roman" w:hAnsi="Times New Roman" w:cs="Times New Roman"/>
          <w:bCs/>
          <w:sz w:val="28"/>
          <w:szCs w:val="28"/>
        </w:rPr>
        <w:t xml:space="preserve">экспертиза проведена </w:t>
      </w:r>
      <w:r w:rsidR="00621388" w:rsidRPr="00624670">
        <w:rPr>
          <w:rFonts w:ascii="Times New Roman" w:hAnsi="Times New Roman"/>
          <w:sz w:val="28"/>
          <w:szCs w:val="28"/>
        </w:rPr>
        <w:t>в отношении 25 проектов муниципальных правовых актов админи</w:t>
      </w:r>
      <w:r w:rsidRPr="00624670">
        <w:rPr>
          <w:rFonts w:ascii="Times New Roman" w:hAnsi="Times New Roman"/>
          <w:sz w:val="28"/>
          <w:szCs w:val="28"/>
        </w:rPr>
        <w:t>страции города Пыть-Яха</w:t>
      </w:r>
      <w:r w:rsidR="001737CA" w:rsidRPr="00624670">
        <w:rPr>
          <w:rFonts w:ascii="Times New Roman" w:hAnsi="Times New Roman"/>
          <w:sz w:val="28"/>
          <w:szCs w:val="28"/>
        </w:rPr>
        <w:t>.</w:t>
      </w:r>
    </w:p>
    <w:p w:rsidR="001737CA" w:rsidRPr="00624670" w:rsidRDefault="0083773F" w:rsidP="008377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670">
        <w:rPr>
          <w:rFonts w:ascii="Times New Roman" w:hAnsi="Times New Roman"/>
          <w:sz w:val="28"/>
          <w:szCs w:val="28"/>
        </w:rPr>
        <w:t xml:space="preserve">- увеличением размещения </w:t>
      </w:r>
      <w:r w:rsidRPr="00624670">
        <w:rPr>
          <w:rFonts w:ascii="Times New Roman" w:hAnsi="Times New Roman" w:cs="Times New Roman"/>
          <w:sz w:val="28"/>
          <w:szCs w:val="28"/>
        </w:rPr>
        <w:t xml:space="preserve">на интернет-портале </w:t>
      </w:r>
      <w:hyperlink r:id="rId11" w:history="1">
        <w:r w:rsidRPr="00624670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http://regulation.admhmao.ru</w:t>
        </w:r>
      </w:hyperlink>
      <w:r w:rsidRPr="00624670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4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проектов нормативных правовых актов на предмет возможного нарушения антимонопольного законодательства для проведения общественной экспертизы. </w:t>
      </w:r>
      <w:r w:rsidRPr="00624670">
        <w:rPr>
          <w:rFonts w:ascii="Times New Roman" w:hAnsi="Times New Roman"/>
          <w:sz w:val="28"/>
          <w:szCs w:val="28"/>
        </w:rPr>
        <w:t xml:space="preserve">Так, </w:t>
      </w:r>
      <w:r w:rsidRPr="00624670">
        <w:rPr>
          <w:rFonts w:ascii="Times New Roman" w:hAnsi="Times New Roman" w:cs="Times New Roman"/>
          <w:sz w:val="28"/>
          <w:szCs w:val="28"/>
        </w:rPr>
        <w:t>в</w:t>
      </w:r>
      <w:r w:rsidR="001737CA" w:rsidRPr="00624670">
        <w:rPr>
          <w:rFonts w:ascii="Times New Roman" w:hAnsi="Times New Roman" w:cs="Times New Roman"/>
          <w:sz w:val="28"/>
          <w:szCs w:val="28"/>
        </w:rPr>
        <w:t xml:space="preserve"> 2021 году на интернет-портале размещены 32 проекта нормативных правовых актов для проведения общественной экспертизы, из них </w:t>
      </w:r>
      <w:r w:rsidR="00BF140F" w:rsidRPr="00624670">
        <w:rPr>
          <w:rFonts w:ascii="Times New Roman" w:hAnsi="Times New Roman" w:cs="Times New Roman"/>
          <w:sz w:val="28"/>
          <w:szCs w:val="28"/>
        </w:rPr>
        <w:t>7 проектов нормативных правовых актов</w:t>
      </w:r>
      <w:r w:rsidR="001737CA" w:rsidRPr="00624670">
        <w:rPr>
          <w:rFonts w:ascii="Times New Roman" w:hAnsi="Times New Roman" w:cs="Times New Roman"/>
          <w:sz w:val="28"/>
          <w:szCs w:val="28"/>
        </w:rPr>
        <w:t xml:space="preserve">, </w:t>
      </w:r>
      <w:r w:rsidR="00BF140F" w:rsidRPr="00624670">
        <w:rPr>
          <w:rFonts w:ascii="Times New Roman" w:hAnsi="Times New Roman" w:cs="Times New Roman"/>
          <w:sz w:val="28"/>
          <w:szCs w:val="28"/>
        </w:rPr>
        <w:t>разработанных</w:t>
      </w:r>
      <w:r w:rsidR="001737CA" w:rsidRPr="00624670">
        <w:rPr>
          <w:rFonts w:ascii="Times New Roman" w:hAnsi="Times New Roman" w:cs="Times New Roman"/>
          <w:sz w:val="28"/>
          <w:szCs w:val="28"/>
        </w:rPr>
        <w:t xml:space="preserve"> во исполнение переданных государственных полномочий, в 2020 году было </w:t>
      </w:r>
      <w:r w:rsidR="001737CA" w:rsidRPr="00624670">
        <w:rPr>
          <w:rFonts w:ascii="Times New Roman" w:hAnsi="Times New Roman" w:cs="Times New Roman"/>
          <w:sz w:val="28"/>
          <w:szCs w:val="28"/>
        </w:rPr>
        <w:lastRenderedPageBreak/>
        <w:t xml:space="preserve">размещено 24 проекта нормативного правового акта для проведения </w:t>
      </w:r>
      <w:r w:rsidR="001737CA" w:rsidRPr="00624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общественной экспертизы.</w:t>
      </w:r>
    </w:p>
    <w:p w:rsidR="00616C79" w:rsidRPr="00624670" w:rsidRDefault="001D25D9" w:rsidP="00BF1EF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разработан </w:t>
      </w:r>
      <w:r w:rsidR="00616C79" w:rsidRPr="00624670">
        <w:rPr>
          <w:rFonts w:ascii="Times New Roman" w:hAnsi="Times New Roman" w:cs="Times New Roman"/>
          <w:bCs/>
          <w:sz w:val="28"/>
          <w:szCs w:val="28"/>
        </w:rPr>
        <w:t>План мероприятий по снижению рисков нарушения антимонопольного законодате</w:t>
      </w:r>
      <w:r w:rsidR="001737CA" w:rsidRPr="00624670">
        <w:rPr>
          <w:rFonts w:ascii="Times New Roman" w:hAnsi="Times New Roman" w:cs="Times New Roman"/>
          <w:bCs/>
          <w:sz w:val="28"/>
          <w:szCs w:val="28"/>
        </w:rPr>
        <w:t xml:space="preserve">льства в городе </w:t>
      </w:r>
      <w:proofErr w:type="spellStart"/>
      <w:r w:rsidR="001737CA" w:rsidRPr="00624670">
        <w:rPr>
          <w:rFonts w:ascii="Times New Roman" w:hAnsi="Times New Roman" w:cs="Times New Roman"/>
          <w:bCs/>
          <w:sz w:val="28"/>
          <w:szCs w:val="28"/>
        </w:rPr>
        <w:t>Пыть-Яхе</w:t>
      </w:r>
      <w:proofErr w:type="spellEnd"/>
      <w:r w:rsidR="001737CA" w:rsidRPr="00624670">
        <w:rPr>
          <w:rFonts w:ascii="Times New Roman" w:hAnsi="Times New Roman" w:cs="Times New Roman"/>
          <w:bCs/>
          <w:sz w:val="28"/>
          <w:szCs w:val="28"/>
        </w:rPr>
        <w:t xml:space="preserve"> на 2022</w:t>
      </w:r>
      <w:r w:rsidR="00616C79" w:rsidRPr="00624670">
        <w:rPr>
          <w:rFonts w:ascii="Times New Roman" w:hAnsi="Times New Roman" w:cs="Times New Roman"/>
          <w:bCs/>
          <w:sz w:val="28"/>
          <w:szCs w:val="28"/>
        </w:rPr>
        <w:t xml:space="preserve"> год. </w:t>
      </w:r>
    </w:p>
    <w:p w:rsidR="00BF1EF5" w:rsidRPr="00624670" w:rsidRDefault="00BF1EF5" w:rsidP="00BF1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В 2021 году администрация города Пыть-Яха приняла участие в ежегодном конкурсе «Лучшие проекты (практики) по функционированию системы антимонопольного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>». Представлен на конкурс проект (практика) «Интеграция методов антикоррупционной и антимонопольной экспертиз при подготовке и принятии муниципальных нормативных правовых актов».</w:t>
      </w:r>
    </w:p>
    <w:p w:rsidR="00E53EA4" w:rsidRPr="00BF1EF5" w:rsidRDefault="00BF1EF5" w:rsidP="00BF1EF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670">
        <w:rPr>
          <w:rFonts w:ascii="Times New Roman" w:hAnsi="Times New Roman" w:cs="Times New Roman"/>
          <w:sz w:val="28"/>
          <w:szCs w:val="28"/>
        </w:rPr>
        <w:t xml:space="preserve">Необходимо также отметить, что на официальном сайте администрации города Пыть-Яха </w:t>
      </w:r>
      <w:r w:rsidR="009D6644" w:rsidRPr="00624670">
        <w:rPr>
          <w:rFonts w:ascii="Times New Roman" w:hAnsi="Times New Roman" w:cs="Times New Roman"/>
          <w:sz w:val="28"/>
          <w:szCs w:val="28"/>
        </w:rPr>
        <w:t>функционирует</w:t>
      </w:r>
      <w:r w:rsidRPr="00624670">
        <w:rPr>
          <w:rFonts w:ascii="Times New Roman" w:hAnsi="Times New Roman" w:cs="Times New Roman"/>
          <w:sz w:val="28"/>
          <w:szCs w:val="28"/>
        </w:rPr>
        <w:t xml:space="preserve"> подраздел «Антимонопольный </w:t>
      </w:r>
      <w:proofErr w:type="spellStart"/>
      <w:r w:rsidRPr="0062467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24670">
        <w:rPr>
          <w:rFonts w:ascii="Times New Roman" w:hAnsi="Times New Roman" w:cs="Times New Roman"/>
          <w:sz w:val="28"/>
          <w:szCs w:val="28"/>
        </w:rPr>
        <w:t>» в разделе «Деятельность» / «Экономика» (</w:t>
      </w:r>
      <w:hyperlink r:id="rId12" w:history="1">
        <w:r w:rsidR="009D6644" w:rsidRPr="00624670">
          <w:rPr>
            <w:rStyle w:val="ab"/>
            <w:rFonts w:ascii="Times New Roman" w:hAnsi="Times New Roman" w:cs="Times New Roman"/>
            <w:sz w:val="28"/>
            <w:szCs w:val="28"/>
          </w:rPr>
          <w:t>https://adm.gov86.org/399/591/4263/</w:t>
        </w:r>
      </w:hyperlink>
      <w:r w:rsidR="009D6644" w:rsidRPr="00624670">
        <w:rPr>
          <w:rFonts w:ascii="Times New Roman" w:hAnsi="Times New Roman" w:cs="Times New Roman"/>
          <w:sz w:val="28"/>
          <w:szCs w:val="28"/>
        </w:rPr>
        <w:t>) с целью обеспечения открытости и доступа к информации.</w:t>
      </w:r>
      <w:bookmarkStart w:id="0" w:name="_GoBack"/>
      <w:bookmarkEnd w:id="0"/>
    </w:p>
    <w:sectPr w:rsidR="00E53EA4" w:rsidRPr="00BF1EF5" w:rsidSect="0043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17" w:rsidRDefault="00973817" w:rsidP="00C179FD">
      <w:pPr>
        <w:spacing w:after="0" w:line="240" w:lineRule="auto"/>
      </w:pPr>
      <w:r>
        <w:separator/>
      </w:r>
    </w:p>
  </w:endnote>
  <w:endnote w:type="continuationSeparator" w:id="0">
    <w:p w:rsidR="00973817" w:rsidRDefault="00973817" w:rsidP="00C1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17" w:rsidRDefault="00973817" w:rsidP="00C179FD">
      <w:pPr>
        <w:spacing w:after="0" w:line="240" w:lineRule="auto"/>
      </w:pPr>
      <w:r>
        <w:separator/>
      </w:r>
    </w:p>
  </w:footnote>
  <w:footnote w:type="continuationSeparator" w:id="0">
    <w:p w:rsidR="00973817" w:rsidRDefault="00973817" w:rsidP="00C1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AC" w:rsidRPr="00D914CD" w:rsidRDefault="002056AC">
    <w:pPr>
      <w:pStyle w:val="af7"/>
      <w:jc w:val="center"/>
      <w:rPr>
        <w:rFonts w:ascii="Times New Roman" w:hAnsi="Times New Roman"/>
      </w:rPr>
    </w:pPr>
    <w:r w:rsidRPr="00D914CD">
      <w:rPr>
        <w:rFonts w:ascii="Times New Roman" w:hAnsi="Times New Roman"/>
      </w:rPr>
      <w:fldChar w:fldCharType="begin"/>
    </w:r>
    <w:r w:rsidRPr="00D914CD">
      <w:rPr>
        <w:rFonts w:ascii="Times New Roman" w:hAnsi="Times New Roman"/>
      </w:rPr>
      <w:instrText xml:space="preserve"> PAGE </w:instrText>
    </w:r>
    <w:r w:rsidRPr="00D914CD">
      <w:rPr>
        <w:rFonts w:ascii="Times New Roman" w:hAnsi="Times New Roman"/>
      </w:rPr>
      <w:fldChar w:fldCharType="separate"/>
    </w:r>
    <w:r w:rsidR="00624670">
      <w:rPr>
        <w:rFonts w:ascii="Times New Roman" w:hAnsi="Times New Roman"/>
        <w:noProof/>
      </w:rPr>
      <w:t>11</w:t>
    </w:r>
    <w:r w:rsidRPr="00D914CD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AC" w:rsidRDefault="002056AC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F6D28860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i w:val="0"/>
        <w:sz w:val="28"/>
        <w:szCs w:val="28"/>
        <w:lang w:eastAsia="ru-RU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FA538C"/>
    <w:multiLevelType w:val="hybridMultilevel"/>
    <w:tmpl w:val="3B44F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3A38"/>
    <w:multiLevelType w:val="hybridMultilevel"/>
    <w:tmpl w:val="8A1490A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1EA2032"/>
    <w:multiLevelType w:val="hybridMultilevel"/>
    <w:tmpl w:val="BB9A9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85027"/>
    <w:multiLevelType w:val="hybridMultilevel"/>
    <w:tmpl w:val="3B44F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89"/>
    <w:rsid w:val="00010D54"/>
    <w:rsid w:val="000159EC"/>
    <w:rsid w:val="000179C8"/>
    <w:rsid w:val="0003085B"/>
    <w:rsid w:val="000341F5"/>
    <w:rsid w:val="00037E86"/>
    <w:rsid w:val="00051434"/>
    <w:rsid w:val="00053175"/>
    <w:rsid w:val="00053851"/>
    <w:rsid w:val="00060318"/>
    <w:rsid w:val="00064267"/>
    <w:rsid w:val="0006620D"/>
    <w:rsid w:val="00092566"/>
    <w:rsid w:val="000932D2"/>
    <w:rsid w:val="000959FE"/>
    <w:rsid w:val="00096D42"/>
    <w:rsid w:val="000A2B2F"/>
    <w:rsid w:val="000A65C8"/>
    <w:rsid w:val="000A6A26"/>
    <w:rsid w:val="000B166A"/>
    <w:rsid w:val="000B6E2B"/>
    <w:rsid w:val="000C04B0"/>
    <w:rsid w:val="000F21AE"/>
    <w:rsid w:val="000F503C"/>
    <w:rsid w:val="00103A56"/>
    <w:rsid w:val="00103B11"/>
    <w:rsid w:val="001222CF"/>
    <w:rsid w:val="001242DD"/>
    <w:rsid w:val="001261C3"/>
    <w:rsid w:val="00126F55"/>
    <w:rsid w:val="0013323B"/>
    <w:rsid w:val="00134745"/>
    <w:rsid w:val="001737CA"/>
    <w:rsid w:val="0017728A"/>
    <w:rsid w:val="001821D3"/>
    <w:rsid w:val="00185A74"/>
    <w:rsid w:val="00191165"/>
    <w:rsid w:val="001A0EA2"/>
    <w:rsid w:val="001B3F09"/>
    <w:rsid w:val="001D25D9"/>
    <w:rsid w:val="001F4BF8"/>
    <w:rsid w:val="001F5F22"/>
    <w:rsid w:val="001F6B3D"/>
    <w:rsid w:val="00203A0E"/>
    <w:rsid w:val="002056AC"/>
    <w:rsid w:val="00205B8E"/>
    <w:rsid w:val="00207F5F"/>
    <w:rsid w:val="00210F3A"/>
    <w:rsid w:val="00216226"/>
    <w:rsid w:val="00237552"/>
    <w:rsid w:val="002641BA"/>
    <w:rsid w:val="002750FB"/>
    <w:rsid w:val="00290E71"/>
    <w:rsid w:val="00297045"/>
    <w:rsid w:val="002A1D8D"/>
    <w:rsid w:val="002A5FB9"/>
    <w:rsid w:val="002C26F3"/>
    <w:rsid w:val="002C3078"/>
    <w:rsid w:val="002F0E09"/>
    <w:rsid w:val="002F136B"/>
    <w:rsid w:val="002F459D"/>
    <w:rsid w:val="00315D5F"/>
    <w:rsid w:val="0032110D"/>
    <w:rsid w:val="00325FB8"/>
    <w:rsid w:val="00326EE6"/>
    <w:rsid w:val="00342779"/>
    <w:rsid w:val="00345DFC"/>
    <w:rsid w:val="003461C2"/>
    <w:rsid w:val="003527F4"/>
    <w:rsid w:val="00352E44"/>
    <w:rsid w:val="003643A9"/>
    <w:rsid w:val="0037061A"/>
    <w:rsid w:val="00371EA5"/>
    <w:rsid w:val="003722C1"/>
    <w:rsid w:val="003743BF"/>
    <w:rsid w:val="003836A0"/>
    <w:rsid w:val="0039383E"/>
    <w:rsid w:val="003956C0"/>
    <w:rsid w:val="003A33F3"/>
    <w:rsid w:val="003A6538"/>
    <w:rsid w:val="003B6293"/>
    <w:rsid w:val="003D23FD"/>
    <w:rsid w:val="003D24F3"/>
    <w:rsid w:val="003D461C"/>
    <w:rsid w:val="003E24A0"/>
    <w:rsid w:val="003F5C99"/>
    <w:rsid w:val="004021CE"/>
    <w:rsid w:val="0040454D"/>
    <w:rsid w:val="00410CF1"/>
    <w:rsid w:val="0042115E"/>
    <w:rsid w:val="004266C1"/>
    <w:rsid w:val="004269C4"/>
    <w:rsid w:val="00430D31"/>
    <w:rsid w:val="0043257D"/>
    <w:rsid w:val="00436553"/>
    <w:rsid w:val="00440143"/>
    <w:rsid w:val="00451489"/>
    <w:rsid w:val="004515EB"/>
    <w:rsid w:val="0045326E"/>
    <w:rsid w:val="00461881"/>
    <w:rsid w:val="004653ED"/>
    <w:rsid w:val="0047074F"/>
    <w:rsid w:val="00472B3E"/>
    <w:rsid w:val="00473EC2"/>
    <w:rsid w:val="004819A3"/>
    <w:rsid w:val="00484C58"/>
    <w:rsid w:val="00487770"/>
    <w:rsid w:val="00487B31"/>
    <w:rsid w:val="00496C84"/>
    <w:rsid w:val="00497531"/>
    <w:rsid w:val="004A4280"/>
    <w:rsid w:val="004A6C1C"/>
    <w:rsid w:val="004A7958"/>
    <w:rsid w:val="004B2A8C"/>
    <w:rsid w:val="004C25DA"/>
    <w:rsid w:val="004D0402"/>
    <w:rsid w:val="004D3178"/>
    <w:rsid w:val="004E256B"/>
    <w:rsid w:val="004F3DEF"/>
    <w:rsid w:val="004F44BE"/>
    <w:rsid w:val="00522A99"/>
    <w:rsid w:val="005351B0"/>
    <w:rsid w:val="00536D41"/>
    <w:rsid w:val="005420DD"/>
    <w:rsid w:val="00543CFC"/>
    <w:rsid w:val="0054482A"/>
    <w:rsid w:val="005458D8"/>
    <w:rsid w:val="00545EAF"/>
    <w:rsid w:val="00557555"/>
    <w:rsid w:val="005602CC"/>
    <w:rsid w:val="005721A9"/>
    <w:rsid w:val="0057305D"/>
    <w:rsid w:val="005749CD"/>
    <w:rsid w:val="00576F7C"/>
    <w:rsid w:val="005818C3"/>
    <w:rsid w:val="00585508"/>
    <w:rsid w:val="00595789"/>
    <w:rsid w:val="005A5BD6"/>
    <w:rsid w:val="005B448B"/>
    <w:rsid w:val="005B4E87"/>
    <w:rsid w:val="005B73EB"/>
    <w:rsid w:val="005D4DFB"/>
    <w:rsid w:val="005D7B1C"/>
    <w:rsid w:val="005E0FC0"/>
    <w:rsid w:val="005E46A4"/>
    <w:rsid w:val="005F0F26"/>
    <w:rsid w:val="00602732"/>
    <w:rsid w:val="0060430C"/>
    <w:rsid w:val="006075BF"/>
    <w:rsid w:val="00610A73"/>
    <w:rsid w:val="00616A03"/>
    <w:rsid w:val="00616C79"/>
    <w:rsid w:val="00621388"/>
    <w:rsid w:val="00624670"/>
    <w:rsid w:val="00625D6B"/>
    <w:rsid w:val="006353C1"/>
    <w:rsid w:val="00637C6F"/>
    <w:rsid w:val="006447CE"/>
    <w:rsid w:val="00655DC9"/>
    <w:rsid w:val="0066033B"/>
    <w:rsid w:val="00685A3B"/>
    <w:rsid w:val="00686355"/>
    <w:rsid w:val="00692AA4"/>
    <w:rsid w:val="006954C1"/>
    <w:rsid w:val="006A63E3"/>
    <w:rsid w:val="006C3A79"/>
    <w:rsid w:val="006D4317"/>
    <w:rsid w:val="006E54D4"/>
    <w:rsid w:val="006E7745"/>
    <w:rsid w:val="006F5381"/>
    <w:rsid w:val="00702B58"/>
    <w:rsid w:val="0070776B"/>
    <w:rsid w:val="00712E37"/>
    <w:rsid w:val="00732DC2"/>
    <w:rsid w:val="0074472B"/>
    <w:rsid w:val="007528D0"/>
    <w:rsid w:val="0077433F"/>
    <w:rsid w:val="0078659B"/>
    <w:rsid w:val="00793EA9"/>
    <w:rsid w:val="00796C00"/>
    <w:rsid w:val="007A26F6"/>
    <w:rsid w:val="007C0AD9"/>
    <w:rsid w:val="007C0CEB"/>
    <w:rsid w:val="007E2A39"/>
    <w:rsid w:val="007E72DC"/>
    <w:rsid w:val="007F2AED"/>
    <w:rsid w:val="008032F3"/>
    <w:rsid w:val="00805BF1"/>
    <w:rsid w:val="0081214B"/>
    <w:rsid w:val="0081679E"/>
    <w:rsid w:val="008347F8"/>
    <w:rsid w:val="0083773F"/>
    <w:rsid w:val="00841FA4"/>
    <w:rsid w:val="00843370"/>
    <w:rsid w:val="008528DB"/>
    <w:rsid w:val="00862C0A"/>
    <w:rsid w:val="0087166B"/>
    <w:rsid w:val="00873274"/>
    <w:rsid w:val="008735D1"/>
    <w:rsid w:val="00876B3F"/>
    <w:rsid w:val="00882C70"/>
    <w:rsid w:val="00896938"/>
    <w:rsid w:val="00897B05"/>
    <w:rsid w:val="008A272F"/>
    <w:rsid w:val="008B23ED"/>
    <w:rsid w:val="008C27A0"/>
    <w:rsid w:val="008C3F3A"/>
    <w:rsid w:val="008C69F7"/>
    <w:rsid w:val="008C7CE1"/>
    <w:rsid w:val="008D0A67"/>
    <w:rsid w:val="008D1A5E"/>
    <w:rsid w:val="008D2D5E"/>
    <w:rsid w:val="008D55FD"/>
    <w:rsid w:val="008D5717"/>
    <w:rsid w:val="008E1B1B"/>
    <w:rsid w:val="008F2B12"/>
    <w:rsid w:val="00923DFA"/>
    <w:rsid w:val="00924A62"/>
    <w:rsid w:val="00936873"/>
    <w:rsid w:val="009415C0"/>
    <w:rsid w:val="00973817"/>
    <w:rsid w:val="00997939"/>
    <w:rsid w:val="009A0EA9"/>
    <w:rsid w:val="009A6492"/>
    <w:rsid w:val="009D6644"/>
    <w:rsid w:val="009E08C1"/>
    <w:rsid w:val="00A0266E"/>
    <w:rsid w:val="00A050DC"/>
    <w:rsid w:val="00A1345F"/>
    <w:rsid w:val="00A209C8"/>
    <w:rsid w:val="00A234D3"/>
    <w:rsid w:val="00A35303"/>
    <w:rsid w:val="00A36279"/>
    <w:rsid w:val="00A44101"/>
    <w:rsid w:val="00A45930"/>
    <w:rsid w:val="00A55BCF"/>
    <w:rsid w:val="00A56642"/>
    <w:rsid w:val="00A820E6"/>
    <w:rsid w:val="00A8537C"/>
    <w:rsid w:val="00A90A44"/>
    <w:rsid w:val="00A94D8E"/>
    <w:rsid w:val="00AA05C8"/>
    <w:rsid w:val="00AA767B"/>
    <w:rsid w:val="00AC7B9A"/>
    <w:rsid w:val="00B2200D"/>
    <w:rsid w:val="00B22207"/>
    <w:rsid w:val="00B26BA4"/>
    <w:rsid w:val="00B44BC3"/>
    <w:rsid w:val="00B53012"/>
    <w:rsid w:val="00B61B1B"/>
    <w:rsid w:val="00B85B47"/>
    <w:rsid w:val="00B874E1"/>
    <w:rsid w:val="00BA6401"/>
    <w:rsid w:val="00BB113B"/>
    <w:rsid w:val="00BC225C"/>
    <w:rsid w:val="00BC6178"/>
    <w:rsid w:val="00BD1CE1"/>
    <w:rsid w:val="00BD47AD"/>
    <w:rsid w:val="00BE05A3"/>
    <w:rsid w:val="00BE3416"/>
    <w:rsid w:val="00BE5BAF"/>
    <w:rsid w:val="00BF140F"/>
    <w:rsid w:val="00BF1484"/>
    <w:rsid w:val="00BF1EF5"/>
    <w:rsid w:val="00BF5362"/>
    <w:rsid w:val="00BF69B9"/>
    <w:rsid w:val="00C00AA3"/>
    <w:rsid w:val="00C179FD"/>
    <w:rsid w:val="00C21B40"/>
    <w:rsid w:val="00C24F08"/>
    <w:rsid w:val="00C4103F"/>
    <w:rsid w:val="00C52C5E"/>
    <w:rsid w:val="00C6418A"/>
    <w:rsid w:val="00C641C7"/>
    <w:rsid w:val="00C713D8"/>
    <w:rsid w:val="00C77DEB"/>
    <w:rsid w:val="00C850B5"/>
    <w:rsid w:val="00C902FC"/>
    <w:rsid w:val="00CB383A"/>
    <w:rsid w:val="00CB40CF"/>
    <w:rsid w:val="00CC0720"/>
    <w:rsid w:val="00CE768E"/>
    <w:rsid w:val="00CF02FE"/>
    <w:rsid w:val="00CF6CB2"/>
    <w:rsid w:val="00D04A9F"/>
    <w:rsid w:val="00D13B53"/>
    <w:rsid w:val="00D17B09"/>
    <w:rsid w:val="00D61325"/>
    <w:rsid w:val="00D82C5A"/>
    <w:rsid w:val="00D8784A"/>
    <w:rsid w:val="00D930EB"/>
    <w:rsid w:val="00D93957"/>
    <w:rsid w:val="00D94A3A"/>
    <w:rsid w:val="00DA1D4E"/>
    <w:rsid w:val="00DB3F92"/>
    <w:rsid w:val="00DB57D2"/>
    <w:rsid w:val="00DB7730"/>
    <w:rsid w:val="00DC0B08"/>
    <w:rsid w:val="00DD4614"/>
    <w:rsid w:val="00DE5E34"/>
    <w:rsid w:val="00DF5E05"/>
    <w:rsid w:val="00E022B1"/>
    <w:rsid w:val="00E22C25"/>
    <w:rsid w:val="00E22C3F"/>
    <w:rsid w:val="00E25E5E"/>
    <w:rsid w:val="00E414EB"/>
    <w:rsid w:val="00E50E04"/>
    <w:rsid w:val="00E52C5E"/>
    <w:rsid w:val="00E53EA4"/>
    <w:rsid w:val="00E54E1D"/>
    <w:rsid w:val="00E62331"/>
    <w:rsid w:val="00E637B4"/>
    <w:rsid w:val="00E7270D"/>
    <w:rsid w:val="00E9076C"/>
    <w:rsid w:val="00E92E34"/>
    <w:rsid w:val="00E93AF3"/>
    <w:rsid w:val="00E96F0C"/>
    <w:rsid w:val="00EA3021"/>
    <w:rsid w:val="00EA411B"/>
    <w:rsid w:val="00EA6C8D"/>
    <w:rsid w:val="00EB387B"/>
    <w:rsid w:val="00EB4596"/>
    <w:rsid w:val="00EC47D7"/>
    <w:rsid w:val="00ED7B77"/>
    <w:rsid w:val="00EF0EFF"/>
    <w:rsid w:val="00EF5EFC"/>
    <w:rsid w:val="00F01D98"/>
    <w:rsid w:val="00F02614"/>
    <w:rsid w:val="00F05E02"/>
    <w:rsid w:val="00F07A27"/>
    <w:rsid w:val="00F162C1"/>
    <w:rsid w:val="00F16954"/>
    <w:rsid w:val="00F235A1"/>
    <w:rsid w:val="00F337AC"/>
    <w:rsid w:val="00F35193"/>
    <w:rsid w:val="00F509F3"/>
    <w:rsid w:val="00F67BCE"/>
    <w:rsid w:val="00F724DC"/>
    <w:rsid w:val="00F72756"/>
    <w:rsid w:val="00F941F5"/>
    <w:rsid w:val="00F94236"/>
    <w:rsid w:val="00F96184"/>
    <w:rsid w:val="00FA1C42"/>
    <w:rsid w:val="00FA6080"/>
    <w:rsid w:val="00FB6313"/>
    <w:rsid w:val="00FD06E9"/>
    <w:rsid w:val="00FD113A"/>
    <w:rsid w:val="00FD401A"/>
    <w:rsid w:val="00FF1C3D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0F3C9-9958-4561-A6BD-740BC7BF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21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Символ сноски"/>
    <w:rsid w:val="00C179FD"/>
    <w:rPr>
      <w:rFonts w:cs="Times New Roman"/>
      <w:vertAlign w:val="superscript"/>
    </w:rPr>
  </w:style>
  <w:style w:type="character" w:customStyle="1" w:styleId="1">
    <w:name w:val="Знак сноски1"/>
    <w:rsid w:val="00C179FD"/>
    <w:rPr>
      <w:vertAlign w:val="superscript"/>
    </w:rPr>
  </w:style>
  <w:style w:type="paragraph" w:styleId="a4">
    <w:name w:val="List Paragraph"/>
    <w:basedOn w:val="a"/>
    <w:qFormat/>
    <w:rsid w:val="0032110D"/>
    <w:pPr>
      <w:ind w:left="720"/>
      <w:contextualSpacing/>
    </w:pPr>
  </w:style>
  <w:style w:type="character" w:customStyle="1" w:styleId="WW8Num1z0">
    <w:name w:val="WW8Num1z0"/>
    <w:rsid w:val="00CB383A"/>
    <w:rPr>
      <w:rFonts w:cs="Times New Roman" w:hint="default"/>
    </w:rPr>
  </w:style>
  <w:style w:type="character" w:customStyle="1" w:styleId="WW8Num2z0">
    <w:name w:val="WW8Num2z0"/>
    <w:rsid w:val="00CB383A"/>
    <w:rPr>
      <w:rFonts w:ascii="Times New Roman" w:hAnsi="Times New Roman" w:cs="Times New Roman" w:hint="default"/>
      <w:bCs/>
      <w:i w:val="0"/>
      <w:sz w:val="28"/>
      <w:szCs w:val="28"/>
      <w:lang w:eastAsia="ru-RU"/>
    </w:rPr>
  </w:style>
  <w:style w:type="character" w:customStyle="1" w:styleId="WW8Num3z0">
    <w:name w:val="WW8Num3z0"/>
    <w:rsid w:val="00CB383A"/>
  </w:style>
  <w:style w:type="character" w:customStyle="1" w:styleId="WW8Num3z1">
    <w:name w:val="WW8Num3z1"/>
    <w:rsid w:val="00CB383A"/>
  </w:style>
  <w:style w:type="character" w:customStyle="1" w:styleId="WW8Num3z2">
    <w:name w:val="WW8Num3z2"/>
    <w:rsid w:val="00CB383A"/>
  </w:style>
  <w:style w:type="character" w:customStyle="1" w:styleId="WW8Num3z3">
    <w:name w:val="WW8Num3z3"/>
    <w:rsid w:val="00CB383A"/>
  </w:style>
  <w:style w:type="character" w:customStyle="1" w:styleId="WW8Num3z4">
    <w:name w:val="WW8Num3z4"/>
    <w:rsid w:val="00CB383A"/>
  </w:style>
  <w:style w:type="character" w:customStyle="1" w:styleId="WW8Num3z5">
    <w:name w:val="WW8Num3z5"/>
    <w:rsid w:val="00CB383A"/>
  </w:style>
  <w:style w:type="character" w:customStyle="1" w:styleId="WW8Num3z6">
    <w:name w:val="WW8Num3z6"/>
    <w:rsid w:val="00CB383A"/>
  </w:style>
  <w:style w:type="character" w:customStyle="1" w:styleId="WW8Num3z7">
    <w:name w:val="WW8Num3z7"/>
    <w:rsid w:val="00CB383A"/>
  </w:style>
  <w:style w:type="character" w:customStyle="1" w:styleId="WW8Num3z8">
    <w:name w:val="WW8Num3z8"/>
    <w:rsid w:val="00CB383A"/>
  </w:style>
  <w:style w:type="character" w:customStyle="1" w:styleId="3">
    <w:name w:val="Основной шрифт абзаца3"/>
    <w:rsid w:val="00CB383A"/>
  </w:style>
  <w:style w:type="character" w:customStyle="1" w:styleId="WW8Num1z2">
    <w:name w:val="WW8Num1z2"/>
    <w:rsid w:val="00CB383A"/>
    <w:rPr>
      <w:rFonts w:hint="default"/>
    </w:rPr>
  </w:style>
  <w:style w:type="character" w:customStyle="1" w:styleId="WW8Num2z1">
    <w:name w:val="WW8Num2z1"/>
    <w:rsid w:val="00CB383A"/>
  </w:style>
  <w:style w:type="character" w:customStyle="1" w:styleId="WW8Num2z2">
    <w:name w:val="WW8Num2z2"/>
    <w:rsid w:val="00CB383A"/>
  </w:style>
  <w:style w:type="character" w:customStyle="1" w:styleId="WW8Num2z3">
    <w:name w:val="WW8Num2z3"/>
    <w:rsid w:val="00CB383A"/>
  </w:style>
  <w:style w:type="character" w:customStyle="1" w:styleId="WW8Num2z4">
    <w:name w:val="WW8Num2z4"/>
    <w:rsid w:val="00CB383A"/>
  </w:style>
  <w:style w:type="character" w:customStyle="1" w:styleId="WW8Num2z5">
    <w:name w:val="WW8Num2z5"/>
    <w:rsid w:val="00CB383A"/>
  </w:style>
  <w:style w:type="character" w:customStyle="1" w:styleId="WW8Num2z6">
    <w:name w:val="WW8Num2z6"/>
    <w:rsid w:val="00CB383A"/>
  </w:style>
  <w:style w:type="character" w:customStyle="1" w:styleId="WW8Num2z7">
    <w:name w:val="WW8Num2z7"/>
    <w:rsid w:val="00CB383A"/>
  </w:style>
  <w:style w:type="character" w:customStyle="1" w:styleId="WW8Num2z8">
    <w:name w:val="WW8Num2z8"/>
    <w:rsid w:val="00CB383A"/>
  </w:style>
  <w:style w:type="character" w:customStyle="1" w:styleId="WW8Num4z0">
    <w:name w:val="WW8Num4z0"/>
    <w:rsid w:val="00CB383A"/>
    <w:rPr>
      <w:rFonts w:cs="Times New Roman" w:hint="default"/>
    </w:rPr>
  </w:style>
  <w:style w:type="character" w:customStyle="1" w:styleId="WW8Num4z1">
    <w:name w:val="WW8Num4z1"/>
    <w:rsid w:val="00CB383A"/>
  </w:style>
  <w:style w:type="character" w:customStyle="1" w:styleId="WW8Num4z2">
    <w:name w:val="WW8Num4z2"/>
    <w:rsid w:val="00CB383A"/>
  </w:style>
  <w:style w:type="character" w:customStyle="1" w:styleId="WW8Num4z3">
    <w:name w:val="WW8Num4z3"/>
    <w:rsid w:val="00CB383A"/>
  </w:style>
  <w:style w:type="character" w:customStyle="1" w:styleId="WW8Num4z4">
    <w:name w:val="WW8Num4z4"/>
    <w:rsid w:val="00CB383A"/>
  </w:style>
  <w:style w:type="character" w:customStyle="1" w:styleId="WW8Num4z5">
    <w:name w:val="WW8Num4z5"/>
    <w:rsid w:val="00CB383A"/>
  </w:style>
  <w:style w:type="character" w:customStyle="1" w:styleId="WW8Num4z6">
    <w:name w:val="WW8Num4z6"/>
    <w:rsid w:val="00CB383A"/>
  </w:style>
  <w:style w:type="character" w:customStyle="1" w:styleId="WW8Num4z7">
    <w:name w:val="WW8Num4z7"/>
    <w:rsid w:val="00CB383A"/>
  </w:style>
  <w:style w:type="character" w:customStyle="1" w:styleId="WW8Num4z8">
    <w:name w:val="WW8Num4z8"/>
    <w:rsid w:val="00CB383A"/>
  </w:style>
  <w:style w:type="character" w:customStyle="1" w:styleId="WW8Num5z0">
    <w:name w:val="WW8Num5z0"/>
    <w:rsid w:val="00CB383A"/>
    <w:rPr>
      <w:rFonts w:ascii="Times New Roman" w:hAnsi="Times New Roman" w:cs="Times New Roman" w:hint="default"/>
      <w:bCs/>
      <w:i w:val="0"/>
      <w:sz w:val="28"/>
      <w:szCs w:val="28"/>
    </w:rPr>
  </w:style>
  <w:style w:type="character" w:customStyle="1" w:styleId="WW8Num5z1">
    <w:name w:val="WW8Num5z1"/>
    <w:rsid w:val="00CB383A"/>
  </w:style>
  <w:style w:type="character" w:customStyle="1" w:styleId="WW8Num5z2">
    <w:name w:val="WW8Num5z2"/>
    <w:rsid w:val="00CB383A"/>
  </w:style>
  <w:style w:type="character" w:customStyle="1" w:styleId="WW8Num5z3">
    <w:name w:val="WW8Num5z3"/>
    <w:rsid w:val="00CB383A"/>
  </w:style>
  <w:style w:type="character" w:customStyle="1" w:styleId="WW8Num5z4">
    <w:name w:val="WW8Num5z4"/>
    <w:rsid w:val="00CB383A"/>
  </w:style>
  <w:style w:type="character" w:customStyle="1" w:styleId="WW8Num5z5">
    <w:name w:val="WW8Num5z5"/>
    <w:rsid w:val="00CB383A"/>
  </w:style>
  <w:style w:type="character" w:customStyle="1" w:styleId="WW8Num5z6">
    <w:name w:val="WW8Num5z6"/>
    <w:rsid w:val="00CB383A"/>
  </w:style>
  <w:style w:type="character" w:customStyle="1" w:styleId="WW8Num5z7">
    <w:name w:val="WW8Num5z7"/>
    <w:rsid w:val="00CB383A"/>
  </w:style>
  <w:style w:type="character" w:customStyle="1" w:styleId="WW8Num5z8">
    <w:name w:val="WW8Num5z8"/>
    <w:rsid w:val="00CB383A"/>
  </w:style>
  <w:style w:type="character" w:customStyle="1" w:styleId="WW8Num6z0">
    <w:name w:val="WW8Num6z0"/>
    <w:rsid w:val="00CB383A"/>
    <w:rPr>
      <w:rFonts w:hint="default"/>
      <w:b w:val="0"/>
    </w:rPr>
  </w:style>
  <w:style w:type="character" w:customStyle="1" w:styleId="WW8Num6z1">
    <w:name w:val="WW8Num6z1"/>
    <w:rsid w:val="00CB383A"/>
  </w:style>
  <w:style w:type="character" w:customStyle="1" w:styleId="WW8Num6z2">
    <w:name w:val="WW8Num6z2"/>
    <w:rsid w:val="00CB383A"/>
  </w:style>
  <w:style w:type="character" w:customStyle="1" w:styleId="WW8Num6z3">
    <w:name w:val="WW8Num6z3"/>
    <w:rsid w:val="00CB383A"/>
  </w:style>
  <w:style w:type="character" w:customStyle="1" w:styleId="WW8Num6z4">
    <w:name w:val="WW8Num6z4"/>
    <w:rsid w:val="00CB383A"/>
  </w:style>
  <w:style w:type="character" w:customStyle="1" w:styleId="WW8Num6z5">
    <w:name w:val="WW8Num6z5"/>
    <w:rsid w:val="00CB383A"/>
  </w:style>
  <w:style w:type="character" w:customStyle="1" w:styleId="WW8Num6z6">
    <w:name w:val="WW8Num6z6"/>
    <w:rsid w:val="00CB383A"/>
  </w:style>
  <w:style w:type="character" w:customStyle="1" w:styleId="WW8Num6z7">
    <w:name w:val="WW8Num6z7"/>
    <w:rsid w:val="00CB383A"/>
  </w:style>
  <w:style w:type="character" w:customStyle="1" w:styleId="WW8Num6z8">
    <w:name w:val="WW8Num6z8"/>
    <w:rsid w:val="00CB383A"/>
  </w:style>
  <w:style w:type="character" w:customStyle="1" w:styleId="WW8Num7z0">
    <w:name w:val="WW8Num7z0"/>
    <w:rsid w:val="00CB383A"/>
    <w:rPr>
      <w:rFonts w:hint="default"/>
      <w:b w:val="0"/>
    </w:rPr>
  </w:style>
  <w:style w:type="character" w:customStyle="1" w:styleId="WW8Num7z1">
    <w:name w:val="WW8Num7z1"/>
    <w:rsid w:val="00CB383A"/>
  </w:style>
  <w:style w:type="character" w:customStyle="1" w:styleId="WW8Num7z2">
    <w:name w:val="WW8Num7z2"/>
    <w:rsid w:val="00CB383A"/>
  </w:style>
  <w:style w:type="character" w:customStyle="1" w:styleId="WW8Num7z3">
    <w:name w:val="WW8Num7z3"/>
    <w:rsid w:val="00CB383A"/>
  </w:style>
  <w:style w:type="character" w:customStyle="1" w:styleId="WW8Num7z4">
    <w:name w:val="WW8Num7z4"/>
    <w:rsid w:val="00CB383A"/>
  </w:style>
  <w:style w:type="character" w:customStyle="1" w:styleId="WW8Num7z5">
    <w:name w:val="WW8Num7z5"/>
    <w:rsid w:val="00CB383A"/>
  </w:style>
  <w:style w:type="character" w:customStyle="1" w:styleId="WW8Num7z6">
    <w:name w:val="WW8Num7z6"/>
    <w:rsid w:val="00CB383A"/>
  </w:style>
  <w:style w:type="character" w:customStyle="1" w:styleId="WW8Num7z7">
    <w:name w:val="WW8Num7z7"/>
    <w:rsid w:val="00CB383A"/>
  </w:style>
  <w:style w:type="character" w:customStyle="1" w:styleId="WW8Num7z8">
    <w:name w:val="WW8Num7z8"/>
    <w:rsid w:val="00CB383A"/>
  </w:style>
  <w:style w:type="character" w:customStyle="1" w:styleId="2">
    <w:name w:val="Основной шрифт абзаца2"/>
    <w:rsid w:val="00CB383A"/>
  </w:style>
  <w:style w:type="character" w:customStyle="1" w:styleId="10">
    <w:name w:val="Основной шрифт абзаца1"/>
    <w:rsid w:val="00CB383A"/>
  </w:style>
  <w:style w:type="character" w:customStyle="1" w:styleId="4">
    <w:name w:val="Основной шрифт абзаца4"/>
    <w:rsid w:val="00CB383A"/>
  </w:style>
  <w:style w:type="character" w:customStyle="1" w:styleId="a5">
    <w:name w:val="Текст сноски Знак"/>
    <w:rsid w:val="00CB383A"/>
    <w:rPr>
      <w:rFonts w:ascii="Calibri" w:hAnsi="Calibri" w:cs="Times New Roman"/>
      <w:sz w:val="20"/>
      <w:szCs w:val="20"/>
    </w:rPr>
  </w:style>
  <w:style w:type="character" w:customStyle="1" w:styleId="FootnoteCharacters">
    <w:name w:val="Footnote Characters"/>
    <w:rsid w:val="00CB383A"/>
    <w:rPr>
      <w:rFonts w:cs="Times New Roman"/>
      <w:vertAlign w:val="superscript"/>
    </w:rPr>
  </w:style>
  <w:style w:type="character" w:customStyle="1" w:styleId="a6">
    <w:name w:val="Верхний колонтитул Знак"/>
    <w:rsid w:val="00CB383A"/>
    <w:rPr>
      <w:rFonts w:ascii="Calibri" w:hAnsi="Calibri" w:cs="Times New Roman"/>
    </w:rPr>
  </w:style>
  <w:style w:type="character" w:customStyle="1" w:styleId="a7">
    <w:name w:val="Нижний колонтитул Знак"/>
    <w:rsid w:val="00CB383A"/>
    <w:rPr>
      <w:rFonts w:ascii="Calibri" w:hAnsi="Calibri" w:cs="Times New Roman"/>
    </w:rPr>
  </w:style>
  <w:style w:type="character" w:customStyle="1" w:styleId="a8">
    <w:name w:val="Текст концевой сноски Знак"/>
    <w:rsid w:val="00CB383A"/>
    <w:rPr>
      <w:sz w:val="20"/>
      <w:szCs w:val="20"/>
    </w:rPr>
  </w:style>
  <w:style w:type="character" w:customStyle="1" w:styleId="a9">
    <w:name w:val="Символ концевой сноски"/>
    <w:rsid w:val="00CB383A"/>
    <w:rPr>
      <w:vertAlign w:val="superscript"/>
    </w:rPr>
  </w:style>
  <w:style w:type="character" w:customStyle="1" w:styleId="EndnoteCharacters">
    <w:name w:val="Endnote Characters"/>
    <w:rsid w:val="00CB383A"/>
    <w:rPr>
      <w:vertAlign w:val="superscript"/>
    </w:rPr>
  </w:style>
  <w:style w:type="character" w:customStyle="1" w:styleId="aa">
    <w:name w:val="Текст выноски Знак"/>
    <w:rsid w:val="00CB383A"/>
    <w:rPr>
      <w:rFonts w:ascii="Tahoma" w:eastAsia="Calibri" w:hAnsi="Tahoma" w:cs="Tahoma"/>
      <w:sz w:val="16"/>
      <w:szCs w:val="16"/>
      <w:lang w:eastAsia="zh-CN"/>
    </w:rPr>
  </w:style>
  <w:style w:type="character" w:styleId="ab">
    <w:name w:val="Hyperlink"/>
    <w:rsid w:val="00CB383A"/>
    <w:rPr>
      <w:color w:val="0000FF"/>
      <w:u w:val="single"/>
    </w:rPr>
  </w:style>
  <w:style w:type="character" w:customStyle="1" w:styleId="11">
    <w:name w:val="Знак концевой сноски1"/>
    <w:rsid w:val="00CB383A"/>
    <w:rPr>
      <w:vertAlign w:val="superscript"/>
    </w:rPr>
  </w:style>
  <w:style w:type="character" w:customStyle="1" w:styleId="12">
    <w:name w:val="Знак примечания1"/>
    <w:rsid w:val="00CB383A"/>
    <w:rPr>
      <w:sz w:val="16"/>
      <w:szCs w:val="16"/>
    </w:rPr>
  </w:style>
  <w:style w:type="character" w:customStyle="1" w:styleId="ac">
    <w:name w:val="Текст примечания Знак"/>
    <w:rsid w:val="00CB383A"/>
    <w:rPr>
      <w:rFonts w:ascii="Calibri" w:eastAsia="Calibri" w:hAnsi="Calibri" w:cs="font302"/>
      <w:lang w:eastAsia="zh-CN"/>
    </w:rPr>
  </w:style>
  <w:style w:type="character" w:customStyle="1" w:styleId="ad">
    <w:name w:val="Тема примечания Знак"/>
    <w:rsid w:val="00CB383A"/>
    <w:rPr>
      <w:rFonts w:ascii="Calibri" w:eastAsia="Calibri" w:hAnsi="Calibri" w:cs="font302"/>
      <w:b/>
      <w:bCs/>
      <w:lang w:eastAsia="zh-CN"/>
    </w:rPr>
  </w:style>
  <w:style w:type="character" w:styleId="ae">
    <w:name w:val="Strong"/>
    <w:qFormat/>
    <w:rsid w:val="00CB383A"/>
    <w:rPr>
      <w:b/>
      <w:bCs/>
    </w:rPr>
  </w:style>
  <w:style w:type="character" w:customStyle="1" w:styleId="20">
    <w:name w:val="Знак сноски2"/>
    <w:rsid w:val="00CB383A"/>
    <w:rPr>
      <w:vertAlign w:val="superscript"/>
    </w:rPr>
  </w:style>
  <w:style w:type="character" w:customStyle="1" w:styleId="21">
    <w:name w:val="Знак концевой сноски2"/>
    <w:rsid w:val="00CB383A"/>
    <w:rPr>
      <w:vertAlign w:val="superscript"/>
    </w:rPr>
  </w:style>
  <w:style w:type="character" w:styleId="af">
    <w:name w:val="footnote reference"/>
    <w:rsid w:val="00CB383A"/>
    <w:rPr>
      <w:vertAlign w:val="superscript"/>
    </w:rPr>
  </w:style>
  <w:style w:type="character" w:styleId="af0">
    <w:name w:val="endnote reference"/>
    <w:rsid w:val="00CB383A"/>
    <w:rPr>
      <w:vertAlign w:val="superscript"/>
    </w:rPr>
  </w:style>
  <w:style w:type="paragraph" w:customStyle="1" w:styleId="af1">
    <w:name w:val="Заголовок"/>
    <w:basedOn w:val="a"/>
    <w:next w:val="af2"/>
    <w:rsid w:val="00CB383A"/>
    <w:pPr>
      <w:keepNext/>
      <w:suppressAutoHyphens/>
      <w:spacing w:before="240" w:after="120" w:line="276" w:lineRule="auto"/>
    </w:pPr>
    <w:rPr>
      <w:rFonts w:ascii="Times New Roman" w:eastAsia="Microsoft YaHei" w:hAnsi="Times New Roman" w:cs="Arial"/>
      <w:sz w:val="28"/>
      <w:szCs w:val="28"/>
      <w:lang w:eastAsia="zh-CN"/>
    </w:rPr>
  </w:style>
  <w:style w:type="paragraph" w:styleId="af2">
    <w:name w:val="Body Text"/>
    <w:basedOn w:val="a"/>
    <w:link w:val="af3"/>
    <w:rsid w:val="00CB383A"/>
    <w:pPr>
      <w:suppressAutoHyphens/>
      <w:spacing w:after="140" w:line="276" w:lineRule="auto"/>
    </w:pPr>
    <w:rPr>
      <w:rFonts w:ascii="Calibri" w:eastAsia="Calibri" w:hAnsi="Calibri" w:cs="font302"/>
      <w:lang w:eastAsia="zh-CN"/>
    </w:rPr>
  </w:style>
  <w:style w:type="character" w:customStyle="1" w:styleId="af3">
    <w:name w:val="Основной текст Знак"/>
    <w:basedOn w:val="a0"/>
    <w:link w:val="af2"/>
    <w:rsid w:val="00CB383A"/>
    <w:rPr>
      <w:rFonts w:ascii="Calibri" w:eastAsia="Calibri" w:hAnsi="Calibri" w:cs="font302"/>
      <w:lang w:eastAsia="zh-CN"/>
    </w:rPr>
  </w:style>
  <w:style w:type="paragraph" w:styleId="af4">
    <w:name w:val="List"/>
    <w:basedOn w:val="af2"/>
    <w:rsid w:val="00CB383A"/>
    <w:rPr>
      <w:rFonts w:ascii="Times New Roman" w:hAnsi="Times New Roman" w:cs="Arial"/>
    </w:rPr>
  </w:style>
  <w:style w:type="paragraph" w:styleId="af5">
    <w:name w:val="caption"/>
    <w:basedOn w:val="a"/>
    <w:qFormat/>
    <w:rsid w:val="00CB383A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40">
    <w:name w:val="Указатель4"/>
    <w:basedOn w:val="a"/>
    <w:rsid w:val="00CB383A"/>
    <w:pPr>
      <w:suppressLineNumbers/>
      <w:suppressAutoHyphens/>
      <w:spacing w:after="200" w:line="276" w:lineRule="auto"/>
    </w:pPr>
    <w:rPr>
      <w:rFonts w:ascii="Times New Roman" w:eastAsia="Calibri" w:hAnsi="Times New Roman" w:cs="Arial"/>
      <w:lang w:eastAsia="zh-CN"/>
    </w:rPr>
  </w:style>
  <w:style w:type="paragraph" w:customStyle="1" w:styleId="30">
    <w:name w:val="Название объекта3"/>
    <w:basedOn w:val="a"/>
    <w:rsid w:val="00CB383A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31">
    <w:name w:val="Указатель3"/>
    <w:basedOn w:val="a"/>
    <w:rsid w:val="00CB383A"/>
    <w:pPr>
      <w:suppressLineNumbers/>
      <w:suppressAutoHyphens/>
      <w:spacing w:after="200" w:line="276" w:lineRule="auto"/>
    </w:pPr>
    <w:rPr>
      <w:rFonts w:ascii="Times New Roman" w:eastAsia="Calibri" w:hAnsi="Times New Roman" w:cs="Arial"/>
      <w:lang w:eastAsia="zh-CN"/>
    </w:rPr>
  </w:style>
  <w:style w:type="paragraph" w:customStyle="1" w:styleId="22">
    <w:name w:val="Название объекта2"/>
    <w:basedOn w:val="a"/>
    <w:rsid w:val="00CB383A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CB383A"/>
    <w:pPr>
      <w:suppressLineNumbers/>
      <w:suppressAutoHyphens/>
      <w:spacing w:after="200" w:line="276" w:lineRule="auto"/>
    </w:pPr>
    <w:rPr>
      <w:rFonts w:ascii="Times New Roman" w:eastAsia="Calibri" w:hAnsi="Times New Roman" w:cs="Arial"/>
      <w:lang w:eastAsia="zh-CN"/>
    </w:rPr>
  </w:style>
  <w:style w:type="paragraph" w:customStyle="1" w:styleId="13">
    <w:name w:val="Название объекта1"/>
    <w:basedOn w:val="a"/>
    <w:rsid w:val="00CB383A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B383A"/>
    <w:pPr>
      <w:suppressLineNumbers/>
      <w:suppressAutoHyphens/>
      <w:spacing w:after="200" w:line="276" w:lineRule="auto"/>
    </w:pPr>
    <w:rPr>
      <w:rFonts w:ascii="Times New Roman" w:eastAsia="Calibri" w:hAnsi="Times New Roman" w:cs="Arial"/>
      <w:lang w:eastAsia="zh-CN"/>
    </w:rPr>
  </w:style>
  <w:style w:type="paragraph" w:styleId="af6">
    <w:name w:val="footnote text"/>
    <w:basedOn w:val="a"/>
    <w:link w:val="15"/>
    <w:rsid w:val="00CB383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5">
    <w:name w:val="Текст сноски Знак1"/>
    <w:basedOn w:val="a0"/>
    <w:link w:val="af6"/>
    <w:rsid w:val="00CB383A"/>
    <w:rPr>
      <w:rFonts w:ascii="Calibri" w:eastAsia="Calibri" w:hAnsi="Calibri" w:cs="Times New Roman"/>
      <w:sz w:val="20"/>
      <w:szCs w:val="20"/>
      <w:lang w:eastAsia="zh-CN"/>
    </w:rPr>
  </w:style>
  <w:style w:type="paragraph" w:styleId="af7">
    <w:name w:val="header"/>
    <w:basedOn w:val="a"/>
    <w:link w:val="16"/>
    <w:rsid w:val="00CB383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6">
    <w:name w:val="Верхний колонтитул Знак1"/>
    <w:basedOn w:val="a0"/>
    <w:link w:val="af7"/>
    <w:rsid w:val="00CB383A"/>
    <w:rPr>
      <w:rFonts w:ascii="Calibri" w:eastAsia="Calibri" w:hAnsi="Calibri" w:cs="Times New Roman"/>
      <w:lang w:eastAsia="zh-CN"/>
    </w:rPr>
  </w:style>
  <w:style w:type="paragraph" w:styleId="af8">
    <w:name w:val="footer"/>
    <w:basedOn w:val="a"/>
    <w:link w:val="17"/>
    <w:rsid w:val="00CB383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7">
    <w:name w:val="Нижний колонтитул Знак1"/>
    <w:basedOn w:val="a0"/>
    <w:link w:val="af8"/>
    <w:rsid w:val="00CB383A"/>
    <w:rPr>
      <w:rFonts w:ascii="Calibri" w:eastAsia="Calibri" w:hAnsi="Calibri" w:cs="Times New Roman"/>
      <w:lang w:eastAsia="zh-CN"/>
    </w:rPr>
  </w:style>
  <w:style w:type="paragraph" w:styleId="af9">
    <w:name w:val="endnote text"/>
    <w:basedOn w:val="a"/>
    <w:link w:val="18"/>
    <w:rsid w:val="00CB383A"/>
    <w:pPr>
      <w:suppressAutoHyphens/>
      <w:spacing w:after="0" w:line="240" w:lineRule="auto"/>
    </w:pPr>
    <w:rPr>
      <w:rFonts w:ascii="Calibri" w:eastAsia="Calibri" w:hAnsi="Calibri" w:cs="font302"/>
      <w:sz w:val="20"/>
      <w:szCs w:val="20"/>
      <w:lang w:eastAsia="zh-CN"/>
    </w:rPr>
  </w:style>
  <w:style w:type="character" w:customStyle="1" w:styleId="18">
    <w:name w:val="Текст концевой сноски Знак1"/>
    <w:basedOn w:val="a0"/>
    <w:link w:val="af9"/>
    <w:rsid w:val="00CB383A"/>
    <w:rPr>
      <w:rFonts w:ascii="Calibri" w:eastAsia="Calibri" w:hAnsi="Calibri" w:cs="font302"/>
      <w:sz w:val="20"/>
      <w:szCs w:val="20"/>
      <w:lang w:eastAsia="zh-CN"/>
    </w:rPr>
  </w:style>
  <w:style w:type="paragraph" w:styleId="afa">
    <w:name w:val="Balloon Text"/>
    <w:basedOn w:val="a"/>
    <w:link w:val="19"/>
    <w:rsid w:val="00CB383A"/>
    <w:pPr>
      <w:suppressAutoHyphens/>
      <w:spacing w:after="0" w:line="240" w:lineRule="auto"/>
    </w:pPr>
    <w:rPr>
      <w:rFonts w:ascii="Tahoma" w:eastAsia="Calibri" w:hAnsi="Tahoma" w:cs="Times New Roman"/>
      <w:sz w:val="16"/>
      <w:szCs w:val="16"/>
      <w:lang w:val="x-none" w:eastAsia="zh-CN"/>
    </w:rPr>
  </w:style>
  <w:style w:type="character" w:customStyle="1" w:styleId="19">
    <w:name w:val="Текст выноски Знак1"/>
    <w:basedOn w:val="a0"/>
    <w:link w:val="afa"/>
    <w:rsid w:val="00CB383A"/>
    <w:rPr>
      <w:rFonts w:ascii="Tahoma" w:eastAsia="Calibri" w:hAnsi="Tahoma" w:cs="Times New Roman"/>
      <w:sz w:val="16"/>
      <w:szCs w:val="16"/>
      <w:lang w:val="x-none" w:eastAsia="zh-CN"/>
    </w:rPr>
  </w:style>
  <w:style w:type="paragraph" w:styleId="afb">
    <w:name w:val="Normal (Web)"/>
    <w:basedOn w:val="a"/>
    <w:uiPriority w:val="99"/>
    <w:rsid w:val="00CB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">
    <w:name w:val="Основной текст6"/>
    <w:basedOn w:val="a"/>
    <w:rsid w:val="00CB383A"/>
    <w:pPr>
      <w:widowControl w:val="0"/>
      <w:shd w:val="clear" w:color="auto" w:fill="FFFFFF"/>
      <w:spacing w:before="420" w:after="0" w:line="346" w:lineRule="exact"/>
      <w:ind w:hanging="1500"/>
      <w:jc w:val="center"/>
    </w:pPr>
    <w:rPr>
      <w:rFonts w:ascii="Times New Roman" w:eastAsia="Times New Roman" w:hAnsi="Times New Roman" w:cs="Times New Roman"/>
      <w:color w:val="000000"/>
      <w:spacing w:val="7"/>
      <w:sz w:val="23"/>
      <w:szCs w:val="23"/>
      <w:lang w:val="ru" w:eastAsia="zh-CN"/>
    </w:rPr>
  </w:style>
  <w:style w:type="paragraph" w:customStyle="1" w:styleId="Default">
    <w:name w:val="Default"/>
    <w:rsid w:val="00CB383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a">
    <w:name w:val="Текст примечания1"/>
    <w:basedOn w:val="a"/>
    <w:rsid w:val="00CB383A"/>
    <w:pPr>
      <w:suppressAutoHyphens/>
      <w:spacing w:after="200" w:line="276" w:lineRule="auto"/>
    </w:pPr>
    <w:rPr>
      <w:rFonts w:ascii="Calibri" w:eastAsia="Calibri" w:hAnsi="Calibri" w:cs="font302"/>
      <w:sz w:val="20"/>
      <w:szCs w:val="20"/>
      <w:lang w:eastAsia="zh-CN"/>
    </w:rPr>
  </w:style>
  <w:style w:type="paragraph" w:styleId="afc">
    <w:name w:val="annotation text"/>
    <w:basedOn w:val="a"/>
    <w:link w:val="1b"/>
    <w:uiPriority w:val="99"/>
    <w:semiHidden/>
    <w:unhideWhenUsed/>
    <w:rsid w:val="00CB383A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fc"/>
    <w:uiPriority w:val="99"/>
    <w:semiHidden/>
    <w:rsid w:val="00CB383A"/>
    <w:rPr>
      <w:sz w:val="20"/>
      <w:szCs w:val="20"/>
    </w:rPr>
  </w:style>
  <w:style w:type="paragraph" w:styleId="afd">
    <w:name w:val="annotation subject"/>
    <w:basedOn w:val="1a"/>
    <w:next w:val="1a"/>
    <w:link w:val="1c"/>
    <w:rsid w:val="00CB383A"/>
    <w:rPr>
      <w:b/>
      <w:bCs/>
    </w:rPr>
  </w:style>
  <w:style w:type="character" w:customStyle="1" w:styleId="1c">
    <w:name w:val="Тема примечания Знак1"/>
    <w:basedOn w:val="1b"/>
    <w:link w:val="afd"/>
    <w:rsid w:val="00CB383A"/>
    <w:rPr>
      <w:rFonts w:ascii="Calibri" w:eastAsia="Calibri" w:hAnsi="Calibri" w:cs="font302"/>
      <w:b/>
      <w:bCs/>
      <w:sz w:val="20"/>
      <w:szCs w:val="20"/>
      <w:lang w:eastAsia="zh-CN"/>
    </w:rPr>
  </w:style>
  <w:style w:type="paragraph" w:customStyle="1" w:styleId="afe">
    <w:name w:val="Содержимое таблицы"/>
    <w:basedOn w:val="a"/>
    <w:rsid w:val="00CB383A"/>
    <w:pPr>
      <w:suppressLineNumbers/>
      <w:suppressAutoHyphens/>
      <w:spacing w:after="200" w:line="276" w:lineRule="auto"/>
    </w:pPr>
    <w:rPr>
      <w:rFonts w:ascii="Calibri" w:eastAsia="Calibri" w:hAnsi="Calibri" w:cs="font302"/>
      <w:lang w:eastAsia="zh-CN"/>
    </w:rPr>
  </w:style>
  <w:style w:type="paragraph" w:customStyle="1" w:styleId="aff">
    <w:name w:val="Заголовок таблицы"/>
    <w:basedOn w:val="afe"/>
    <w:rsid w:val="00CB383A"/>
    <w:pPr>
      <w:jc w:val="center"/>
    </w:pPr>
    <w:rPr>
      <w:b/>
      <w:bCs/>
    </w:rPr>
  </w:style>
  <w:style w:type="table" w:styleId="aff0">
    <w:name w:val="Table Grid"/>
    <w:basedOn w:val="a1"/>
    <w:uiPriority w:val="39"/>
    <w:rsid w:val="00CB3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03A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.gov86.org/399/591/426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F8E4-37C4-43C3-80B4-F60DF41F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11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Мария Русских</cp:lastModifiedBy>
  <cp:revision>12</cp:revision>
  <cp:lastPrinted>2022-02-02T10:22:00Z</cp:lastPrinted>
  <dcterms:created xsi:type="dcterms:W3CDTF">2022-02-03T11:50:00Z</dcterms:created>
  <dcterms:modified xsi:type="dcterms:W3CDTF">2022-02-21T12:01:00Z</dcterms:modified>
</cp:coreProperties>
</file>