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BC9" w:rsidRPr="00EF44BD" w:rsidRDefault="00D45643" w:rsidP="00D456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Сводный аналитический от</w:t>
      </w:r>
      <w:r w:rsidR="009B5BC9" w:rsidRPr="00EF44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чет о результатах оценки эффективности</w:t>
      </w:r>
    </w:p>
    <w:p w:rsidR="009B5BC9" w:rsidRPr="00EF44BD" w:rsidRDefault="009B5BC9" w:rsidP="00D456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налоговых расходов за </w:t>
      </w:r>
      <w:r w:rsidR="000D016D" w:rsidRPr="00EF44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2020</w:t>
      </w:r>
      <w:r w:rsidRPr="00EF44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:rsidR="009B5BC9" w:rsidRPr="00EF44BD" w:rsidRDefault="009B5BC9" w:rsidP="00D456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территории </w:t>
      </w:r>
      <w:r w:rsidR="000D016D" w:rsidRPr="00EF44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города Пыть-Яха</w:t>
      </w:r>
    </w:p>
    <w:p w:rsidR="009B5BC9" w:rsidRPr="00EF44BD" w:rsidRDefault="009B5BC9" w:rsidP="00994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D016D" w:rsidRPr="00EF44BD" w:rsidRDefault="008D4ADC" w:rsidP="009943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9B5BC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жегодн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ая</w:t>
      </w:r>
      <w:r w:rsidR="009B5BC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оценк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9B5BC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эффективности использования налоговых расходов (выпадающих доходов)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соответствии с Порядком формирования перечня налоговых расходов и оценки налоговых расходов муниципального образования городской округ город Пыть-Ях, утверждённым постановлением администрации города от 16.07.2020 № 290-па и </w:t>
      </w:r>
      <w:r w:rsidR="009B5BC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является одной из первоочередных мер по увеличению налоговых доходов бюджета </w:t>
      </w:r>
      <w:r w:rsidR="000D016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города Пыть-Яха</w:t>
      </w:r>
      <w:r w:rsidR="009B5BC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предусмотренных основными направлениями бюджетной и налоговой политики город</w:t>
      </w:r>
      <w:r w:rsidR="000D016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Пыть-Яха.</w:t>
      </w:r>
    </w:p>
    <w:p w:rsidR="009B5BC9" w:rsidRPr="00EF44BD" w:rsidRDefault="009B5BC9" w:rsidP="009943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проведении оценки эффективности налоговых расходов учтены основные положения постановления Правительства Российской Федерации от 22.06.2019 г. № 796 «Об общих требованиях к оценке налоговых льгот (налоговых расходов) субъектов Российской Федерации и муниципальных образований» (далее – методические рекомендации Минфина России)</w:t>
      </w:r>
      <w:r w:rsidR="000D016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постановление Правительства Ханты-Мансийского автономного округа – Югры от 18.10.2019 № 394-п «О порядке оценки налоговых расходов Ханты-Мансийского автономного округа </w:t>
      </w:r>
      <w:r w:rsidR="001D23C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Югры </w:t>
      </w:r>
      <w:r w:rsidR="000D016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утратившими силу </w:t>
      </w:r>
      <w:r w:rsidR="001D23C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некоторых постановлений Правительства </w:t>
      </w:r>
      <w:r w:rsidR="000D016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D23C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Ханты-Мансийского автономного округа- Югры</w:t>
      </w:r>
      <w:r w:rsidR="000D016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B5BC9" w:rsidRPr="00EF44BD" w:rsidRDefault="009B5BC9" w:rsidP="009943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ходе проведения оценки эффективности налоговых расходов осуществлялась оценка целесообразности (востребованность налоговых расходов, соответствие их целям соответствующих муниципальных программ и (или) целям социально-экономической политики) и их результативности (оценка бюджетной эффективности).</w:t>
      </w:r>
    </w:p>
    <w:p w:rsidR="009B5BC9" w:rsidRPr="00EF44BD" w:rsidRDefault="009B5BC9" w:rsidP="009943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налоговых расходов проводится в целях минимизации риска предоставления неэффективных налоговых расходов.</w:t>
      </w:r>
    </w:p>
    <w:p w:rsidR="009B5BC9" w:rsidRPr="00EF44BD" w:rsidRDefault="009B5BC9" w:rsidP="009943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пунктами 1,2 статьи 15 Налогового кодекса Российской Федерации к местным налогам относятся земельный налог и налог на имущество физических лиц, которые согласно пункту 1 статьи 61.2 Бюджетного кодекса Российской Федерации зачисляются в бюджеты городских округов по нормативу 100 процентов.</w:t>
      </w:r>
    </w:p>
    <w:p w:rsidR="009B5BC9" w:rsidRPr="00EF44BD" w:rsidRDefault="009B5BC9" w:rsidP="009943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20</w:t>
      </w:r>
      <w:r w:rsidR="001D2DDB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на территории </w:t>
      </w:r>
      <w:r w:rsidR="001D2DDB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города Пыть-Яха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действуют льготы по земельному налогу и налогу на имущество физических лиц, установленные решениями </w:t>
      </w:r>
      <w:r w:rsidR="001D2DDB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Думы города Пыть-Яха.</w:t>
      </w:r>
    </w:p>
    <w:p w:rsidR="009B5BC9" w:rsidRPr="00EF44BD" w:rsidRDefault="009B5BC9" w:rsidP="009943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Оценка эффективности налоговых расходов за </w:t>
      </w:r>
      <w:r w:rsidR="001D2DDB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2020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 осуществляется по одному или нескольким из следующих критериев: бюджетная эффективность, экономическая эффективность и социальная эффективность.</w:t>
      </w:r>
    </w:p>
    <w:p w:rsidR="009B5BC9" w:rsidRPr="00EF44BD" w:rsidRDefault="009B5BC9" w:rsidP="009943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Определены типы налоговых расходов в зависимости от целевой категории: социальные, стимулирующие или технические.</w:t>
      </w:r>
    </w:p>
    <w:p w:rsidR="009B5BC9" w:rsidRPr="00EF44BD" w:rsidRDefault="009B5BC9" w:rsidP="009943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основу оценки эффективности взяты данные статистической налоговой отчетности </w:t>
      </w:r>
      <w:r w:rsidR="001D2DDB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Межрайонной инспекции ФНС № 7 по Ханты-Мансийскому автономному округу – Югры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налоговой базе и структуре начислений по местным налогам за 20</w:t>
      </w:r>
      <w:r w:rsidR="009943C3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(форма № 5-МН), которая сформирована в целом по </w:t>
      </w:r>
      <w:r w:rsidR="001D2DDB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муниципальному образованию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F05020" w:rsidRPr="00EF44BD" w:rsidRDefault="00F05020" w:rsidP="00F05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Объем налоговых и ненало</w:t>
      </w:r>
      <w:r w:rsidR="002C3878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говых доходов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бюджета города Пыть-Яха за 2020 год составил 1 349 678,3 тыс. рублей, из них земельный налог – 56 641,4 тыс. рублей (в том числе: земельный налог с организаций – 52 343,4 тыс. рублей и земельный с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физических лиц – 4 298,1 тыс. рублей) и налог на имущество физических лиц – 25 461,2 тыс. рублей.</w:t>
      </w:r>
    </w:p>
    <w:p w:rsidR="000833FC" w:rsidRDefault="00F05020" w:rsidP="00F05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9B5BC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</w:t>
      </w:r>
      <w:r w:rsidR="009943C3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</w:t>
      </w:r>
      <w:r w:rsidR="009B5BC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9B5BC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общая сумма налоговых расходов составила </w:t>
      </w:r>
      <w:r w:rsidR="00487747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32 749,0</w:t>
      </w:r>
      <w:r w:rsidR="009B5BC9" w:rsidRPr="00EF44BD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9B5BC9" w:rsidRPr="00EF44B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тыс. рублей</w:t>
      </w:r>
      <w:r w:rsidR="009B5BC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 их доля в объеме налоговых и неналоговых доходов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бюджета города Пыть-Яха</w:t>
      </w:r>
      <w:r w:rsidR="009B5BC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B5BC9" w:rsidRPr="00EF44B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составила </w:t>
      </w:r>
      <w:r w:rsidR="00F94BFE" w:rsidRPr="00EF44B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9B5BC9" w:rsidRPr="00EF44B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F94BFE" w:rsidRPr="00EF44B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9B5BC9" w:rsidRPr="00EF44B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%.</w:t>
      </w:r>
      <w:r w:rsidR="009B5BC9" w:rsidRPr="00EF44B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</w:p>
    <w:p w:rsidR="00F05020" w:rsidRPr="00EF44BD" w:rsidRDefault="000833FC" w:rsidP="00F05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0833FC">
        <w:rPr>
          <w:rFonts w:ascii="Times New Roman" w:hAnsi="Times New Roman" w:cs="Times New Roman"/>
          <w:sz w:val="26"/>
          <w:szCs w:val="26"/>
        </w:rPr>
        <w:t>Объем налоговых доходов</w:t>
      </w:r>
      <w:r>
        <w:rPr>
          <w:rFonts w:ascii="Times New Roman" w:hAnsi="Times New Roman" w:cs="Times New Roman"/>
          <w:sz w:val="26"/>
          <w:szCs w:val="26"/>
        </w:rPr>
        <w:t xml:space="preserve"> бюджета города Пыть-Яха за 2020 год составил 1 096 436,5 </w:t>
      </w:r>
      <w:r w:rsidRPr="000833FC">
        <w:rPr>
          <w:rFonts w:ascii="Times New Roman" w:hAnsi="Times New Roman" w:cs="Times New Roman"/>
          <w:color w:val="0C0C0C"/>
          <w:sz w:val="26"/>
          <w:szCs w:val="26"/>
        </w:rPr>
        <w:t xml:space="preserve">тыс. </w:t>
      </w:r>
      <w:r w:rsidRPr="000833FC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6754C" w:rsidRPr="00EF44BD" w:rsidRDefault="009B5BC9" w:rsidP="000A55E7">
      <w:pPr>
        <w:pStyle w:val="a4"/>
        <w:spacing w:line="252" w:lineRule="auto"/>
        <w:ind w:right="-1" w:firstLine="741"/>
        <w:jc w:val="both"/>
        <w:rPr>
          <w:sz w:val="26"/>
          <w:szCs w:val="26"/>
        </w:rPr>
      </w:pPr>
      <w:r w:rsidRPr="00EF44BD">
        <w:rPr>
          <w:rFonts w:ascii="Arial" w:hAnsi="Arial" w:cs="Arial"/>
          <w:color w:val="000000"/>
          <w:sz w:val="26"/>
          <w:szCs w:val="26"/>
        </w:rPr>
        <w:br/>
      </w:r>
      <w:r w:rsidR="00EF44BD" w:rsidRPr="00EF44BD">
        <w:rPr>
          <w:sz w:val="26"/>
          <w:szCs w:val="26"/>
        </w:rPr>
        <w:t xml:space="preserve">          </w:t>
      </w:r>
      <w:r w:rsidR="0036754C" w:rsidRPr="00EF44BD">
        <w:rPr>
          <w:sz w:val="26"/>
          <w:szCs w:val="26"/>
        </w:rPr>
        <w:t xml:space="preserve">Информация </w:t>
      </w:r>
      <w:r w:rsidR="0036754C" w:rsidRPr="00EF44BD">
        <w:rPr>
          <w:color w:val="131313"/>
          <w:sz w:val="26"/>
          <w:szCs w:val="26"/>
        </w:rPr>
        <w:t xml:space="preserve">о </w:t>
      </w:r>
      <w:r w:rsidR="0036754C" w:rsidRPr="00EF44BD">
        <w:rPr>
          <w:sz w:val="26"/>
          <w:szCs w:val="26"/>
        </w:rPr>
        <w:t>структуре и динамик</w:t>
      </w:r>
      <w:r w:rsidR="002C3878" w:rsidRPr="00EF44BD">
        <w:rPr>
          <w:sz w:val="26"/>
          <w:szCs w:val="26"/>
        </w:rPr>
        <w:t xml:space="preserve">е налоговых расходов по </w:t>
      </w:r>
      <w:r w:rsidR="0036754C" w:rsidRPr="00EF44BD">
        <w:rPr>
          <w:sz w:val="26"/>
          <w:szCs w:val="26"/>
        </w:rPr>
        <w:t>видам налогов за 2020 год представлена в таблице</w:t>
      </w:r>
      <w:r w:rsidR="0036754C" w:rsidRPr="00EF44BD">
        <w:rPr>
          <w:spacing w:val="16"/>
          <w:sz w:val="26"/>
          <w:szCs w:val="26"/>
        </w:rPr>
        <w:t xml:space="preserve"> </w:t>
      </w:r>
      <w:r w:rsidR="0036754C" w:rsidRPr="00EF44BD">
        <w:rPr>
          <w:sz w:val="26"/>
          <w:szCs w:val="26"/>
        </w:rPr>
        <w:t>1.</w:t>
      </w:r>
    </w:p>
    <w:p w:rsidR="0036754C" w:rsidRPr="00EF44BD" w:rsidRDefault="0036754C" w:rsidP="0036754C">
      <w:pPr>
        <w:spacing w:before="70"/>
        <w:ind w:right="148"/>
        <w:jc w:val="right"/>
        <w:rPr>
          <w:rFonts w:ascii="Times New Roman" w:hAnsi="Times New Roman" w:cs="Times New Roman"/>
          <w:sz w:val="26"/>
          <w:szCs w:val="26"/>
        </w:rPr>
      </w:pPr>
      <w:r w:rsidRPr="00EF44BD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Pr="00EF44BD">
        <w:rPr>
          <w:rFonts w:ascii="Times New Roman" w:hAnsi="Times New Roman" w:cs="Times New Roman"/>
          <w:color w:val="000F1F"/>
          <w:sz w:val="26"/>
          <w:szCs w:val="26"/>
        </w:rPr>
        <w:t>1</w:t>
      </w:r>
    </w:p>
    <w:p w:rsidR="0036754C" w:rsidRDefault="0036754C" w:rsidP="00FC68F6">
      <w:pPr>
        <w:spacing w:before="8"/>
        <w:ind w:left="2605" w:hanging="620"/>
        <w:rPr>
          <w:rFonts w:ascii="Cambria" w:hAnsi="Cambria"/>
          <w:sz w:val="26"/>
          <w:szCs w:val="26"/>
        </w:rPr>
      </w:pPr>
      <w:r w:rsidRPr="00EF44BD">
        <w:rPr>
          <w:rFonts w:ascii="Cambria" w:hAnsi="Cambria"/>
          <w:sz w:val="26"/>
          <w:szCs w:val="26"/>
        </w:rPr>
        <w:t xml:space="preserve">Структура налоговых расходов </w:t>
      </w:r>
      <w:r w:rsidRPr="00EF44BD">
        <w:rPr>
          <w:rFonts w:ascii="Cambria" w:hAnsi="Cambria"/>
          <w:color w:val="1C1C1C"/>
          <w:sz w:val="26"/>
          <w:szCs w:val="26"/>
        </w:rPr>
        <w:t xml:space="preserve">по </w:t>
      </w:r>
      <w:r w:rsidRPr="00EF44BD">
        <w:rPr>
          <w:rFonts w:ascii="Cambria" w:hAnsi="Cambria"/>
          <w:sz w:val="26"/>
          <w:szCs w:val="26"/>
        </w:rPr>
        <w:t>видам налогов</w:t>
      </w:r>
    </w:p>
    <w:tbl>
      <w:tblPr>
        <w:tblStyle w:val="a7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1843"/>
        <w:gridCol w:w="1701"/>
      </w:tblGrid>
      <w:tr w:rsidR="000833FC" w:rsidTr="000A55E7">
        <w:trPr>
          <w:trHeight w:val="1254"/>
        </w:trPr>
        <w:tc>
          <w:tcPr>
            <w:tcW w:w="3969" w:type="dxa"/>
            <w:vAlign w:val="center"/>
          </w:tcPr>
          <w:p w:rsidR="000833FC" w:rsidRPr="00D86B9C" w:rsidRDefault="000833FC" w:rsidP="000A55E7">
            <w:pPr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01" w:type="dxa"/>
          </w:tcPr>
          <w:p w:rsidR="000833FC" w:rsidRPr="00D86B9C" w:rsidRDefault="000833FC" w:rsidP="00D86B9C">
            <w:pPr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86B9C">
              <w:rPr>
                <w:rFonts w:ascii="Times New Roman" w:hAnsi="Times New Roman" w:cs="Times New Roman"/>
                <w:sz w:val="24"/>
                <w:szCs w:val="24"/>
              </w:rPr>
              <w:t>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налог</w:t>
            </w:r>
            <w:r w:rsidRPr="00D86B9C">
              <w:rPr>
                <w:rFonts w:ascii="Times New Roman" w:hAnsi="Times New Roman" w:cs="Times New Roman"/>
                <w:sz w:val="24"/>
                <w:szCs w:val="24"/>
              </w:rPr>
              <w:t xml:space="preserve"> с организаций</w:t>
            </w:r>
          </w:p>
        </w:tc>
        <w:tc>
          <w:tcPr>
            <w:tcW w:w="1843" w:type="dxa"/>
          </w:tcPr>
          <w:p w:rsidR="000833FC" w:rsidRPr="00D86B9C" w:rsidRDefault="000833FC" w:rsidP="00D86B9C">
            <w:pPr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86B9C">
              <w:rPr>
                <w:rFonts w:ascii="Times New Roman" w:hAnsi="Times New Roman" w:cs="Times New Roman"/>
                <w:sz w:val="24"/>
                <w:szCs w:val="24"/>
              </w:rPr>
              <w:t>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C82B9C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Pr="00D86B9C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физических лиц</w:t>
            </w:r>
          </w:p>
        </w:tc>
        <w:tc>
          <w:tcPr>
            <w:tcW w:w="1701" w:type="dxa"/>
          </w:tcPr>
          <w:p w:rsidR="000833FC" w:rsidRPr="00D86B9C" w:rsidRDefault="000833FC" w:rsidP="00D86B9C">
            <w:pPr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 w:rsidRPr="00D86B9C">
              <w:rPr>
                <w:rFonts w:ascii="Times New Roman" w:hAnsi="Times New Roman" w:cs="Times New Roman"/>
                <w:sz w:val="24"/>
                <w:szCs w:val="24"/>
              </w:rPr>
              <w:t xml:space="preserve"> на имущество физических лиц</w:t>
            </w:r>
          </w:p>
        </w:tc>
      </w:tr>
      <w:tr w:rsidR="000833FC" w:rsidTr="000A55E7">
        <w:trPr>
          <w:trHeight w:val="763"/>
        </w:trPr>
        <w:tc>
          <w:tcPr>
            <w:tcW w:w="3969" w:type="dxa"/>
          </w:tcPr>
          <w:p w:rsidR="000833FC" w:rsidRPr="00D86B9C" w:rsidRDefault="000833FC" w:rsidP="00D86B9C">
            <w:pPr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86B9C">
              <w:rPr>
                <w:rFonts w:ascii="Times New Roman" w:hAnsi="Times New Roman" w:cs="Times New Roman"/>
                <w:sz w:val="24"/>
                <w:szCs w:val="24"/>
              </w:rPr>
              <w:t>Сумма выпадающих доходов</w:t>
            </w:r>
            <w:r>
              <w:t xml:space="preserve"> </w:t>
            </w:r>
            <w:r w:rsidRPr="00D86B9C">
              <w:rPr>
                <w:rFonts w:ascii="Times New Roman" w:hAnsi="Times New Roman" w:cs="Times New Roman"/>
                <w:sz w:val="24"/>
                <w:szCs w:val="24"/>
              </w:rPr>
              <w:t>от применения налоговых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1701" w:type="dxa"/>
          </w:tcPr>
          <w:p w:rsidR="000833FC" w:rsidRPr="00C25C00" w:rsidRDefault="000833FC" w:rsidP="00D86B9C">
            <w:pPr>
              <w:pStyle w:val="TableParagraph"/>
              <w:spacing w:line="295" w:lineRule="exact"/>
              <w:ind w:right="10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26 642,0</w:t>
            </w:r>
          </w:p>
        </w:tc>
        <w:tc>
          <w:tcPr>
            <w:tcW w:w="1843" w:type="dxa"/>
          </w:tcPr>
          <w:p w:rsidR="000833FC" w:rsidRPr="00C25C00" w:rsidRDefault="000833FC" w:rsidP="00D86B9C">
            <w:pPr>
              <w:pStyle w:val="TableParagraph"/>
              <w:spacing w:before="1"/>
              <w:ind w:right="11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987,0</w:t>
            </w:r>
          </w:p>
        </w:tc>
        <w:tc>
          <w:tcPr>
            <w:tcW w:w="1701" w:type="dxa"/>
          </w:tcPr>
          <w:p w:rsidR="000833FC" w:rsidRPr="003A3275" w:rsidRDefault="000833FC" w:rsidP="00D86B9C">
            <w:pPr>
              <w:pStyle w:val="TableParagraph"/>
              <w:spacing w:before="1"/>
              <w:ind w:right="11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5 120,0</w:t>
            </w:r>
          </w:p>
        </w:tc>
      </w:tr>
      <w:tr w:rsidR="000833FC" w:rsidTr="000A55E7">
        <w:trPr>
          <w:trHeight w:val="490"/>
        </w:trPr>
        <w:tc>
          <w:tcPr>
            <w:tcW w:w="3969" w:type="dxa"/>
          </w:tcPr>
          <w:p w:rsidR="000833FC" w:rsidRPr="00D86B9C" w:rsidRDefault="000833FC" w:rsidP="00D86B9C">
            <w:pPr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6B9C">
              <w:rPr>
                <w:rFonts w:ascii="Times New Roman" w:hAnsi="Times New Roman" w:cs="Times New Roman"/>
                <w:i/>
                <w:sz w:val="24"/>
                <w:szCs w:val="24"/>
              </w:rPr>
              <w:t>Дoля</w:t>
            </w:r>
            <w:proofErr w:type="spellEnd"/>
            <w:r w:rsidRPr="00D86B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86B9C">
              <w:rPr>
                <w:rFonts w:ascii="Times New Roman" w:hAnsi="Times New Roman" w:cs="Times New Roman"/>
                <w:sz w:val="24"/>
                <w:szCs w:val="24"/>
              </w:rPr>
              <w:t>налоговых расходов от объема налоговых доходов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701" w:type="dxa"/>
          </w:tcPr>
          <w:p w:rsidR="000833FC" w:rsidRPr="00C25C00" w:rsidRDefault="000833FC" w:rsidP="00D86B9C">
            <w:pPr>
              <w:pStyle w:val="TableParagraph"/>
              <w:spacing w:before="1"/>
              <w:ind w:right="11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843" w:type="dxa"/>
          </w:tcPr>
          <w:p w:rsidR="000833FC" w:rsidRPr="00CD489A" w:rsidRDefault="000833FC" w:rsidP="00D86B9C">
            <w:pPr>
              <w:pStyle w:val="TableParagraph"/>
              <w:spacing w:before="1"/>
              <w:ind w:right="11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:rsidR="000833FC" w:rsidRPr="003A3275" w:rsidRDefault="000833FC" w:rsidP="00D86B9C">
            <w:pPr>
              <w:pStyle w:val="TableParagraph"/>
              <w:spacing w:before="1"/>
              <w:ind w:right="11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</w:tbl>
    <w:p w:rsidR="0036754C" w:rsidRPr="00EF44BD" w:rsidRDefault="0036754C" w:rsidP="0036754C">
      <w:pPr>
        <w:pStyle w:val="a4"/>
        <w:spacing w:before="3"/>
        <w:rPr>
          <w:rFonts w:ascii="Cambria"/>
          <w:sz w:val="26"/>
          <w:szCs w:val="26"/>
        </w:rPr>
      </w:pPr>
    </w:p>
    <w:p w:rsidR="0036754C" w:rsidRPr="00EF44BD" w:rsidRDefault="0036754C" w:rsidP="000A55E7">
      <w:pPr>
        <w:pStyle w:val="1"/>
        <w:spacing w:line="242" w:lineRule="auto"/>
        <w:ind w:left="0" w:right="-1" w:firstLine="709"/>
        <w:rPr>
          <w:sz w:val="26"/>
          <w:szCs w:val="26"/>
        </w:rPr>
      </w:pPr>
      <w:r w:rsidRPr="00EF44BD">
        <w:rPr>
          <w:sz w:val="26"/>
          <w:szCs w:val="26"/>
        </w:rPr>
        <w:t>Информация о структуре налоговых расходов по их типам за 2020 год представлена в таблице 2.</w:t>
      </w:r>
    </w:p>
    <w:p w:rsidR="0036754C" w:rsidRPr="00EF44BD" w:rsidRDefault="0036754C" w:rsidP="0036754C">
      <w:pPr>
        <w:pStyle w:val="a4"/>
        <w:spacing w:before="5"/>
        <w:rPr>
          <w:sz w:val="26"/>
          <w:szCs w:val="26"/>
        </w:rPr>
      </w:pPr>
    </w:p>
    <w:p w:rsidR="0036754C" w:rsidRPr="00EF44BD" w:rsidRDefault="0036754C" w:rsidP="00594EAB">
      <w:pPr>
        <w:spacing w:before="89"/>
        <w:ind w:left="8650" w:hanging="570"/>
        <w:rPr>
          <w:rFonts w:ascii="Times New Roman" w:hAnsi="Times New Roman" w:cs="Times New Roman"/>
          <w:sz w:val="26"/>
          <w:szCs w:val="26"/>
        </w:rPr>
      </w:pPr>
      <w:r w:rsidRPr="00EF44BD">
        <w:rPr>
          <w:rFonts w:ascii="Times New Roman" w:hAnsi="Times New Roman" w:cs="Times New Roman"/>
          <w:sz w:val="26"/>
          <w:szCs w:val="26"/>
        </w:rPr>
        <w:t>Таблица 2</w:t>
      </w:r>
    </w:p>
    <w:p w:rsidR="0036754C" w:rsidRPr="00EF44BD" w:rsidRDefault="0036754C" w:rsidP="00FC68F6">
      <w:pPr>
        <w:pStyle w:val="1"/>
        <w:spacing w:before="9"/>
        <w:ind w:left="2127"/>
        <w:rPr>
          <w:sz w:val="26"/>
          <w:szCs w:val="26"/>
        </w:rPr>
      </w:pPr>
      <w:r w:rsidRPr="00EF44BD">
        <w:rPr>
          <w:sz w:val="26"/>
          <w:szCs w:val="26"/>
        </w:rPr>
        <w:t>Структура налоговых расходов по типам</w:t>
      </w:r>
    </w:p>
    <w:p w:rsidR="0036754C" w:rsidRPr="00EF44BD" w:rsidRDefault="0036754C" w:rsidP="0036754C">
      <w:pPr>
        <w:pStyle w:val="a4"/>
        <w:spacing w:before="6"/>
        <w:rPr>
          <w:sz w:val="26"/>
          <w:szCs w:val="26"/>
        </w:rPr>
      </w:pPr>
    </w:p>
    <w:tbl>
      <w:tblPr>
        <w:tblStyle w:val="TableNormal"/>
        <w:tblW w:w="9209" w:type="dxa"/>
        <w:tblInd w:w="139" w:type="dxa"/>
        <w:tblBorders>
          <w:top w:val="single" w:sz="6" w:space="0" w:color="3B3B3B"/>
          <w:left w:val="single" w:sz="6" w:space="0" w:color="3B3B3B"/>
          <w:bottom w:val="single" w:sz="6" w:space="0" w:color="3B3B3B"/>
          <w:right w:val="single" w:sz="6" w:space="0" w:color="3B3B3B"/>
          <w:insideH w:val="single" w:sz="6" w:space="0" w:color="3B3B3B"/>
          <w:insideV w:val="single" w:sz="6" w:space="0" w:color="3B3B3B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6411"/>
        <w:gridCol w:w="1134"/>
        <w:gridCol w:w="992"/>
      </w:tblGrid>
      <w:tr w:rsidR="0036754C" w:rsidRPr="00D86B9C" w:rsidTr="000A55E7">
        <w:trPr>
          <w:trHeight w:val="137"/>
        </w:trPr>
        <w:tc>
          <w:tcPr>
            <w:tcW w:w="672" w:type="dxa"/>
            <w:vMerge w:val="restart"/>
          </w:tcPr>
          <w:p w:rsidR="0036754C" w:rsidRPr="00D86B9C" w:rsidRDefault="0036754C" w:rsidP="00743F85">
            <w:pPr>
              <w:pStyle w:val="TableParagraph"/>
              <w:spacing w:before="10"/>
              <w:rPr>
                <w:sz w:val="24"/>
                <w:szCs w:val="24"/>
                <w:lang w:val="ru-RU"/>
              </w:rPr>
            </w:pPr>
          </w:p>
          <w:p w:rsidR="0036754C" w:rsidRPr="00D86B9C" w:rsidRDefault="0036754C" w:rsidP="00743F85">
            <w:pPr>
              <w:pStyle w:val="TableParagraph"/>
              <w:ind w:left="202"/>
              <w:rPr>
                <w:sz w:val="24"/>
                <w:szCs w:val="24"/>
              </w:rPr>
            </w:pPr>
            <w:r w:rsidRPr="00D86B9C">
              <w:rPr>
                <w:sz w:val="24"/>
                <w:szCs w:val="24"/>
              </w:rPr>
              <w:t>п/п</w:t>
            </w:r>
          </w:p>
        </w:tc>
        <w:tc>
          <w:tcPr>
            <w:tcW w:w="6411" w:type="dxa"/>
            <w:vMerge w:val="restart"/>
            <w:vAlign w:val="center"/>
          </w:tcPr>
          <w:p w:rsidR="0036754C" w:rsidRPr="000A55E7" w:rsidRDefault="000A55E7" w:rsidP="000A55E7">
            <w:pPr>
              <w:pStyle w:val="TableParagraph"/>
              <w:spacing w:line="310" w:lineRule="exact"/>
              <w:ind w:left="15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 показателей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36754C" w:rsidRPr="00D86B9C" w:rsidRDefault="006D55DF" w:rsidP="006D55DF">
            <w:pPr>
              <w:pStyle w:val="TableParagraph"/>
              <w:spacing w:line="310" w:lineRule="exact"/>
              <w:ind w:left="1134" w:hanging="850"/>
              <w:jc w:val="center"/>
              <w:rPr>
                <w:sz w:val="24"/>
                <w:szCs w:val="24"/>
                <w:lang w:val="ru-RU"/>
              </w:rPr>
            </w:pPr>
            <w:r w:rsidRPr="00D86B9C">
              <w:rPr>
                <w:sz w:val="24"/>
                <w:szCs w:val="24"/>
                <w:lang w:val="ru-RU"/>
              </w:rPr>
              <w:t>2020 год</w:t>
            </w:r>
          </w:p>
        </w:tc>
      </w:tr>
      <w:tr w:rsidR="0036754C" w:rsidRPr="00D86B9C" w:rsidTr="00C82B9C">
        <w:trPr>
          <w:trHeight w:val="185"/>
        </w:trPr>
        <w:tc>
          <w:tcPr>
            <w:tcW w:w="672" w:type="dxa"/>
            <w:vMerge/>
          </w:tcPr>
          <w:p w:rsidR="0036754C" w:rsidRPr="00D86B9C" w:rsidRDefault="0036754C" w:rsidP="00743F85">
            <w:pPr>
              <w:pStyle w:val="TableParagraph"/>
              <w:spacing w:before="10"/>
              <w:rPr>
                <w:sz w:val="24"/>
                <w:szCs w:val="24"/>
              </w:rPr>
            </w:pPr>
          </w:p>
        </w:tc>
        <w:tc>
          <w:tcPr>
            <w:tcW w:w="6411" w:type="dxa"/>
            <w:vMerge/>
          </w:tcPr>
          <w:p w:rsidR="0036754C" w:rsidRPr="00D86B9C" w:rsidRDefault="0036754C" w:rsidP="00743F85">
            <w:pPr>
              <w:pStyle w:val="TableParagraph"/>
              <w:spacing w:line="310" w:lineRule="exact"/>
              <w:ind w:left="1576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754C" w:rsidRPr="00D86B9C" w:rsidRDefault="0036754C" w:rsidP="00FC68F6">
            <w:pPr>
              <w:pStyle w:val="TableParagraph"/>
              <w:spacing w:line="310" w:lineRule="exact"/>
              <w:jc w:val="center"/>
              <w:rPr>
                <w:sz w:val="24"/>
                <w:szCs w:val="24"/>
                <w:lang w:val="ru-RU"/>
              </w:rPr>
            </w:pPr>
            <w:r w:rsidRPr="00D86B9C">
              <w:rPr>
                <w:sz w:val="24"/>
                <w:szCs w:val="24"/>
                <w:lang w:val="ru-RU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6754C" w:rsidRPr="00D86B9C" w:rsidRDefault="0036754C" w:rsidP="00FC68F6">
            <w:pPr>
              <w:pStyle w:val="TableParagraph"/>
              <w:spacing w:line="310" w:lineRule="exact"/>
              <w:ind w:left="-142" w:firstLine="142"/>
              <w:jc w:val="center"/>
              <w:rPr>
                <w:sz w:val="24"/>
                <w:szCs w:val="24"/>
                <w:lang w:val="ru-RU"/>
              </w:rPr>
            </w:pPr>
            <w:r w:rsidRPr="00D86B9C">
              <w:rPr>
                <w:sz w:val="24"/>
                <w:szCs w:val="24"/>
                <w:lang w:val="ru-RU"/>
              </w:rPr>
              <w:t>Удельный вес %</w:t>
            </w:r>
          </w:p>
        </w:tc>
      </w:tr>
      <w:tr w:rsidR="0036754C" w:rsidRPr="00D86B9C" w:rsidTr="00C82B9C">
        <w:trPr>
          <w:trHeight w:val="833"/>
        </w:trPr>
        <w:tc>
          <w:tcPr>
            <w:tcW w:w="672" w:type="dxa"/>
          </w:tcPr>
          <w:p w:rsidR="0036754C" w:rsidRPr="00D86B9C" w:rsidRDefault="0036754C" w:rsidP="00743F8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6411" w:type="dxa"/>
          </w:tcPr>
          <w:p w:rsidR="0036754C" w:rsidRPr="00D86B9C" w:rsidRDefault="0036754C" w:rsidP="00743F85">
            <w:pPr>
              <w:pStyle w:val="TableParagraph"/>
              <w:spacing w:line="290" w:lineRule="exact"/>
              <w:ind w:left="121"/>
              <w:rPr>
                <w:sz w:val="24"/>
                <w:szCs w:val="24"/>
                <w:lang w:val="ru-RU"/>
              </w:rPr>
            </w:pPr>
            <w:r w:rsidRPr="00D86B9C">
              <w:rPr>
                <w:sz w:val="24"/>
                <w:szCs w:val="24"/>
                <w:lang w:val="ru-RU"/>
              </w:rPr>
              <w:t>Объем налоговых расходов (льгот</w:t>
            </w:r>
            <w:r w:rsidRPr="00D86B9C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D86B9C">
              <w:rPr>
                <w:sz w:val="24"/>
                <w:szCs w:val="24"/>
                <w:lang w:val="ru-RU"/>
              </w:rPr>
              <w:t>и</w:t>
            </w:r>
          </w:p>
          <w:p w:rsidR="0036754C" w:rsidRPr="00D86B9C" w:rsidRDefault="0036754C" w:rsidP="0036754C">
            <w:pPr>
              <w:pStyle w:val="TableParagraph"/>
              <w:spacing w:before="3" w:line="322" w:lineRule="exact"/>
              <w:ind w:left="125" w:right="558"/>
              <w:rPr>
                <w:sz w:val="24"/>
                <w:szCs w:val="24"/>
                <w:lang w:val="ru-RU"/>
              </w:rPr>
            </w:pPr>
            <w:r w:rsidRPr="00D86B9C">
              <w:rPr>
                <w:sz w:val="24"/>
                <w:szCs w:val="24"/>
                <w:lang w:val="ru-RU"/>
              </w:rPr>
              <w:t>пониженных ставок), установленных муниципальными правовыми актами, из них: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9253C" w:rsidRPr="00D86B9C" w:rsidRDefault="00F9253C" w:rsidP="000A55E7">
            <w:pPr>
              <w:pStyle w:val="TableParagraph"/>
              <w:spacing w:line="291" w:lineRule="exact"/>
              <w:ind w:right="100"/>
              <w:jc w:val="center"/>
              <w:rPr>
                <w:sz w:val="24"/>
                <w:szCs w:val="24"/>
                <w:lang w:val="ru-RU"/>
              </w:rPr>
            </w:pPr>
            <w:r w:rsidRPr="00D86B9C">
              <w:rPr>
                <w:sz w:val="24"/>
                <w:szCs w:val="24"/>
                <w:lang w:val="ru-RU"/>
              </w:rPr>
              <w:t>32 749,0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9253C" w:rsidRPr="00D86B9C" w:rsidRDefault="000A55E7" w:rsidP="000A55E7">
            <w:pPr>
              <w:pStyle w:val="TableParagraph"/>
              <w:spacing w:line="286" w:lineRule="exact"/>
              <w:ind w:right="1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100,0</w:t>
            </w:r>
          </w:p>
        </w:tc>
      </w:tr>
      <w:tr w:rsidR="0036754C" w:rsidRPr="00D86B9C" w:rsidTr="00C82B9C">
        <w:trPr>
          <w:trHeight w:val="637"/>
        </w:trPr>
        <w:tc>
          <w:tcPr>
            <w:tcW w:w="672" w:type="dxa"/>
          </w:tcPr>
          <w:p w:rsidR="0036754C" w:rsidRPr="000A55E7" w:rsidRDefault="0036754C" w:rsidP="00743F85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36754C" w:rsidRPr="000A55E7" w:rsidRDefault="0036754C" w:rsidP="00743F85">
            <w:pPr>
              <w:pStyle w:val="TableParagraph"/>
              <w:spacing w:before="1" w:line="318" w:lineRule="exact"/>
              <w:ind w:left="41"/>
              <w:jc w:val="center"/>
              <w:rPr>
                <w:sz w:val="24"/>
                <w:szCs w:val="24"/>
              </w:rPr>
            </w:pPr>
            <w:r w:rsidRPr="000A55E7">
              <w:rPr>
                <w:w w:val="83"/>
                <w:sz w:val="24"/>
                <w:szCs w:val="24"/>
              </w:rPr>
              <w:t>1</w:t>
            </w:r>
          </w:p>
        </w:tc>
        <w:tc>
          <w:tcPr>
            <w:tcW w:w="6411" w:type="dxa"/>
          </w:tcPr>
          <w:p w:rsidR="0036754C" w:rsidRPr="00D86B9C" w:rsidRDefault="0036754C" w:rsidP="00743F85">
            <w:pPr>
              <w:pStyle w:val="TableParagraph"/>
              <w:tabs>
                <w:tab w:val="left" w:pos="1777"/>
                <w:tab w:val="left" w:pos="3196"/>
                <w:tab w:val="left" w:pos="4389"/>
              </w:tabs>
              <w:spacing w:line="300" w:lineRule="exact"/>
              <w:ind w:left="122"/>
              <w:rPr>
                <w:i/>
                <w:sz w:val="24"/>
                <w:szCs w:val="24"/>
                <w:lang w:val="ru-RU"/>
              </w:rPr>
            </w:pPr>
            <w:r w:rsidRPr="00D86B9C">
              <w:rPr>
                <w:i/>
                <w:sz w:val="24"/>
                <w:szCs w:val="24"/>
                <w:lang w:val="ru-RU"/>
              </w:rPr>
              <w:t>Социальные</w:t>
            </w:r>
            <w:r w:rsidRPr="00D86B9C">
              <w:rPr>
                <w:i/>
                <w:sz w:val="24"/>
                <w:szCs w:val="24"/>
                <w:lang w:val="ru-RU"/>
              </w:rPr>
              <w:tab/>
              <w:t>налоговые</w:t>
            </w:r>
            <w:r w:rsidRPr="00D86B9C">
              <w:rPr>
                <w:i/>
                <w:sz w:val="24"/>
                <w:szCs w:val="24"/>
                <w:lang w:val="ru-RU"/>
              </w:rPr>
              <w:tab/>
              <w:t>расходы</w:t>
            </w:r>
            <w:r w:rsidR="00771740" w:rsidRPr="00D86B9C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D86B9C">
              <w:rPr>
                <w:i/>
                <w:sz w:val="24"/>
                <w:szCs w:val="24"/>
                <w:lang w:val="ru-RU"/>
              </w:rPr>
              <w:t>(им</w:t>
            </w:r>
            <w:r w:rsidRPr="00D86B9C">
              <w:rPr>
                <w:i/>
                <w:sz w:val="24"/>
                <w:szCs w:val="24"/>
              </w:rPr>
              <w:t>e</w:t>
            </w:r>
            <w:r w:rsidRPr="00D86B9C">
              <w:rPr>
                <w:i/>
                <w:sz w:val="24"/>
                <w:szCs w:val="24"/>
                <w:lang w:val="ru-RU"/>
              </w:rPr>
              <w:t>ют</w:t>
            </w:r>
          </w:p>
          <w:p w:rsidR="0036754C" w:rsidRPr="00D86B9C" w:rsidRDefault="0036754C" w:rsidP="00743F85">
            <w:pPr>
              <w:pStyle w:val="TableParagraph"/>
              <w:spacing w:line="318" w:lineRule="exact"/>
              <w:ind w:left="124"/>
              <w:rPr>
                <w:i/>
                <w:sz w:val="24"/>
                <w:szCs w:val="24"/>
                <w:lang w:val="ru-RU"/>
              </w:rPr>
            </w:pPr>
            <w:r w:rsidRPr="00D86B9C">
              <w:rPr>
                <w:i/>
                <w:sz w:val="24"/>
                <w:szCs w:val="24"/>
                <w:lang w:val="ru-RU"/>
              </w:rPr>
              <w:t>социальную направленность)</w:t>
            </w:r>
          </w:p>
        </w:tc>
        <w:tc>
          <w:tcPr>
            <w:tcW w:w="1134" w:type="dxa"/>
            <w:vAlign w:val="center"/>
          </w:tcPr>
          <w:p w:rsidR="0036754C" w:rsidRPr="00D86B9C" w:rsidRDefault="00EF3B18" w:rsidP="000A55E7">
            <w:pPr>
              <w:pStyle w:val="TableParagraph"/>
              <w:spacing w:line="300" w:lineRule="exact"/>
              <w:ind w:right="91"/>
              <w:jc w:val="center"/>
              <w:rPr>
                <w:sz w:val="24"/>
                <w:szCs w:val="24"/>
                <w:lang w:val="ru-RU"/>
              </w:rPr>
            </w:pPr>
            <w:r w:rsidRPr="00D86B9C">
              <w:rPr>
                <w:sz w:val="24"/>
                <w:szCs w:val="24"/>
                <w:lang w:val="ru-RU"/>
              </w:rPr>
              <w:t>6 107,0</w:t>
            </w:r>
          </w:p>
        </w:tc>
        <w:tc>
          <w:tcPr>
            <w:tcW w:w="992" w:type="dxa"/>
            <w:vAlign w:val="center"/>
          </w:tcPr>
          <w:p w:rsidR="0036754C" w:rsidRPr="00D86B9C" w:rsidRDefault="00D86B9C" w:rsidP="000A55E7">
            <w:pPr>
              <w:pStyle w:val="TableParagraph"/>
              <w:spacing w:line="295" w:lineRule="exact"/>
              <w:ind w:right="17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18,7</w:t>
            </w:r>
          </w:p>
        </w:tc>
      </w:tr>
      <w:tr w:rsidR="0036754C" w:rsidRPr="00D86B9C" w:rsidTr="00C82B9C">
        <w:trPr>
          <w:trHeight w:val="502"/>
        </w:trPr>
        <w:tc>
          <w:tcPr>
            <w:tcW w:w="672" w:type="dxa"/>
          </w:tcPr>
          <w:p w:rsidR="0036754C" w:rsidRPr="000A55E7" w:rsidRDefault="0036754C" w:rsidP="00743F85">
            <w:pPr>
              <w:pStyle w:val="TableParagraph"/>
              <w:spacing w:before="5"/>
              <w:rPr>
                <w:sz w:val="24"/>
                <w:szCs w:val="24"/>
                <w:lang w:val="ru-RU"/>
              </w:rPr>
            </w:pPr>
          </w:p>
          <w:p w:rsidR="0036754C" w:rsidRPr="000A55E7" w:rsidRDefault="0036754C" w:rsidP="00743F85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  <w:r w:rsidRPr="000A55E7">
              <w:rPr>
                <w:color w:val="282828"/>
                <w:w w:val="88"/>
                <w:sz w:val="24"/>
                <w:szCs w:val="24"/>
              </w:rPr>
              <w:t>2</w:t>
            </w:r>
          </w:p>
        </w:tc>
        <w:tc>
          <w:tcPr>
            <w:tcW w:w="6411" w:type="dxa"/>
          </w:tcPr>
          <w:p w:rsidR="0036754C" w:rsidRPr="00D86B9C" w:rsidRDefault="0036754C" w:rsidP="00771740">
            <w:pPr>
              <w:pStyle w:val="TableParagraph"/>
              <w:spacing w:line="305" w:lineRule="exact"/>
              <w:ind w:left="136"/>
              <w:rPr>
                <w:i/>
                <w:sz w:val="24"/>
                <w:szCs w:val="24"/>
                <w:lang w:val="ru-RU"/>
              </w:rPr>
            </w:pPr>
            <w:r w:rsidRPr="00D86B9C">
              <w:rPr>
                <w:i/>
                <w:sz w:val="24"/>
                <w:szCs w:val="24"/>
                <w:lang w:val="ru-RU"/>
              </w:rPr>
              <w:t>Технические налоговые расходы</w:t>
            </w:r>
            <w:r w:rsidR="00771740" w:rsidRPr="00D86B9C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D86B9C">
              <w:rPr>
                <w:i/>
                <w:sz w:val="24"/>
                <w:szCs w:val="24"/>
                <w:lang w:val="ru-RU"/>
              </w:rPr>
              <w:t>(направленные на исключение встречных финансовых потоков)</w:t>
            </w:r>
          </w:p>
        </w:tc>
        <w:tc>
          <w:tcPr>
            <w:tcW w:w="1134" w:type="dxa"/>
            <w:vAlign w:val="center"/>
          </w:tcPr>
          <w:p w:rsidR="0036754C" w:rsidRPr="00D86B9C" w:rsidRDefault="00C602EC" w:rsidP="000A55E7">
            <w:pPr>
              <w:pStyle w:val="TableParagraph"/>
              <w:spacing w:line="300" w:lineRule="exact"/>
              <w:ind w:right="97"/>
              <w:jc w:val="center"/>
              <w:rPr>
                <w:sz w:val="24"/>
                <w:szCs w:val="24"/>
                <w:lang w:val="ru-RU"/>
              </w:rPr>
            </w:pPr>
            <w:r w:rsidRPr="00D86B9C">
              <w:rPr>
                <w:sz w:val="24"/>
                <w:szCs w:val="24"/>
                <w:lang w:val="ru-RU"/>
              </w:rPr>
              <w:t>25 221,0</w:t>
            </w:r>
          </w:p>
        </w:tc>
        <w:tc>
          <w:tcPr>
            <w:tcW w:w="992" w:type="dxa"/>
            <w:vAlign w:val="center"/>
          </w:tcPr>
          <w:p w:rsidR="0036754C" w:rsidRPr="00D86B9C" w:rsidRDefault="00C602EC" w:rsidP="000A55E7">
            <w:pPr>
              <w:pStyle w:val="TableParagraph"/>
              <w:spacing w:line="300" w:lineRule="exact"/>
              <w:ind w:right="112"/>
              <w:jc w:val="center"/>
              <w:rPr>
                <w:sz w:val="24"/>
                <w:szCs w:val="24"/>
                <w:lang w:val="ru-RU"/>
              </w:rPr>
            </w:pPr>
            <w:r w:rsidRPr="00D86B9C">
              <w:rPr>
                <w:sz w:val="24"/>
                <w:szCs w:val="24"/>
                <w:lang w:val="ru-RU"/>
              </w:rPr>
              <w:t>77,0</w:t>
            </w:r>
          </w:p>
        </w:tc>
      </w:tr>
      <w:tr w:rsidR="0036754C" w:rsidRPr="00D86B9C" w:rsidTr="00C82B9C">
        <w:trPr>
          <w:trHeight w:val="786"/>
        </w:trPr>
        <w:tc>
          <w:tcPr>
            <w:tcW w:w="672" w:type="dxa"/>
          </w:tcPr>
          <w:p w:rsidR="0036754C" w:rsidRPr="000A55E7" w:rsidRDefault="0036754C" w:rsidP="00743F85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36754C" w:rsidRPr="000A55E7" w:rsidRDefault="0036754C" w:rsidP="00743F85">
            <w:pPr>
              <w:pStyle w:val="TableParagraph"/>
              <w:spacing w:before="1"/>
              <w:ind w:left="54"/>
              <w:jc w:val="center"/>
              <w:rPr>
                <w:sz w:val="24"/>
                <w:szCs w:val="24"/>
              </w:rPr>
            </w:pPr>
            <w:r w:rsidRPr="000A55E7">
              <w:rPr>
                <w:color w:val="181818"/>
                <w:w w:val="89"/>
                <w:sz w:val="24"/>
                <w:szCs w:val="24"/>
              </w:rPr>
              <w:t>3</w:t>
            </w:r>
          </w:p>
        </w:tc>
        <w:tc>
          <w:tcPr>
            <w:tcW w:w="6411" w:type="dxa"/>
          </w:tcPr>
          <w:p w:rsidR="0036754C" w:rsidRPr="00D86B9C" w:rsidRDefault="0036754C" w:rsidP="00743F85">
            <w:pPr>
              <w:pStyle w:val="TableParagraph"/>
              <w:spacing w:line="300" w:lineRule="exact"/>
              <w:ind w:left="127"/>
              <w:rPr>
                <w:i/>
                <w:sz w:val="24"/>
                <w:szCs w:val="24"/>
                <w:lang w:val="ru-RU"/>
              </w:rPr>
            </w:pPr>
            <w:r w:rsidRPr="00D86B9C">
              <w:rPr>
                <w:i/>
                <w:sz w:val="24"/>
                <w:szCs w:val="24"/>
                <w:lang w:val="ru-RU"/>
              </w:rPr>
              <w:t>Стимулирующие налоговые</w:t>
            </w:r>
            <w:r w:rsidRPr="00D86B9C">
              <w:rPr>
                <w:i/>
                <w:spacing w:val="51"/>
                <w:sz w:val="24"/>
                <w:szCs w:val="24"/>
                <w:lang w:val="ru-RU"/>
              </w:rPr>
              <w:t xml:space="preserve"> </w:t>
            </w:r>
            <w:r w:rsidRPr="00D86B9C">
              <w:rPr>
                <w:i/>
                <w:sz w:val="24"/>
                <w:szCs w:val="24"/>
                <w:lang w:val="ru-RU"/>
              </w:rPr>
              <w:t>расходы</w:t>
            </w:r>
          </w:p>
          <w:p w:rsidR="0036754C" w:rsidRPr="00D86B9C" w:rsidRDefault="0036754C" w:rsidP="00743F85">
            <w:pPr>
              <w:pStyle w:val="TableParagraph"/>
              <w:ind w:left="134" w:firstLine="2"/>
              <w:rPr>
                <w:i/>
                <w:sz w:val="24"/>
                <w:szCs w:val="24"/>
                <w:lang w:val="ru-RU"/>
              </w:rPr>
            </w:pPr>
            <w:r w:rsidRPr="00D86B9C">
              <w:rPr>
                <w:i/>
                <w:sz w:val="24"/>
                <w:szCs w:val="24"/>
                <w:lang w:val="ru-RU"/>
              </w:rPr>
              <w:t xml:space="preserve">(направленные на поддержку </w:t>
            </w:r>
            <w:r w:rsidRPr="00D86B9C">
              <w:rPr>
                <w:i/>
                <w:color w:val="151515"/>
                <w:sz w:val="24"/>
                <w:szCs w:val="24"/>
                <w:lang w:val="ru-RU"/>
              </w:rPr>
              <w:t xml:space="preserve">и </w:t>
            </w:r>
            <w:r w:rsidRPr="00D86B9C">
              <w:rPr>
                <w:i/>
                <w:sz w:val="24"/>
                <w:szCs w:val="24"/>
                <w:lang w:val="ru-RU"/>
              </w:rPr>
              <w:t>развитие экономики города)</w:t>
            </w:r>
          </w:p>
        </w:tc>
        <w:tc>
          <w:tcPr>
            <w:tcW w:w="1134" w:type="dxa"/>
            <w:vAlign w:val="center"/>
          </w:tcPr>
          <w:p w:rsidR="0036754C" w:rsidRPr="00D86B9C" w:rsidRDefault="003E2993" w:rsidP="000A55E7">
            <w:pPr>
              <w:pStyle w:val="TableParagraph"/>
              <w:spacing w:line="300" w:lineRule="exact"/>
              <w:ind w:right="96"/>
              <w:jc w:val="center"/>
              <w:rPr>
                <w:sz w:val="24"/>
                <w:szCs w:val="24"/>
                <w:lang w:val="ru-RU"/>
              </w:rPr>
            </w:pPr>
            <w:r w:rsidRPr="00D86B9C">
              <w:rPr>
                <w:sz w:val="24"/>
                <w:szCs w:val="24"/>
                <w:lang w:val="ru-RU"/>
              </w:rPr>
              <w:t>1 421,0</w:t>
            </w:r>
          </w:p>
        </w:tc>
        <w:tc>
          <w:tcPr>
            <w:tcW w:w="992" w:type="dxa"/>
            <w:vAlign w:val="center"/>
          </w:tcPr>
          <w:p w:rsidR="0036754C" w:rsidRPr="00D86B9C" w:rsidRDefault="00D86B9C" w:rsidP="000A55E7">
            <w:pPr>
              <w:pStyle w:val="TableParagraph"/>
              <w:spacing w:line="295" w:lineRule="exact"/>
              <w:ind w:right="2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4,3</w:t>
            </w:r>
          </w:p>
        </w:tc>
      </w:tr>
    </w:tbl>
    <w:p w:rsidR="0036754C" w:rsidRPr="00EF44BD" w:rsidRDefault="0036754C" w:rsidP="0036754C">
      <w:pPr>
        <w:pStyle w:val="a4"/>
        <w:rPr>
          <w:sz w:val="26"/>
          <w:szCs w:val="26"/>
        </w:rPr>
      </w:pPr>
    </w:p>
    <w:p w:rsidR="00771740" w:rsidRPr="00EF44BD" w:rsidRDefault="0036754C" w:rsidP="000A55E7">
      <w:pPr>
        <w:tabs>
          <w:tab w:val="left" w:pos="2365"/>
          <w:tab w:val="left" w:pos="2469"/>
          <w:tab w:val="left" w:pos="3309"/>
          <w:tab w:val="left" w:pos="3950"/>
          <w:tab w:val="left" w:pos="4785"/>
          <w:tab w:val="left" w:pos="5152"/>
          <w:tab w:val="left" w:pos="6078"/>
          <w:tab w:val="left" w:pos="6150"/>
          <w:tab w:val="left" w:pos="6410"/>
          <w:tab w:val="left" w:pos="6493"/>
          <w:tab w:val="left" w:pos="7180"/>
          <w:tab w:val="left" w:pos="7600"/>
          <w:tab w:val="left" w:pos="7917"/>
          <w:tab w:val="left" w:pos="8846"/>
          <w:tab w:val="left" w:pos="953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hAnsi="Times New Roman" w:cs="Times New Roman"/>
          <w:sz w:val="26"/>
          <w:szCs w:val="26"/>
        </w:rPr>
        <w:t>Основной</w:t>
      </w:r>
      <w:r w:rsidRPr="00EF44BD">
        <w:rPr>
          <w:rFonts w:ascii="Times New Roman" w:hAnsi="Times New Roman" w:cs="Times New Roman"/>
          <w:sz w:val="26"/>
          <w:szCs w:val="26"/>
        </w:rPr>
        <w:tab/>
        <w:t>объем</w:t>
      </w:r>
      <w:r w:rsidRPr="00EF44BD">
        <w:rPr>
          <w:rFonts w:ascii="Times New Roman" w:hAnsi="Times New Roman" w:cs="Times New Roman"/>
          <w:sz w:val="26"/>
          <w:szCs w:val="26"/>
        </w:rPr>
        <w:tab/>
        <w:t>налоговых</w:t>
      </w:r>
      <w:r w:rsidRPr="00EF44BD">
        <w:rPr>
          <w:rFonts w:ascii="Times New Roman" w:hAnsi="Times New Roman" w:cs="Times New Roman"/>
          <w:sz w:val="26"/>
          <w:szCs w:val="26"/>
        </w:rPr>
        <w:tab/>
        <w:t>расходов</w:t>
      </w:r>
      <w:r w:rsidRPr="00EF44BD">
        <w:rPr>
          <w:rFonts w:ascii="Times New Roman" w:hAnsi="Times New Roman" w:cs="Times New Roman"/>
          <w:sz w:val="26"/>
          <w:szCs w:val="26"/>
        </w:rPr>
        <w:tab/>
      </w:r>
      <w:r w:rsidRPr="00EF44BD">
        <w:rPr>
          <w:rFonts w:ascii="Times New Roman" w:hAnsi="Times New Roman" w:cs="Times New Roman"/>
          <w:color w:val="0C0C0C"/>
          <w:sz w:val="26"/>
          <w:szCs w:val="26"/>
        </w:rPr>
        <w:t>в</w:t>
      </w:r>
      <w:r w:rsidRPr="00EF44BD">
        <w:rPr>
          <w:rFonts w:ascii="Times New Roman" w:hAnsi="Times New Roman" w:cs="Times New Roman"/>
          <w:color w:val="0C0C0C"/>
          <w:sz w:val="26"/>
          <w:szCs w:val="26"/>
        </w:rPr>
        <w:tab/>
      </w:r>
      <w:r w:rsidRPr="00EF44BD">
        <w:rPr>
          <w:rFonts w:ascii="Times New Roman" w:hAnsi="Times New Roman" w:cs="Times New Roman"/>
          <w:sz w:val="26"/>
          <w:szCs w:val="26"/>
        </w:rPr>
        <w:t>20</w:t>
      </w:r>
      <w:r w:rsidR="00771740" w:rsidRPr="00EF44BD">
        <w:rPr>
          <w:rFonts w:ascii="Times New Roman" w:hAnsi="Times New Roman" w:cs="Times New Roman"/>
          <w:sz w:val="26"/>
          <w:szCs w:val="26"/>
        </w:rPr>
        <w:t>20</w:t>
      </w:r>
      <w:r w:rsidRPr="00EF44BD">
        <w:rPr>
          <w:rFonts w:ascii="Times New Roman" w:hAnsi="Times New Roman" w:cs="Times New Roman"/>
          <w:sz w:val="26"/>
          <w:szCs w:val="26"/>
        </w:rPr>
        <w:tab/>
        <w:t>году</w:t>
      </w:r>
      <w:r w:rsidRPr="00EF44BD">
        <w:rPr>
          <w:rFonts w:ascii="Times New Roman" w:hAnsi="Times New Roman" w:cs="Times New Roman"/>
          <w:sz w:val="26"/>
          <w:szCs w:val="26"/>
        </w:rPr>
        <w:tab/>
        <w:t>приходится</w:t>
      </w:r>
      <w:r w:rsidR="00594EAB" w:rsidRPr="00EF44BD">
        <w:rPr>
          <w:rFonts w:ascii="Times New Roman" w:hAnsi="Times New Roman" w:cs="Times New Roman"/>
          <w:sz w:val="26"/>
          <w:szCs w:val="26"/>
        </w:rPr>
        <w:t xml:space="preserve"> </w:t>
      </w:r>
      <w:r w:rsidRPr="00EF44BD">
        <w:rPr>
          <w:rFonts w:ascii="Times New Roman" w:hAnsi="Times New Roman" w:cs="Times New Roman"/>
          <w:color w:val="0F0F0F"/>
          <w:spacing w:val="-9"/>
          <w:w w:val="95"/>
          <w:sz w:val="26"/>
          <w:szCs w:val="26"/>
        </w:rPr>
        <w:t xml:space="preserve">на </w:t>
      </w:r>
      <w:r w:rsidR="00771740" w:rsidRPr="00EF44BD">
        <w:rPr>
          <w:rFonts w:ascii="Times New Roman" w:hAnsi="Times New Roman" w:cs="Times New Roman"/>
          <w:sz w:val="26"/>
          <w:szCs w:val="26"/>
        </w:rPr>
        <w:t>технические</w:t>
      </w:r>
      <w:r w:rsidRPr="00EF44BD">
        <w:rPr>
          <w:rFonts w:ascii="Times New Roman" w:hAnsi="Times New Roman" w:cs="Times New Roman"/>
          <w:sz w:val="26"/>
          <w:szCs w:val="26"/>
        </w:rPr>
        <w:tab/>
        <w:t>налоговые</w:t>
      </w:r>
      <w:r w:rsidRPr="00EF44BD">
        <w:rPr>
          <w:rFonts w:ascii="Times New Roman" w:hAnsi="Times New Roman" w:cs="Times New Roman"/>
          <w:sz w:val="26"/>
          <w:szCs w:val="26"/>
        </w:rPr>
        <w:tab/>
        <w:t>расходы</w:t>
      </w:r>
      <w:r w:rsidR="002144F4" w:rsidRPr="00EF44BD">
        <w:rPr>
          <w:rFonts w:ascii="Times New Roman" w:hAnsi="Times New Roman" w:cs="Times New Roman"/>
          <w:sz w:val="26"/>
          <w:szCs w:val="26"/>
        </w:rPr>
        <w:t xml:space="preserve"> </w:t>
      </w:r>
      <w:r w:rsidRPr="0010777E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10777E" w:rsidRPr="0010777E">
        <w:rPr>
          <w:rFonts w:ascii="Times New Roman" w:hAnsi="Times New Roman" w:cs="Times New Roman"/>
          <w:color w:val="000000" w:themeColor="text1"/>
          <w:sz w:val="26"/>
          <w:szCs w:val="26"/>
        </w:rPr>
        <w:t>77</w:t>
      </w:r>
      <w:r w:rsidRPr="0010777E">
        <w:rPr>
          <w:rFonts w:ascii="Times New Roman" w:hAnsi="Times New Roman" w:cs="Times New Roman"/>
          <w:color w:val="000000" w:themeColor="text1"/>
          <w:sz w:val="26"/>
          <w:szCs w:val="26"/>
        </w:rPr>
        <w:t>%),</w:t>
      </w:r>
      <w:r w:rsidR="00EF44BD" w:rsidRPr="0010777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F44BD">
        <w:rPr>
          <w:rFonts w:ascii="Times New Roman" w:hAnsi="Times New Roman" w:cs="Times New Roman"/>
          <w:sz w:val="26"/>
          <w:szCs w:val="26"/>
        </w:rPr>
        <w:t>в</w:t>
      </w:r>
      <w:r w:rsidRPr="00EF44BD">
        <w:rPr>
          <w:rFonts w:ascii="Times New Roman" w:hAnsi="Times New Roman" w:cs="Times New Roman"/>
          <w:sz w:val="26"/>
          <w:szCs w:val="26"/>
        </w:rPr>
        <w:tab/>
      </w:r>
      <w:r w:rsidRPr="00EF44BD">
        <w:rPr>
          <w:rFonts w:ascii="Times New Roman" w:hAnsi="Times New Roman" w:cs="Times New Roman"/>
          <w:sz w:val="26"/>
          <w:szCs w:val="26"/>
        </w:rPr>
        <w:tab/>
        <w:t>составе</w:t>
      </w:r>
      <w:r w:rsidRPr="00EF44BD">
        <w:rPr>
          <w:rFonts w:ascii="Times New Roman" w:hAnsi="Times New Roman" w:cs="Times New Roman"/>
          <w:sz w:val="26"/>
          <w:szCs w:val="26"/>
        </w:rPr>
        <w:tab/>
        <w:t>которых</w:t>
      </w:r>
      <w:r w:rsidR="00594EAB" w:rsidRPr="00EF44BD">
        <w:rPr>
          <w:rFonts w:ascii="Times New Roman" w:hAnsi="Times New Roman" w:cs="Times New Roman"/>
          <w:sz w:val="26"/>
          <w:szCs w:val="26"/>
        </w:rPr>
        <w:t xml:space="preserve"> </w:t>
      </w:r>
      <w:r w:rsidRPr="00EF44BD">
        <w:rPr>
          <w:rFonts w:ascii="Times New Roman" w:hAnsi="Times New Roman" w:cs="Times New Roman"/>
          <w:sz w:val="26"/>
          <w:szCs w:val="26"/>
        </w:rPr>
        <w:t>100% налоговые расходы по земельному</w:t>
      </w:r>
      <w:r w:rsidRPr="00EF44BD">
        <w:rPr>
          <w:rFonts w:ascii="Times New Roman" w:hAnsi="Times New Roman" w:cs="Times New Roman"/>
          <w:spacing w:val="-38"/>
          <w:sz w:val="26"/>
          <w:szCs w:val="26"/>
        </w:rPr>
        <w:t xml:space="preserve"> </w:t>
      </w:r>
      <w:r w:rsidRPr="00EF44BD">
        <w:rPr>
          <w:rFonts w:ascii="Times New Roman" w:hAnsi="Times New Roman" w:cs="Times New Roman"/>
          <w:sz w:val="26"/>
          <w:szCs w:val="26"/>
        </w:rPr>
        <w:t>налогу</w:t>
      </w:r>
      <w:r w:rsidR="00771740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организаций для </w:t>
      </w:r>
      <w:r w:rsidR="004C3133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органов местного </w:t>
      </w:r>
      <w:r w:rsidR="004C3133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самоуправления, </w:t>
      </w:r>
      <w:r w:rsidR="00771740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муниципальных бюджетных и автономных учреждений, осуществляющих свою деят</w:t>
      </w:r>
      <w:r w:rsidR="00EF44B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ельность в сфере: образования, </w:t>
      </w:r>
      <w:r w:rsidR="00771740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культуры, физической культуры и </w:t>
      </w:r>
      <w:r w:rsidR="00EF44B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спорта,</w:t>
      </w:r>
      <w:r w:rsidR="00771740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финансируемых за счет средств местного бюджета.</w:t>
      </w:r>
    </w:p>
    <w:p w:rsidR="009B5BC9" w:rsidRPr="00EF44BD" w:rsidRDefault="009B5BC9" w:rsidP="009E2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 же налоговые расходы приходятся на следующие категории:</w:t>
      </w:r>
    </w:p>
    <w:p w:rsidR="009B5BC9" w:rsidRPr="0010777E" w:rsidRDefault="009B5BC9" w:rsidP="000A55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5B45B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социальные налоговые расходы, которые представлены налоговыми льготами по земельному налогу с физических лиц и налогу на имущество физических лиц для социально незащищенных слоев населения в размере </w:t>
      </w:r>
      <w:r w:rsidR="00D86B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18,7</w:t>
      </w:r>
      <w:r w:rsidRPr="0010777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%;</w:t>
      </w:r>
    </w:p>
    <w:p w:rsidR="009B5BC9" w:rsidRPr="00EF44BD" w:rsidRDefault="009B5BC9" w:rsidP="000A55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5B45B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стимулирующие налоговые расходы, которые представлены налоговыми льготами по земельному налогу</w:t>
      </w:r>
      <w:r w:rsidR="00EF44B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71740" w:rsidRPr="00EF44BD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организаций и физических лиц, использующих земельные участки для реализации инвестиционных проектов и социально ориентированных некоммерческих организаций </w:t>
      </w:r>
      <w:r w:rsidRPr="0010777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</w:t>
      </w:r>
      <w:r w:rsidR="00B75C7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размере </w:t>
      </w:r>
      <w:r w:rsidR="0010777E" w:rsidRPr="0010777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Pr="0010777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D86B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10777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%.</w:t>
      </w:r>
    </w:p>
    <w:p w:rsidR="00763D6F" w:rsidRPr="00EF44BD" w:rsidRDefault="00763D6F" w:rsidP="008C7E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B5BC9" w:rsidRPr="00EF44BD" w:rsidRDefault="009B5BC9" w:rsidP="00594EA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применения технических налоговых расходов город</w:t>
      </w:r>
      <w:r w:rsidR="008C7E83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Пыть-Яха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594EAB" w:rsidRPr="00EF44BD" w:rsidRDefault="00594EAB" w:rsidP="00594EAB">
      <w:pPr>
        <w:pStyle w:val="a6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94EAB" w:rsidRPr="00EF44BD" w:rsidRDefault="00594EAB" w:rsidP="004C31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Куратором технических налоговых расходов является комитет по финансам администрации города Пыть-Яха.</w:t>
      </w:r>
    </w:p>
    <w:p w:rsidR="00846B40" w:rsidRPr="00EF44BD" w:rsidRDefault="00846B40" w:rsidP="004C31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методическими рекомендациями Министерства финансов Российской Федерации указанный налоговый расход по земельному налогу отнесён к техническим налоговым расходам.</w:t>
      </w:r>
    </w:p>
    <w:p w:rsidR="009B5BC9" w:rsidRPr="00581801" w:rsidRDefault="009B5BC9" w:rsidP="004C31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Общая сумма поступлений земель</w:t>
      </w:r>
      <w:r w:rsidR="008C7E83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ного налога </w:t>
      </w:r>
      <w:r w:rsidR="008C7E83" w:rsidRPr="000E5A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организаций</w:t>
      </w:r>
      <w:r w:rsidR="008C7E83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 2020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 </w:t>
      </w:r>
      <w:r w:rsidR="008C7E83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0E5A04" w:rsidRPr="000E5A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8C7E83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5A04" w:rsidRPr="000E5A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343</w:t>
      </w:r>
      <w:r w:rsidR="008C7E83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,4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рублей, что составило </w:t>
      </w:r>
      <w:r w:rsidR="000E5A04" w:rsidRPr="000E5A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8C7E83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0E5A04" w:rsidRPr="000E5A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% от суммы налоговых и неналоговых поступлений в бюджет. Объем выпадающих доходов составил </w:t>
      </w:r>
      <w:r w:rsidR="00581801" w:rsidRPr="0058180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25 221,0</w:t>
      </w:r>
      <w:r w:rsidRPr="0058180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тыс. рублей или </w:t>
      </w:r>
      <w:r w:rsidR="00DF02F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0E12E7" w:rsidRPr="000833F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</w:t>
      </w:r>
      <w:r w:rsidRPr="0058180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0E12E7" w:rsidRPr="000833F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58180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 от общей суммы поступившего налога.</w:t>
      </w:r>
    </w:p>
    <w:p w:rsidR="009B5BC9" w:rsidRPr="00EF44BD" w:rsidRDefault="009B5BC9" w:rsidP="004C31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Среди юридических лиц, основной льготной категорией являются органы местного самоуправления и муниципальные учреждения, финансируемые за счет средств местного бюджета.</w:t>
      </w:r>
      <w:r w:rsidR="00594EAB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2020 году </w:t>
      </w:r>
      <w:r w:rsidR="00594EAB" w:rsidRPr="00D86B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льготой </w:t>
      </w:r>
      <w:r w:rsidR="00D86B9C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воспользовались 28</w:t>
      </w:r>
      <w:r w:rsidR="00594EAB" w:rsidRPr="00D86B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учреждений </w:t>
      </w:r>
      <w:r w:rsidR="00594EAB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города Пыть-Яха.</w:t>
      </w:r>
    </w:p>
    <w:p w:rsidR="00763D6F" w:rsidRPr="00EF44BD" w:rsidRDefault="009B5BC9" w:rsidP="00763D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Льгота по земельному налогу в виде полного освобождения от уплаты налога таких налогоплательщиков, обеспечивающих выполнение возложенных на них функциональных задач в интересах населения в различных сферах деятельности, выражается в оптимизации расходов местного бюджета на уплату местных налогов. </w:t>
      </w:r>
    </w:p>
    <w:p w:rsidR="00763D6F" w:rsidRPr="00EF44BD" w:rsidRDefault="00763D6F" w:rsidP="00763D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9B5BC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ценка данных налоговых расходов осуществляется по критерию- бюджетная эффективность и являются эффективной (положительной).</w:t>
      </w:r>
    </w:p>
    <w:p w:rsidR="009B5BC9" w:rsidRPr="00EF44BD" w:rsidRDefault="009B5BC9" w:rsidP="00763D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Бюджетная эффективность от предоставления данных налоговых льгот, позволяет сократить встречные финансовые потоки, а также способствует повышению уровня достижения результатов деятельности органов местного самоуправления в решении вопросов местного значения.</w:t>
      </w:r>
    </w:p>
    <w:p w:rsidR="009B5BC9" w:rsidRPr="00EF44BD" w:rsidRDefault="009B5BC9" w:rsidP="00763D6F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Вывод: поскольку указанный налоговый расход (налоговая льгота) востребован, при его предоставлении достигается ожидаемый результат, способствует устранению встречных финансовых потоков средств бюджета. Льготы данной категории ведут к снижению налоговой нагрузки на учреждения и способствуют сокращению расходов бюджета. Учитывая его высокую бюджетную эффективность, указанный вид налогового расхода в 20</w:t>
      </w:r>
      <w:r w:rsidR="00763D6F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признан целесообразным и эффективным. Предлагается сохранить льготу.</w:t>
      </w:r>
    </w:p>
    <w:p w:rsidR="009B5BC9" w:rsidRPr="00EF44BD" w:rsidRDefault="009B5BC9" w:rsidP="00D86B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II. Оценка эффективности применения социальных налоговых расходов </w:t>
      </w:r>
      <w:r w:rsidR="009F54B1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города Пыть-Яха</w:t>
      </w:r>
    </w:p>
    <w:p w:rsidR="009F54B1" w:rsidRPr="00EF44BD" w:rsidRDefault="009F54B1" w:rsidP="009F54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Кураторами социальных налоговых расходов являются </w:t>
      </w:r>
      <w:r w:rsidR="00FC4E1C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омитет по финансам и Управление по экономике администрации города Пыть-Яха.</w:t>
      </w:r>
    </w:p>
    <w:p w:rsidR="00846B40" w:rsidRPr="00EF44BD" w:rsidRDefault="00846B40" w:rsidP="00C678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методическими рекомендациями Министерства финансов Российской Федерации указанный налоговый расход по налогу на имущество физических лиц </w:t>
      </w:r>
      <w:r w:rsidR="00394C58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земельному налогу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отнесён к социальным налоговым расходам.</w:t>
      </w:r>
    </w:p>
    <w:p w:rsidR="009B5BC9" w:rsidRPr="00EF44BD" w:rsidRDefault="009B5BC9" w:rsidP="00C678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Социальные налоговые расходы установлены для налогоплательщиков - физических лиц, относящихся к социально незащищенным группам населения. Льготы носят заявительных характер. </w:t>
      </w:r>
    </w:p>
    <w:p w:rsidR="00C6785C" w:rsidRPr="00EF44BD" w:rsidRDefault="00C6785C" w:rsidP="00C678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Целью налогового расхода является повышение уровня и качества жизни граждан, нуждающихся в социальной поддержке.</w:t>
      </w:r>
    </w:p>
    <w:p w:rsidR="009B5BC9" w:rsidRPr="00EF44BD" w:rsidRDefault="009B5BC9" w:rsidP="00C6785C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Предоставленной налоговой льготой, </w:t>
      </w:r>
      <w:r w:rsidRPr="00D86B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воспользовались </w:t>
      </w:r>
      <w:r w:rsidR="00D86B9C" w:rsidRPr="00D86B9C">
        <w:rPr>
          <w:rFonts w:ascii="Times New Roman" w:eastAsia="Times New Roman" w:hAnsi="Times New Roman" w:cs="Times New Roman"/>
          <w:sz w:val="26"/>
          <w:szCs w:val="26"/>
          <w:lang w:eastAsia="ru-RU"/>
        </w:rPr>
        <w:t>8 84</w:t>
      </w:r>
      <w:r w:rsidR="00B0163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86B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льготника. </w:t>
      </w:r>
    </w:p>
    <w:p w:rsidR="00C6785C" w:rsidRPr="00EF44BD" w:rsidRDefault="00C6785C" w:rsidP="00C6785C">
      <w:pPr>
        <w:shd w:val="clear" w:color="auto" w:fill="FFFFFF"/>
        <w:spacing w:before="100" w:beforeAutospacing="1" w:after="100" w:afterAutospacing="1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Таблица 3</w:t>
      </w:r>
    </w:p>
    <w:tbl>
      <w:tblPr>
        <w:tblStyle w:val="a7"/>
        <w:tblW w:w="9622" w:type="dxa"/>
        <w:tblLayout w:type="fixed"/>
        <w:tblLook w:val="04A0" w:firstRow="1" w:lastRow="0" w:firstColumn="1" w:lastColumn="0" w:noHBand="0" w:noVBand="1"/>
      </w:tblPr>
      <w:tblGrid>
        <w:gridCol w:w="544"/>
        <w:gridCol w:w="2776"/>
        <w:gridCol w:w="3196"/>
        <w:gridCol w:w="1546"/>
        <w:gridCol w:w="1560"/>
      </w:tblGrid>
      <w:tr w:rsidR="00C6785C" w:rsidRPr="00EF44BD" w:rsidTr="00FC68F6">
        <w:tc>
          <w:tcPr>
            <w:tcW w:w="544" w:type="dxa"/>
          </w:tcPr>
          <w:p w:rsidR="00C6785C" w:rsidRPr="00EF44BD" w:rsidRDefault="00C6785C" w:rsidP="00394C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76" w:type="dxa"/>
          </w:tcPr>
          <w:p w:rsidR="00C6785C" w:rsidRPr="00EF44BD" w:rsidRDefault="00C6785C" w:rsidP="00394C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налогового расхода</w:t>
            </w:r>
          </w:p>
        </w:tc>
        <w:tc>
          <w:tcPr>
            <w:tcW w:w="3196" w:type="dxa"/>
          </w:tcPr>
          <w:p w:rsidR="00C6785C" w:rsidRPr="00EF44BD" w:rsidRDefault="00C6785C" w:rsidP="00394C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нормативно-правового акта</w:t>
            </w:r>
          </w:p>
        </w:tc>
        <w:tc>
          <w:tcPr>
            <w:tcW w:w="1546" w:type="dxa"/>
          </w:tcPr>
          <w:p w:rsidR="00C6785C" w:rsidRPr="00EF44BD" w:rsidRDefault="00C6785C" w:rsidP="00394C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выпадающих доходов за 2020 год, тыс. рублей</w:t>
            </w:r>
          </w:p>
        </w:tc>
        <w:tc>
          <w:tcPr>
            <w:tcW w:w="1560" w:type="dxa"/>
          </w:tcPr>
          <w:p w:rsidR="00C6785C" w:rsidRPr="00EF44BD" w:rsidRDefault="00C6785C" w:rsidP="00394C5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плательщиков налогов, воспользовавшихся налоговыми льготами, человек</w:t>
            </w:r>
          </w:p>
        </w:tc>
      </w:tr>
      <w:tr w:rsidR="00E74705" w:rsidRPr="00CD17DC" w:rsidTr="00FC68F6">
        <w:trPr>
          <w:trHeight w:val="1272"/>
        </w:trPr>
        <w:tc>
          <w:tcPr>
            <w:tcW w:w="544" w:type="dxa"/>
          </w:tcPr>
          <w:p w:rsidR="00E74705" w:rsidRPr="00EF44BD" w:rsidRDefault="00394C58" w:rsidP="00C678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6" w:type="dxa"/>
          </w:tcPr>
          <w:p w:rsidR="00E74705" w:rsidRPr="00EF44BD" w:rsidRDefault="003F0A10" w:rsidP="00E74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Отцы, воспитывающие детей без матерей и одинокие матери, имеющие детей в возрасте до 16 лет или учащихся общеобразовательных учреждений в во</w:t>
            </w:r>
            <w:r w:rsidR="00FC6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зрасте до 18 лет</w:t>
            </w:r>
            <w:r w:rsidR="00CD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</w:t>
            </w:r>
            <w:r w:rsidR="00CD17DC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есовершеннолетние лица </w:t>
            </w:r>
            <w:r w:rsidR="00FC6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размере 100%</w:t>
            </w:r>
          </w:p>
        </w:tc>
        <w:tc>
          <w:tcPr>
            <w:tcW w:w="3196" w:type="dxa"/>
          </w:tcPr>
          <w:p w:rsidR="004271F0" w:rsidRPr="00EF44BD" w:rsidRDefault="00394C58" w:rsidP="004271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п.6 абзац 2 </w:t>
            </w:r>
            <w:r w:rsidR="00CD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3 </w:t>
            </w: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74705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</w:t>
            </w: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E74705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Думы города Пыть-Яха от 20.11.2014 года № 292 </w:t>
            </w:r>
            <w:r w:rsidR="004271F0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 установлении налога на имущество физических лиц»</w:t>
            </w:r>
          </w:p>
          <w:p w:rsidR="00E74705" w:rsidRPr="00EF44BD" w:rsidRDefault="00E74705" w:rsidP="00C678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</w:tcPr>
          <w:p w:rsidR="00E74705" w:rsidRPr="00CD17DC" w:rsidRDefault="00372A0F" w:rsidP="00082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</w:t>
            </w:r>
          </w:p>
        </w:tc>
        <w:tc>
          <w:tcPr>
            <w:tcW w:w="1560" w:type="dxa"/>
          </w:tcPr>
          <w:p w:rsidR="00E74705" w:rsidRPr="00CD17DC" w:rsidRDefault="00082318" w:rsidP="00082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7 556</w:t>
            </w:r>
          </w:p>
        </w:tc>
      </w:tr>
      <w:tr w:rsidR="00394C58" w:rsidRPr="00EF44BD" w:rsidTr="00FC68F6">
        <w:tc>
          <w:tcPr>
            <w:tcW w:w="544" w:type="dxa"/>
          </w:tcPr>
          <w:p w:rsidR="00394C58" w:rsidRPr="00EF44BD" w:rsidRDefault="00CD17DC" w:rsidP="00C678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6" w:type="dxa"/>
          </w:tcPr>
          <w:p w:rsidR="00394C58" w:rsidRPr="00EF44BD" w:rsidRDefault="00394C58" w:rsidP="00C678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Ветераны и инвалиды ВОВ в отношении земельных участков, не используемых ими в предпринимательской деятельности. Многодетные семьи в отношении земельных участков, занятых под крестьянские (фермерские) хозяйства, малые предприятия и другие коммерческие </w:t>
            </w:r>
            <w:r w:rsidR="00FC6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структуры в размере 100%</w:t>
            </w:r>
          </w:p>
        </w:tc>
        <w:tc>
          <w:tcPr>
            <w:tcW w:w="3196" w:type="dxa"/>
          </w:tcPr>
          <w:p w:rsidR="00394C58" w:rsidRPr="00EF44BD" w:rsidRDefault="00F572B1" w:rsidP="00F572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r w:rsidR="00394C58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 п</w:t>
            </w: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п.</w:t>
            </w:r>
            <w:r w:rsidR="00394C58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5.1, 5.2   решения Думы города Пыть-Яха от 22.09.2008 № 330 «Об установлении земельного налога на территории муниципального образования городской округ город Пыть-Ях»</w:t>
            </w:r>
          </w:p>
        </w:tc>
        <w:tc>
          <w:tcPr>
            <w:tcW w:w="1546" w:type="dxa"/>
          </w:tcPr>
          <w:p w:rsidR="00394C58" w:rsidRPr="003E3760" w:rsidRDefault="00F517DE" w:rsidP="00082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560" w:type="dxa"/>
          </w:tcPr>
          <w:p w:rsidR="00394C58" w:rsidRPr="003E3760" w:rsidRDefault="00F517DE" w:rsidP="00082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</w:tr>
      <w:tr w:rsidR="00C6785C" w:rsidRPr="00EF44BD" w:rsidTr="00FC68F6">
        <w:tc>
          <w:tcPr>
            <w:tcW w:w="544" w:type="dxa"/>
          </w:tcPr>
          <w:p w:rsidR="00C6785C" w:rsidRPr="00EF44BD" w:rsidRDefault="00CD17DC" w:rsidP="00C678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6" w:type="dxa"/>
          </w:tcPr>
          <w:p w:rsidR="00C6785C" w:rsidRPr="00EF44BD" w:rsidRDefault="00394C58" w:rsidP="00C678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Неработающие пенсионеры, получающие трудовую пенсию по старости (возрасту), трудовую пенсию по случаю потери кормильца, имеющие земельные участки под гаражами на праве собственности, при наличии транспортного средства на пр</w:t>
            </w:r>
            <w:r w:rsidR="00FC6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аве собственности в размере 50%</w:t>
            </w:r>
          </w:p>
        </w:tc>
        <w:tc>
          <w:tcPr>
            <w:tcW w:w="3196" w:type="dxa"/>
          </w:tcPr>
          <w:p w:rsidR="00C6785C" w:rsidRPr="00EF44BD" w:rsidRDefault="00394C58" w:rsidP="00394C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r w:rsidR="00F572B1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решения</w:t>
            </w: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Думы города Пыть-Яха от 22.09.2008 № 330 «Об установлении земельного налога на территории муниципального образования городской округ город Пыть-Ях»</w:t>
            </w:r>
          </w:p>
        </w:tc>
        <w:tc>
          <w:tcPr>
            <w:tcW w:w="1546" w:type="dxa"/>
          </w:tcPr>
          <w:p w:rsidR="00C6785C" w:rsidRPr="00CD17DC" w:rsidRDefault="00082318" w:rsidP="00082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1560" w:type="dxa"/>
          </w:tcPr>
          <w:p w:rsidR="00C6785C" w:rsidRPr="00CD17DC" w:rsidRDefault="00082318" w:rsidP="00082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</w:t>
            </w:r>
          </w:p>
        </w:tc>
      </w:tr>
    </w:tbl>
    <w:p w:rsidR="00FC4E1C" w:rsidRPr="00EF44BD" w:rsidRDefault="00FC4E1C" w:rsidP="00FC4E1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F44B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ab/>
      </w:r>
    </w:p>
    <w:p w:rsidR="00FC4E1C" w:rsidRPr="00EF44BD" w:rsidRDefault="00FC4E1C" w:rsidP="00FC4E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Освобождение от налогообложения физических лиц указанных категорий не носит экономического характера и направлено на поддержку социально незащищённых </w:t>
      </w:r>
      <w:r w:rsidR="00EF44B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граждан, в связи с этим потери бюджета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равны его социальной эффективности.</w:t>
      </w:r>
    </w:p>
    <w:p w:rsidR="009B5BC9" w:rsidRPr="00EF44BD" w:rsidRDefault="009B5BC9" w:rsidP="00FC4E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Налоговые льготы в целом являются востребованными. В результате применения налоговой льготы одним физическим лицом, относящимся к категории социально незащищенного населения, получен дополнительный доход в среднем:</w:t>
      </w:r>
    </w:p>
    <w:p w:rsidR="009B5BC9" w:rsidRPr="00082318" w:rsidRDefault="00082318" w:rsidP="00FC4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6 107</w:t>
      </w:r>
      <w:r w:rsidR="009B5BC9" w:rsidRPr="000823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/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8 84</w:t>
      </w:r>
      <w:r w:rsidR="007F31F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B5BC9" w:rsidRPr="000823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 =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0,7</w:t>
      </w:r>
      <w:r w:rsidR="009B5BC9" w:rsidRPr="000823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9B5BC9" w:rsidRPr="00EF44BD" w:rsidRDefault="009B5BC9" w:rsidP="00FC4E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связи с чем, действие налогового расхода способствует поддержке уровня материальной обеспеченности и социальной защищенности малообеспеченных граждан, рост уровня и качества жизни, путем повышения уровня доходов социально незащищенных групп населения. </w:t>
      </w:r>
    </w:p>
    <w:p w:rsidR="00FC4E1C" w:rsidRPr="00EF44BD" w:rsidRDefault="00FC4E1C" w:rsidP="00FC4E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B5BC9" w:rsidRPr="00EF44BD" w:rsidRDefault="009B5BC9" w:rsidP="000823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Вывод: поскольку указанный налоговый расход отвечает общественным интересам и направлен на решение социальных задач </w:t>
      </w:r>
      <w:r w:rsidR="00D45436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города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повышению уровня и качества жизни малоимущих и социально незащищенных категорий граждан, социальная эффективность данной льготы признается приемлемой. Чтобы не допустить   в дальнейшем   ухудшения уровня доходов у социально незащищенных слоев населения, целесообразно сохранить имеющиеся льготы для указанных категорий.</w:t>
      </w:r>
    </w:p>
    <w:p w:rsidR="009B5BC9" w:rsidRPr="00EF44BD" w:rsidRDefault="009B5BC9" w:rsidP="00FC4E1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III. Оценка эффективности применения стимулирующих налоговых расходов </w:t>
      </w:r>
      <w:r w:rsidR="00FC4E1C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города Пыть-Яха</w:t>
      </w:r>
    </w:p>
    <w:p w:rsidR="00FC4E1C" w:rsidRPr="00EF44BD" w:rsidRDefault="00FC4E1C" w:rsidP="00FC4E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Кураторами стимулирующих налоговых расходов являются Управление по образованию и Управление по экономике администрации города Пыть-Яха.</w:t>
      </w:r>
    </w:p>
    <w:p w:rsidR="00FC4E1C" w:rsidRPr="00EF44BD" w:rsidRDefault="00FC4E1C" w:rsidP="00F50F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методическими рекомендациями Министерства финансов Российской Федерации указанный налогов</w:t>
      </w:r>
      <w:r w:rsidR="00EF44BD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ый расход по земельному налогу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отнесён к </w:t>
      </w:r>
      <w:r w:rsidR="00C82879"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стимулирующим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налоговым расходам.</w:t>
      </w:r>
    </w:p>
    <w:p w:rsidR="00F50F2E" w:rsidRPr="00EF44BD" w:rsidRDefault="009B5BC9" w:rsidP="00F50F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Целью применения данного налогового расхода является </w:t>
      </w:r>
      <w:r w:rsidR="00A8116E" w:rsidRPr="00EF44BD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создание благоприятных условий для реализации инвестиционных проектов в соответствии с Соглашением о защите и поощрении капиталовложений</w:t>
      </w:r>
      <w:r w:rsidR="00F50F2E" w:rsidRPr="00EF44BD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а также повышение </w:t>
      </w:r>
      <w:r w:rsidR="00F50F2E" w:rsidRPr="00EF44BD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эффективности реализации молодежной политики в интересах инновационного социально ориентированного развития города Пыть-Яха.</w:t>
      </w:r>
    </w:p>
    <w:p w:rsidR="00F50F2E" w:rsidRPr="00EF44BD" w:rsidRDefault="00F50F2E" w:rsidP="00F50F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F50F2E" w:rsidRPr="00EF44BD" w:rsidRDefault="00F50F2E" w:rsidP="00F50F2E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Таблица 4</w:t>
      </w: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544"/>
        <w:gridCol w:w="3562"/>
        <w:gridCol w:w="2410"/>
        <w:gridCol w:w="1701"/>
        <w:gridCol w:w="1559"/>
      </w:tblGrid>
      <w:tr w:rsidR="00A8116E" w:rsidRPr="00EF44BD" w:rsidTr="00E620B2">
        <w:tc>
          <w:tcPr>
            <w:tcW w:w="544" w:type="dxa"/>
          </w:tcPr>
          <w:p w:rsidR="00A8116E" w:rsidRPr="00EF44BD" w:rsidRDefault="00A8116E" w:rsidP="00743F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62" w:type="dxa"/>
          </w:tcPr>
          <w:p w:rsidR="00A8116E" w:rsidRPr="00EF44BD" w:rsidRDefault="00A8116E" w:rsidP="00743F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налогового расхода</w:t>
            </w:r>
          </w:p>
        </w:tc>
        <w:tc>
          <w:tcPr>
            <w:tcW w:w="2410" w:type="dxa"/>
          </w:tcPr>
          <w:p w:rsidR="00A8116E" w:rsidRPr="00EF44BD" w:rsidRDefault="00A8116E" w:rsidP="00743F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нормативно-правового акта</w:t>
            </w:r>
          </w:p>
        </w:tc>
        <w:tc>
          <w:tcPr>
            <w:tcW w:w="1701" w:type="dxa"/>
          </w:tcPr>
          <w:p w:rsidR="00A8116E" w:rsidRPr="00EF44BD" w:rsidRDefault="00A8116E" w:rsidP="00743F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выпадающих доходов за 2020 год, тыс. рублей</w:t>
            </w:r>
          </w:p>
        </w:tc>
        <w:tc>
          <w:tcPr>
            <w:tcW w:w="1559" w:type="dxa"/>
          </w:tcPr>
          <w:p w:rsidR="00A8116E" w:rsidRPr="00EF44BD" w:rsidRDefault="00A8116E" w:rsidP="00743F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плательщиков налогов, воспользовавшихся налоговыми льготами, человек</w:t>
            </w:r>
          </w:p>
        </w:tc>
      </w:tr>
      <w:tr w:rsidR="00A8116E" w:rsidRPr="00EF44BD" w:rsidTr="00E620B2">
        <w:tc>
          <w:tcPr>
            <w:tcW w:w="544" w:type="dxa"/>
          </w:tcPr>
          <w:p w:rsidR="00A8116E" w:rsidRPr="00EF44BD" w:rsidRDefault="00161932" w:rsidP="00743F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2" w:type="dxa"/>
          </w:tcPr>
          <w:p w:rsidR="00A8116E" w:rsidRPr="00EF44BD" w:rsidRDefault="00161932" w:rsidP="00743F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 ориентирова</w:t>
            </w:r>
            <w:r w:rsidR="00EF44BD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нные некоммерческие организации</w:t>
            </w: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 отношении земельных участков, используемых ими для оказания населению услуг в социальной сфере в размере 100%</w:t>
            </w:r>
          </w:p>
        </w:tc>
        <w:tc>
          <w:tcPr>
            <w:tcW w:w="2410" w:type="dxa"/>
          </w:tcPr>
          <w:p w:rsidR="00A8116E" w:rsidRPr="00EF44BD" w:rsidRDefault="00A8116E" w:rsidP="001619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 п.</w:t>
            </w:r>
            <w:r w:rsidR="00161932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5.</w:t>
            </w:r>
            <w:r w:rsidR="00161932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F44BD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Думы города Пыть-Яха от 22.09.2008 № 330 «Об установлении земельного налога на территории муниципального образования городской округ город Пыть-Ях»</w:t>
            </w:r>
          </w:p>
        </w:tc>
        <w:tc>
          <w:tcPr>
            <w:tcW w:w="1701" w:type="dxa"/>
          </w:tcPr>
          <w:p w:rsidR="00A8116E" w:rsidRPr="00EF44BD" w:rsidRDefault="00082318" w:rsidP="00082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</w:t>
            </w:r>
          </w:p>
        </w:tc>
        <w:tc>
          <w:tcPr>
            <w:tcW w:w="1559" w:type="dxa"/>
          </w:tcPr>
          <w:p w:rsidR="00A8116E" w:rsidRPr="00EF44BD" w:rsidRDefault="00082318" w:rsidP="00082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8116E" w:rsidRPr="00EF44BD" w:rsidTr="00E620B2">
        <w:tc>
          <w:tcPr>
            <w:tcW w:w="544" w:type="dxa"/>
          </w:tcPr>
          <w:p w:rsidR="00A8116E" w:rsidRPr="00EF44BD" w:rsidRDefault="00911E28" w:rsidP="00743F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2" w:type="dxa"/>
          </w:tcPr>
          <w:p w:rsidR="00A8116E" w:rsidRPr="00EF44BD" w:rsidRDefault="00161932" w:rsidP="00660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и физические лица, в отношении земельных участков, используемых для реализации инвестиционных проектов на территории города Пыть-Яха, включенных в установленном Правительством ХМАО - Югры порядке в Реестр инвестиционных проектов ХМАО - Югры в размере 100%</w:t>
            </w:r>
          </w:p>
        </w:tc>
        <w:tc>
          <w:tcPr>
            <w:tcW w:w="2410" w:type="dxa"/>
          </w:tcPr>
          <w:p w:rsidR="00A8116E" w:rsidRPr="00EF44BD" w:rsidRDefault="00A8116E" w:rsidP="001619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161932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п.</w:t>
            </w:r>
            <w:r w:rsidR="0066071C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61932"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5.5</w:t>
            </w:r>
            <w:r w:rsidRPr="00E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решения Думы города Пыть-Яха от 22.09.2008 № 330 «Об установлении земельного налога на территории муниципального образования городской округ город Пыть-Ях»</w:t>
            </w:r>
          </w:p>
        </w:tc>
        <w:tc>
          <w:tcPr>
            <w:tcW w:w="1701" w:type="dxa"/>
          </w:tcPr>
          <w:p w:rsidR="00A8116E" w:rsidRPr="00EF44BD" w:rsidRDefault="00082318" w:rsidP="00082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559" w:type="dxa"/>
          </w:tcPr>
          <w:p w:rsidR="00A8116E" w:rsidRPr="00EF44BD" w:rsidRDefault="00082318" w:rsidP="00082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1651BF" w:rsidRPr="00EF44BD" w:rsidRDefault="001651BF" w:rsidP="001651BF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2020 году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социально ориентированным некоммерческим организациям, а также организациям и физическим лицам, в отношении земельных участков, используемых для реализации инвестиционных проектов на территории города Пыть-Яха, выпадающие доходы бюджета города составили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1 421,0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тыс. 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рублей.</w:t>
      </w:r>
    </w:p>
    <w:p w:rsidR="009B5BC9" w:rsidRDefault="009B5BC9" w:rsidP="0008231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80C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Вывод: </w:t>
      </w:r>
      <w:r w:rsidR="00911E28" w:rsidRPr="00C80C02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Необходимо сохранить льготу, так как на территории муниципального образования складываются все предпосылки для активного развития сектора </w:t>
      </w:r>
      <w:r w:rsidR="00911E28" w:rsidRPr="00C80C02">
        <w:rPr>
          <w:rFonts w:ascii="Times New Roman" w:hAnsi="Times New Roman" w:cs="Times New Roman"/>
          <w:sz w:val="26"/>
          <w:szCs w:val="26"/>
          <w:lang w:eastAsia="ru-RU"/>
        </w:rPr>
        <w:t xml:space="preserve">социально ориентированных некоммерческих организаций, в том числе этому способствует </w:t>
      </w:r>
      <w:r w:rsidR="00911E28" w:rsidRPr="00C80C02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финансовая и имущественная поддержка со стороны органов местного самоуправления, в их числе </w:t>
      </w:r>
      <w:r w:rsidR="00911E28" w:rsidRPr="00C80C02">
        <w:rPr>
          <w:rFonts w:ascii="Times New Roman" w:hAnsi="Times New Roman" w:cs="Times New Roman"/>
          <w:color w:val="000000"/>
          <w:sz w:val="26"/>
          <w:szCs w:val="26"/>
        </w:rPr>
        <w:t>предоставление социально ориентированным некоммерческим организациям льгот по уплате налогов и сборов в соответствии с законодательством о налогах и сборах</w:t>
      </w:r>
      <w:r w:rsidR="000B43DD" w:rsidRPr="00C80C02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0B43DD" w:rsidRPr="00C80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Поскольку указанный налоговый расход отвечает нормам Закона ХМАО-Югры от 26.06.2020 №</w:t>
      </w:r>
      <w:r w:rsidR="00C80C02" w:rsidRPr="00C80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B43DD" w:rsidRPr="00C80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59-оз «О государственной поддержке инвестиционной деятельности, защите и поощрении в Ханты-Мансийском автономном округе-Югре» (ст.10), эффективность данной льготы </w:t>
      </w:r>
      <w:r w:rsidR="000B43DD" w:rsidRPr="00C80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>признается приемлемой. Чтобы не допустить   в дальнейшем   ухудшения инвестиционного климата на территории города, целесообразно сохранить имеющуюся льготу для указанных категорий</w:t>
      </w:r>
      <w:r w:rsidR="008B2C40" w:rsidRPr="00C80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EF44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B648A1" w:rsidRDefault="00B648A1" w:rsidP="0008231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648A1" w:rsidRDefault="00B648A1" w:rsidP="00B64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648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Итог: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Результатом проведенной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оценки эффективности применения налоговых расходов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является то, что в основном льготы, установленные на территории города, носят социальный характер и направлены на снижение налоговой нагрузки организаций бюджетной сферы и социальную поддержку граждан.</w:t>
      </w:r>
    </w:p>
    <w:p w:rsidR="00B648A1" w:rsidRDefault="00B648A1" w:rsidP="00B648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целях недопущения ухудшения уровня жизни социально незащищенных слоев населения, считаем целесообразным сохранить действующие льготы в полном объеме.</w:t>
      </w:r>
    </w:p>
    <w:p w:rsidR="00B648A1" w:rsidRPr="00EF44BD" w:rsidRDefault="00B648A1" w:rsidP="0008231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1389D" w:rsidRPr="00EF44BD" w:rsidRDefault="0091389D" w:rsidP="008B2C40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91389D" w:rsidRPr="00EF4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576D5"/>
    <w:multiLevelType w:val="hybridMultilevel"/>
    <w:tmpl w:val="528AD10E"/>
    <w:lvl w:ilvl="0" w:tplc="4FAA94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C9"/>
    <w:rsid w:val="000033F1"/>
    <w:rsid w:val="00013A3D"/>
    <w:rsid w:val="000247F2"/>
    <w:rsid w:val="00066FD1"/>
    <w:rsid w:val="00082318"/>
    <w:rsid w:val="000833FC"/>
    <w:rsid w:val="000A55E7"/>
    <w:rsid w:val="000B43DD"/>
    <w:rsid w:val="000D016D"/>
    <w:rsid w:val="000E12E7"/>
    <w:rsid w:val="000E5A04"/>
    <w:rsid w:val="000F210D"/>
    <w:rsid w:val="0010777E"/>
    <w:rsid w:val="00161932"/>
    <w:rsid w:val="001651BF"/>
    <w:rsid w:val="00177B3F"/>
    <w:rsid w:val="001C5372"/>
    <w:rsid w:val="001D23CD"/>
    <w:rsid w:val="001D2DDB"/>
    <w:rsid w:val="00204C38"/>
    <w:rsid w:val="002144F4"/>
    <w:rsid w:val="00241A6B"/>
    <w:rsid w:val="002A1267"/>
    <w:rsid w:val="002C3878"/>
    <w:rsid w:val="002C60B1"/>
    <w:rsid w:val="0036754C"/>
    <w:rsid w:val="00372A0F"/>
    <w:rsid w:val="00394C58"/>
    <w:rsid w:val="003A3275"/>
    <w:rsid w:val="003E2993"/>
    <w:rsid w:val="003E3760"/>
    <w:rsid w:val="003F0A10"/>
    <w:rsid w:val="004271F0"/>
    <w:rsid w:val="00487747"/>
    <w:rsid w:val="004C3133"/>
    <w:rsid w:val="004E3C22"/>
    <w:rsid w:val="00581801"/>
    <w:rsid w:val="00594EAB"/>
    <w:rsid w:val="005B45B9"/>
    <w:rsid w:val="0066071C"/>
    <w:rsid w:val="006D55DF"/>
    <w:rsid w:val="00703B6B"/>
    <w:rsid w:val="00763D6F"/>
    <w:rsid w:val="00771740"/>
    <w:rsid w:val="007779F6"/>
    <w:rsid w:val="007F31F5"/>
    <w:rsid w:val="007F7BF4"/>
    <w:rsid w:val="00841734"/>
    <w:rsid w:val="00846B40"/>
    <w:rsid w:val="0086289F"/>
    <w:rsid w:val="00897BC8"/>
    <w:rsid w:val="008B2C40"/>
    <w:rsid w:val="008C7E83"/>
    <w:rsid w:val="008D0F95"/>
    <w:rsid w:val="008D4ADC"/>
    <w:rsid w:val="00911E28"/>
    <w:rsid w:val="0091389D"/>
    <w:rsid w:val="00936D60"/>
    <w:rsid w:val="00947573"/>
    <w:rsid w:val="00984E0F"/>
    <w:rsid w:val="009943C3"/>
    <w:rsid w:val="009B5BC9"/>
    <w:rsid w:val="009D1AEB"/>
    <w:rsid w:val="009E2E28"/>
    <w:rsid w:val="009F54B1"/>
    <w:rsid w:val="00A41239"/>
    <w:rsid w:val="00A8116E"/>
    <w:rsid w:val="00B0163E"/>
    <w:rsid w:val="00B648A1"/>
    <w:rsid w:val="00B75C70"/>
    <w:rsid w:val="00C25C00"/>
    <w:rsid w:val="00C602EC"/>
    <w:rsid w:val="00C6785C"/>
    <w:rsid w:val="00C80C02"/>
    <w:rsid w:val="00C82879"/>
    <w:rsid w:val="00C82B9C"/>
    <w:rsid w:val="00CD17DC"/>
    <w:rsid w:val="00CD489A"/>
    <w:rsid w:val="00D35FC9"/>
    <w:rsid w:val="00D45436"/>
    <w:rsid w:val="00D45643"/>
    <w:rsid w:val="00D86B9C"/>
    <w:rsid w:val="00D909CD"/>
    <w:rsid w:val="00D92EBD"/>
    <w:rsid w:val="00DF02F9"/>
    <w:rsid w:val="00E620B2"/>
    <w:rsid w:val="00E679FF"/>
    <w:rsid w:val="00E74705"/>
    <w:rsid w:val="00EF3B18"/>
    <w:rsid w:val="00EF44BD"/>
    <w:rsid w:val="00F05020"/>
    <w:rsid w:val="00F50F2E"/>
    <w:rsid w:val="00F517DE"/>
    <w:rsid w:val="00F572B1"/>
    <w:rsid w:val="00F9253C"/>
    <w:rsid w:val="00F94BFE"/>
    <w:rsid w:val="00FC4E1C"/>
    <w:rsid w:val="00FC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53771-6CBC-4B42-951D-776A4CCB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6754C"/>
    <w:pPr>
      <w:widowControl w:val="0"/>
      <w:autoSpaceDE w:val="0"/>
      <w:autoSpaceDN w:val="0"/>
      <w:spacing w:before="88" w:after="0" w:line="240" w:lineRule="auto"/>
      <w:ind w:left="257"/>
      <w:outlineLvl w:val="0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36754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675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67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36754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67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List Paragraph"/>
    <w:basedOn w:val="a"/>
    <w:uiPriority w:val="34"/>
    <w:qFormat/>
    <w:rsid w:val="00594EAB"/>
    <w:pPr>
      <w:ind w:left="720"/>
      <w:contextualSpacing/>
    </w:pPr>
  </w:style>
  <w:style w:type="table" w:styleId="a7">
    <w:name w:val="Table Grid"/>
    <w:basedOn w:val="a1"/>
    <w:uiPriority w:val="39"/>
    <w:rsid w:val="00C67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7</Pages>
  <Words>2118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Марина Саид-Эмиевна Шаипова</cp:lastModifiedBy>
  <cp:revision>54</cp:revision>
  <dcterms:created xsi:type="dcterms:W3CDTF">2021-07-16T10:47:00Z</dcterms:created>
  <dcterms:modified xsi:type="dcterms:W3CDTF">2021-08-25T05:13:00Z</dcterms:modified>
</cp:coreProperties>
</file>