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4.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5.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6.xml" ContentType="application/vnd.openxmlformats-officedocument.drawingml.chart+xml"/>
  <Override PartName="/word/charts/style5.xml" ContentType="application/vnd.ms-office.chartstyle+xml"/>
  <Override PartName="/word/charts/colors5.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34B7" w:rsidRPr="009E7FE7" w:rsidRDefault="003A34B7" w:rsidP="003A34B7">
      <w:pPr>
        <w:shd w:val="clear" w:color="auto" w:fill="FFFFFF"/>
        <w:jc w:val="center"/>
        <w:outlineLvl w:val="0"/>
        <w:rPr>
          <w:b/>
          <w:bCs/>
          <w:kern w:val="36"/>
          <w:sz w:val="28"/>
          <w:szCs w:val="28"/>
        </w:rPr>
      </w:pPr>
      <w:bookmarkStart w:id="0" w:name="_GoBack"/>
      <w:bookmarkEnd w:id="0"/>
      <w:r w:rsidRPr="009E7FE7">
        <w:rPr>
          <w:b/>
          <w:bCs/>
          <w:kern w:val="36"/>
          <w:sz w:val="28"/>
          <w:szCs w:val="28"/>
        </w:rPr>
        <w:t xml:space="preserve">Отчет о результатах деятельности </w:t>
      </w:r>
    </w:p>
    <w:p w:rsidR="003A34B7" w:rsidRPr="009E7FE7" w:rsidRDefault="003A34B7" w:rsidP="003A34B7">
      <w:pPr>
        <w:shd w:val="clear" w:color="auto" w:fill="FFFFFF"/>
        <w:jc w:val="center"/>
        <w:outlineLvl w:val="0"/>
        <w:rPr>
          <w:b/>
          <w:bCs/>
          <w:kern w:val="36"/>
          <w:sz w:val="28"/>
          <w:szCs w:val="28"/>
        </w:rPr>
      </w:pPr>
      <w:r w:rsidRPr="009E7FE7">
        <w:rPr>
          <w:b/>
          <w:bCs/>
          <w:kern w:val="36"/>
          <w:sz w:val="28"/>
          <w:szCs w:val="28"/>
        </w:rPr>
        <w:t xml:space="preserve">комитета по финансам администрации города Пыть-Яха </w:t>
      </w:r>
    </w:p>
    <w:p w:rsidR="003A34B7" w:rsidRPr="009E7FE7" w:rsidRDefault="003A34B7" w:rsidP="003A34B7">
      <w:pPr>
        <w:shd w:val="clear" w:color="auto" w:fill="FFFFFF"/>
        <w:jc w:val="center"/>
        <w:outlineLvl w:val="0"/>
        <w:rPr>
          <w:b/>
          <w:bCs/>
          <w:kern w:val="36"/>
          <w:sz w:val="28"/>
          <w:szCs w:val="28"/>
        </w:rPr>
      </w:pPr>
      <w:r w:rsidRPr="009E7FE7">
        <w:rPr>
          <w:b/>
          <w:bCs/>
          <w:kern w:val="36"/>
          <w:sz w:val="28"/>
          <w:szCs w:val="28"/>
        </w:rPr>
        <w:t>за 201</w:t>
      </w:r>
      <w:r w:rsidR="00FB23A6">
        <w:rPr>
          <w:b/>
          <w:bCs/>
          <w:kern w:val="36"/>
          <w:sz w:val="28"/>
          <w:szCs w:val="28"/>
        </w:rPr>
        <w:t>8</w:t>
      </w:r>
      <w:r w:rsidR="00C65D7F">
        <w:rPr>
          <w:b/>
          <w:bCs/>
          <w:kern w:val="36"/>
          <w:sz w:val="28"/>
          <w:szCs w:val="28"/>
        </w:rPr>
        <w:t xml:space="preserve"> </w:t>
      </w:r>
      <w:r w:rsidRPr="009E7FE7">
        <w:rPr>
          <w:b/>
          <w:bCs/>
          <w:kern w:val="36"/>
          <w:sz w:val="28"/>
          <w:szCs w:val="28"/>
        </w:rPr>
        <w:t>год</w:t>
      </w:r>
    </w:p>
    <w:p w:rsidR="003A34B7" w:rsidRPr="009E7FE7" w:rsidRDefault="003A34B7" w:rsidP="003A34B7">
      <w:pPr>
        <w:jc w:val="center"/>
        <w:outlineLvl w:val="0"/>
        <w:rPr>
          <w:b/>
          <w:bCs/>
          <w:kern w:val="36"/>
          <w:sz w:val="28"/>
          <w:szCs w:val="28"/>
          <w:highlight w:val="yellow"/>
        </w:rPr>
      </w:pPr>
    </w:p>
    <w:p w:rsidR="003A34B7" w:rsidRPr="009E7FE7" w:rsidRDefault="003A34B7" w:rsidP="003A34B7">
      <w:pPr>
        <w:autoSpaceDE w:val="0"/>
        <w:autoSpaceDN w:val="0"/>
        <w:adjustRightInd w:val="0"/>
        <w:spacing w:line="360" w:lineRule="auto"/>
        <w:ind w:firstLine="720"/>
        <w:jc w:val="both"/>
        <w:rPr>
          <w:sz w:val="28"/>
          <w:szCs w:val="28"/>
        </w:rPr>
      </w:pPr>
      <w:r w:rsidRPr="009E7FE7">
        <w:rPr>
          <w:sz w:val="28"/>
          <w:szCs w:val="28"/>
          <w:lang w:eastAsia="en-US"/>
        </w:rPr>
        <w:t>Комитет по финансам</w:t>
      </w:r>
      <w:r w:rsidRPr="009E7FE7">
        <w:rPr>
          <w:sz w:val="28"/>
          <w:szCs w:val="28"/>
        </w:rPr>
        <w:t xml:space="preserve"> администрации города Пыть-Яха (далее – комитет по финансам)</w:t>
      </w:r>
      <w:r w:rsidRPr="009E7FE7">
        <w:rPr>
          <w:sz w:val="28"/>
          <w:szCs w:val="28"/>
          <w:lang w:eastAsia="en-US"/>
        </w:rPr>
        <w:t xml:space="preserve"> является финансовым органом муниципального образования</w:t>
      </w:r>
      <w:r w:rsidRPr="009E7FE7">
        <w:rPr>
          <w:sz w:val="28"/>
          <w:szCs w:val="28"/>
        </w:rPr>
        <w:t xml:space="preserve"> </w:t>
      </w:r>
      <w:r w:rsidRPr="009E7FE7">
        <w:rPr>
          <w:sz w:val="28"/>
          <w:szCs w:val="28"/>
          <w:lang w:eastAsia="en-US"/>
        </w:rPr>
        <w:t>городской округ город Пыть-Ях без права юридического лица.</w:t>
      </w:r>
      <w:r w:rsidRPr="009E7FE7">
        <w:rPr>
          <w:sz w:val="28"/>
          <w:szCs w:val="28"/>
        </w:rPr>
        <w:t xml:space="preserve"> </w:t>
      </w:r>
    </w:p>
    <w:p w:rsidR="003A34B7" w:rsidRPr="009E7FE7" w:rsidRDefault="003A34B7" w:rsidP="003A34B7">
      <w:pPr>
        <w:pStyle w:val="ConsPlusNormal"/>
        <w:widowControl/>
        <w:tabs>
          <w:tab w:val="left" w:pos="0"/>
        </w:tabs>
        <w:spacing w:line="360" w:lineRule="auto"/>
        <w:ind w:firstLine="0"/>
        <w:jc w:val="both"/>
        <w:rPr>
          <w:rFonts w:ascii="Times New Roman" w:hAnsi="Times New Roman" w:cs="Times New Roman"/>
          <w:sz w:val="28"/>
          <w:szCs w:val="28"/>
        </w:rPr>
      </w:pPr>
      <w:r w:rsidRPr="009E7FE7">
        <w:rPr>
          <w:rFonts w:ascii="Times New Roman" w:hAnsi="Times New Roman" w:cs="Times New Roman"/>
          <w:sz w:val="28"/>
          <w:szCs w:val="28"/>
        </w:rPr>
        <w:tab/>
        <w:t>Комитет по финансам администрации города является структурным подразделением администрации города, осуществляющим составление и организацию исполнения бюджета, обеспечивающим проведение единой финансовой и бюджетной политики, уполномоченным управлять финансами муниципального образования.</w:t>
      </w:r>
    </w:p>
    <w:p w:rsidR="003A34B7" w:rsidRPr="009E7FE7" w:rsidRDefault="003A34B7" w:rsidP="003A34B7">
      <w:pPr>
        <w:pStyle w:val="ConsPlusNormal"/>
        <w:widowControl/>
        <w:spacing w:line="360" w:lineRule="auto"/>
        <w:ind w:firstLine="0"/>
        <w:jc w:val="both"/>
        <w:rPr>
          <w:rFonts w:ascii="Times New Roman" w:hAnsi="Times New Roman" w:cs="Times New Roman"/>
          <w:sz w:val="28"/>
          <w:szCs w:val="28"/>
        </w:rPr>
      </w:pPr>
      <w:r w:rsidRPr="009E7FE7">
        <w:rPr>
          <w:rFonts w:ascii="Times New Roman" w:hAnsi="Times New Roman" w:cs="Times New Roman"/>
          <w:sz w:val="28"/>
          <w:szCs w:val="28"/>
        </w:rPr>
        <w:tab/>
        <w:t>Основными нормативными документами для осуществления деятельности комитета являются: Бюджетный кодекс РФ, закон об общих принципах местного самоуправления № 131-ФЗ, Уставы ХМАО-Югры и муниципального образования, Положение о бюджетном процессе в городе Пыть-Яхе, решение Думы города о бюджете на текущий финансовый год.</w:t>
      </w:r>
    </w:p>
    <w:p w:rsidR="003A34B7" w:rsidRPr="009E7FE7" w:rsidRDefault="003A34B7" w:rsidP="003A34B7">
      <w:pPr>
        <w:spacing w:line="360" w:lineRule="auto"/>
        <w:ind w:firstLine="709"/>
        <w:jc w:val="both"/>
        <w:rPr>
          <w:sz w:val="28"/>
          <w:szCs w:val="28"/>
        </w:rPr>
      </w:pPr>
      <w:r w:rsidRPr="009E7FE7">
        <w:rPr>
          <w:sz w:val="28"/>
          <w:szCs w:val="28"/>
        </w:rPr>
        <w:t xml:space="preserve">Бюджетная система городского округа перешла на программный принцип планирования и исполнения бюджетов. </w:t>
      </w:r>
      <w:r w:rsidR="00C65D7F">
        <w:rPr>
          <w:sz w:val="28"/>
          <w:szCs w:val="28"/>
        </w:rPr>
        <w:t>На территории города</w:t>
      </w:r>
      <w:r w:rsidRPr="009E7FE7">
        <w:rPr>
          <w:sz w:val="28"/>
          <w:szCs w:val="28"/>
        </w:rPr>
        <w:t xml:space="preserve"> реализуются 19 муниципальных программ и 1 ведомственная целевая программа, целями и задачами которых является достижение целевых ориентиров, определенных Президентом Российской Федерации, направлениями социально-экономического развития города.</w:t>
      </w:r>
    </w:p>
    <w:p w:rsidR="003A34B7" w:rsidRPr="009E7FE7" w:rsidRDefault="003A34B7" w:rsidP="003A34B7">
      <w:pPr>
        <w:spacing w:line="360" w:lineRule="auto"/>
        <w:ind w:firstLine="709"/>
        <w:jc w:val="both"/>
        <w:rPr>
          <w:sz w:val="28"/>
          <w:szCs w:val="28"/>
        </w:rPr>
      </w:pPr>
      <w:r w:rsidRPr="009E7FE7">
        <w:rPr>
          <w:sz w:val="28"/>
          <w:szCs w:val="28"/>
        </w:rPr>
        <w:t>Комитет по финансам является ответственным исполнителем одной муниципальной программы «</w:t>
      </w:r>
      <w:r w:rsidR="00FB23A6" w:rsidRPr="00FB23A6">
        <w:rPr>
          <w:sz w:val="28"/>
          <w:szCs w:val="28"/>
        </w:rPr>
        <w:t>Управление муниципальными финансами в муниципальном образовании городской округ город Пыть-Ях на 2018 - 2025 годы и на период до 2030 года</w:t>
      </w:r>
      <w:r w:rsidRPr="009E7FE7">
        <w:rPr>
          <w:sz w:val="28"/>
          <w:szCs w:val="28"/>
        </w:rPr>
        <w:t>».</w:t>
      </w:r>
    </w:p>
    <w:p w:rsidR="003A34B7" w:rsidRPr="009E7FE7" w:rsidRDefault="003A34B7" w:rsidP="003A34B7">
      <w:pPr>
        <w:widowControl w:val="0"/>
        <w:autoSpaceDE w:val="0"/>
        <w:autoSpaceDN w:val="0"/>
        <w:adjustRightInd w:val="0"/>
        <w:spacing w:line="360" w:lineRule="auto"/>
        <w:ind w:firstLine="709"/>
        <w:jc w:val="both"/>
        <w:rPr>
          <w:sz w:val="28"/>
          <w:szCs w:val="28"/>
        </w:rPr>
      </w:pPr>
      <w:bookmarkStart w:id="1" w:name="Par191"/>
      <w:bookmarkEnd w:id="1"/>
      <w:r w:rsidRPr="009E7FE7">
        <w:rPr>
          <w:sz w:val="28"/>
          <w:szCs w:val="28"/>
        </w:rPr>
        <w:t>Муниципальная программа «</w:t>
      </w:r>
      <w:r w:rsidR="00FB23A6" w:rsidRPr="00FB23A6">
        <w:rPr>
          <w:sz w:val="28"/>
          <w:szCs w:val="28"/>
        </w:rPr>
        <w:t>Управление муниципальными финансами в муниципальном образовании городской округ город Пыть-Ях на 2018 - 2025 годы и на период до 2030 года</w:t>
      </w:r>
      <w:r w:rsidRPr="009E7FE7">
        <w:rPr>
          <w:sz w:val="28"/>
          <w:szCs w:val="28"/>
        </w:rPr>
        <w:t xml:space="preserve">» является «обеспечивающей», она ориентирована на создание общих условий для всех участников бюджетного процесса, в том числе </w:t>
      </w:r>
      <w:r w:rsidRPr="009E7FE7">
        <w:rPr>
          <w:sz w:val="28"/>
          <w:szCs w:val="28"/>
        </w:rPr>
        <w:lastRenderedPageBreak/>
        <w:t>структурных подразделений администрации города, реализующих другие муниципальные программы городского округа.</w:t>
      </w:r>
    </w:p>
    <w:p w:rsidR="003A34B7" w:rsidRPr="009E7FE7" w:rsidRDefault="003A34B7" w:rsidP="00FB23A6">
      <w:pPr>
        <w:widowControl w:val="0"/>
        <w:autoSpaceDE w:val="0"/>
        <w:autoSpaceDN w:val="0"/>
        <w:adjustRightInd w:val="0"/>
        <w:spacing w:line="360" w:lineRule="auto"/>
        <w:ind w:firstLine="709"/>
        <w:jc w:val="both"/>
        <w:rPr>
          <w:sz w:val="28"/>
          <w:szCs w:val="28"/>
        </w:rPr>
      </w:pPr>
      <w:r w:rsidRPr="009E7FE7">
        <w:rPr>
          <w:sz w:val="28"/>
          <w:szCs w:val="28"/>
        </w:rPr>
        <w:t>Целью реализации муниципальной программы «</w:t>
      </w:r>
      <w:r w:rsidR="00FB23A6" w:rsidRPr="00FB23A6">
        <w:rPr>
          <w:sz w:val="28"/>
          <w:szCs w:val="28"/>
        </w:rPr>
        <w:t>Управление муниципальными финансами в муниципальном образовании городской округ город Пыть-Ях на 2018 - 2025 годы и на период до 2030 года</w:t>
      </w:r>
      <w:r w:rsidRPr="009E7FE7">
        <w:rPr>
          <w:sz w:val="28"/>
          <w:szCs w:val="28"/>
        </w:rPr>
        <w:t xml:space="preserve">» является </w:t>
      </w:r>
      <w:r w:rsidR="00FB23A6">
        <w:rPr>
          <w:sz w:val="28"/>
          <w:szCs w:val="28"/>
        </w:rPr>
        <w:t>о</w:t>
      </w:r>
      <w:r w:rsidR="00FB23A6" w:rsidRPr="00FB23A6">
        <w:rPr>
          <w:sz w:val="28"/>
          <w:szCs w:val="28"/>
        </w:rPr>
        <w:t>беспечение долгосрочной сбалансированности и устойчивости бюджетной системы, повышение качества управления муниципальными финансами муниципального образования городской округ город Пыть-</w:t>
      </w:r>
      <w:proofErr w:type="gramStart"/>
      <w:r w:rsidR="00FB23A6" w:rsidRPr="00FB23A6">
        <w:rPr>
          <w:sz w:val="28"/>
          <w:szCs w:val="28"/>
        </w:rPr>
        <w:t>Ях.</w:t>
      </w:r>
      <w:r w:rsidRPr="009E7FE7">
        <w:rPr>
          <w:sz w:val="28"/>
          <w:szCs w:val="28"/>
        </w:rPr>
        <w:t>.</w:t>
      </w:r>
      <w:proofErr w:type="gramEnd"/>
    </w:p>
    <w:p w:rsidR="003A34B7" w:rsidRPr="009E7FE7" w:rsidRDefault="003A34B7" w:rsidP="003A34B7">
      <w:pPr>
        <w:widowControl w:val="0"/>
        <w:autoSpaceDE w:val="0"/>
        <w:autoSpaceDN w:val="0"/>
        <w:adjustRightInd w:val="0"/>
        <w:spacing w:line="360" w:lineRule="auto"/>
        <w:ind w:firstLine="709"/>
        <w:jc w:val="both"/>
        <w:rPr>
          <w:sz w:val="28"/>
          <w:szCs w:val="28"/>
        </w:rPr>
      </w:pPr>
      <w:r w:rsidRPr="009E7FE7">
        <w:rPr>
          <w:sz w:val="28"/>
          <w:szCs w:val="28"/>
        </w:rPr>
        <w:t>Достижение цели осуществляется путем решения обозначенных задач в рамках двух подпрограмм.</w:t>
      </w:r>
    </w:p>
    <w:p w:rsidR="003A34B7" w:rsidRPr="009E7FE7" w:rsidRDefault="00676C9C" w:rsidP="003A34B7">
      <w:pPr>
        <w:widowControl w:val="0"/>
        <w:autoSpaceDE w:val="0"/>
        <w:autoSpaceDN w:val="0"/>
        <w:adjustRightInd w:val="0"/>
        <w:spacing w:line="360" w:lineRule="auto"/>
        <w:ind w:firstLine="709"/>
        <w:jc w:val="both"/>
        <w:rPr>
          <w:b/>
          <w:sz w:val="28"/>
          <w:szCs w:val="28"/>
        </w:rPr>
      </w:pPr>
      <w:hyperlink r:id="rId5" w:anchor="Par684#Par684" w:history="1">
        <w:r w:rsidR="003A34B7" w:rsidRPr="009E7FE7">
          <w:rPr>
            <w:rStyle w:val="a5"/>
            <w:b/>
            <w:color w:val="auto"/>
            <w:sz w:val="28"/>
            <w:szCs w:val="28"/>
          </w:rPr>
          <w:t>Подпрограмма I</w:t>
        </w:r>
      </w:hyperlink>
      <w:r w:rsidR="003A34B7" w:rsidRPr="009E7FE7">
        <w:rPr>
          <w:b/>
          <w:sz w:val="28"/>
          <w:szCs w:val="28"/>
        </w:rPr>
        <w:t xml:space="preserve"> "Организация бюджетного процесса в городском округе".</w:t>
      </w:r>
    </w:p>
    <w:p w:rsidR="003A34B7" w:rsidRPr="009E7FE7" w:rsidRDefault="003A34B7" w:rsidP="003A34B7">
      <w:pPr>
        <w:widowControl w:val="0"/>
        <w:autoSpaceDE w:val="0"/>
        <w:autoSpaceDN w:val="0"/>
        <w:adjustRightInd w:val="0"/>
        <w:spacing w:line="360" w:lineRule="auto"/>
        <w:ind w:firstLine="709"/>
        <w:jc w:val="both"/>
        <w:rPr>
          <w:sz w:val="28"/>
          <w:szCs w:val="28"/>
        </w:rPr>
      </w:pPr>
      <w:r w:rsidRPr="009E7FE7">
        <w:rPr>
          <w:sz w:val="28"/>
          <w:szCs w:val="28"/>
        </w:rPr>
        <w:t>Данная подпрограмма направлена на достижение оптимального, устойчивого и экономически обоснованного соответствия расходных обязательств бюджета городского округа источникам их финансового обеспечения, обеспечения условий и непосредственно формирование проекта бюджета городского округа, организация его исполнения и составление бюджетной отчетности.</w:t>
      </w:r>
    </w:p>
    <w:p w:rsidR="003A34B7" w:rsidRPr="009E7FE7" w:rsidRDefault="003A34B7" w:rsidP="003A34B7">
      <w:pPr>
        <w:widowControl w:val="0"/>
        <w:autoSpaceDE w:val="0"/>
        <w:autoSpaceDN w:val="0"/>
        <w:adjustRightInd w:val="0"/>
        <w:spacing w:line="360" w:lineRule="auto"/>
        <w:ind w:firstLine="709"/>
        <w:jc w:val="both"/>
        <w:rPr>
          <w:sz w:val="28"/>
          <w:szCs w:val="28"/>
        </w:rPr>
      </w:pPr>
      <w:r w:rsidRPr="009E7FE7">
        <w:rPr>
          <w:b/>
          <w:sz w:val="28"/>
          <w:szCs w:val="28"/>
        </w:rPr>
        <w:t>Задача 1 "Долгосрочное бюджетное планирование</w:t>
      </w:r>
      <w:r w:rsidRPr="009E7FE7">
        <w:rPr>
          <w:sz w:val="28"/>
          <w:szCs w:val="28"/>
        </w:rPr>
        <w:t>" осуществляется посредством реализации программных мероприятий по разработке Бюджетного прогноза городского округа на долгосрочный период и его совершенствования.</w:t>
      </w:r>
    </w:p>
    <w:p w:rsidR="003A34B7" w:rsidRPr="009E7FE7" w:rsidRDefault="003A34B7" w:rsidP="003A34B7">
      <w:pPr>
        <w:widowControl w:val="0"/>
        <w:autoSpaceDE w:val="0"/>
        <w:autoSpaceDN w:val="0"/>
        <w:adjustRightInd w:val="0"/>
        <w:spacing w:line="360" w:lineRule="auto"/>
        <w:ind w:firstLine="709"/>
        <w:jc w:val="both"/>
        <w:rPr>
          <w:sz w:val="28"/>
          <w:szCs w:val="28"/>
        </w:rPr>
      </w:pPr>
      <w:r w:rsidRPr="009E7FE7">
        <w:rPr>
          <w:sz w:val="28"/>
          <w:szCs w:val="28"/>
        </w:rPr>
        <w:t xml:space="preserve">Основной целью является определение финансовых возможностей, условий и </w:t>
      </w:r>
      <w:proofErr w:type="gramStart"/>
      <w:r w:rsidRPr="009E7FE7">
        <w:rPr>
          <w:sz w:val="28"/>
          <w:szCs w:val="28"/>
        </w:rPr>
        <w:t>предпосылок для достижения ключевых целей</w:t>
      </w:r>
      <w:proofErr w:type="gramEnd"/>
      <w:r w:rsidRPr="009E7FE7">
        <w:rPr>
          <w:sz w:val="28"/>
          <w:szCs w:val="28"/>
        </w:rPr>
        <w:t xml:space="preserve"> и результатов муниципальной политики, сформулированных в Стратегии социально-экономического развития города до 2020 года и на период до 2030 года, указах Президента Российской Федерации и решениях Правительства Российской Федерации, при обеспечении долгосрочной сбалансированности и устойчивости бюджетной системы городского округа и повышении эффективности бюджетных расходов.</w:t>
      </w:r>
    </w:p>
    <w:p w:rsidR="003A34B7" w:rsidRPr="009E7FE7" w:rsidRDefault="003A34B7" w:rsidP="003A34B7">
      <w:pPr>
        <w:widowControl w:val="0"/>
        <w:autoSpaceDE w:val="0"/>
        <w:autoSpaceDN w:val="0"/>
        <w:adjustRightInd w:val="0"/>
        <w:spacing w:line="360" w:lineRule="auto"/>
        <w:ind w:firstLine="709"/>
        <w:jc w:val="both"/>
        <w:rPr>
          <w:sz w:val="28"/>
          <w:szCs w:val="28"/>
        </w:rPr>
      </w:pPr>
      <w:r w:rsidRPr="009E7FE7">
        <w:rPr>
          <w:sz w:val="28"/>
          <w:szCs w:val="28"/>
        </w:rPr>
        <w:t>Бюджетный прогноз городского округа будет разрабатываться, начиная с 201</w:t>
      </w:r>
      <w:r w:rsidR="00724B05" w:rsidRPr="009E7FE7">
        <w:rPr>
          <w:sz w:val="28"/>
          <w:szCs w:val="28"/>
        </w:rPr>
        <w:t>7</w:t>
      </w:r>
      <w:r w:rsidRPr="009E7FE7">
        <w:rPr>
          <w:sz w:val="28"/>
          <w:szCs w:val="28"/>
        </w:rPr>
        <w:t xml:space="preserve"> года, каждые 3 года на 6 и более лет на основе прогноза социально-экономического развития и будет являться основой для составления бюджета </w:t>
      </w:r>
      <w:r w:rsidRPr="009E7FE7">
        <w:rPr>
          <w:sz w:val="28"/>
          <w:szCs w:val="28"/>
        </w:rPr>
        <w:lastRenderedPageBreak/>
        <w:t>городского округа на очередной финансовый год и плановый период.</w:t>
      </w:r>
    </w:p>
    <w:p w:rsidR="003A34B7" w:rsidRPr="009E7FE7" w:rsidRDefault="003A34B7" w:rsidP="003A34B7">
      <w:pPr>
        <w:widowControl w:val="0"/>
        <w:autoSpaceDE w:val="0"/>
        <w:autoSpaceDN w:val="0"/>
        <w:adjustRightInd w:val="0"/>
        <w:spacing w:line="360" w:lineRule="auto"/>
        <w:ind w:firstLine="709"/>
        <w:jc w:val="both"/>
        <w:rPr>
          <w:sz w:val="28"/>
          <w:szCs w:val="28"/>
        </w:rPr>
      </w:pPr>
      <w:r w:rsidRPr="009E7FE7">
        <w:rPr>
          <w:b/>
          <w:sz w:val="28"/>
          <w:szCs w:val="28"/>
        </w:rPr>
        <w:t>Задача 2 "Нормативное правовое регулирование в сфере бюджетного процесса и его совершенствование"</w:t>
      </w:r>
      <w:r w:rsidRPr="009E7FE7">
        <w:rPr>
          <w:sz w:val="28"/>
          <w:szCs w:val="28"/>
        </w:rPr>
        <w:t xml:space="preserve"> осуществляется посредством реализации следующих основных мероприятий:</w:t>
      </w:r>
    </w:p>
    <w:p w:rsidR="003A34B7" w:rsidRPr="009E7FE7" w:rsidRDefault="003A34B7" w:rsidP="003A34B7">
      <w:pPr>
        <w:widowControl w:val="0"/>
        <w:autoSpaceDE w:val="0"/>
        <w:autoSpaceDN w:val="0"/>
        <w:adjustRightInd w:val="0"/>
        <w:spacing w:line="360" w:lineRule="auto"/>
        <w:ind w:firstLine="709"/>
        <w:jc w:val="both"/>
        <w:rPr>
          <w:b/>
          <w:sz w:val="28"/>
          <w:szCs w:val="28"/>
        </w:rPr>
      </w:pPr>
      <w:r w:rsidRPr="009E7FE7">
        <w:rPr>
          <w:b/>
          <w:sz w:val="28"/>
          <w:szCs w:val="28"/>
        </w:rPr>
        <w:t>1.</w:t>
      </w:r>
      <w:r w:rsidRPr="009E7FE7">
        <w:rPr>
          <w:sz w:val="28"/>
          <w:szCs w:val="28"/>
        </w:rPr>
        <w:t xml:space="preserve"> </w:t>
      </w:r>
      <w:r w:rsidRPr="009E7FE7">
        <w:rPr>
          <w:b/>
          <w:sz w:val="28"/>
          <w:szCs w:val="28"/>
        </w:rPr>
        <w:t>Совершенствование нормативного правового регулирования в сфере бюджетного процесса.</w:t>
      </w:r>
    </w:p>
    <w:p w:rsidR="003A34B7" w:rsidRPr="009E7FE7" w:rsidRDefault="003A34B7" w:rsidP="003A34B7">
      <w:pPr>
        <w:widowControl w:val="0"/>
        <w:autoSpaceDE w:val="0"/>
        <w:autoSpaceDN w:val="0"/>
        <w:adjustRightInd w:val="0"/>
        <w:spacing w:line="360" w:lineRule="auto"/>
        <w:ind w:firstLine="709"/>
        <w:jc w:val="both"/>
        <w:rPr>
          <w:sz w:val="28"/>
          <w:szCs w:val="28"/>
        </w:rPr>
      </w:pPr>
      <w:r w:rsidRPr="009E7FE7">
        <w:rPr>
          <w:sz w:val="28"/>
          <w:szCs w:val="28"/>
        </w:rPr>
        <w:t>Разработка и утверждение необходимых правовых актов для совершенствования бюджетного законодательства способствует качественной организации планирования и исполнения бюджета городского округа, в том числе путем оказания методической поддержки участникам бюджетного процесса.</w:t>
      </w:r>
    </w:p>
    <w:p w:rsidR="00FC3E17" w:rsidRDefault="003A34B7" w:rsidP="00476802">
      <w:pPr>
        <w:widowControl w:val="0"/>
        <w:autoSpaceDE w:val="0"/>
        <w:autoSpaceDN w:val="0"/>
        <w:adjustRightInd w:val="0"/>
        <w:spacing w:line="360" w:lineRule="auto"/>
        <w:ind w:firstLine="709"/>
        <w:jc w:val="both"/>
        <w:rPr>
          <w:sz w:val="28"/>
          <w:szCs w:val="28"/>
        </w:rPr>
      </w:pPr>
      <w:r w:rsidRPr="009E7FE7">
        <w:rPr>
          <w:sz w:val="28"/>
          <w:szCs w:val="28"/>
        </w:rPr>
        <w:t xml:space="preserve">В целях совершенствования бюджетного законодательства городского округа, комитетом по финансам разработан Порядок составления проекта решения о </w:t>
      </w:r>
      <w:r w:rsidR="009E7FE7" w:rsidRPr="009E7FE7">
        <w:rPr>
          <w:sz w:val="28"/>
          <w:szCs w:val="28"/>
        </w:rPr>
        <w:t>бюджете на</w:t>
      </w:r>
      <w:r w:rsidRPr="009E7FE7">
        <w:rPr>
          <w:sz w:val="28"/>
          <w:szCs w:val="28"/>
        </w:rPr>
        <w:t xml:space="preserve"> очередной финансовый год и плановый период, который утвержден постановлением администрации </w:t>
      </w:r>
      <w:r w:rsidR="009E7FE7" w:rsidRPr="009E7FE7">
        <w:rPr>
          <w:sz w:val="28"/>
          <w:szCs w:val="28"/>
        </w:rPr>
        <w:t>города от</w:t>
      </w:r>
      <w:r w:rsidRPr="009E7FE7">
        <w:rPr>
          <w:sz w:val="28"/>
          <w:szCs w:val="28"/>
        </w:rPr>
        <w:t xml:space="preserve"> 14.07.2014 № 175-па. Порядок предусматривает утверждение постоянного графика подготовки, рассмотрения документов и материалов, разрабатываемых при составлении проекта бюджета города, а также уточняет полномочия участников бюджетного процесса и взаимодействие между ними. </w:t>
      </w:r>
    </w:p>
    <w:p w:rsidR="00FC3E17" w:rsidRDefault="00FC3E17" w:rsidP="00476802">
      <w:pPr>
        <w:widowControl w:val="0"/>
        <w:autoSpaceDE w:val="0"/>
        <w:autoSpaceDN w:val="0"/>
        <w:adjustRightInd w:val="0"/>
        <w:spacing w:line="360" w:lineRule="auto"/>
        <w:ind w:firstLine="709"/>
        <w:jc w:val="both"/>
        <w:rPr>
          <w:sz w:val="28"/>
          <w:szCs w:val="28"/>
        </w:rPr>
      </w:pPr>
      <w:r w:rsidRPr="009E7FE7">
        <w:rPr>
          <w:sz w:val="28"/>
          <w:szCs w:val="28"/>
        </w:rPr>
        <w:t>В целях повышения эффективности использования бюджетных средств и увеличению поступлений налоговых и неналоговых доходов бюджета муниципального образования городской округ город Пыть-Ях на 201</w:t>
      </w:r>
      <w:r w:rsidR="00FB23A6">
        <w:rPr>
          <w:sz w:val="28"/>
          <w:szCs w:val="28"/>
        </w:rPr>
        <w:t>8</w:t>
      </w:r>
      <w:r w:rsidRPr="009E7FE7">
        <w:rPr>
          <w:sz w:val="28"/>
          <w:szCs w:val="28"/>
        </w:rPr>
        <w:t xml:space="preserve"> год на уровне муниципального образования принят план мероприятий по росту доходов и оптимизации расходов бюджета на 201</w:t>
      </w:r>
      <w:r w:rsidR="00FB23A6">
        <w:rPr>
          <w:sz w:val="28"/>
          <w:szCs w:val="28"/>
        </w:rPr>
        <w:t>8</w:t>
      </w:r>
      <w:r w:rsidRPr="009E7FE7">
        <w:rPr>
          <w:sz w:val="28"/>
          <w:szCs w:val="28"/>
        </w:rPr>
        <w:t xml:space="preserve"> год, </w:t>
      </w:r>
      <w:r w:rsidR="00FB23A6" w:rsidRPr="00FB23A6">
        <w:rPr>
          <w:sz w:val="28"/>
          <w:szCs w:val="28"/>
        </w:rPr>
        <w:t>утвержденный распоряжением администрации города от 27.12.2017 № 2484-ра «О мероприятиях по исполнению решения Думы «О бюджете города Пыть-Яха на 2018 год и плановый период 2019-2020 годов» (в ред. от 07.03.2018 № 458-ра, от 05.07.2018 № 1119-ра, от 25.12.2018 № 2412-ра)</w:t>
      </w:r>
      <w:r w:rsidRPr="009E7FE7">
        <w:rPr>
          <w:sz w:val="28"/>
          <w:szCs w:val="28"/>
        </w:rPr>
        <w:t>.</w:t>
      </w:r>
    </w:p>
    <w:p w:rsidR="00FC3E17" w:rsidRPr="00FB23A6" w:rsidRDefault="00FB23A6" w:rsidP="00FC3E17">
      <w:pPr>
        <w:suppressAutoHyphens/>
        <w:spacing w:line="360" w:lineRule="auto"/>
        <w:ind w:firstLine="708"/>
        <w:jc w:val="both"/>
        <w:rPr>
          <w:sz w:val="28"/>
          <w:szCs w:val="28"/>
        </w:rPr>
      </w:pPr>
      <w:r w:rsidRPr="00FB23A6">
        <w:rPr>
          <w:sz w:val="28"/>
          <w:szCs w:val="28"/>
        </w:rPr>
        <w:t>Планируемый бюджетный эффект на 2018 год составляет 118 343,7 тыс. рублей или 9,4% от собственных доходов, которые по уточненному плану составляют – 1 254 776,9 тыс. руб.</w:t>
      </w:r>
    </w:p>
    <w:p w:rsidR="00FB23A6" w:rsidRPr="00FB23A6" w:rsidRDefault="00FB23A6" w:rsidP="00FB23A6">
      <w:pPr>
        <w:widowControl w:val="0"/>
        <w:autoSpaceDE w:val="0"/>
        <w:autoSpaceDN w:val="0"/>
        <w:adjustRightInd w:val="0"/>
        <w:spacing w:line="360" w:lineRule="auto"/>
        <w:ind w:firstLine="709"/>
        <w:jc w:val="both"/>
        <w:rPr>
          <w:sz w:val="28"/>
          <w:szCs w:val="28"/>
        </w:rPr>
      </w:pPr>
      <w:r w:rsidRPr="00FB23A6">
        <w:rPr>
          <w:sz w:val="28"/>
          <w:szCs w:val="28"/>
        </w:rPr>
        <w:lastRenderedPageBreak/>
        <w:t>Мероприятия по росту доходов бюджета муниципального образования за 2018 год исполнены в сумме 43 717,1 тыс. руб., что составляет 107,7 % к плану на 2018 год. За 2018 год проведены следующие мероприятия по привлечению дополнительных доходов в бюджет муниципального образования:</w:t>
      </w:r>
    </w:p>
    <w:p w:rsidR="00FB23A6" w:rsidRPr="00FB23A6" w:rsidRDefault="00FB23A6" w:rsidP="00FB23A6">
      <w:pPr>
        <w:widowControl w:val="0"/>
        <w:autoSpaceDE w:val="0"/>
        <w:autoSpaceDN w:val="0"/>
        <w:adjustRightInd w:val="0"/>
        <w:spacing w:line="360" w:lineRule="auto"/>
        <w:ind w:firstLine="709"/>
        <w:jc w:val="both"/>
        <w:rPr>
          <w:sz w:val="28"/>
          <w:szCs w:val="28"/>
        </w:rPr>
      </w:pPr>
      <w:r w:rsidRPr="00FB23A6">
        <w:rPr>
          <w:sz w:val="28"/>
          <w:szCs w:val="28"/>
        </w:rPr>
        <w:t>- согласно решения Думы города от 27.12.2017 г № 135 "Об утверждении Прогнозного плана (программы) приватизации имущества, находящегося в собственности муниципального образования городской округ город Пыть-Ях, на 2018 год и плановый период 2019 и 2020 годов" (в ред. от 21.03.2018 № 154, от 29.05.2018 № 169, от 30.07.2018 № 180, от 14.12.2018 №213), на проведенных аукционах реализовано 7 объектов, полученный бюджетный эффект составил – 13 101,1 тыс. руб.</w:t>
      </w:r>
    </w:p>
    <w:p w:rsidR="00FB23A6" w:rsidRPr="00FB23A6" w:rsidRDefault="00FB23A6" w:rsidP="00FB23A6">
      <w:pPr>
        <w:widowControl w:val="0"/>
        <w:autoSpaceDE w:val="0"/>
        <w:autoSpaceDN w:val="0"/>
        <w:adjustRightInd w:val="0"/>
        <w:spacing w:line="360" w:lineRule="auto"/>
        <w:ind w:firstLine="709"/>
        <w:jc w:val="both"/>
        <w:rPr>
          <w:sz w:val="28"/>
          <w:szCs w:val="28"/>
        </w:rPr>
      </w:pPr>
      <w:r w:rsidRPr="00FB23A6">
        <w:rPr>
          <w:sz w:val="28"/>
          <w:szCs w:val="28"/>
        </w:rPr>
        <w:t>- заключено 15 договоров купли-продажи жилых помещений, занимаемых по договорам найма жилищного фонда. Дополнительные поступления в бюджет от реализации данного мероприятия составили 2 160,0 тыс. рублей;</w:t>
      </w:r>
    </w:p>
    <w:p w:rsidR="00FB23A6" w:rsidRPr="00FB23A6" w:rsidRDefault="00FB23A6" w:rsidP="00FB23A6">
      <w:pPr>
        <w:widowControl w:val="0"/>
        <w:autoSpaceDE w:val="0"/>
        <w:autoSpaceDN w:val="0"/>
        <w:adjustRightInd w:val="0"/>
        <w:spacing w:line="360" w:lineRule="auto"/>
        <w:ind w:firstLine="709"/>
        <w:jc w:val="both"/>
        <w:rPr>
          <w:sz w:val="28"/>
          <w:szCs w:val="28"/>
        </w:rPr>
      </w:pPr>
      <w:r w:rsidRPr="00FB23A6">
        <w:rPr>
          <w:sz w:val="28"/>
          <w:szCs w:val="28"/>
        </w:rPr>
        <w:t xml:space="preserve">- проведена претензионная работа по арендным платежам за земельные участки и муниципальное имущество. По состоянию на 01.01.2019 г. предъявлено 158 претензий на сумму 75 313,4 тыс. рублей, оплачено по претензиям – 15 730,5 тыс. рублей. Направлено в суд 103 исковых заявлений на сумму 24 111,6 тыс. руб., вынесено 111 решений суда на сумму 15 413,2 тыс. рублей, поступило по решениям суда – 11 130,7 тыс. рублей. Оплачено пени в сумме 1 258,8 тыс. рублей. </w:t>
      </w:r>
      <w:r w:rsidRPr="00FB23A6">
        <w:rPr>
          <w:sz w:val="28"/>
          <w:szCs w:val="28"/>
        </w:rPr>
        <w:tab/>
        <w:t>Запланированные мероприятия по оптимизации расходов бюджета муниципального образования исполнены на 100,0% к году и бюджетный эффект по состоянию на 01.01.2019 года составил 77 746,6 тыс. рублей, в том числе:</w:t>
      </w:r>
    </w:p>
    <w:p w:rsidR="00FB23A6" w:rsidRPr="00FB23A6" w:rsidRDefault="00FB23A6" w:rsidP="00FB23A6">
      <w:pPr>
        <w:widowControl w:val="0"/>
        <w:autoSpaceDE w:val="0"/>
        <w:autoSpaceDN w:val="0"/>
        <w:adjustRightInd w:val="0"/>
        <w:spacing w:line="360" w:lineRule="auto"/>
        <w:ind w:firstLine="709"/>
        <w:jc w:val="both"/>
        <w:rPr>
          <w:sz w:val="28"/>
          <w:szCs w:val="28"/>
        </w:rPr>
      </w:pPr>
      <w:r w:rsidRPr="00FB23A6">
        <w:rPr>
          <w:sz w:val="28"/>
          <w:szCs w:val="28"/>
        </w:rPr>
        <w:t>- внесены изменения в сводную бюджетную роспись расходов бюджета на 2018 год за счет оптимизации расходов на текущее содержание органов местного самоуправления в сумме 1 271,1 тыс. рублей;</w:t>
      </w:r>
    </w:p>
    <w:p w:rsidR="00FB23A6" w:rsidRPr="00FB23A6" w:rsidRDefault="00FB23A6" w:rsidP="00FB23A6">
      <w:pPr>
        <w:widowControl w:val="0"/>
        <w:autoSpaceDE w:val="0"/>
        <w:autoSpaceDN w:val="0"/>
        <w:adjustRightInd w:val="0"/>
        <w:spacing w:line="360" w:lineRule="auto"/>
        <w:ind w:firstLine="709"/>
        <w:jc w:val="both"/>
        <w:rPr>
          <w:sz w:val="28"/>
          <w:szCs w:val="28"/>
        </w:rPr>
      </w:pPr>
      <w:r w:rsidRPr="00FB23A6">
        <w:rPr>
          <w:sz w:val="28"/>
          <w:szCs w:val="28"/>
        </w:rPr>
        <w:t>- внесены изменения в сводную бюджетную роспись расходов бюджета на 2018 год за счет оптимизации расходов текущее содержание казенных учреждений в сумме 4 148,0 тыс. рублей;</w:t>
      </w:r>
    </w:p>
    <w:p w:rsidR="00FB23A6" w:rsidRPr="00FB23A6" w:rsidRDefault="00FB23A6" w:rsidP="00FB23A6">
      <w:pPr>
        <w:widowControl w:val="0"/>
        <w:autoSpaceDE w:val="0"/>
        <w:autoSpaceDN w:val="0"/>
        <w:adjustRightInd w:val="0"/>
        <w:spacing w:line="360" w:lineRule="auto"/>
        <w:ind w:firstLine="709"/>
        <w:jc w:val="both"/>
        <w:rPr>
          <w:sz w:val="28"/>
          <w:szCs w:val="28"/>
        </w:rPr>
      </w:pPr>
      <w:r w:rsidRPr="00FB23A6">
        <w:rPr>
          <w:sz w:val="28"/>
          <w:szCs w:val="28"/>
        </w:rPr>
        <w:t xml:space="preserve">- внесены изменения в сводную бюджетную роспись расходов бюджета на </w:t>
      </w:r>
      <w:r w:rsidRPr="00FB23A6">
        <w:rPr>
          <w:sz w:val="28"/>
          <w:szCs w:val="28"/>
        </w:rPr>
        <w:lastRenderedPageBreak/>
        <w:t>2018 год по оптимизации расходов на финансовое обеспечение выполнения муниципального задания на сумму 30 991,1 тыс. рублей, в том числе за счет сокращения расходных обязательств текущего характера и перераспределения средств на более приоритетные направления, из них: в сфере образования – 26 256,9 тыс. рублей; в сфере культуры – 2 020,5 тыс. рублей; в сфере физической культуры – 1 299,8 тыс. рублей; в иных сферах 1 413,9 тыс. рублей;</w:t>
      </w:r>
    </w:p>
    <w:p w:rsidR="00FB23A6" w:rsidRPr="00FB23A6" w:rsidRDefault="00FB23A6" w:rsidP="00FB23A6">
      <w:pPr>
        <w:widowControl w:val="0"/>
        <w:autoSpaceDE w:val="0"/>
        <w:autoSpaceDN w:val="0"/>
        <w:adjustRightInd w:val="0"/>
        <w:spacing w:line="360" w:lineRule="auto"/>
        <w:ind w:firstLine="709"/>
        <w:jc w:val="both"/>
        <w:rPr>
          <w:sz w:val="28"/>
          <w:szCs w:val="28"/>
        </w:rPr>
      </w:pPr>
      <w:r w:rsidRPr="00FB23A6">
        <w:rPr>
          <w:sz w:val="28"/>
          <w:szCs w:val="28"/>
        </w:rPr>
        <w:t>- сокращение бюджетных средств по итогам закупочных процедур составило 15 550,5 тыс. рублей;</w:t>
      </w:r>
    </w:p>
    <w:p w:rsidR="00FB23A6" w:rsidRPr="00FB23A6" w:rsidRDefault="00FB23A6" w:rsidP="00FB23A6">
      <w:pPr>
        <w:widowControl w:val="0"/>
        <w:autoSpaceDE w:val="0"/>
        <w:autoSpaceDN w:val="0"/>
        <w:adjustRightInd w:val="0"/>
        <w:spacing w:line="360" w:lineRule="auto"/>
        <w:ind w:firstLine="709"/>
        <w:jc w:val="both"/>
        <w:rPr>
          <w:sz w:val="28"/>
          <w:szCs w:val="28"/>
        </w:rPr>
      </w:pPr>
      <w:r w:rsidRPr="00FB23A6">
        <w:rPr>
          <w:sz w:val="28"/>
          <w:szCs w:val="28"/>
        </w:rPr>
        <w:t>- проводится инвентаризация мероприятий муниципальных программ и непрограммных расходов. За 2018 год сокращение составило 15 331,5 тыс. рублей, в том числе в части обеспечения доли софинансирования в соответствии с заключёнными соглашениями о предоставлении субсидии;</w:t>
      </w:r>
    </w:p>
    <w:p w:rsidR="00FB23A6" w:rsidRPr="00FB23A6" w:rsidRDefault="00FB23A6" w:rsidP="00FB23A6">
      <w:pPr>
        <w:widowControl w:val="0"/>
        <w:autoSpaceDE w:val="0"/>
        <w:autoSpaceDN w:val="0"/>
        <w:adjustRightInd w:val="0"/>
        <w:spacing w:line="360" w:lineRule="auto"/>
        <w:ind w:firstLine="709"/>
        <w:jc w:val="both"/>
        <w:rPr>
          <w:sz w:val="28"/>
          <w:szCs w:val="28"/>
        </w:rPr>
      </w:pPr>
      <w:r w:rsidRPr="00FB23A6">
        <w:rPr>
          <w:sz w:val="28"/>
          <w:szCs w:val="28"/>
        </w:rPr>
        <w:t>- Реорганизация действующей сети муниципальных учреждений и снижение численности работающих в муниципальных учреждениях – на сумму 1 659,3 тыс. рублей. В соответствии с распоряжениями администрации города от 02.04.2018 № 604-ра, от 18.07.2018 №1175-ра «Об изменении численности штатных единиц в муниципальном учреждении" уменьшена численность работников в МКУ «Центр бухгалтерского и комплексного обслуживания муниципальных учреждений города Пыть-Яха» и среднегодовое составило 10 единиц;</w:t>
      </w:r>
    </w:p>
    <w:p w:rsidR="00FB23A6" w:rsidRPr="00FB23A6" w:rsidRDefault="00FB23A6" w:rsidP="00FB23A6">
      <w:pPr>
        <w:widowControl w:val="0"/>
        <w:autoSpaceDE w:val="0"/>
        <w:autoSpaceDN w:val="0"/>
        <w:adjustRightInd w:val="0"/>
        <w:spacing w:line="360" w:lineRule="auto"/>
        <w:ind w:firstLine="709"/>
        <w:jc w:val="both"/>
        <w:rPr>
          <w:sz w:val="28"/>
          <w:szCs w:val="28"/>
        </w:rPr>
      </w:pPr>
      <w:r w:rsidRPr="00FB23A6">
        <w:rPr>
          <w:sz w:val="28"/>
          <w:szCs w:val="28"/>
        </w:rPr>
        <w:t>- за счёт снижения муниципальными учреждениями объема потребления воды, тепловой и электрической энергии бюджетный эффект составил 1 713,7 тыс. рублей;</w:t>
      </w:r>
    </w:p>
    <w:p w:rsidR="00FB23A6" w:rsidRPr="00FB23A6" w:rsidRDefault="00FB23A6" w:rsidP="00FB23A6">
      <w:pPr>
        <w:widowControl w:val="0"/>
        <w:autoSpaceDE w:val="0"/>
        <w:autoSpaceDN w:val="0"/>
        <w:adjustRightInd w:val="0"/>
        <w:spacing w:line="360" w:lineRule="auto"/>
        <w:ind w:firstLine="709"/>
        <w:jc w:val="both"/>
        <w:rPr>
          <w:sz w:val="28"/>
          <w:szCs w:val="28"/>
        </w:rPr>
      </w:pPr>
      <w:r w:rsidRPr="00FB23A6">
        <w:rPr>
          <w:sz w:val="28"/>
          <w:szCs w:val="28"/>
        </w:rPr>
        <w:t xml:space="preserve">-за счёт расширения перечня и объёма платных услуг, оказываемых бюджетными и автономными учреждениями городского округа бюджетный эффект, составил 2 447,0 тыс. рублей. Увеличен объем средств от приносящей доход деятельности автономных и бюджетных учреждений за счёт оказания услуг по программам дополнительного образования и реализаций новых программ на платной основе, в том числе "Деловой английский язык" для обучающихся с 1-11 классов, "Группа продленного дня" для обучающихся с 1-4 классы, "Факультативные предметные спецкурсы" для обучающихся с 8-11 классы.  </w:t>
      </w:r>
    </w:p>
    <w:p w:rsidR="00FB23A6" w:rsidRPr="00FB23A6" w:rsidRDefault="00FB23A6" w:rsidP="00FB23A6">
      <w:pPr>
        <w:widowControl w:val="0"/>
        <w:autoSpaceDE w:val="0"/>
        <w:autoSpaceDN w:val="0"/>
        <w:adjustRightInd w:val="0"/>
        <w:spacing w:line="360" w:lineRule="auto"/>
        <w:ind w:firstLine="709"/>
        <w:jc w:val="both"/>
        <w:rPr>
          <w:sz w:val="28"/>
          <w:szCs w:val="28"/>
        </w:rPr>
      </w:pPr>
      <w:r w:rsidRPr="00FB23A6">
        <w:rPr>
          <w:sz w:val="28"/>
          <w:szCs w:val="28"/>
        </w:rPr>
        <w:lastRenderedPageBreak/>
        <w:t>- бюджетный эффект за счёт передачи муниципальных услуг на исполнение в многофункциональный центр предоставления услуг составил 634,4 тыс. рублей. По состоянию на 01.01.2019 на частичное исполнение в МБУ "МФЦ города Пыть-Яха" передано 4 муниципальные услуги: утверждение схемы расположения земельного участка или земельных участков на кадастровом плане территории;</w:t>
      </w:r>
    </w:p>
    <w:p w:rsidR="00FB23A6" w:rsidRPr="00FB23A6" w:rsidRDefault="00FB23A6" w:rsidP="00FB23A6">
      <w:pPr>
        <w:widowControl w:val="0"/>
        <w:autoSpaceDE w:val="0"/>
        <w:autoSpaceDN w:val="0"/>
        <w:adjustRightInd w:val="0"/>
        <w:spacing w:line="360" w:lineRule="auto"/>
        <w:ind w:firstLine="709"/>
        <w:jc w:val="both"/>
        <w:rPr>
          <w:sz w:val="28"/>
          <w:szCs w:val="28"/>
        </w:rPr>
      </w:pPr>
      <w:r w:rsidRPr="00FB23A6">
        <w:rPr>
          <w:sz w:val="28"/>
          <w:szCs w:val="28"/>
        </w:rPr>
        <w:t xml:space="preserve">- передача муниципальных услуг некоммерческим организациям и социальному предпринимательству на сумму 4 000,0 тыс. рублей. По состоянию на 01.01.2019 финансирование негосударственных социально ориентированных некоммерческих организаций на предоставление услуг (работ), в социальной сфере производится в соответствии с планом- графиком, утверждённым приложением 1 к Соглашению № 14 о предоставлении из бюджета МО </w:t>
      </w:r>
      <w:proofErr w:type="spellStart"/>
      <w:r w:rsidRPr="00FB23A6">
        <w:rPr>
          <w:sz w:val="28"/>
          <w:szCs w:val="28"/>
        </w:rPr>
        <w:t>г.о</w:t>
      </w:r>
      <w:proofErr w:type="spellEnd"/>
      <w:r w:rsidRPr="00FB23A6">
        <w:rPr>
          <w:sz w:val="28"/>
          <w:szCs w:val="28"/>
        </w:rPr>
        <w:t>. город Пыть-Ях субсидии, предусмотренной муниципальной программой "Развитие образования в муниципальном образовании городской округ город Пыть-Ях на 2018-2025 годы и на период до 2030 года".</w:t>
      </w:r>
    </w:p>
    <w:p w:rsidR="00FB23A6" w:rsidRPr="00FB23A6" w:rsidRDefault="00FB23A6" w:rsidP="00FB23A6">
      <w:pPr>
        <w:widowControl w:val="0"/>
        <w:autoSpaceDE w:val="0"/>
        <w:autoSpaceDN w:val="0"/>
        <w:adjustRightInd w:val="0"/>
        <w:spacing w:line="360" w:lineRule="auto"/>
        <w:ind w:firstLine="709"/>
        <w:jc w:val="both"/>
        <w:rPr>
          <w:sz w:val="28"/>
          <w:szCs w:val="28"/>
        </w:rPr>
      </w:pPr>
      <w:r w:rsidRPr="00FB23A6">
        <w:rPr>
          <w:sz w:val="28"/>
          <w:szCs w:val="28"/>
        </w:rPr>
        <w:t xml:space="preserve">Мероприятия по сокращению муниципального долга и расходов на его обслуживание: </w:t>
      </w:r>
    </w:p>
    <w:p w:rsidR="00FB23A6" w:rsidRPr="00FB23A6" w:rsidRDefault="00FB23A6" w:rsidP="00FB23A6">
      <w:pPr>
        <w:widowControl w:val="0"/>
        <w:autoSpaceDE w:val="0"/>
        <w:autoSpaceDN w:val="0"/>
        <w:adjustRightInd w:val="0"/>
        <w:spacing w:line="360" w:lineRule="auto"/>
        <w:ind w:firstLine="709"/>
        <w:jc w:val="both"/>
        <w:rPr>
          <w:sz w:val="28"/>
          <w:szCs w:val="28"/>
        </w:rPr>
      </w:pPr>
      <w:r w:rsidRPr="00FB23A6">
        <w:rPr>
          <w:sz w:val="28"/>
          <w:szCs w:val="28"/>
        </w:rPr>
        <w:t>- в связи с погашением муниципального долга в сумме 154 690,0 тыс. рублей, на отчетную дату, отношение муниципального долга к доходам бюджета городского округа без учета безвозмездных поступлений сложилось в размере 14,1 %. Погашение муниципального долга на 01.01.2019 составило 12,3 % к годовому объему доходов без учета безвозмездных поступлений.</w:t>
      </w:r>
    </w:p>
    <w:p w:rsidR="00FB23A6" w:rsidRPr="00FB23A6" w:rsidRDefault="00FB23A6" w:rsidP="00FB23A6">
      <w:pPr>
        <w:widowControl w:val="0"/>
        <w:autoSpaceDE w:val="0"/>
        <w:autoSpaceDN w:val="0"/>
        <w:adjustRightInd w:val="0"/>
        <w:spacing w:line="360" w:lineRule="auto"/>
        <w:ind w:firstLine="709"/>
        <w:jc w:val="both"/>
        <w:rPr>
          <w:sz w:val="28"/>
          <w:szCs w:val="28"/>
        </w:rPr>
      </w:pPr>
      <w:r w:rsidRPr="00FB23A6">
        <w:rPr>
          <w:sz w:val="28"/>
          <w:szCs w:val="28"/>
        </w:rPr>
        <w:t>- за отчетный период расходы на обслуживание муниципального долга составили 5 462,0 тыс. руб.</w:t>
      </w:r>
    </w:p>
    <w:p w:rsidR="00FB23A6" w:rsidRPr="00FB23A6" w:rsidRDefault="00FB23A6" w:rsidP="00FB23A6">
      <w:pPr>
        <w:widowControl w:val="0"/>
        <w:autoSpaceDE w:val="0"/>
        <w:autoSpaceDN w:val="0"/>
        <w:adjustRightInd w:val="0"/>
        <w:spacing w:line="360" w:lineRule="auto"/>
        <w:ind w:firstLine="709"/>
        <w:jc w:val="both"/>
        <w:rPr>
          <w:sz w:val="28"/>
          <w:szCs w:val="28"/>
        </w:rPr>
      </w:pPr>
      <w:r w:rsidRPr="00FB23A6">
        <w:rPr>
          <w:sz w:val="28"/>
          <w:szCs w:val="28"/>
        </w:rPr>
        <w:t>Бюджетный эффект по итогам 2018 года составил 121 463,7 тыс. рублей или 9,5 % к исполнению собственных доходов муниципального образования.</w:t>
      </w:r>
    </w:p>
    <w:p w:rsidR="003A34B7" w:rsidRPr="009E7FE7" w:rsidRDefault="003A34B7" w:rsidP="00FB23A6">
      <w:pPr>
        <w:widowControl w:val="0"/>
        <w:autoSpaceDE w:val="0"/>
        <w:autoSpaceDN w:val="0"/>
        <w:adjustRightInd w:val="0"/>
        <w:spacing w:line="360" w:lineRule="auto"/>
        <w:ind w:firstLine="709"/>
        <w:jc w:val="both"/>
        <w:rPr>
          <w:sz w:val="28"/>
          <w:szCs w:val="28"/>
        </w:rPr>
      </w:pPr>
      <w:r w:rsidRPr="009E7FE7">
        <w:rPr>
          <w:sz w:val="28"/>
          <w:szCs w:val="28"/>
        </w:rPr>
        <w:t xml:space="preserve">Администрацией города </w:t>
      </w:r>
      <w:r w:rsidR="00854863" w:rsidRPr="009E7FE7">
        <w:rPr>
          <w:sz w:val="28"/>
          <w:szCs w:val="28"/>
        </w:rPr>
        <w:t>разработан</w:t>
      </w:r>
      <w:r w:rsidRPr="009E7FE7">
        <w:rPr>
          <w:sz w:val="28"/>
          <w:szCs w:val="28"/>
        </w:rPr>
        <w:t xml:space="preserve"> аналогичный план мероприятий по росту доходов, оптимизации расходов местных бюджетов и сокращению муниципального долга на 201</w:t>
      </w:r>
      <w:r w:rsidR="00FB23A6">
        <w:rPr>
          <w:sz w:val="28"/>
          <w:szCs w:val="28"/>
        </w:rPr>
        <w:t>9</w:t>
      </w:r>
      <w:r w:rsidR="00854863" w:rsidRPr="009E7FE7">
        <w:rPr>
          <w:sz w:val="28"/>
          <w:szCs w:val="28"/>
        </w:rPr>
        <w:t>-20</w:t>
      </w:r>
      <w:r w:rsidR="00EC5053">
        <w:rPr>
          <w:sz w:val="28"/>
          <w:szCs w:val="28"/>
        </w:rPr>
        <w:t>2</w:t>
      </w:r>
      <w:r w:rsidR="00FB23A6">
        <w:rPr>
          <w:sz w:val="28"/>
          <w:szCs w:val="28"/>
        </w:rPr>
        <w:t>1</w:t>
      </w:r>
      <w:r w:rsidRPr="009E7FE7">
        <w:rPr>
          <w:sz w:val="28"/>
          <w:szCs w:val="28"/>
        </w:rPr>
        <w:t xml:space="preserve"> год</w:t>
      </w:r>
      <w:r w:rsidR="00854863" w:rsidRPr="009E7FE7">
        <w:rPr>
          <w:sz w:val="28"/>
          <w:szCs w:val="28"/>
        </w:rPr>
        <w:t>ы</w:t>
      </w:r>
      <w:r w:rsidRPr="009E7FE7">
        <w:rPr>
          <w:sz w:val="28"/>
          <w:szCs w:val="28"/>
        </w:rPr>
        <w:t>.</w:t>
      </w:r>
    </w:p>
    <w:p w:rsidR="003A34B7" w:rsidRPr="009E7FE7" w:rsidRDefault="003A34B7" w:rsidP="003A34B7">
      <w:pPr>
        <w:autoSpaceDE w:val="0"/>
        <w:autoSpaceDN w:val="0"/>
        <w:adjustRightInd w:val="0"/>
        <w:ind w:firstLine="720"/>
        <w:jc w:val="both"/>
        <w:rPr>
          <w:sz w:val="28"/>
          <w:szCs w:val="28"/>
          <w:lang w:eastAsia="en-US"/>
        </w:rPr>
      </w:pPr>
    </w:p>
    <w:p w:rsidR="003A34B7" w:rsidRPr="009E7FE7" w:rsidRDefault="003A34B7" w:rsidP="003A34B7">
      <w:pPr>
        <w:widowControl w:val="0"/>
        <w:autoSpaceDE w:val="0"/>
        <w:autoSpaceDN w:val="0"/>
        <w:adjustRightInd w:val="0"/>
        <w:spacing w:line="360" w:lineRule="auto"/>
        <w:ind w:firstLine="709"/>
        <w:jc w:val="both"/>
        <w:rPr>
          <w:b/>
          <w:sz w:val="28"/>
          <w:szCs w:val="28"/>
        </w:rPr>
      </w:pPr>
      <w:r w:rsidRPr="009E7FE7">
        <w:rPr>
          <w:b/>
          <w:sz w:val="28"/>
          <w:szCs w:val="28"/>
        </w:rPr>
        <w:t>2.</w:t>
      </w:r>
      <w:r w:rsidRPr="009E7FE7">
        <w:rPr>
          <w:sz w:val="28"/>
          <w:szCs w:val="28"/>
        </w:rPr>
        <w:t xml:space="preserve"> </w:t>
      </w:r>
      <w:r w:rsidRPr="009E7FE7">
        <w:rPr>
          <w:b/>
          <w:sz w:val="28"/>
          <w:szCs w:val="28"/>
        </w:rPr>
        <w:t xml:space="preserve">Организация планирования, исполнения бюджета городского округа </w:t>
      </w:r>
      <w:r w:rsidRPr="009E7FE7">
        <w:rPr>
          <w:b/>
          <w:sz w:val="28"/>
          <w:szCs w:val="28"/>
        </w:rPr>
        <w:lastRenderedPageBreak/>
        <w:t>и формирование отчетности об исполнении бюджета городского округа.</w:t>
      </w:r>
    </w:p>
    <w:p w:rsidR="003A34B7" w:rsidRPr="009E7FE7" w:rsidRDefault="003A34B7" w:rsidP="003A34B7">
      <w:pPr>
        <w:widowControl w:val="0"/>
        <w:autoSpaceDE w:val="0"/>
        <w:autoSpaceDN w:val="0"/>
        <w:adjustRightInd w:val="0"/>
        <w:spacing w:line="360" w:lineRule="auto"/>
        <w:ind w:firstLine="709"/>
        <w:jc w:val="both"/>
        <w:rPr>
          <w:sz w:val="28"/>
          <w:szCs w:val="28"/>
        </w:rPr>
      </w:pPr>
      <w:r w:rsidRPr="009E7FE7">
        <w:rPr>
          <w:sz w:val="28"/>
          <w:szCs w:val="28"/>
        </w:rPr>
        <w:t>Результатом реализации данного мероприятия является:</w:t>
      </w:r>
    </w:p>
    <w:p w:rsidR="003A34B7" w:rsidRPr="009E7FE7" w:rsidRDefault="003A34B7" w:rsidP="003A34B7">
      <w:pPr>
        <w:pStyle w:val="1"/>
        <w:widowControl w:val="0"/>
        <w:numPr>
          <w:ilvl w:val="0"/>
          <w:numId w:val="3"/>
        </w:numPr>
        <w:autoSpaceDE w:val="0"/>
        <w:autoSpaceDN w:val="0"/>
        <w:adjustRightInd w:val="0"/>
        <w:spacing w:after="0" w:line="360" w:lineRule="auto"/>
        <w:ind w:left="0" w:firstLine="709"/>
        <w:contextualSpacing/>
        <w:jc w:val="both"/>
        <w:rPr>
          <w:rFonts w:ascii="Times New Roman" w:hAnsi="Times New Roman" w:cs="Times New Roman"/>
          <w:b/>
          <w:sz w:val="28"/>
          <w:szCs w:val="28"/>
        </w:rPr>
      </w:pPr>
      <w:r w:rsidRPr="009E7FE7">
        <w:rPr>
          <w:rFonts w:ascii="Times New Roman" w:hAnsi="Times New Roman" w:cs="Times New Roman"/>
          <w:b/>
          <w:sz w:val="28"/>
          <w:szCs w:val="28"/>
        </w:rPr>
        <w:t xml:space="preserve"> принятый в установленные сроки и соответствующий требованиям бюджетного законодательства Российской Федерации бюджет городского округа на очередной финансовый год и плановый период;</w:t>
      </w:r>
    </w:p>
    <w:p w:rsidR="003A34B7" w:rsidRPr="009E7FE7" w:rsidRDefault="003A34B7" w:rsidP="003A34B7">
      <w:pPr>
        <w:pStyle w:val="1"/>
        <w:widowControl w:val="0"/>
        <w:autoSpaceDE w:val="0"/>
        <w:autoSpaceDN w:val="0"/>
        <w:adjustRightInd w:val="0"/>
        <w:spacing w:after="0" w:line="360" w:lineRule="auto"/>
        <w:ind w:left="0" w:firstLine="709"/>
        <w:jc w:val="both"/>
        <w:rPr>
          <w:rFonts w:ascii="Times New Roman" w:hAnsi="Times New Roman" w:cs="Times New Roman"/>
          <w:sz w:val="28"/>
          <w:szCs w:val="28"/>
        </w:rPr>
      </w:pPr>
      <w:r w:rsidRPr="009E7FE7">
        <w:rPr>
          <w:rFonts w:ascii="Times New Roman" w:hAnsi="Times New Roman" w:cs="Times New Roman"/>
          <w:sz w:val="28"/>
          <w:szCs w:val="28"/>
        </w:rPr>
        <w:t>Организация бюджетного процесса в городском округе осуществляется в соответствии с Бюджетным кодексом Российской Федерации, решением Думы города от 21.03.2014 № 258 «Об утверждении Положения о бюджетном процессе в муниципальном образовании городской округ город Пыть-Ях», которым определены основные этапы.</w:t>
      </w:r>
    </w:p>
    <w:p w:rsidR="003A34B7" w:rsidRPr="009E7FE7" w:rsidRDefault="003A34B7" w:rsidP="003A34B7">
      <w:pPr>
        <w:pStyle w:val="1"/>
        <w:widowControl w:val="0"/>
        <w:autoSpaceDE w:val="0"/>
        <w:autoSpaceDN w:val="0"/>
        <w:adjustRightInd w:val="0"/>
        <w:spacing w:after="0" w:line="360" w:lineRule="auto"/>
        <w:ind w:left="0" w:firstLine="709"/>
        <w:jc w:val="both"/>
        <w:rPr>
          <w:rFonts w:ascii="Times New Roman" w:hAnsi="Times New Roman" w:cs="Times New Roman"/>
          <w:sz w:val="28"/>
          <w:szCs w:val="28"/>
        </w:rPr>
      </w:pPr>
      <w:r w:rsidRPr="009E7FE7">
        <w:rPr>
          <w:rFonts w:ascii="Times New Roman" w:hAnsi="Times New Roman" w:cs="Times New Roman"/>
          <w:sz w:val="28"/>
          <w:szCs w:val="28"/>
        </w:rPr>
        <w:t xml:space="preserve">Первым этапом организации и осуществления бюджетного процесса является составление, рассмотрение и утверждение проекта бюджета на очередной финансовый год и плановый период. Взаимодействие всех участников бюджетного процесса на первом его этапе, регулируются положениями постановления администрации </w:t>
      </w:r>
      <w:r w:rsidR="009E7FE7" w:rsidRPr="009E7FE7">
        <w:rPr>
          <w:rFonts w:ascii="Times New Roman" w:hAnsi="Times New Roman" w:cs="Times New Roman"/>
          <w:sz w:val="28"/>
          <w:szCs w:val="28"/>
        </w:rPr>
        <w:t>города от</w:t>
      </w:r>
      <w:r w:rsidRPr="009E7FE7">
        <w:rPr>
          <w:rFonts w:ascii="Times New Roman" w:hAnsi="Times New Roman" w:cs="Times New Roman"/>
          <w:sz w:val="28"/>
          <w:szCs w:val="28"/>
        </w:rPr>
        <w:t xml:space="preserve"> 14.07.2014 № 175-па «О Порядке составления проекта решения о бюджете города на очередной финансовый год и плановый период».</w:t>
      </w:r>
      <w:r w:rsidRPr="009E7FE7">
        <w:rPr>
          <w:rFonts w:ascii="Times New Roman" w:hAnsi="Times New Roman" w:cs="Times New Roman"/>
          <w:sz w:val="28"/>
          <w:szCs w:val="28"/>
        </w:rPr>
        <w:tab/>
      </w:r>
    </w:p>
    <w:p w:rsidR="003A34B7" w:rsidRPr="009E7FE7" w:rsidRDefault="003A34B7" w:rsidP="003A34B7">
      <w:pPr>
        <w:pStyle w:val="1"/>
        <w:widowControl w:val="0"/>
        <w:autoSpaceDE w:val="0"/>
        <w:autoSpaceDN w:val="0"/>
        <w:adjustRightInd w:val="0"/>
        <w:spacing w:after="0" w:line="360" w:lineRule="auto"/>
        <w:ind w:left="0" w:firstLine="709"/>
        <w:jc w:val="both"/>
        <w:rPr>
          <w:rFonts w:ascii="Times New Roman" w:hAnsi="Times New Roman" w:cs="Times New Roman"/>
          <w:sz w:val="28"/>
          <w:szCs w:val="28"/>
        </w:rPr>
      </w:pPr>
      <w:r w:rsidRPr="009E7FE7">
        <w:rPr>
          <w:rFonts w:ascii="Times New Roman" w:hAnsi="Times New Roman" w:cs="Times New Roman"/>
          <w:sz w:val="28"/>
          <w:szCs w:val="28"/>
        </w:rPr>
        <w:t xml:space="preserve">С целью установления конкретных сроков представления </w:t>
      </w:r>
      <w:r w:rsidR="009E7FE7" w:rsidRPr="009E7FE7">
        <w:rPr>
          <w:rFonts w:ascii="Times New Roman" w:hAnsi="Times New Roman" w:cs="Times New Roman"/>
          <w:sz w:val="28"/>
          <w:szCs w:val="28"/>
        </w:rPr>
        <w:t>материалов утвержден</w:t>
      </w:r>
      <w:r w:rsidRPr="009E7FE7">
        <w:rPr>
          <w:rFonts w:ascii="Times New Roman" w:hAnsi="Times New Roman" w:cs="Times New Roman"/>
          <w:sz w:val="28"/>
          <w:szCs w:val="28"/>
        </w:rPr>
        <w:t xml:space="preserve"> График подготовки, рассмотрения документов и материалов, разрабатываемых при составлении проекта решения о бюджете города на очередной финансовый год распоряжением администрации города от </w:t>
      </w:r>
      <w:r w:rsidR="00730674" w:rsidRPr="009E7FE7">
        <w:rPr>
          <w:rFonts w:ascii="Times New Roman" w:hAnsi="Times New Roman" w:cs="Times New Roman"/>
          <w:sz w:val="28"/>
          <w:szCs w:val="28"/>
        </w:rPr>
        <w:t>04</w:t>
      </w:r>
      <w:r w:rsidRPr="009E7FE7">
        <w:rPr>
          <w:rFonts w:ascii="Times New Roman" w:hAnsi="Times New Roman" w:cs="Times New Roman"/>
          <w:sz w:val="28"/>
          <w:szCs w:val="28"/>
        </w:rPr>
        <w:t>.0</w:t>
      </w:r>
      <w:r w:rsidR="00730674" w:rsidRPr="009E7FE7">
        <w:rPr>
          <w:rFonts w:ascii="Times New Roman" w:hAnsi="Times New Roman" w:cs="Times New Roman"/>
          <w:sz w:val="28"/>
          <w:szCs w:val="28"/>
        </w:rPr>
        <w:t>6</w:t>
      </w:r>
      <w:r w:rsidRPr="009E7FE7">
        <w:rPr>
          <w:rFonts w:ascii="Times New Roman" w:hAnsi="Times New Roman" w:cs="Times New Roman"/>
          <w:sz w:val="28"/>
          <w:szCs w:val="28"/>
        </w:rPr>
        <w:t>.201</w:t>
      </w:r>
      <w:r w:rsidR="00730674" w:rsidRPr="009E7FE7">
        <w:rPr>
          <w:rFonts w:ascii="Times New Roman" w:hAnsi="Times New Roman" w:cs="Times New Roman"/>
          <w:sz w:val="28"/>
          <w:szCs w:val="28"/>
        </w:rPr>
        <w:t>5</w:t>
      </w:r>
      <w:r w:rsidRPr="009E7FE7">
        <w:rPr>
          <w:rFonts w:ascii="Times New Roman" w:hAnsi="Times New Roman" w:cs="Times New Roman"/>
          <w:sz w:val="28"/>
          <w:szCs w:val="28"/>
        </w:rPr>
        <w:t xml:space="preserve"> № 1</w:t>
      </w:r>
      <w:r w:rsidR="00730674" w:rsidRPr="009E7FE7">
        <w:rPr>
          <w:rFonts w:ascii="Times New Roman" w:hAnsi="Times New Roman" w:cs="Times New Roman"/>
          <w:sz w:val="28"/>
          <w:szCs w:val="28"/>
        </w:rPr>
        <w:t>208</w:t>
      </w:r>
      <w:r w:rsidRPr="009E7FE7">
        <w:rPr>
          <w:rFonts w:ascii="Times New Roman" w:hAnsi="Times New Roman" w:cs="Times New Roman"/>
          <w:sz w:val="28"/>
          <w:szCs w:val="28"/>
        </w:rPr>
        <w:t xml:space="preserve">-ра. </w:t>
      </w:r>
    </w:p>
    <w:p w:rsidR="009C40C7" w:rsidRDefault="009C40C7" w:rsidP="009C40C7">
      <w:pPr>
        <w:pStyle w:val="1"/>
        <w:widowControl w:val="0"/>
        <w:autoSpaceDE w:val="0"/>
        <w:autoSpaceDN w:val="0"/>
        <w:adjustRightInd w:val="0"/>
        <w:spacing w:after="0" w:line="360" w:lineRule="auto"/>
        <w:ind w:left="0" w:firstLine="709"/>
        <w:jc w:val="both"/>
        <w:rPr>
          <w:rFonts w:ascii="Times New Roman" w:hAnsi="Times New Roman" w:cs="Times New Roman"/>
          <w:sz w:val="28"/>
          <w:szCs w:val="24"/>
        </w:rPr>
      </w:pPr>
      <w:r w:rsidRPr="007D146A">
        <w:rPr>
          <w:rFonts w:ascii="Times New Roman" w:hAnsi="Times New Roman" w:cs="Times New Roman"/>
          <w:sz w:val="28"/>
          <w:szCs w:val="24"/>
        </w:rPr>
        <w:t xml:space="preserve">Основные направления </w:t>
      </w:r>
      <w:r w:rsidRPr="001F5E83">
        <w:rPr>
          <w:rFonts w:ascii="Times New Roman" w:hAnsi="Times New Roman" w:cs="Times New Roman"/>
          <w:sz w:val="28"/>
          <w:szCs w:val="24"/>
        </w:rPr>
        <w:t>налоговой, бюджетной и долговой политики муниципального образования городского округа города Пыть-Яха на 2018-2020 годы</w:t>
      </w:r>
      <w:r w:rsidRPr="007D146A">
        <w:rPr>
          <w:rFonts w:ascii="Times New Roman" w:hAnsi="Times New Roman" w:cs="Times New Roman"/>
          <w:sz w:val="28"/>
          <w:szCs w:val="24"/>
        </w:rPr>
        <w:t xml:space="preserve">, одобрены распоряжением администрации города от </w:t>
      </w:r>
      <w:r>
        <w:rPr>
          <w:rFonts w:ascii="Times New Roman" w:hAnsi="Times New Roman" w:cs="Times New Roman"/>
          <w:sz w:val="28"/>
          <w:szCs w:val="24"/>
        </w:rPr>
        <w:t>16.10.2017 № 1789-ра</w:t>
      </w:r>
      <w:r w:rsidRPr="007D146A">
        <w:rPr>
          <w:rFonts w:ascii="Times New Roman" w:hAnsi="Times New Roman" w:cs="Times New Roman"/>
          <w:sz w:val="28"/>
          <w:szCs w:val="24"/>
        </w:rPr>
        <w:t xml:space="preserve">. </w:t>
      </w:r>
    </w:p>
    <w:p w:rsidR="009C40C7" w:rsidRPr="001F5E83" w:rsidRDefault="009C40C7" w:rsidP="009C40C7">
      <w:pPr>
        <w:widowControl w:val="0"/>
        <w:autoSpaceDE w:val="0"/>
        <w:autoSpaceDN w:val="0"/>
        <w:adjustRightInd w:val="0"/>
        <w:spacing w:line="360" w:lineRule="auto"/>
        <w:ind w:firstLine="540"/>
        <w:jc w:val="both"/>
        <w:rPr>
          <w:bCs/>
          <w:sz w:val="28"/>
          <w:szCs w:val="28"/>
        </w:rPr>
      </w:pPr>
      <w:r w:rsidRPr="001F5E83">
        <w:rPr>
          <w:bCs/>
          <w:sz w:val="28"/>
          <w:szCs w:val="28"/>
        </w:rPr>
        <w:t xml:space="preserve">Обеспечение стабильности и сбалансированности бюджета, повышение эффективности муниципального управления, преемственность целей и задач, определенных в предыдущих бюджетных циклах, </w:t>
      </w:r>
      <w:r>
        <w:rPr>
          <w:bCs/>
          <w:sz w:val="28"/>
          <w:szCs w:val="28"/>
        </w:rPr>
        <w:t>определены</w:t>
      </w:r>
      <w:r w:rsidRPr="001F5E83">
        <w:rPr>
          <w:bCs/>
          <w:sz w:val="28"/>
          <w:szCs w:val="28"/>
        </w:rPr>
        <w:t xml:space="preserve"> основным целевым ориентиром, заложенным в основу формирования проекта бюджета города Пыть-Яха на 2018 год и на плановый период 2019 и 2020 годов.</w:t>
      </w:r>
    </w:p>
    <w:p w:rsidR="009C40C7" w:rsidRPr="001F5E83" w:rsidRDefault="009C40C7" w:rsidP="009C40C7">
      <w:pPr>
        <w:widowControl w:val="0"/>
        <w:autoSpaceDE w:val="0"/>
        <w:autoSpaceDN w:val="0"/>
        <w:adjustRightInd w:val="0"/>
        <w:spacing w:line="360" w:lineRule="auto"/>
        <w:ind w:firstLine="540"/>
        <w:jc w:val="both"/>
        <w:rPr>
          <w:bCs/>
          <w:sz w:val="28"/>
          <w:szCs w:val="28"/>
        </w:rPr>
      </w:pPr>
      <w:r w:rsidRPr="001F5E83">
        <w:rPr>
          <w:bCs/>
          <w:sz w:val="28"/>
          <w:szCs w:val="28"/>
        </w:rPr>
        <w:t xml:space="preserve">Для достижения поставленных целей определены основные задачи налоговой </w:t>
      </w:r>
      <w:r w:rsidRPr="001F5E83">
        <w:rPr>
          <w:bCs/>
          <w:sz w:val="28"/>
          <w:szCs w:val="28"/>
        </w:rPr>
        <w:lastRenderedPageBreak/>
        <w:t>политики городского округа на среднесрочную перспективу:</w:t>
      </w:r>
    </w:p>
    <w:p w:rsidR="009C40C7" w:rsidRPr="001F5E83" w:rsidRDefault="009C40C7" w:rsidP="009C40C7">
      <w:pPr>
        <w:widowControl w:val="0"/>
        <w:autoSpaceDE w:val="0"/>
        <w:autoSpaceDN w:val="0"/>
        <w:adjustRightInd w:val="0"/>
        <w:spacing w:line="360" w:lineRule="auto"/>
        <w:ind w:firstLine="540"/>
        <w:jc w:val="both"/>
        <w:rPr>
          <w:bCs/>
          <w:sz w:val="28"/>
          <w:szCs w:val="28"/>
        </w:rPr>
      </w:pPr>
      <w:r w:rsidRPr="001F5E83">
        <w:rPr>
          <w:bCs/>
          <w:sz w:val="28"/>
          <w:szCs w:val="28"/>
        </w:rPr>
        <w:t xml:space="preserve">- повышение эффективности льготного налогообложения на территории города; </w:t>
      </w:r>
    </w:p>
    <w:p w:rsidR="009C40C7" w:rsidRPr="001F5E83" w:rsidRDefault="009C40C7" w:rsidP="009C40C7">
      <w:pPr>
        <w:widowControl w:val="0"/>
        <w:autoSpaceDE w:val="0"/>
        <w:autoSpaceDN w:val="0"/>
        <w:adjustRightInd w:val="0"/>
        <w:spacing w:line="360" w:lineRule="auto"/>
        <w:ind w:firstLine="540"/>
        <w:jc w:val="both"/>
        <w:rPr>
          <w:bCs/>
          <w:sz w:val="28"/>
          <w:szCs w:val="28"/>
        </w:rPr>
      </w:pPr>
      <w:r w:rsidRPr="001F5E83">
        <w:rPr>
          <w:bCs/>
          <w:sz w:val="28"/>
          <w:szCs w:val="28"/>
        </w:rPr>
        <w:t>- совершенствование налогового администрирования;</w:t>
      </w:r>
    </w:p>
    <w:p w:rsidR="009C40C7" w:rsidRPr="001F5E83" w:rsidRDefault="009C40C7" w:rsidP="009C40C7">
      <w:pPr>
        <w:widowControl w:val="0"/>
        <w:autoSpaceDE w:val="0"/>
        <w:autoSpaceDN w:val="0"/>
        <w:adjustRightInd w:val="0"/>
        <w:spacing w:line="360" w:lineRule="auto"/>
        <w:ind w:firstLine="540"/>
        <w:jc w:val="both"/>
        <w:rPr>
          <w:bCs/>
          <w:sz w:val="28"/>
          <w:szCs w:val="28"/>
        </w:rPr>
      </w:pPr>
      <w:r w:rsidRPr="001F5E83">
        <w:rPr>
          <w:bCs/>
          <w:sz w:val="28"/>
          <w:szCs w:val="28"/>
        </w:rPr>
        <w:t>- проведение оценки эффективности налоговых льгот;</w:t>
      </w:r>
    </w:p>
    <w:p w:rsidR="009C40C7" w:rsidRPr="001F5E83" w:rsidRDefault="009C40C7" w:rsidP="009C40C7">
      <w:pPr>
        <w:widowControl w:val="0"/>
        <w:autoSpaceDE w:val="0"/>
        <w:autoSpaceDN w:val="0"/>
        <w:adjustRightInd w:val="0"/>
        <w:spacing w:line="360" w:lineRule="auto"/>
        <w:ind w:firstLine="540"/>
        <w:jc w:val="both"/>
        <w:rPr>
          <w:bCs/>
          <w:sz w:val="28"/>
          <w:szCs w:val="28"/>
        </w:rPr>
      </w:pPr>
      <w:r w:rsidRPr="001F5E83">
        <w:rPr>
          <w:bCs/>
          <w:sz w:val="28"/>
          <w:szCs w:val="28"/>
        </w:rPr>
        <w:t>- взаимодействие с крупнейшими налогоплательщиками городского округа, в целях наиболее достоверного планирования доходной части бюджета и предотвращения снижения платежей в бюджет.</w:t>
      </w:r>
    </w:p>
    <w:p w:rsidR="009C40C7" w:rsidRPr="001F5E83" w:rsidRDefault="009C40C7" w:rsidP="009C40C7">
      <w:pPr>
        <w:widowControl w:val="0"/>
        <w:autoSpaceDE w:val="0"/>
        <w:autoSpaceDN w:val="0"/>
        <w:adjustRightInd w:val="0"/>
        <w:spacing w:line="360" w:lineRule="auto"/>
        <w:ind w:firstLine="540"/>
        <w:jc w:val="both"/>
        <w:rPr>
          <w:bCs/>
          <w:sz w:val="28"/>
          <w:szCs w:val="28"/>
        </w:rPr>
      </w:pPr>
      <w:r w:rsidRPr="001F5E83">
        <w:rPr>
          <w:bCs/>
          <w:sz w:val="28"/>
          <w:szCs w:val="28"/>
        </w:rPr>
        <w:t xml:space="preserve">Целью бюджетной политики городского округа </w:t>
      </w:r>
      <w:r>
        <w:rPr>
          <w:bCs/>
          <w:sz w:val="28"/>
          <w:szCs w:val="28"/>
        </w:rPr>
        <w:t>определены</w:t>
      </w:r>
      <w:r w:rsidRPr="001F5E83">
        <w:rPr>
          <w:bCs/>
          <w:sz w:val="28"/>
          <w:szCs w:val="28"/>
        </w:rPr>
        <w:t xml:space="preserve"> обеспечение долгосрочной сбалансированности и устойчивости бюджетной системы городского округа и безусловное исполнение принятых обязательств, включая выполнение задач, поставленных в указах Президента Российской Федерации от 2012 года, наиболее эффективным способом.</w:t>
      </w:r>
    </w:p>
    <w:p w:rsidR="009C40C7" w:rsidRPr="008A2805" w:rsidRDefault="009C40C7" w:rsidP="009C40C7">
      <w:pPr>
        <w:widowControl w:val="0"/>
        <w:autoSpaceDE w:val="0"/>
        <w:autoSpaceDN w:val="0"/>
        <w:adjustRightInd w:val="0"/>
        <w:spacing w:line="360" w:lineRule="auto"/>
        <w:ind w:firstLine="540"/>
        <w:jc w:val="both"/>
        <w:rPr>
          <w:bCs/>
          <w:sz w:val="28"/>
          <w:szCs w:val="28"/>
        </w:rPr>
      </w:pPr>
      <w:r w:rsidRPr="008A2805">
        <w:rPr>
          <w:bCs/>
          <w:sz w:val="28"/>
          <w:szCs w:val="28"/>
        </w:rPr>
        <w:t>Для достижения указанной цели направлены усилия для решения следующих основных задач:</w:t>
      </w:r>
    </w:p>
    <w:p w:rsidR="009C40C7" w:rsidRPr="008A2805" w:rsidRDefault="009C40C7" w:rsidP="009C40C7">
      <w:pPr>
        <w:widowControl w:val="0"/>
        <w:autoSpaceDE w:val="0"/>
        <w:autoSpaceDN w:val="0"/>
        <w:adjustRightInd w:val="0"/>
        <w:spacing w:line="360" w:lineRule="auto"/>
        <w:ind w:firstLine="540"/>
        <w:jc w:val="both"/>
        <w:rPr>
          <w:bCs/>
          <w:sz w:val="28"/>
          <w:szCs w:val="28"/>
        </w:rPr>
      </w:pPr>
      <w:r w:rsidRPr="008A2805">
        <w:rPr>
          <w:bCs/>
          <w:sz w:val="28"/>
          <w:szCs w:val="28"/>
        </w:rPr>
        <w:t>- обеспечение устойчивой сбалансированной бюджетной системы городского округа;</w:t>
      </w:r>
    </w:p>
    <w:p w:rsidR="009C40C7" w:rsidRPr="008A2805" w:rsidRDefault="009C40C7" w:rsidP="009C40C7">
      <w:pPr>
        <w:widowControl w:val="0"/>
        <w:autoSpaceDE w:val="0"/>
        <w:autoSpaceDN w:val="0"/>
        <w:adjustRightInd w:val="0"/>
        <w:spacing w:line="360" w:lineRule="auto"/>
        <w:ind w:firstLine="540"/>
        <w:jc w:val="both"/>
        <w:rPr>
          <w:bCs/>
          <w:sz w:val="28"/>
          <w:szCs w:val="28"/>
        </w:rPr>
      </w:pPr>
      <w:r w:rsidRPr="008A2805">
        <w:rPr>
          <w:bCs/>
          <w:sz w:val="28"/>
          <w:szCs w:val="28"/>
        </w:rPr>
        <w:t>- сдерживание роста бюджетных расходов путем исключения низкоэффективных и не дающих эффекта в будущем затрат, установление приоритетов бюджета городского округа;</w:t>
      </w:r>
    </w:p>
    <w:p w:rsidR="009C40C7" w:rsidRPr="008A2805" w:rsidRDefault="009C40C7" w:rsidP="009C40C7">
      <w:pPr>
        <w:widowControl w:val="0"/>
        <w:autoSpaceDE w:val="0"/>
        <w:autoSpaceDN w:val="0"/>
        <w:adjustRightInd w:val="0"/>
        <w:spacing w:line="360" w:lineRule="auto"/>
        <w:ind w:firstLine="540"/>
        <w:jc w:val="both"/>
        <w:rPr>
          <w:bCs/>
          <w:sz w:val="28"/>
          <w:szCs w:val="28"/>
        </w:rPr>
      </w:pPr>
      <w:r w:rsidRPr="008A2805">
        <w:rPr>
          <w:bCs/>
          <w:sz w:val="28"/>
          <w:szCs w:val="28"/>
        </w:rPr>
        <w:t>- повышение эффективности мер, направленных на увеличение и укрепление доходной базы бюджета городского округа;</w:t>
      </w:r>
    </w:p>
    <w:p w:rsidR="009C40C7" w:rsidRPr="008A2805" w:rsidRDefault="009C40C7" w:rsidP="009C40C7">
      <w:pPr>
        <w:widowControl w:val="0"/>
        <w:autoSpaceDE w:val="0"/>
        <w:autoSpaceDN w:val="0"/>
        <w:adjustRightInd w:val="0"/>
        <w:spacing w:line="360" w:lineRule="auto"/>
        <w:ind w:firstLine="540"/>
        <w:jc w:val="both"/>
        <w:rPr>
          <w:bCs/>
          <w:sz w:val="28"/>
          <w:szCs w:val="28"/>
        </w:rPr>
      </w:pPr>
      <w:r w:rsidRPr="008A2805">
        <w:rPr>
          <w:bCs/>
          <w:sz w:val="28"/>
          <w:szCs w:val="28"/>
        </w:rPr>
        <w:t>- повышение качества муниципальных программ городского округа и расширение их использования в бюджетном планировании;</w:t>
      </w:r>
    </w:p>
    <w:p w:rsidR="009C40C7" w:rsidRPr="008A2805" w:rsidRDefault="009C40C7" w:rsidP="009C40C7">
      <w:pPr>
        <w:widowControl w:val="0"/>
        <w:autoSpaceDE w:val="0"/>
        <w:autoSpaceDN w:val="0"/>
        <w:adjustRightInd w:val="0"/>
        <w:spacing w:line="360" w:lineRule="auto"/>
        <w:ind w:firstLine="540"/>
        <w:jc w:val="both"/>
        <w:rPr>
          <w:bCs/>
          <w:sz w:val="28"/>
          <w:szCs w:val="28"/>
        </w:rPr>
      </w:pPr>
      <w:r w:rsidRPr="008A2805">
        <w:rPr>
          <w:bCs/>
          <w:sz w:val="28"/>
          <w:szCs w:val="28"/>
        </w:rPr>
        <w:t xml:space="preserve">- повышение эффективности оказания муниципальных услуг населению городского округа; </w:t>
      </w:r>
    </w:p>
    <w:p w:rsidR="009C40C7" w:rsidRPr="008A2805" w:rsidRDefault="009C40C7" w:rsidP="009C40C7">
      <w:pPr>
        <w:widowControl w:val="0"/>
        <w:autoSpaceDE w:val="0"/>
        <w:autoSpaceDN w:val="0"/>
        <w:adjustRightInd w:val="0"/>
        <w:spacing w:line="360" w:lineRule="auto"/>
        <w:ind w:firstLine="540"/>
        <w:jc w:val="both"/>
        <w:rPr>
          <w:bCs/>
          <w:sz w:val="28"/>
          <w:szCs w:val="28"/>
        </w:rPr>
      </w:pPr>
      <w:r w:rsidRPr="008A2805">
        <w:rPr>
          <w:bCs/>
          <w:sz w:val="28"/>
          <w:szCs w:val="28"/>
        </w:rPr>
        <w:t>- повышение прозрачности бюджета и бюджетного процесса;</w:t>
      </w:r>
    </w:p>
    <w:p w:rsidR="009C40C7" w:rsidRDefault="009C40C7" w:rsidP="009C40C7">
      <w:pPr>
        <w:widowControl w:val="0"/>
        <w:autoSpaceDE w:val="0"/>
        <w:autoSpaceDN w:val="0"/>
        <w:adjustRightInd w:val="0"/>
        <w:spacing w:line="360" w:lineRule="auto"/>
        <w:ind w:firstLine="540"/>
        <w:jc w:val="both"/>
        <w:rPr>
          <w:bCs/>
          <w:sz w:val="28"/>
          <w:szCs w:val="28"/>
        </w:rPr>
      </w:pPr>
      <w:r w:rsidRPr="008A2805">
        <w:rPr>
          <w:bCs/>
          <w:sz w:val="28"/>
          <w:szCs w:val="28"/>
        </w:rPr>
        <w:t>- совершенствование нормативно-правового регулирования бюджетного процесса.</w:t>
      </w:r>
    </w:p>
    <w:p w:rsidR="009C40C7" w:rsidRPr="0037439B" w:rsidRDefault="009C40C7" w:rsidP="009C40C7">
      <w:pPr>
        <w:widowControl w:val="0"/>
        <w:autoSpaceDE w:val="0"/>
        <w:autoSpaceDN w:val="0"/>
        <w:adjustRightInd w:val="0"/>
        <w:spacing w:line="360" w:lineRule="auto"/>
        <w:ind w:firstLine="540"/>
        <w:jc w:val="right"/>
        <w:rPr>
          <w:sz w:val="28"/>
          <w:szCs w:val="28"/>
        </w:rPr>
      </w:pPr>
      <w:r w:rsidRPr="0037439B">
        <w:rPr>
          <w:sz w:val="28"/>
          <w:szCs w:val="28"/>
        </w:rPr>
        <w:t>таблица 1</w:t>
      </w:r>
    </w:p>
    <w:p w:rsidR="009C40C7" w:rsidRPr="00CB653F" w:rsidRDefault="009C40C7" w:rsidP="009C40C7">
      <w:pPr>
        <w:widowControl w:val="0"/>
        <w:autoSpaceDE w:val="0"/>
        <w:autoSpaceDN w:val="0"/>
        <w:adjustRightInd w:val="0"/>
        <w:spacing w:line="360" w:lineRule="auto"/>
        <w:jc w:val="center"/>
        <w:rPr>
          <w:bCs/>
          <w:sz w:val="28"/>
          <w:szCs w:val="28"/>
        </w:rPr>
      </w:pPr>
      <w:r w:rsidRPr="00CB653F">
        <w:rPr>
          <w:sz w:val="28"/>
          <w:szCs w:val="28"/>
        </w:rPr>
        <w:lastRenderedPageBreak/>
        <w:t>Сведения о результатах бюджетной политики достигнутых в 2018 году</w:t>
      </w:r>
    </w:p>
    <w:tbl>
      <w:tblPr>
        <w:tblStyle w:val="-34"/>
        <w:tblW w:w="5000" w:type="pct"/>
        <w:tblLook w:val="0420" w:firstRow="1" w:lastRow="0" w:firstColumn="0" w:lastColumn="0" w:noHBand="0" w:noVBand="1"/>
      </w:tblPr>
      <w:tblGrid>
        <w:gridCol w:w="622"/>
        <w:gridCol w:w="2488"/>
        <w:gridCol w:w="6801"/>
      </w:tblGrid>
      <w:tr w:rsidR="009C40C7" w:rsidRPr="00B60082" w:rsidTr="009C40C7">
        <w:trPr>
          <w:cnfStyle w:val="100000000000" w:firstRow="1" w:lastRow="0" w:firstColumn="0" w:lastColumn="0" w:oddVBand="0" w:evenVBand="0" w:oddHBand="0" w:evenHBand="0" w:firstRowFirstColumn="0" w:firstRowLastColumn="0" w:lastRowFirstColumn="0" w:lastRowLastColumn="0"/>
          <w:cantSplit/>
          <w:trHeight w:val="20"/>
          <w:tblHeader/>
        </w:trPr>
        <w:tc>
          <w:tcPr>
            <w:tcW w:w="314" w:type="pct"/>
            <w:hideMark/>
          </w:tcPr>
          <w:p w:rsidR="009C40C7" w:rsidRPr="00B60082" w:rsidRDefault="009C40C7" w:rsidP="009C40C7">
            <w:pPr>
              <w:rPr>
                <w:sz w:val="18"/>
                <w:szCs w:val="18"/>
              </w:rPr>
            </w:pPr>
            <w:r w:rsidRPr="00B60082">
              <w:rPr>
                <w:sz w:val="18"/>
                <w:szCs w:val="18"/>
              </w:rPr>
              <w:t>№ п/п</w:t>
            </w:r>
          </w:p>
        </w:tc>
        <w:tc>
          <w:tcPr>
            <w:tcW w:w="1255" w:type="pct"/>
            <w:hideMark/>
          </w:tcPr>
          <w:p w:rsidR="009C40C7" w:rsidRPr="00B60082" w:rsidRDefault="009C40C7" w:rsidP="009C40C7">
            <w:pPr>
              <w:rPr>
                <w:sz w:val="18"/>
                <w:szCs w:val="18"/>
              </w:rPr>
            </w:pPr>
            <w:r w:rsidRPr="00B60082">
              <w:rPr>
                <w:sz w:val="18"/>
                <w:szCs w:val="18"/>
              </w:rPr>
              <w:t>Задачи бюджетной политики на 201</w:t>
            </w:r>
            <w:r>
              <w:rPr>
                <w:sz w:val="18"/>
                <w:szCs w:val="18"/>
              </w:rPr>
              <w:t>7</w:t>
            </w:r>
            <w:r w:rsidRPr="00B60082">
              <w:rPr>
                <w:sz w:val="18"/>
                <w:szCs w:val="18"/>
              </w:rPr>
              <w:t xml:space="preserve"> год</w:t>
            </w:r>
          </w:p>
        </w:tc>
        <w:tc>
          <w:tcPr>
            <w:tcW w:w="3431" w:type="pct"/>
            <w:hideMark/>
          </w:tcPr>
          <w:p w:rsidR="009C40C7" w:rsidRPr="00B60082" w:rsidRDefault="009C40C7" w:rsidP="009C40C7">
            <w:pPr>
              <w:rPr>
                <w:sz w:val="18"/>
                <w:szCs w:val="18"/>
              </w:rPr>
            </w:pPr>
            <w:r w:rsidRPr="00B60082">
              <w:rPr>
                <w:sz w:val="18"/>
                <w:szCs w:val="18"/>
              </w:rPr>
              <w:t>Результаты бюджетной политики за 201</w:t>
            </w:r>
            <w:r>
              <w:rPr>
                <w:sz w:val="18"/>
                <w:szCs w:val="18"/>
              </w:rPr>
              <w:t xml:space="preserve">8 </w:t>
            </w:r>
            <w:r w:rsidRPr="00B60082">
              <w:rPr>
                <w:sz w:val="18"/>
                <w:szCs w:val="18"/>
              </w:rPr>
              <w:t>год</w:t>
            </w:r>
          </w:p>
        </w:tc>
      </w:tr>
      <w:tr w:rsidR="009C40C7" w:rsidRPr="00B60082" w:rsidTr="009C40C7">
        <w:trPr>
          <w:cnfStyle w:val="000000100000" w:firstRow="0" w:lastRow="0" w:firstColumn="0" w:lastColumn="0" w:oddVBand="0" w:evenVBand="0" w:oddHBand="1" w:evenHBand="0" w:firstRowFirstColumn="0" w:firstRowLastColumn="0" w:lastRowFirstColumn="0" w:lastRowLastColumn="0"/>
          <w:cantSplit/>
          <w:trHeight w:val="20"/>
        </w:trPr>
        <w:tc>
          <w:tcPr>
            <w:tcW w:w="314" w:type="pct"/>
            <w:hideMark/>
          </w:tcPr>
          <w:p w:rsidR="009C40C7" w:rsidRPr="00B60082" w:rsidRDefault="009C40C7" w:rsidP="009C40C7">
            <w:pPr>
              <w:rPr>
                <w:sz w:val="18"/>
                <w:szCs w:val="18"/>
              </w:rPr>
            </w:pPr>
            <w:r w:rsidRPr="00B60082">
              <w:rPr>
                <w:sz w:val="18"/>
                <w:szCs w:val="18"/>
              </w:rPr>
              <w:t>1.</w:t>
            </w:r>
          </w:p>
        </w:tc>
        <w:tc>
          <w:tcPr>
            <w:tcW w:w="1255" w:type="pct"/>
            <w:hideMark/>
          </w:tcPr>
          <w:p w:rsidR="009C40C7" w:rsidRPr="00B60082" w:rsidRDefault="009C40C7" w:rsidP="009C40C7">
            <w:pPr>
              <w:rPr>
                <w:sz w:val="18"/>
                <w:szCs w:val="18"/>
              </w:rPr>
            </w:pPr>
            <w:r w:rsidRPr="00B60082">
              <w:rPr>
                <w:sz w:val="18"/>
                <w:szCs w:val="18"/>
              </w:rPr>
              <w:t>Обеспечение устойчивой сбалансированной бюджетной системы городского округа</w:t>
            </w:r>
          </w:p>
        </w:tc>
        <w:tc>
          <w:tcPr>
            <w:tcW w:w="3431" w:type="pct"/>
            <w:hideMark/>
          </w:tcPr>
          <w:p w:rsidR="009C40C7" w:rsidRPr="00B60082" w:rsidRDefault="009C40C7" w:rsidP="009C40C7">
            <w:pPr>
              <w:rPr>
                <w:sz w:val="18"/>
                <w:szCs w:val="18"/>
              </w:rPr>
            </w:pPr>
            <w:r w:rsidRPr="00B60082">
              <w:rPr>
                <w:sz w:val="18"/>
                <w:szCs w:val="18"/>
              </w:rPr>
              <w:t xml:space="preserve">Бюджет города Пыть-Яха исполнен с </w:t>
            </w:r>
            <w:r>
              <w:rPr>
                <w:sz w:val="18"/>
                <w:szCs w:val="18"/>
              </w:rPr>
              <w:t>профицитом</w:t>
            </w:r>
            <w:r w:rsidRPr="00B60082">
              <w:rPr>
                <w:sz w:val="18"/>
                <w:szCs w:val="18"/>
              </w:rPr>
              <w:t xml:space="preserve"> бюджета в сумме </w:t>
            </w:r>
            <w:r>
              <w:rPr>
                <w:sz w:val="18"/>
                <w:szCs w:val="18"/>
              </w:rPr>
              <w:t>1 378 786,5</w:t>
            </w:r>
            <w:r w:rsidRPr="00B60082">
              <w:rPr>
                <w:sz w:val="18"/>
                <w:szCs w:val="18"/>
              </w:rPr>
              <w:t xml:space="preserve"> тыс. рублей, при плановом дефиците </w:t>
            </w:r>
            <w:r>
              <w:rPr>
                <w:sz w:val="18"/>
                <w:szCs w:val="18"/>
              </w:rPr>
              <w:t>340 282,7</w:t>
            </w:r>
            <w:r w:rsidRPr="00B60082">
              <w:rPr>
                <w:sz w:val="18"/>
                <w:szCs w:val="18"/>
              </w:rPr>
              <w:t>тыс. рублей.</w:t>
            </w:r>
          </w:p>
        </w:tc>
      </w:tr>
      <w:tr w:rsidR="009C40C7" w:rsidRPr="00B60082" w:rsidTr="009C40C7">
        <w:trPr>
          <w:cantSplit/>
          <w:trHeight w:val="20"/>
        </w:trPr>
        <w:tc>
          <w:tcPr>
            <w:tcW w:w="314" w:type="pct"/>
            <w:hideMark/>
          </w:tcPr>
          <w:p w:rsidR="009C40C7" w:rsidRPr="00B60082" w:rsidRDefault="009C40C7" w:rsidP="009C40C7">
            <w:pPr>
              <w:rPr>
                <w:sz w:val="18"/>
                <w:szCs w:val="18"/>
              </w:rPr>
            </w:pPr>
            <w:r w:rsidRPr="00B60082">
              <w:rPr>
                <w:sz w:val="18"/>
                <w:szCs w:val="18"/>
              </w:rPr>
              <w:t>2.</w:t>
            </w:r>
          </w:p>
        </w:tc>
        <w:tc>
          <w:tcPr>
            <w:tcW w:w="1255" w:type="pct"/>
            <w:hideMark/>
          </w:tcPr>
          <w:p w:rsidR="009C40C7" w:rsidRPr="00B60082" w:rsidRDefault="009C40C7" w:rsidP="009C40C7">
            <w:pPr>
              <w:rPr>
                <w:sz w:val="18"/>
                <w:szCs w:val="18"/>
              </w:rPr>
            </w:pPr>
            <w:r w:rsidRPr="00B60082">
              <w:rPr>
                <w:sz w:val="18"/>
                <w:szCs w:val="18"/>
              </w:rPr>
              <w:t>Сдерживание роста бюджетных расходов путем исключения низкоэффективных и не дающих эффекта в будущем затрат, установление приоритетов бюджета городского округа</w:t>
            </w:r>
          </w:p>
        </w:tc>
        <w:tc>
          <w:tcPr>
            <w:tcW w:w="3431" w:type="pct"/>
            <w:hideMark/>
          </w:tcPr>
          <w:p w:rsidR="009C40C7" w:rsidRPr="00B60082" w:rsidRDefault="009C40C7" w:rsidP="009C40C7">
            <w:pPr>
              <w:rPr>
                <w:sz w:val="18"/>
                <w:szCs w:val="18"/>
              </w:rPr>
            </w:pPr>
            <w:r w:rsidRPr="00B60082">
              <w:rPr>
                <w:sz w:val="18"/>
                <w:szCs w:val="18"/>
              </w:rPr>
              <w:t>Запланированные мероприятия по оптимизации расходов бюджета муниципального образования исполнены и бюджетный эффект по состоянию на 01.01.201</w:t>
            </w:r>
            <w:r>
              <w:rPr>
                <w:sz w:val="18"/>
                <w:szCs w:val="18"/>
              </w:rPr>
              <w:t>9</w:t>
            </w:r>
            <w:r w:rsidRPr="00B60082">
              <w:rPr>
                <w:sz w:val="18"/>
                <w:szCs w:val="18"/>
              </w:rPr>
              <w:t xml:space="preserve"> года составил </w:t>
            </w:r>
            <w:r>
              <w:rPr>
                <w:sz w:val="18"/>
                <w:szCs w:val="18"/>
              </w:rPr>
              <w:t>77 746,6</w:t>
            </w:r>
            <w:r w:rsidRPr="00B60082">
              <w:rPr>
                <w:sz w:val="18"/>
                <w:szCs w:val="18"/>
              </w:rPr>
              <w:t xml:space="preserve"> тыс. рублей</w:t>
            </w:r>
            <w:r>
              <w:rPr>
                <w:sz w:val="18"/>
                <w:szCs w:val="18"/>
              </w:rPr>
              <w:t>.</w:t>
            </w:r>
          </w:p>
        </w:tc>
      </w:tr>
      <w:tr w:rsidR="009C40C7" w:rsidRPr="00B60082" w:rsidTr="009C40C7">
        <w:trPr>
          <w:cnfStyle w:val="000000100000" w:firstRow="0" w:lastRow="0" w:firstColumn="0" w:lastColumn="0" w:oddVBand="0" w:evenVBand="0" w:oddHBand="1" w:evenHBand="0" w:firstRowFirstColumn="0" w:firstRowLastColumn="0" w:lastRowFirstColumn="0" w:lastRowLastColumn="0"/>
          <w:cantSplit/>
          <w:trHeight w:val="20"/>
        </w:trPr>
        <w:tc>
          <w:tcPr>
            <w:tcW w:w="314" w:type="pct"/>
            <w:hideMark/>
          </w:tcPr>
          <w:p w:rsidR="009C40C7" w:rsidRPr="00B60082" w:rsidRDefault="009C40C7" w:rsidP="009C40C7">
            <w:pPr>
              <w:rPr>
                <w:sz w:val="18"/>
                <w:szCs w:val="18"/>
              </w:rPr>
            </w:pPr>
            <w:r w:rsidRPr="00B60082">
              <w:rPr>
                <w:sz w:val="18"/>
                <w:szCs w:val="18"/>
              </w:rPr>
              <w:t>3.</w:t>
            </w:r>
          </w:p>
        </w:tc>
        <w:tc>
          <w:tcPr>
            <w:tcW w:w="1255" w:type="pct"/>
            <w:hideMark/>
          </w:tcPr>
          <w:p w:rsidR="009C40C7" w:rsidRPr="00B60082" w:rsidRDefault="009C40C7" w:rsidP="009C40C7">
            <w:pPr>
              <w:rPr>
                <w:sz w:val="18"/>
                <w:szCs w:val="18"/>
              </w:rPr>
            </w:pPr>
            <w:r w:rsidRPr="00B60082">
              <w:rPr>
                <w:sz w:val="18"/>
                <w:szCs w:val="18"/>
              </w:rPr>
              <w:t>Повышение эффективности мер, направленных на увеличение и укрепление доходной базы бюджета городского округа</w:t>
            </w:r>
          </w:p>
        </w:tc>
        <w:tc>
          <w:tcPr>
            <w:tcW w:w="3431" w:type="pct"/>
            <w:hideMark/>
          </w:tcPr>
          <w:p w:rsidR="009C40C7" w:rsidRPr="00B60082" w:rsidRDefault="009C40C7" w:rsidP="009C40C7">
            <w:pPr>
              <w:rPr>
                <w:sz w:val="18"/>
                <w:szCs w:val="18"/>
              </w:rPr>
            </w:pPr>
            <w:r w:rsidRPr="00B60082">
              <w:rPr>
                <w:sz w:val="18"/>
                <w:szCs w:val="18"/>
              </w:rPr>
              <w:t>В результате принятых мер, направленных на увеличение доходной базы дополнительные поступления в бюджет,</w:t>
            </w:r>
            <w:r>
              <w:rPr>
                <w:sz w:val="18"/>
                <w:szCs w:val="18"/>
              </w:rPr>
              <w:t xml:space="preserve"> составили</w:t>
            </w:r>
            <w:r w:rsidRPr="00B60082">
              <w:rPr>
                <w:sz w:val="18"/>
                <w:szCs w:val="18"/>
              </w:rPr>
              <w:t xml:space="preserve"> </w:t>
            </w:r>
            <w:r>
              <w:rPr>
                <w:sz w:val="18"/>
                <w:szCs w:val="18"/>
              </w:rPr>
              <w:t>43 717,1</w:t>
            </w:r>
            <w:r w:rsidRPr="00B60082">
              <w:rPr>
                <w:sz w:val="18"/>
                <w:szCs w:val="18"/>
              </w:rPr>
              <w:t xml:space="preserve"> тыс. рублей.</w:t>
            </w:r>
          </w:p>
        </w:tc>
      </w:tr>
      <w:tr w:rsidR="009C40C7" w:rsidRPr="00B60082" w:rsidTr="009C40C7">
        <w:trPr>
          <w:cantSplit/>
          <w:trHeight w:val="20"/>
        </w:trPr>
        <w:tc>
          <w:tcPr>
            <w:tcW w:w="314" w:type="pct"/>
            <w:hideMark/>
          </w:tcPr>
          <w:p w:rsidR="009C40C7" w:rsidRPr="00B60082" w:rsidRDefault="009C40C7" w:rsidP="009C40C7">
            <w:pPr>
              <w:rPr>
                <w:sz w:val="18"/>
                <w:szCs w:val="18"/>
              </w:rPr>
            </w:pPr>
            <w:r w:rsidRPr="00B60082">
              <w:rPr>
                <w:sz w:val="18"/>
                <w:szCs w:val="18"/>
              </w:rPr>
              <w:t>4.</w:t>
            </w:r>
          </w:p>
        </w:tc>
        <w:tc>
          <w:tcPr>
            <w:tcW w:w="1255" w:type="pct"/>
            <w:hideMark/>
          </w:tcPr>
          <w:p w:rsidR="009C40C7" w:rsidRPr="00B60082" w:rsidRDefault="009C40C7" w:rsidP="009C40C7">
            <w:pPr>
              <w:rPr>
                <w:sz w:val="18"/>
                <w:szCs w:val="18"/>
              </w:rPr>
            </w:pPr>
            <w:r w:rsidRPr="00B60082">
              <w:rPr>
                <w:sz w:val="18"/>
                <w:szCs w:val="18"/>
              </w:rPr>
              <w:t>Повышение качества муниципальных программ городского округа и расширение их использования в бюджетном планировании</w:t>
            </w:r>
          </w:p>
        </w:tc>
        <w:tc>
          <w:tcPr>
            <w:tcW w:w="3431" w:type="pct"/>
            <w:hideMark/>
          </w:tcPr>
          <w:p w:rsidR="009C40C7" w:rsidRPr="00B60082" w:rsidRDefault="009C40C7" w:rsidP="009C40C7">
            <w:pPr>
              <w:rPr>
                <w:sz w:val="18"/>
                <w:szCs w:val="18"/>
              </w:rPr>
            </w:pPr>
            <w:r w:rsidRPr="00B60082">
              <w:rPr>
                <w:sz w:val="18"/>
                <w:szCs w:val="18"/>
              </w:rPr>
              <w:t>Программно-целевые расходы бюджета города Пыть-Яха за 201</w:t>
            </w:r>
            <w:r>
              <w:rPr>
                <w:sz w:val="18"/>
                <w:szCs w:val="18"/>
              </w:rPr>
              <w:t>8</w:t>
            </w:r>
            <w:r w:rsidRPr="00B60082">
              <w:rPr>
                <w:sz w:val="18"/>
                <w:szCs w:val="18"/>
              </w:rPr>
              <w:t xml:space="preserve"> год составили </w:t>
            </w:r>
            <w:r>
              <w:rPr>
                <w:sz w:val="18"/>
                <w:szCs w:val="18"/>
              </w:rPr>
              <w:t>99,0</w:t>
            </w:r>
            <w:r w:rsidRPr="00B60082">
              <w:rPr>
                <w:sz w:val="18"/>
                <w:szCs w:val="18"/>
              </w:rPr>
              <w:t>% от общих расходов бюджета города Пыть-Яха (Удельный вес программно-целевых расходов в 201</w:t>
            </w:r>
            <w:r>
              <w:rPr>
                <w:sz w:val="18"/>
                <w:szCs w:val="18"/>
              </w:rPr>
              <w:t>6</w:t>
            </w:r>
            <w:r w:rsidRPr="00B60082">
              <w:rPr>
                <w:sz w:val="18"/>
                <w:szCs w:val="18"/>
              </w:rPr>
              <w:t xml:space="preserve"> году сложился в размере </w:t>
            </w:r>
            <w:r>
              <w:rPr>
                <w:sz w:val="18"/>
                <w:szCs w:val="18"/>
              </w:rPr>
              <w:t>98,7</w:t>
            </w:r>
            <w:r w:rsidRPr="00B60082">
              <w:rPr>
                <w:sz w:val="18"/>
                <w:szCs w:val="18"/>
              </w:rPr>
              <w:t>% к общему объему исполненных расходов). По результатам проведенной оценки эффективности программ за 201</w:t>
            </w:r>
            <w:r>
              <w:rPr>
                <w:sz w:val="18"/>
                <w:szCs w:val="18"/>
              </w:rPr>
              <w:t>7</w:t>
            </w:r>
            <w:r w:rsidRPr="00B60082">
              <w:rPr>
                <w:sz w:val="18"/>
                <w:szCs w:val="18"/>
              </w:rPr>
              <w:t xml:space="preserve"> год, действующих на территории города Пыть-Ях, из 20 программ: 6 программ </w:t>
            </w:r>
            <w:proofErr w:type="spellStart"/>
            <w:r w:rsidRPr="00B60082">
              <w:rPr>
                <w:sz w:val="18"/>
                <w:szCs w:val="18"/>
              </w:rPr>
              <w:t>высокорезультативны</w:t>
            </w:r>
            <w:proofErr w:type="spellEnd"/>
            <w:r w:rsidRPr="00B60082">
              <w:rPr>
                <w:sz w:val="18"/>
                <w:szCs w:val="18"/>
              </w:rPr>
              <w:t>; 1</w:t>
            </w:r>
            <w:r>
              <w:rPr>
                <w:sz w:val="18"/>
                <w:szCs w:val="18"/>
              </w:rPr>
              <w:t>4</w:t>
            </w:r>
            <w:r w:rsidRPr="00B60082">
              <w:rPr>
                <w:sz w:val="18"/>
                <w:szCs w:val="18"/>
              </w:rPr>
              <w:t xml:space="preserve"> программ результативны; </w:t>
            </w:r>
            <w:proofErr w:type="spellStart"/>
            <w:r w:rsidRPr="00B60082">
              <w:rPr>
                <w:sz w:val="18"/>
                <w:szCs w:val="18"/>
              </w:rPr>
              <w:t>низкорезультативны</w:t>
            </w:r>
            <w:r>
              <w:rPr>
                <w:sz w:val="18"/>
                <w:szCs w:val="18"/>
              </w:rPr>
              <w:t>х</w:t>
            </w:r>
            <w:proofErr w:type="spellEnd"/>
            <w:r>
              <w:rPr>
                <w:sz w:val="18"/>
                <w:szCs w:val="18"/>
              </w:rPr>
              <w:t xml:space="preserve"> и неэффективных программ нет.</w:t>
            </w:r>
          </w:p>
        </w:tc>
      </w:tr>
      <w:tr w:rsidR="009C40C7" w:rsidRPr="00B60082" w:rsidTr="009C40C7">
        <w:trPr>
          <w:cnfStyle w:val="000000100000" w:firstRow="0" w:lastRow="0" w:firstColumn="0" w:lastColumn="0" w:oddVBand="0" w:evenVBand="0" w:oddHBand="1" w:evenHBand="0" w:firstRowFirstColumn="0" w:firstRowLastColumn="0" w:lastRowFirstColumn="0" w:lastRowLastColumn="0"/>
          <w:cantSplit/>
          <w:trHeight w:val="20"/>
        </w:trPr>
        <w:tc>
          <w:tcPr>
            <w:tcW w:w="314" w:type="pct"/>
            <w:hideMark/>
          </w:tcPr>
          <w:p w:rsidR="009C40C7" w:rsidRPr="00B60082" w:rsidRDefault="009C40C7" w:rsidP="009C40C7">
            <w:pPr>
              <w:rPr>
                <w:sz w:val="18"/>
                <w:szCs w:val="18"/>
              </w:rPr>
            </w:pPr>
            <w:r w:rsidRPr="00B60082">
              <w:rPr>
                <w:sz w:val="18"/>
                <w:szCs w:val="18"/>
              </w:rPr>
              <w:t>5.</w:t>
            </w:r>
          </w:p>
        </w:tc>
        <w:tc>
          <w:tcPr>
            <w:tcW w:w="1255" w:type="pct"/>
            <w:hideMark/>
          </w:tcPr>
          <w:p w:rsidR="009C40C7" w:rsidRPr="00B60082" w:rsidRDefault="009C40C7" w:rsidP="009C40C7">
            <w:pPr>
              <w:rPr>
                <w:sz w:val="18"/>
                <w:szCs w:val="18"/>
              </w:rPr>
            </w:pPr>
            <w:r w:rsidRPr="00B60082">
              <w:rPr>
                <w:sz w:val="18"/>
                <w:szCs w:val="18"/>
              </w:rPr>
              <w:t>Повышение эффективности оказания муниципальных услуг населению городского округа</w:t>
            </w:r>
          </w:p>
        </w:tc>
        <w:tc>
          <w:tcPr>
            <w:tcW w:w="3431" w:type="pct"/>
            <w:hideMark/>
          </w:tcPr>
          <w:p w:rsidR="009C40C7" w:rsidRPr="00B60082" w:rsidRDefault="009C40C7" w:rsidP="009C40C7">
            <w:pPr>
              <w:rPr>
                <w:sz w:val="18"/>
                <w:szCs w:val="18"/>
              </w:rPr>
            </w:pPr>
            <w:r>
              <w:rPr>
                <w:sz w:val="18"/>
                <w:szCs w:val="18"/>
              </w:rPr>
              <w:t>В</w:t>
            </w:r>
            <w:r w:rsidRPr="00B60082">
              <w:rPr>
                <w:sz w:val="18"/>
                <w:szCs w:val="18"/>
              </w:rPr>
              <w:t xml:space="preserve">се муниципальные услуги и работы предоставляются в соответствии </w:t>
            </w:r>
            <w:r>
              <w:rPr>
                <w:sz w:val="18"/>
                <w:szCs w:val="18"/>
              </w:rPr>
              <w:t>с о</w:t>
            </w:r>
            <w:r w:rsidRPr="00D80F22">
              <w:rPr>
                <w:sz w:val="18"/>
                <w:szCs w:val="18"/>
              </w:rPr>
              <w:t>бщероссийски</w:t>
            </w:r>
            <w:r>
              <w:rPr>
                <w:sz w:val="18"/>
                <w:szCs w:val="18"/>
              </w:rPr>
              <w:t>ми</w:t>
            </w:r>
            <w:r w:rsidRPr="00D80F22">
              <w:rPr>
                <w:sz w:val="18"/>
                <w:szCs w:val="18"/>
              </w:rPr>
              <w:t xml:space="preserve"> базовы</w:t>
            </w:r>
            <w:r>
              <w:rPr>
                <w:sz w:val="18"/>
                <w:szCs w:val="18"/>
              </w:rPr>
              <w:t>ми (отраслевыми) перечнями</w:t>
            </w:r>
            <w:r w:rsidRPr="00D80F22">
              <w:rPr>
                <w:sz w:val="18"/>
                <w:szCs w:val="18"/>
              </w:rPr>
              <w:t xml:space="preserve"> (классификатор</w:t>
            </w:r>
            <w:r>
              <w:rPr>
                <w:sz w:val="18"/>
                <w:szCs w:val="18"/>
              </w:rPr>
              <w:t>ами</w:t>
            </w:r>
            <w:r w:rsidRPr="00D80F22">
              <w:rPr>
                <w:sz w:val="18"/>
                <w:szCs w:val="18"/>
              </w:rPr>
              <w:t>) государственных и муниципальных услуг, оказываемых физическим лицам</w:t>
            </w:r>
            <w:r>
              <w:rPr>
                <w:sz w:val="18"/>
                <w:szCs w:val="18"/>
              </w:rPr>
              <w:t>, и региональным</w:t>
            </w:r>
            <w:r w:rsidRPr="00D80F22">
              <w:rPr>
                <w:sz w:val="18"/>
                <w:szCs w:val="18"/>
              </w:rPr>
              <w:t xml:space="preserve"> перечн</w:t>
            </w:r>
            <w:r>
              <w:rPr>
                <w:sz w:val="18"/>
                <w:szCs w:val="18"/>
              </w:rPr>
              <w:t>ем</w:t>
            </w:r>
            <w:r w:rsidRPr="00D80F22">
              <w:rPr>
                <w:sz w:val="18"/>
                <w:szCs w:val="18"/>
              </w:rPr>
              <w:t xml:space="preserve"> (классификатор</w:t>
            </w:r>
            <w:r>
              <w:rPr>
                <w:sz w:val="18"/>
                <w:szCs w:val="18"/>
              </w:rPr>
              <w:t>ом</w:t>
            </w:r>
            <w:r w:rsidRPr="00D80F22">
              <w:rPr>
                <w:sz w:val="18"/>
                <w:szCs w:val="18"/>
              </w:rPr>
              <w:t>) государственных (муниципальных) услуг и работ</w:t>
            </w:r>
          </w:p>
        </w:tc>
      </w:tr>
      <w:tr w:rsidR="009C40C7" w:rsidRPr="00B60082" w:rsidTr="009C40C7">
        <w:trPr>
          <w:cantSplit/>
          <w:trHeight w:val="20"/>
        </w:trPr>
        <w:tc>
          <w:tcPr>
            <w:tcW w:w="314" w:type="pct"/>
            <w:hideMark/>
          </w:tcPr>
          <w:p w:rsidR="009C40C7" w:rsidRPr="00B60082" w:rsidRDefault="009C40C7" w:rsidP="009C40C7">
            <w:pPr>
              <w:rPr>
                <w:sz w:val="18"/>
                <w:szCs w:val="18"/>
              </w:rPr>
            </w:pPr>
            <w:r w:rsidRPr="00B60082">
              <w:rPr>
                <w:sz w:val="18"/>
                <w:szCs w:val="18"/>
              </w:rPr>
              <w:t>6.</w:t>
            </w:r>
          </w:p>
        </w:tc>
        <w:tc>
          <w:tcPr>
            <w:tcW w:w="1255" w:type="pct"/>
            <w:hideMark/>
          </w:tcPr>
          <w:p w:rsidR="009C40C7" w:rsidRPr="00B60082" w:rsidRDefault="009C40C7" w:rsidP="009C40C7">
            <w:pPr>
              <w:rPr>
                <w:sz w:val="18"/>
                <w:szCs w:val="18"/>
              </w:rPr>
            </w:pPr>
            <w:r w:rsidRPr="00B60082">
              <w:rPr>
                <w:sz w:val="18"/>
                <w:szCs w:val="18"/>
              </w:rPr>
              <w:t>Повышение прозрачности бюджета и бюджетного процесса</w:t>
            </w:r>
          </w:p>
        </w:tc>
        <w:tc>
          <w:tcPr>
            <w:tcW w:w="3431" w:type="pct"/>
            <w:hideMark/>
          </w:tcPr>
          <w:p w:rsidR="009C40C7" w:rsidRPr="00B60082" w:rsidRDefault="009C40C7" w:rsidP="009C40C7">
            <w:pPr>
              <w:rPr>
                <w:sz w:val="18"/>
                <w:szCs w:val="18"/>
              </w:rPr>
            </w:pPr>
            <w:r w:rsidRPr="00B60082">
              <w:rPr>
                <w:sz w:val="18"/>
                <w:szCs w:val="18"/>
              </w:rPr>
              <w:t xml:space="preserve">На официальном сайте администрации города Пыть-Яха в разделе </w:t>
            </w:r>
            <w:r>
              <w:rPr>
                <w:sz w:val="18"/>
                <w:szCs w:val="18"/>
              </w:rPr>
              <w:t>Открытый бюджет</w:t>
            </w:r>
            <w:r w:rsidRPr="00B60082">
              <w:rPr>
                <w:sz w:val="18"/>
                <w:szCs w:val="18"/>
              </w:rPr>
              <w:t>/Бюджет для граждан/ обеспечивается информирование граждан (заинтересованных пользователей) о местном бюджете в доступной форме</w:t>
            </w:r>
            <w:r>
              <w:rPr>
                <w:sz w:val="18"/>
                <w:szCs w:val="18"/>
              </w:rPr>
              <w:t>, также</w:t>
            </w:r>
            <w:r w:rsidRPr="00B60082">
              <w:rPr>
                <w:sz w:val="18"/>
                <w:szCs w:val="18"/>
              </w:rPr>
              <w:t xml:space="preserve"> размещаются материалы и информация для ознакомления граждан (заинтересованных пользователей) с бюджетными данными по соответствующим этапам бюджетного процесса.</w:t>
            </w:r>
          </w:p>
        </w:tc>
      </w:tr>
      <w:tr w:rsidR="009C40C7" w:rsidRPr="00B60082" w:rsidTr="009C40C7">
        <w:trPr>
          <w:cnfStyle w:val="000000100000" w:firstRow="0" w:lastRow="0" w:firstColumn="0" w:lastColumn="0" w:oddVBand="0" w:evenVBand="0" w:oddHBand="1" w:evenHBand="0" w:firstRowFirstColumn="0" w:firstRowLastColumn="0" w:lastRowFirstColumn="0" w:lastRowLastColumn="0"/>
          <w:cantSplit/>
          <w:trHeight w:val="20"/>
        </w:trPr>
        <w:tc>
          <w:tcPr>
            <w:tcW w:w="314" w:type="pct"/>
            <w:hideMark/>
          </w:tcPr>
          <w:p w:rsidR="009C40C7" w:rsidRPr="00B60082" w:rsidRDefault="009C40C7" w:rsidP="009C40C7">
            <w:pPr>
              <w:rPr>
                <w:sz w:val="18"/>
                <w:szCs w:val="18"/>
              </w:rPr>
            </w:pPr>
            <w:r w:rsidRPr="00B60082">
              <w:rPr>
                <w:sz w:val="18"/>
                <w:szCs w:val="18"/>
              </w:rPr>
              <w:t>7.</w:t>
            </w:r>
          </w:p>
        </w:tc>
        <w:tc>
          <w:tcPr>
            <w:tcW w:w="1255" w:type="pct"/>
            <w:hideMark/>
          </w:tcPr>
          <w:p w:rsidR="009C40C7" w:rsidRPr="00B60082" w:rsidRDefault="009C40C7" w:rsidP="009C40C7">
            <w:pPr>
              <w:rPr>
                <w:sz w:val="18"/>
                <w:szCs w:val="18"/>
              </w:rPr>
            </w:pPr>
            <w:r w:rsidRPr="00B60082">
              <w:rPr>
                <w:sz w:val="18"/>
                <w:szCs w:val="18"/>
              </w:rPr>
              <w:t>Совершенствование нормативно-правового регулирования бюджетного процесса</w:t>
            </w:r>
          </w:p>
        </w:tc>
        <w:tc>
          <w:tcPr>
            <w:tcW w:w="3431" w:type="pct"/>
            <w:hideMark/>
          </w:tcPr>
          <w:p w:rsidR="009C40C7" w:rsidRPr="00B60082" w:rsidRDefault="009C40C7" w:rsidP="009C40C7">
            <w:pPr>
              <w:rPr>
                <w:sz w:val="18"/>
                <w:szCs w:val="18"/>
              </w:rPr>
            </w:pPr>
            <w:r w:rsidRPr="00B60082">
              <w:rPr>
                <w:sz w:val="18"/>
                <w:szCs w:val="18"/>
              </w:rPr>
              <w:t>Организация бюджетного процесса в городском округе осуществляется в соответствии с Бюджетным кодексом Российской Федерации, решением Думы города от 21.03.2014 № 258 «Об утверждении Положения о бюджетном процессе в муниципальном образовании городской округ город Пыть-Ях», которым определены основные этапы. В соответствии с основополагающими нормативными актами разрабатываются и актуализируются муниципальные правовые акты по соответствующим этапам организации и осуществления бюджетного процесса.</w:t>
            </w:r>
          </w:p>
        </w:tc>
      </w:tr>
    </w:tbl>
    <w:p w:rsidR="009C40C7" w:rsidRDefault="009C40C7" w:rsidP="009C40C7">
      <w:pPr>
        <w:pStyle w:val="1"/>
        <w:widowControl w:val="0"/>
        <w:autoSpaceDE w:val="0"/>
        <w:autoSpaceDN w:val="0"/>
        <w:adjustRightInd w:val="0"/>
        <w:spacing w:after="0" w:line="360" w:lineRule="auto"/>
        <w:ind w:left="0" w:firstLine="709"/>
        <w:jc w:val="both"/>
        <w:rPr>
          <w:rFonts w:ascii="Times New Roman" w:hAnsi="Times New Roman"/>
          <w:bCs/>
          <w:sz w:val="28"/>
          <w:szCs w:val="28"/>
        </w:rPr>
      </w:pPr>
    </w:p>
    <w:p w:rsidR="009C40C7" w:rsidRPr="008A2805" w:rsidRDefault="009C40C7" w:rsidP="009C40C7">
      <w:pPr>
        <w:pStyle w:val="1"/>
        <w:widowControl w:val="0"/>
        <w:autoSpaceDE w:val="0"/>
        <w:autoSpaceDN w:val="0"/>
        <w:adjustRightInd w:val="0"/>
        <w:spacing w:after="0" w:line="360" w:lineRule="auto"/>
        <w:ind w:left="0" w:firstLine="709"/>
        <w:jc w:val="both"/>
        <w:rPr>
          <w:rFonts w:ascii="Times New Roman" w:hAnsi="Times New Roman" w:cs="Times New Roman"/>
          <w:sz w:val="28"/>
          <w:szCs w:val="28"/>
        </w:rPr>
      </w:pPr>
      <w:r w:rsidRPr="008A2805">
        <w:rPr>
          <w:rFonts w:ascii="Times New Roman" w:hAnsi="Times New Roman"/>
          <w:bCs/>
          <w:sz w:val="28"/>
          <w:szCs w:val="28"/>
        </w:rPr>
        <w:t>Долговая политика городского округа направлена на решение ключевой задачи по поддержанию долговой нагрузки на бюджет городского округа на низком уровне.</w:t>
      </w:r>
    </w:p>
    <w:p w:rsidR="009C40C7" w:rsidRDefault="009C40C7" w:rsidP="009C40C7">
      <w:pPr>
        <w:spacing w:line="360" w:lineRule="auto"/>
        <w:ind w:firstLine="540"/>
        <w:jc w:val="both"/>
        <w:rPr>
          <w:sz w:val="28"/>
        </w:rPr>
      </w:pPr>
      <w:r w:rsidRPr="007D146A">
        <w:rPr>
          <w:sz w:val="28"/>
        </w:rPr>
        <w:t>На 201</w:t>
      </w:r>
      <w:r>
        <w:rPr>
          <w:sz w:val="28"/>
        </w:rPr>
        <w:t>8</w:t>
      </w:r>
      <w:r w:rsidRPr="007D146A">
        <w:rPr>
          <w:sz w:val="28"/>
        </w:rPr>
        <w:t xml:space="preserve"> год бюджет города утвержден решением Думы города Пыть-Яха от </w:t>
      </w:r>
      <w:r>
        <w:rPr>
          <w:sz w:val="28"/>
        </w:rPr>
        <w:t xml:space="preserve">21.12.2017 № 129, </w:t>
      </w:r>
      <w:r w:rsidRPr="007D146A">
        <w:rPr>
          <w:sz w:val="28"/>
        </w:rPr>
        <w:t xml:space="preserve">в течение года было внесено 5 изменений. </w:t>
      </w:r>
    </w:p>
    <w:p w:rsidR="009C40C7" w:rsidRDefault="009C40C7" w:rsidP="009C40C7">
      <w:pPr>
        <w:spacing w:line="360" w:lineRule="auto"/>
        <w:ind w:firstLine="540"/>
        <w:jc w:val="both"/>
        <w:rPr>
          <w:sz w:val="28"/>
        </w:rPr>
      </w:pPr>
      <w:r w:rsidRPr="00FF181E">
        <w:rPr>
          <w:sz w:val="28"/>
        </w:rPr>
        <w:t>Бюджет города на 201</w:t>
      </w:r>
      <w:r>
        <w:rPr>
          <w:sz w:val="28"/>
        </w:rPr>
        <w:t>9</w:t>
      </w:r>
      <w:r w:rsidRPr="00FF181E">
        <w:rPr>
          <w:sz w:val="28"/>
        </w:rPr>
        <w:t xml:space="preserve"> год и на плановый период 20</w:t>
      </w:r>
      <w:r>
        <w:rPr>
          <w:sz w:val="28"/>
        </w:rPr>
        <w:t>20</w:t>
      </w:r>
      <w:r w:rsidRPr="00FF181E">
        <w:rPr>
          <w:sz w:val="28"/>
        </w:rPr>
        <w:t xml:space="preserve"> и 202</w:t>
      </w:r>
      <w:r>
        <w:rPr>
          <w:sz w:val="28"/>
        </w:rPr>
        <w:t>1</w:t>
      </w:r>
      <w:r w:rsidRPr="00FF181E">
        <w:rPr>
          <w:sz w:val="28"/>
        </w:rPr>
        <w:t xml:space="preserve"> годов утвержден решением Думы города Пыть-Яха от </w:t>
      </w:r>
      <w:r>
        <w:rPr>
          <w:sz w:val="28"/>
        </w:rPr>
        <w:t>14</w:t>
      </w:r>
      <w:r w:rsidRPr="00FF181E">
        <w:rPr>
          <w:sz w:val="28"/>
        </w:rPr>
        <w:t>.12.201</w:t>
      </w:r>
      <w:r>
        <w:rPr>
          <w:sz w:val="28"/>
        </w:rPr>
        <w:t>8</w:t>
      </w:r>
      <w:r w:rsidRPr="00FF181E">
        <w:rPr>
          <w:sz w:val="28"/>
        </w:rPr>
        <w:t xml:space="preserve"> № </w:t>
      </w:r>
      <w:r>
        <w:rPr>
          <w:sz w:val="28"/>
        </w:rPr>
        <w:t>210.</w:t>
      </w:r>
    </w:p>
    <w:p w:rsidR="009C40C7" w:rsidRPr="007D146A" w:rsidRDefault="009C40C7" w:rsidP="009C40C7">
      <w:pPr>
        <w:spacing w:line="360" w:lineRule="auto"/>
        <w:ind w:firstLine="540"/>
        <w:jc w:val="both"/>
        <w:rPr>
          <w:sz w:val="28"/>
        </w:rPr>
      </w:pPr>
      <w:r w:rsidRPr="007D146A">
        <w:rPr>
          <w:sz w:val="28"/>
        </w:rPr>
        <w:lastRenderedPageBreak/>
        <w:t xml:space="preserve">Отчет об исполнении бюджета ежегодно утверждается решением Думы города Пыть-Яха </w:t>
      </w:r>
      <w:r>
        <w:rPr>
          <w:sz w:val="28"/>
        </w:rPr>
        <w:t>29.05.2018</w:t>
      </w:r>
      <w:r w:rsidRPr="007D146A">
        <w:rPr>
          <w:sz w:val="28"/>
        </w:rPr>
        <w:t xml:space="preserve"> решением Думы города № </w:t>
      </w:r>
      <w:r>
        <w:rPr>
          <w:sz w:val="28"/>
        </w:rPr>
        <w:t>166</w:t>
      </w:r>
      <w:r w:rsidRPr="007D146A">
        <w:rPr>
          <w:sz w:val="28"/>
        </w:rPr>
        <w:t xml:space="preserve"> утвержден отчет об исполнении бюджета за 201</w:t>
      </w:r>
      <w:r>
        <w:rPr>
          <w:sz w:val="28"/>
        </w:rPr>
        <w:t>7</w:t>
      </w:r>
      <w:r w:rsidRPr="007D146A">
        <w:rPr>
          <w:sz w:val="28"/>
        </w:rPr>
        <w:t xml:space="preserve"> год.</w:t>
      </w:r>
    </w:p>
    <w:p w:rsidR="009C40C7" w:rsidRPr="007D146A" w:rsidRDefault="009C40C7" w:rsidP="009C40C7">
      <w:pPr>
        <w:spacing w:line="360" w:lineRule="auto"/>
        <w:ind w:firstLine="540"/>
        <w:jc w:val="right"/>
        <w:rPr>
          <w:sz w:val="28"/>
        </w:rPr>
      </w:pPr>
      <w:r>
        <w:rPr>
          <w:sz w:val="28"/>
        </w:rPr>
        <w:t>Таблица 2</w:t>
      </w:r>
    </w:p>
    <w:p w:rsidR="009C40C7" w:rsidRDefault="009C40C7" w:rsidP="009C40C7">
      <w:pPr>
        <w:spacing w:line="360" w:lineRule="auto"/>
        <w:ind w:firstLine="540"/>
        <w:jc w:val="center"/>
        <w:rPr>
          <w:sz w:val="28"/>
        </w:rPr>
      </w:pPr>
      <w:r w:rsidRPr="007D146A">
        <w:rPr>
          <w:sz w:val="28"/>
        </w:rPr>
        <w:t>Динамика параметров бюджета города Пыть-Яха</w:t>
      </w:r>
    </w:p>
    <w:tbl>
      <w:tblPr>
        <w:tblW w:w="5000" w:type="pct"/>
        <w:tblLayout w:type="fixed"/>
        <w:tblCellMar>
          <w:left w:w="28" w:type="dxa"/>
          <w:right w:w="28" w:type="dxa"/>
        </w:tblCellMar>
        <w:tblLook w:val="04A0" w:firstRow="1" w:lastRow="0" w:firstColumn="1" w:lastColumn="0" w:noHBand="0" w:noVBand="1"/>
      </w:tblPr>
      <w:tblGrid>
        <w:gridCol w:w="3147"/>
        <w:gridCol w:w="847"/>
        <w:gridCol w:w="848"/>
        <w:gridCol w:w="848"/>
        <w:gridCol w:w="848"/>
        <w:gridCol w:w="805"/>
        <w:gridCol w:w="856"/>
        <w:gridCol w:w="858"/>
        <w:gridCol w:w="854"/>
      </w:tblGrid>
      <w:tr w:rsidR="009C40C7" w:rsidRPr="00F90846" w:rsidTr="009C40C7">
        <w:trPr>
          <w:cantSplit/>
          <w:trHeight w:val="315"/>
        </w:trPr>
        <w:tc>
          <w:tcPr>
            <w:tcW w:w="158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C40C7" w:rsidRPr="00F90846" w:rsidRDefault="009C40C7" w:rsidP="009C40C7">
            <w:pPr>
              <w:jc w:val="center"/>
              <w:rPr>
                <w:color w:val="000000"/>
              </w:rPr>
            </w:pPr>
            <w:r w:rsidRPr="00F90846">
              <w:rPr>
                <w:color w:val="000000"/>
              </w:rPr>
              <w:t>Наименование показателя</w:t>
            </w:r>
          </w:p>
        </w:tc>
        <w:tc>
          <w:tcPr>
            <w:tcW w:w="42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C40C7" w:rsidRPr="00F90846" w:rsidRDefault="009C40C7" w:rsidP="009C40C7">
            <w:pPr>
              <w:jc w:val="center"/>
              <w:rPr>
                <w:color w:val="000000"/>
              </w:rPr>
            </w:pPr>
            <w:r w:rsidRPr="00F90846">
              <w:rPr>
                <w:color w:val="000000"/>
              </w:rPr>
              <w:t>исполнено за 2014 год</w:t>
            </w:r>
          </w:p>
        </w:tc>
        <w:tc>
          <w:tcPr>
            <w:tcW w:w="42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C40C7" w:rsidRPr="00F90846" w:rsidRDefault="009C40C7" w:rsidP="009C40C7">
            <w:pPr>
              <w:jc w:val="center"/>
              <w:rPr>
                <w:color w:val="000000"/>
              </w:rPr>
            </w:pPr>
            <w:r w:rsidRPr="00F90846">
              <w:rPr>
                <w:color w:val="000000"/>
              </w:rPr>
              <w:t>исполнено за 2015 год</w:t>
            </w:r>
          </w:p>
        </w:tc>
        <w:tc>
          <w:tcPr>
            <w:tcW w:w="42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C40C7" w:rsidRPr="00F90846" w:rsidRDefault="009C40C7" w:rsidP="009C40C7">
            <w:pPr>
              <w:jc w:val="center"/>
              <w:rPr>
                <w:color w:val="000000"/>
              </w:rPr>
            </w:pPr>
            <w:r w:rsidRPr="00F90846">
              <w:rPr>
                <w:color w:val="000000"/>
              </w:rPr>
              <w:t>исполнено за 2016 год</w:t>
            </w:r>
          </w:p>
        </w:tc>
        <w:tc>
          <w:tcPr>
            <w:tcW w:w="42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C40C7" w:rsidRPr="00F90846" w:rsidRDefault="009C40C7" w:rsidP="009C40C7">
            <w:pPr>
              <w:jc w:val="center"/>
              <w:rPr>
                <w:color w:val="000000"/>
              </w:rPr>
            </w:pPr>
            <w:r w:rsidRPr="00F90846">
              <w:rPr>
                <w:color w:val="000000"/>
              </w:rPr>
              <w:t>исполнено за 2017 год</w:t>
            </w:r>
          </w:p>
        </w:tc>
        <w:tc>
          <w:tcPr>
            <w:tcW w:w="1270" w:type="pct"/>
            <w:gridSpan w:val="3"/>
            <w:tcBorders>
              <w:top w:val="single" w:sz="4" w:space="0" w:color="auto"/>
              <w:left w:val="nil"/>
              <w:bottom w:val="single" w:sz="4" w:space="0" w:color="auto"/>
              <w:right w:val="single" w:sz="4" w:space="0" w:color="auto"/>
            </w:tcBorders>
            <w:shd w:val="clear" w:color="auto" w:fill="auto"/>
            <w:vAlign w:val="center"/>
            <w:hideMark/>
          </w:tcPr>
          <w:p w:rsidR="009C40C7" w:rsidRPr="00F90846" w:rsidRDefault="009C40C7" w:rsidP="009C40C7">
            <w:pPr>
              <w:jc w:val="center"/>
              <w:rPr>
                <w:color w:val="000000"/>
              </w:rPr>
            </w:pPr>
            <w:r w:rsidRPr="00F90846">
              <w:rPr>
                <w:color w:val="000000"/>
              </w:rPr>
              <w:t>2018 год</w:t>
            </w:r>
          </w:p>
        </w:tc>
        <w:tc>
          <w:tcPr>
            <w:tcW w:w="432" w:type="pct"/>
            <w:tcBorders>
              <w:top w:val="single" w:sz="4" w:space="0" w:color="auto"/>
              <w:left w:val="nil"/>
              <w:bottom w:val="single" w:sz="4" w:space="0" w:color="auto"/>
              <w:right w:val="single" w:sz="4" w:space="0" w:color="auto"/>
            </w:tcBorders>
            <w:shd w:val="clear" w:color="auto" w:fill="auto"/>
            <w:vAlign w:val="center"/>
            <w:hideMark/>
          </w:tcPr>
          <w:p w:rsidR="009C40C7" w:rsidRPr="00F90846" w:rsidRDefault="009C40C7" w:rsidP="009C40C7">
            <w:pPr>
              <w:jc w:val="center"/>
              <w:rPr>
                <w:color w:val="000000"/>
              </w:rPr>
            </w:pPr>
            <w:r w:rsidRPr="00F90846">
              <w:rPr>
                <w:color w:val="000000"/>
              </w:rPr>
              <w:t>2019</w:t>
            </w:r>
          </w:p>
        </w:tc>
      </w:tr>
      <w:tr w:rsidR="009C40C7" w:rsidRPr="00F90846" w:rsidTr="009C40C7">
        <w:trPr>
          <w:trHeight w:val="1200"/>
        </w:trPr>
        <w:tc>
          <w:tcPr>
            <w:tcW w:w="1587" w:type="pct"/>
            <w:vMerge/>
            <w:tcBorders>
              <w:top w:val="single" w:sz="4" w:space="0" w:color="auto"/>
              <w:left w:val="single" w:sz="4" w:space="0" w:color="auto"/>
              <w:bottom w:val="single" w:sz="4" w:space="0" w:color="auto"/>
              <w:right w:val="single" w:sz="4" w:space="0" w:color="auto"/>
            </w:tcBorders>
            <w:vAlign w:val="center"/>
            <w:hideMark/>
          </w:tcPr>
          <w:p w:rsidR="009C40C7" w:rsidRPr="00F90846" w:rsidRDefault="009C40C7" w:rsidP="009C40C7">
            <w:pPr>
              <w:rPr>
                <w:color w:val="000000"/>
              </w:rPr>
            </w:pPr>
          </w:p>
        </w:tc>
        <w:tc>
          <w:tcPr>
            <w:tcW w:w="427" w:type="pct"/>
            <w:vMerge/>
            <w:tcBorders>
              <w:top w:val="single" w:sz="4" w:space="0" w:color="auto"/>
              <w:left w:val="single" w:sz="4" w:space="0" w:color="auto"/>
              <w:bottom w:val="single" w:sz="4" w:space="0" w:color="auto"/>
              <w:right w:val="single" w:sz="4" w:space="0" w:color="auto"/>
            </w:tcBorders>
            <w:vAlign w:val="center"/>
            <w:hideMark/>
          </w:tcPr>
          <w:p w:rsidR="009C40C7" w:rsidRPr="00F90846" w:rsidRDefault="009C40C7" w:rsidP="009C40C7">
            <w:pPr>
              <w:rPr>
                <w:color w:val="000000"/>
              </w:rPr>
            </w:pPr>
          </w:p>
        </w:tc>
        <w:tc>
          <w:tcPr>
            <w:tcW w:w="428" w:type="pct"/>
            <w:vMerge/>
            <w:tcBorders>
              <w:top w:val="single" w:sz="4" w:space="0" w:color="auto"/>
              <w:left w:val="single" w:sz="4" w:space="0" w:color="auto"/>
              <w:bottom w:val="single" w:sz="4" w:space="0" w:color="auto"/>
              <w:right w:val="single" w:sz="4" w:space="0" w:color="auto"/>
            </w:tcBorders>
            <w:vAlign w:val="center"/>
            <w:hideMark/>
          </w:tcPr>
          <w:p w:rsidR="009C40C7" w:rsidRPr="00F90846" w:rsidRDefault="009C40C7" w:rsidP="009C40C7">
            <w:pPr>
              <w:rPr>
                <w:color w:val="000000"/>
              </w:rPr>
            </w:pPr>
          </w:p>
        </w:tc>
        <w:tc>
          <w:tcPr>
            <w:tcW w:w="428" w:type="pct"/>
            <w:vMerge/>
            <w:tcBorders>
              <w:top w:val="single" w:sz="4" w:space="0" w:color="auto"/>
              <w:left w:val="single" w:sz="4" w:space="0" w:color="auto"/>
              <w:bottom w:val="single" w:sz="4" w:space="0" w:color="auto"/>
              <w:right w:val="single" w:sz="4" w:space="0" w:color="auto"/>
            </w:tcBorders>
            <w:vAlign w:val="center"/>
            <w:hideMark/>
          </w:tcPr>
          <w:p w:rsidR="009C40C7" w:rsidRPr="00F90846" w:rsidRDefault="009C40C7" w:rsidP="009C40C7">
            <w:pPr>
              <w:rPr>
                <w:color w:val="000000"/>
              </w:rPr>
            </w:pPr>
          </w:p>
        </w:tc>
        <w:tc>
          <w:tcPr>
            <w:tcW w:w="428" w:type="pct"/>
            <w:vMerge/>
            <w:tcBorders>
              <w:top w:val="single" w:sz="4" w:space="0" w:color="auto"/>
              <w:left w:val="single" w:sz="4" w:space="0" w:color="auto"/>
              <w:bottom w:val="single" w:sz="4" w:space="0" w:color="auto"/>
              <w:right w:val="single" w:sz="4" w:space="0" w:color="auto"/>
            </w:tcBorders>
            <w:vAlign w:val="center"/>
            <w:hideMark/>
          </w:tcPr>
          <w:p w:rsidR="009C40C7" w:rsidRPr="00F90846" w:rsidRDefault="009C40C7" w:rsidP="009C40C7">
            <w:pPr>
              <w:rPr>
                <w:color w:val="000000"/>
              </w:rPr>
            </w:pPr>
          </w:p>
        </w:tc>
        <w:tc>
          <w:tcPr>
            <w:tcW w:w="406" w:type="pct"/>
            <w:tcBorders>
              <w:top w:val="nil"/>
              <w:left w:val="nil"/>
              <w:bottom w:val="single" w:sz="4" w:space="0" w:color="auto"/>
              <w:right w:val="single" w:sz="4" w:space="0" w:color="auto"/>
            </w:tcBorders>
            <w:shd w:val="clear" w:color="auto" w:fill="auto"/>
            <w:vAlign w:val="center"/>
            <w:hideMark/>
          </w:tcPr>
          <w:p w:rsidR="009C40C7" w:rsidRPr="00F90846" w:rsidRDefault="009C40C7" w:rsidP="009C40C7">
            <w:pPr>
              <w:jc w:val="center"/>
              <w:rPr>
                <w:color w:val="000000"/>
              </w:rPr>
            </w:pPr>
            <w:r w:rsidRPr="00F90846">
              <w:rPr>
                <w:color w:val="000000"/>
              </w:rPr>
              <w:t>первоначально утвержденный план</w:t>
            </w:r>
          </w:p>
        </w:tc>
        <w:tc>
          <w:tcPr>
            <w:tcW w:w="432" w:type="pct"/>
            <w:tcBorders>
              <w:top w:val="nil"/>
              <w:left w:val="nil"/>
              <w:bottom w:val="single" w:sz="4" w:space="0" w:color="auto"/>
              <w:right w:val="single" w:sz="4" w:space="0" w:color="auto"/>
            </w:tcBorders>
            <w:shd w:val="clear" w:color="auto" w:fill="auto"/>
            <w:vAlign w:val="center"/>
            <w:hideMark/>
          </w:tcPr>
          <w:p w:rsidR="009C40C7" w:rsidRPr="00F90846" w:rsidRDefault="009C40C7" w:rsidP="009C40C7">
            <w:pPr>
              <w:jc w:val="center"/>
              <w:rPr>
                <w:color w:val="000000"/>
              </w:rPr>
            </w:pPr>
            <w:r w:rsidRPr="00F90846">
              <w:rPr>
                <w:color w:val="000000"/>
              </w:rPr>
              <w:t>уточненный план</w:t>
            </w:r>
          </w:p>
        </w:tc>
        <w:tc>
          <w:tcPr>
            <w:tcW w:w="433" w:type="pct"/>
            <w:tcBorders>
              <w:top w:val="nil"/>
              <w:left w:val="nil"/>
              <w:bottom w:val="single" w:sz="4" w:space="0" w:color="auto"/>
              <w:right w:val="single" w:sz="4" w:space="0" w:color="auto"/>
            </w:tcBorders>
            <w:shd w:val="clear" w:color="auto" w:fill="auto"/>
            <w:vAlign w:val="center"/>
            <w:hideMark/>
          </w:tcPr>
          <w:p w:rsidR="009C40C7" w:rsidRPr="00F90846" w:rsidRDefault="009C40C7" w:rsidP="009C40C7">
            <w:pPr>
              <w:jc w:val="center"/>
              <w:rPr>
                <w:color w:val="000000"/>
              </w:rPr>
            </w:pPr>
            <w:r w:rsidRPr="00F90846">
              <w:rPr>
                <w:color w:val="000000"/>
              </w:rPr>
              <w:t>исполнено</w:t>
            </w:r>
          </w:p>
        </w:tc>
        <w:tc>
          <w:tcPr>
            <w:tcW w:w="432" w:type="pct"/>
            <w:tcBorders>
              <w:top w:val="nil"/>
              <w:left w:val="nil"/>
              <w:bottom w:val="single" w:sz="4" w:space="0" w:color="auto"/>
              <w:right w:val="single" w:sz="4" w:space="0" w:color="auto"/>
            </w:tcBorders>
            <w:shd w:val="clear" w:color="auto" w:fill="auto"/>
            <w:vAlign w:val="center"/>
            <w:hideMark/>
          </w:tcPr>
          <w:p w:rsidR="009C40C7" w:rsidRPr="00F90846" w:rsidRDefault="009C40C7" w:rsidP="009C40C7">
            <w:pPr>
              <w:jc w:val="center"/>
              <w:rPr>
                <w:color w:val="000000"/>
              </w:rPr>
            </w:pPr>
            <w:r w:rsidRPr="00F90846">
              <w:rPr>
                <w:color w:val="000000"/>
              </w:rPr>
              <w:t>план</w:t>
            </w:r>
          </w:p>
        </w:tc>
      </w:tr>
      <w:tr w:rsidR="009C40C7" w:rsidRPr="00F90846" w:rsidTr="009C40C7">
        <w:trPr>
          <w:cantSplit/>
          <w:trHeight w:val="600"/>
        </w:trPr>
        <w:tc>
          <w:tcPr>
            <w:tcW w:w="1587" w:type="pct"/>
            <w:tcBorders>
              <w:top w:val="nil"/>
              <w:left w:val="single" w:sz="4" w:space="0" w:color="auto"/>
              <w:bottom w:val="single" w:sz="4" w:space="0" w:color="auto"/>
              <w:right w:val="single" w:sz="4" w:space="0" w:color="auto"/>
            </w:tcBorders>
            <w:shd w:val="clear" w:color="auto" w:fill="auto"/>
            <w:vAlign w:val="center"/>
            <w:hideMark/>
          </w:tcPr>
          <w:p w:rsidR="009C40C7" w:rsidRPr="00F90846" w:rsidRDefault="009C40C7" w:rsidP="009C40C7">
            <w:pPr>
              <w:rPr>
                <w:color w:val="000000"/>
              </w:rPr>
            </w:pPr>
            <w:r w:rsidRPr="00F90846">
              <w:rPr>
                <w:color w:val="000000"/>
              </w:rPr>
              <w:t>Доходы бюджета муниципального образования, млн. руб.</w:t>
            </w:r>
          </w:p>
        </w:tc>
        <w:tc>
          <w:tcPr>
            <w:tcW w:w="427" w:type="pct"/>
            <w:tcBorders>
              <w:top w:val="nil"/>
              <w:left w:val="nil"/>
              <w:bottom w:val="single" w:sz="4" w:space="0" w:color="auto"/>
              <w:right w:val="single" w:sz="4" w:space="0" w:color="auto"/>
            </w:tcBorders>
            <w:shd w:val="clear" w:color="auto" w:fill="auto"/>
            <w:vAlign w:val="center"/>
            <w:hideMark/>
          </w:tcPr>
          <w:p w:rsidR="009C40C7" w:rsidRPr="00F90846" w:rsidRDefault="009C40C7" w:rsidP="009C40C7">
            <w:pPr>
              <w:jc w:val="center"/>
              <w:rPr>
                <w:color w:val="000000"/>
              </w:rPr>
            </w:pPr>
            <w:r w:rsidRPr="00F90846">
              <w:rPr>
                <w:color w:val="000000"/>
              </w:rPr>
              <w:t>2 811,0</w:t>
            </w:r>
          </w:p>
        </w:tc>
        <w:tc>
          <w:tcPr>
            <w:tcW w:w="428" w:type="pct"/>
            <w:tcBorders>
              <w:top w:val="nil"/>
              <w:left w:val="nil"/>
              <w:bottom w:val="single" w:sz="4" w:space="0" w:color="auto"/>
              <w:right w:val="single" w:sz="4" w:space="0" w:color="auto"/>
            </w:tcBorders>
            <w:shd w:val="clear" w:color="auto" w:fill="auto"/>
            <w:vAlign w:val="center"/>
            <w:hideMark/>
          </w:tcPr>
          <w:p w:rsidR="009C40C7" w:rsidRPr="00F90846" w:rsidRDefault="009C40C7" w:rsidP="009C40C7">
            <w:pPr>
              <w:jc w:val="center"/>
              <w:rPr>
                <w:color w:val="000000"/>
              </w:rPr>
            </w:pPr>
            <w:r w:rsidRPr="00F90846">
              <w:rPr>
                <w:color w:val="000000"/>
              </w:rPr>
              <w:t>3 532,9</w:t>
            </w:r>
          </w:p>
        </w:tc>
        <w:tc>
          <w:tcPr>
            <w:tcW w:w="428" w:type="pct"/>
            <w:tcBorders>
              <w:top w:val="nil"/>
              <w:left w:val="nil"/>
              <w:bottom w:val="single" w:sz="4" w:space="0" w:color="auto"/>
              <w:right w:val="single" w:sz="4" w:space="0" w:color="auto"/>
            </w:tcBorders>
            <w:shd w:val="clear" w:color="auto" w:fill="auto"/>
            <w:vAlign w:val="center"/>
            <w:hideMark/>
          </w:tcPr>
          <w:p w:rsidR="009C40C7" w:rsidRPr="00F90846" w:rsidRDefault="009C40C7" w:rsidP="009C40C7">
            <w:pPr>
              <w:jc w:val="center"/>
              <w:rPr>
                <w:color w:val="000000"/>
              </w:rPr>
            </w:pPr>
            <w:r w:rsidRPr="00F90846">
              <w:rPr>
                <w:color w:val="000000"/>
              </w:rPr>
              <w:t>3 188,4</w:t>
            </w:r>
          </w:p>
        </w:tc>
        <w:tc>
          <w:tcPr>
            <w:tcW w:w="428" w:type="pct"/>
            <w:tcBorders>
              <w:top w:val="nil"/>
              <w:left w:val="nil"/>
              <w:bottom w:val="single" w:sz="4" w:space="0" w:color="auto"/>
              <w:right w:val="single" w:sz="4" w:space="0" w:color="auto"/>
            </w:tcBorders>
            <w:shd w:val="clear" w:color="auto" w:fill="auto"/>
            <w:vAlign w:val="center"/>
            <w:hideMark/>
          </w:tcPr>
          <w:p w:rsidR="009C40C7" w:rsidRPr="00F90846" w:rsidRDefault="009C40C7" w:rsidP="009C40C7">
            <w:pPr>
              <w:jc w:val="center"/>
              <w:rPr>
                <w:color w:val="000000"/>
              </w:rPr>
            </w:pPr>
            <w:r w:rsidRPr="00F90846">
              <w:rPr>
                <w:color w:val="000000"/>
              </w:rPr>
              <w:t>3 248,7</w:t>
            </w:r>
          </w:p>
        </w:tc>
        <w:tc>
          <w:tcPr>
            <w:tcW w:w="406" w:type="pct"/>
            <w:tcBorders>
              <w:top w:val="nil"/>
              <w:left w:val="nil"/>
              <w:bottom w:val="single" w:sz="4" w:space="0" w:color="auto"/>
              <w:right w:val="single" w:sz="4" w:space="0" w:color="auto"/>
            </w:tcBorders>
            <w:shd w:val="clear" w:color="auto" w:fill="auto"/>
            <w:vAlign w:val="center"/>
            <w:hideMark/>
          </w:tcPr>
          <w:p w:rsidR="009C40C7" w:rsidRPr="00F90846" w:rsidRDefault="009C40C7" w:rsidP="009C40C7">
            <w:pPr>
              <w:jc w:val="center"/>
              <w:rPr>
                <w:color w:val="000000"/>
              </w:rPr>
            </w:pPr>
            <w:r w:rsidRPr="00F90846">
              <w:rPr>
                <w:color w:val="000000"/>
              </w:rPr>
              <w:t>2 796,8</w:t>
            </w:r>
          </w:p>
        </w:tc>
        <w:tc>
          <w:tcPr>
            <w:tcW w:w="432" w:type="pct"/>
            <w:tcBorders>
              <w:top w:val="nil"/>
              <w:left w:val="nil"/>
              <w:bottom w:val="single" w:sz="4" w:space="0" w:color="auto"/>
              <w:right w:val="single" w:sz="4" w:space="0" w:color="auto"/>
            </w:tcBorders>
            <w:shd w:val="clear" w:color="auto" w:fill="auto"/>
            <w:vAlign w:val="center"/>
            <w:hideMark/>
          </w:tcPr>
          <w:p w:rsidR="009C40C7" w:rsidRPr="00F90846" w:rsidRDefault="009C40C7" w:rsidP="009C40C7">
            <w:pPr>
              <w:jc w:val="center"/>
              <w:rPr>
                <w:color w:val="000000"/>
              </w:rPr>
            </w:pPr>
            <w:r w:rsidRPr="00F90846">
              <w:rPr>
                <w:color w:val="000000"/>
              </w:rPr>
              <w:t>5 322,1</w:t>
            </w:r>
          </w:p>
        </w:tc>
        <w:tc>
          <w:tcPr>
            <w:tcW w:w="433" w:type="pct"/>
            <w:tcBorders>
              <w:top w:val="nil"/>
              <w:left w:val="nil"/>
              <w:bottom w:val="single" w:sz="4" w:space="0" w:color="auto"/>
              <w:right w:val="single" w:sz="4" w:space="0" w:color="auto"/>
            </w:tcBorders>
            <w:shd w:val="clear" w:color="auto" w:fill="auto"/>
            <w:vAlign w:val="center"/>
            <w:hideMark/>
          </w:tcPr>
          <w:p w:rsidR="009C40C7" w:rsidRPr="00F90846" w:rsidRDefault="009C40C7" w:rsidP="009C40C7">
            <w:pPr>
              <w:jc w:val="center"/>
              <w:rPr>
                <w:color w:val="000000"/>
              </w:rPr>
            </w:pPr>
            <w:r w:rsidRPr="00F90846">
              <w:rPr>
                <w:color w:val="000000"/>
              </w:rPr>
              <w:t>5 342,4</w:t>
            </w:r>
          </w:p>
        </w:tc>
        <w:tc>
          <w:tcPr>
            <w:tcW w:w="432" w:type="pct"/>
            <w:tcBorders>
              <w:top w:val="nil"/>
              <w:left w:val="nil"/>
              <w:bottom w:val="single" w:sz="4" w:space="0" w:color="auto"/>
              <w:right w:val="single" w:sz="4" w:space="0" w:color="auto"/>
            </w:tcBorders>
            <w:shd w:val="clear" w:color="auto" w:fill="auto"/>
            <w:vAlign w:val="center"/>
            <w:hideMark/>
          </w:tcPr>
          <w:p w:rsidR="009C40C7" w:rsidRPr="00F90846" w:rsidRDefault="009C40C7" w:rsidP="009C40C7">
            <w:pPr>
              <w:jc w:val="center"/>
              <w:rPr>
                <w:color w:val="000000"/>
              </w:rPr>
            </w:pPr>
            <w:r w:rsidRPr="00F90846">
              <w:rPr>
                <w:color w:val="000000"/>
              </w:rPr>
              <w:t>3 062,4</w:t>
            </w:r>
          </w:p>
        </w:tc>
      </w:tr>
      <w:tr w:rsidR="009C40C7" w:rsidRPr="00F90846" w:rsidTr="009C40C7">
        <w:trPr>
          <w:cantSplit/>
          <w:trHeight w:val="900"/>
        </w:trPr>
        <w:tc>
          <w:tcPr>
            <w:tcW w:w="1587" w:type="pct"/>
            <w:tcBorders>
              <w:top w:val="nil"/>
              <w:left w:val="single" w:sz="4" w:space="0" w:color="auto"/>
              <w:bottom w:val="single" w:sz="4" w:space="0" w:color="auto"/>
              <w:right w:val="single" w:sz="4" w:space="0" w:color="auto"/>
            </w:tcBorders>
            <w:shd w:val="clear" w:color="auto" w:fill="auto"/>
            <w:vAlign w:val="center"/>
            <w:hideMark/>
          </w:tcPr>
          <w:p w:rsidR="009C40C7" w:rsidRPr="00F90846" w:rsidRDefault="009C40C7" w:rsidP="009C40C7">
            <w:pPr>
              <w:rPr>
                <w:color w:val="000000"/>
              </w:rPr>
            </w:pPr>
            <w:r w:rsidRPr="00F90846">
              <w:rPr>
                <w:color w:val="000000"/>
              </w:rPr>
              <w:t>Расходы бюджета муниципального образования, млн. руб.</w:t>
            </w:r>
            <w:r w:rsidRPr="00F90846">
              <w:rPr>
                <w:color w:val="000000"/>
              </w:rPr>
              <w:br/>
              <w:t>из них:</w:t>
            </w:r>
          </w:p>
        </w:tc>
        <w:tc>
          <w:tcPr>
            <w:tcW w:w="427" w:type="pct"/>
            <w:tcBorders>
              <w:top w:val="nil"/>
              <w:left w:val="nil"/>
              <w:bottom w:val="single" w:sz="4" w:space="0" w:color="auto"/>
              <w:right w:val="single" w:sz="4" w:space="0" w:color="auto"/>
            </w:tcBorders>
            <w:shd w:val="clear" w:color="auto" w:fill="auto"/>
            <w:vAlign w:val="center"/>
            <w:hideMark/>
          </w:tcPr>
          <w:p w:rsidR="009C40C7" w:rsidRPr="00F90846" w:rsidRDefault="009C40C7" w:rsidP="009C40C7">
            <w:pPr>
              <w:jc w:val="center"/>
              <w:rPr>
                <w:color w:val="000000"/>
              </w:rPr>
            </w:pPr>
            <w:r w:rsidRPr="00F90846">
              <w:rPr>
                <w:color w:val="000000"/>
              </w:rPr>
              <w:t>3 334,3</w:t>
            </w:r>
          </w:p>
        </w:tc>
        <w:tc>
          <w:tcPr>
            <w:tcW w:w="428" w:type="pct"/>
            <w:tcBorders>
              <w:top w:val="nil"/>
              <w:left w:val="nil"/>
              <w:bottom w:val="single" w:sz="4" w:space="0" w:color="auto"/>
              <w:right w:val="single" w:sz="4" w:space="0" w:color="auto"/>
            </w:tcBorders>
            <w:shd w:val="clear" w:color="auto" w:fill="auto"/>
            <w:vAlign w:val="center"/>
            <w:hideMark/>
          </w:tcPr>
          <w:p w:rsidR="009C40C7" w:rsidRPr="00F90846" w:rsidRDefault="009C40C7" w:rsidP="009C40C7">
            <w:pPr>
              <w:jc w:val="center"/>
              <w:rPr>
                <w:color w:val="000000"/>
              </w:rPr>
            </w:pPr>
            <w:r w:rsidRPr="00F90846">
              <w:rPr>
                <w:color w:val="000000"/>
              </w:rPr>
              <w:t>3 637,8</w:t>
            </w:r>
          </w:p>
        </w:tc>
        <w:tc>
          <w:tcPr>
            <w:tcW w:w="428" w:type="pct"/>
            <w:tcBorders>
              <w:top w:val="nil"/>
              <w:left w:val="nil"/>
              <w:bottom w:val="single" w:sz="4" w:space="0" w:color="auto"/>
              <w:right w:val="single" w:sz="4" w:space="0" w:color="auto"/>
            </w:tcBorders>
            <w:shd w:val="clear" w:color="auto" w:fill="auto"/>
            <w:vAlign w:val="center"/>
            <w:hideMark/>
          </w:tcPr>
          <w:p w:rsidR="009C40C7" w:rsidRPr="00F90846" w:rsidRDefault="009C40C7" w:rsidP="009C40C7">
            <w:pPr>
              <w:jc w:val="center"/>
              <w:rPr>
                <w:color w:val="000000"/>
              </w:rPr>
            </w:pPr>
            <w:r w:rsidRPr="00F90846">
              <w:rPr>
                <w:color w:val="000000"/>
              </w:rPr>
              <w:t>3 209,1</w:t>
            </w:r>
          </w:p>
        </w:tc>
        <w:tc>
          <w:tcPr>
            <w:tcW w:w="428" w:type="pct"/>
            <w:tcBorders>
              <w:top w:val="nil"/>
              <w:left w:val="nil"/>
              <w:bottom w:val="single" w:sz="4" w:space="0" w:color="auto"/>
              <w:right w:val="single" w:sz="4" w:space="0" w:color="auto"/>
            </w:tcBorders>
            <w:shd w:val="clear" w:color="auto" w:fill="auto"/>
            <w:vAlign w:val="center"/>
            <w:hideMark/>
          </w:tcPr>
          <w:p w:rsidR="009C40C7" w:rsidRPr="00F90846" w:rsidRDefault="009C40C7" w:rsidP="009C40C7">
            <w:pPr>
              <w:jc w:val="center"/>
              <w:rPr>
                <w:color w:val="000000"/>
              </w:rPr>
            </w:pPr>
            <w:r w:rsidRPr="00F90846">
              <w:rPr>
                <w:color w:val="000000"/>
              </w:rPr>
              <w:t>3 078,1</w:t>
            </w:r>
          </w:p>
        </w:tc>
        <w:tc>
          <w:tcPr>
            <w:tcW w:w="406" w:type="pct"/>
            <w:tcBorders>
              <w:top w:val="nil"/>
              <w:left w:val="nil"/>
              <w:bottom w:val="single" w:sz="4" w:space="0" w:color="auto"/>
              <w:right w:val="single" w:sz="4" w:space="0" w:color="auto"/>
            </w:tcBorders>
            <w:shd w:val="clear" w:color="auto" w:fill="auto"/>
            <w:vAlign w:val="center"/>
            <w:hideMark/>
          </w:tcPr>
          <w:p w:rsidR="009C40C7" w:rsidRPr="00F90846" w:rsidRDefault="009C40C7" w:rsidP="009C40C7">
            <w:pPr>
              <w:jc w:val="center"/>
              <w:rPr>
                <w:color w:val="000000"/>
              </w:rPr>
            </w:pPr>
            <w:r w:rsidRPr="00F90846">
              <w:rPr>
                <w:color w:val="000000"/>
              </w:rPr>
              <w:t>2 887,5</w:t>
            </w:r>
          </w:p>
        </w:tc>
        <w:tc>
          <w:tcPr>
            <w:tcW w:w="432" w:type="pct"/>
            <w:tcBorders>
              <w:top w:val="nil"/>
              <w:left w:val="nil"/>
              <w:bottom w:val="single" w:sz="4" w:space="0" w:color="auto"/>
              <w:right w:val="single" w:sz="4" w:space="0" w:color="auto"/>
            </w:tcBorders>
            <w:shd w:val="clear" w:color="auto" w:fill="auto"/>
            <w:vAlign w:val="center"/>
            <w:hideMark/>
          </w:tcPr>
          <w:p w:rsidR="009C40C7" w:rsidRPr="00F90846" w:rsidRDefault="009C40C7" w:rsidP="009C40C7">
            <w:pPr>
              <w:jc w:val="center"/>
              <w:rPr>
                <w:color w:val="000000"/>
              </w:rPr>
            </w:pPr>
            <w:r w:rsidRPr="00F90846">
              <w:rPr>
                <w:color w:val="000000"/>
              </w:rPr>
              <w:t>5 662,4</w:t>
            </w:r>
          </w:p>
        </w:tc>
        <w:tc>
          <w:tcPr>
            <w:tcW w:w="433" w:type="pct"/>
            <w:tcBorders>
              <w:top w:val="nil"/>
              <w:left w:val="nil"/>
              <w:bottom w:val="single" w:sz="4" w:space="0" w:color="auto"/>
              <w:right w:val="single" w:sz="4" w:space="0" w:color="auto"/>
            </w:tcBorders>
            <w:shd w:val="clear" w:color="auto" w:fill="auto"/>
            <w:vAlign w:val="center"/>
            <w:hideMark/>
          </w:tcPr>
          <w:p w:rsidR="009C40C7" w:rsidRPr="00F90846" w:rsidRDefault="009C40C7" w:rsidP="009C40C7">
            <w:pPr>
              <w:jc w:val="center"/>
              <w:rPr>
                <w:color w:val="000000"/>
              </w:rPr>
            </w:pPr>
            <w:r w:rsidRPr="00F90846">
              <w:rPr>
                <w:color w:val="000000"/>
              </w:rPr>
              <w:t>3 963,6</w:t>
            </w:r>
          </w:p>
        </w:tc>
        <w:tc>
          <w:tcPr>
            <w:tcW w:w="432" w:type="pct"/>
            <w:tcBorders>
              <w:top w:val="nil"/>
              <w:left w:val="nil"/>
              <w:bottom w:val="single" w:sz="4" w:space="0" w:color="auto"/>
              <w:right w:val="single" w:sz="4" w:space="0" w:color="auto"/>
            </w:tcBorders>
            <w:shd w:val="clear" w:color="auto" w:fill="auto"/>
            <w:vAlign w:val="center"/>
            <w:hideMark/>
          </w:tcPr>
          <w:p w:rsidR="009C40C7" w:rsidRPr="00F90846" w:rsidRDefault="009C40C7" w:rsidP="009C40C7">
            <w:pPr>
              <w:jc w:val="center"/>
              <w:rPr>
                <w:color w:val="000000"/>
              </w:rPr>
            </w:pPr>
            <w:r w:rsidRPr="00F90846">
              <w:rPr>
                <w:color w:val="000000"/>
              </w:rPr>
              <w:t>3 112,2</w:t>
            </w:r>
          </w:p>
        </w:tc>
      </w:tr>
      <w:tr w:rsidR="009C40C7" w:rsidRPr="00F90846" w:rsidTr="009C40C7">
        <w:trPr>
          <w:cantSplit/>
          <w:trHeight w:val="315"/>
        </w:trPr>
        <w:tc>
          <w:tcPr>
            <w:tcW w:w="1587" w:type="pct"/>
            <w:tcBorders>
              <w:top w:val="nil"/>
              <w:left w:val="single" w:sz="4" w:space="0" w:color="auto"/>
              <w:bottom w:val="single" w:sz="4" w:space="0" w:color="auto"/>
              <w:right w:val="single" w:sz="4" w:space="0" w:color="auto"/>
            </w:tcBorders>
            <w:shd w:val="clear" w:color="auto" w:fill="auto"/>
            <w:vAlign w:val="center"/>
            <w:hideMark/>
          </w:tcPr>
          <w:p w:rsidR="009C40C7" w:rsidRPr="00F90846" w:rsidRDefault="009C40C7" w:rsidP="009C40C7">
            <w:pPr>
              <w:rPr>
                <w:color w:val="000000"/>
              </w:rPr>
            </w:pPr>
            <w:r w:rsidRPr="00F90846">
              <w:rPr>
                <w:color w:val="000000"/>
              </w:rPr>
              <w:t>Расход на социальную сферу, млн. руб.</w:t>
            </w:r>
          </w:p>
        </w:tc>
        <w:tc>
          <w:tcPr>
            <w:tcW w:w="427" w:type="pct"/>
            <w:tcBorders>
              <w:top w:val="nil"/>
              <w:left w:val="nil"/>
              <w:bottom w:val="single" w:sz="4" w:space="0" w:color="auto"/>
              <w:right w:val="single" w:sz="4" w:space="0" w:color="auto"/>
            </w:tcBorders>
            <w:shd w:val="clear" w:color="auto" w:fill="auto"/>
            <w:vAlign w:val="center"/>
            <w:hideMark/>
          </w:tcPr>
          <w:p w:rsidR="009C40C7" w:rsidRPr="00F90846" w:rsidRDefault="009C40C7" w:rsidP="009C40C7">
            <w:pPr>
              <w:jc w:val="center"/>
              <w:rPr>
                <w:color w:val="000000"/>
              </w:rPr>
            </w:pPr>
            <w:r w:rsidRPr="00F90846">
              <w:rPr>
                <w:color w:val="000000"/>
              </w:rPr>
              <w:t>1 686,7</w:t>
            </w:r>
          </w:p>
        </w:tc>
        <w:tc>
          <w:tcPr>
            <w:tcW w:w="428" w:type="pct"/>
            <w:tcBorders>
              <w:top w:val="nil"/>
              <w:left w:val="nil"/>
              <w:bottom w:val="single" w:sz="4" w:space="0" w:color="auto"/>
              <w:right w:val="single" w:sz="4" w:space="0" w:color="auto"/>
            </w:tcBorders>
            <w:shd w:val="clear" w:color="auto" w:fill="auto"/>
            <w:vAlign w:val="center"/>
            <w:hideMark/>
          </w:tcPr>
          <w:p w:rsidR="009C40C7" w:rsidRPr="00F90846" w:rsidRDefault="009C40C7" w:rsidP="009C40C7">
            <w:pPr>
              <w:jc w:val="center"/>
              <w:rPr>
                <w:color w:val="000000"/>
              </w:rPr>
            </w:pPr>
            <w:r w:rsidRPr="00F90846">
              <w:rPr>
                <w:color w:val="000000"/>
              </w:rPr>
              <w:t>1 852,0</w:t>
            </w:r>
          </w:p>
        </w:tc>
        <w:tc>
          <w:tcPr>
            <w:tcW w:w="428" w:type="pct"/>
            <w:tcBorders>
              <w:top w:val="nil"/>
              <w:left w:val="nil"/>
              <w:bottom w:val="single" w:sz="4" w:space="0" w:color="auto"/>
              <w:right w:val="single" w:sz="4" w:space="0" w:color="auto"/>
            </w:tcBorders>
            <w:shd w:val="clear" w:color="auto" w:fill="auto"/>
            <w:vAlign w:val="center"/>
            <w:hideMark/>
          </w:tcPr>
          <w:p w:rsidR="009C40C7" w:rsidRPr="00F90846" w:rsidRDefault="009C40C7" w:rsidP="009C40C7">
            <w:pPr>
              <w:jc w:val="center"/>
              <w:rPr>
                <w:color w:val="000000"/>
              </w:rPr>
            </w:pPr>
            <w:r w:rsidRPr="00F90846">
              <w:rPr>
                <w:color w:val="000000"/>
              </w:rPr>
              <w:t>1 949,3</w:t>
            </w:r>
          </w:p>
        </w:tc>
        <w:tc>
          <w:tcPr>
            <w:tcW w:w="428" w:type="pct"/>
            <w:tcBorders>
              <w:top w:val="nil"/>
              <w:left w:val="nil"/>
              <w:bottom w:val="single" w:sz="4" w:space="0" w:color="auto"/>
              <w:right w:val="single" w:sz="4" w:space="0" w:color="auto"/>
            </w:tcBorders>
            <w:shd w:val="clear" w:color="auto" w:fill="auto"/>
            <w:vAlign w:val="center"/>
            <w:hideMark/>
          </w:tcPr>
          <w:p w:rsidR="009C40C7" w:rsidRPr="00F90846" w:rsidRDefault="009C40C7" w:rsidP="009C40C7">
            <w:pPr>
              <w:jc w:val="center"/>
              <w:rPr>
                <w:color w:val="000000"/>
              </w:rPr>
            </w:pPr>
            <w:r w:rsidRPr="00F90846">
              <w:rPr>
                <w:color w:val="000000"/>
              </w:rPr>
              <w:t>1 662,8</w:t>
            </w:r>
          </w:p>
        </w:tc>
        <w:tc>
          <w:tcPr>
            <w:tcW w:w="406" w:type="pct"/>
            <w:tcBorders>
              <w:top w:val="nil"/>
              <w:left w:val="nil"/>
              <w:bottom w:val="single" w:sz="4" w:space="0" w:color="auto"/>
              <w:right w:val="single" w:sz="4" w:space="0" w:color="auto"/>
            </w:tcBorders>
            <w:shd w:val="clear" w:color="auto" w:fill="auto"/>
            <w:vAlign w:val="center"/>
            <w:hideMark/>
          </w:tcPr>
          <w:p w:rsidR="009C40C7" w:rsidRPr="00F90846" w:rsidRDefault="009C40C7" w:rsidP="009C40C7">
            <w:pPr>
              <w:jc w:val="center"/>
              <w:rPr>
                <w:color w:val="000000"/>
              </w:rPr>
            </w:pPr>
            <w:r w:rsidRPr="00F90846">
              <w:rPr>
                <w:color w:val="000000"/>
              </w:rPr>
              <w:t>1 950,8</w:t>
            </w:r>
          </w:p>
        </w:tc>
        <w:tc>
          <w:tcPr>
            <w:tcW w:w="432" w:type="pct"/>
            <w:tcBorders>
              <w:top w:val="nil"/>
              <w:left w:val="nil"/>
              <w:bottom w:val="single" w:sz="4" w:space="0" w:color="auto"/>
              <w:right w:val="single" w:sz="4" w:space="0" w:color="auto"/>
            </w:tcBorders>
            <w:shd w:val="clear" w:color="auto" w:fill="auto"/>
            <w:vAlign w:val="center"/>
            <w:hideMark/>
          </w:tcPr>
          <w:p w:rsidR="009C40C7" w:rsidRPr="00F90846" w:rsidRDefault="009C40C7" w:rsidP="009C40C7">
            <w:pPr>
              <w:jc w:val="center"/>
              <w:rPr>
                <w:color w:val="000000"/>
              </w:rPr>
            </w:pPr>
            <w:r w:rsidRPr="00F90846">
              <w:rPr>
                <w:color w:val="000000"/>
              </w:rPr>
              <w:t>2 329,5</w:t>
            </w:r>
          </w:p>
        </w:tc>
        <w:tc>
          <w:tcPr>
            <w:tcW w:w="433" w:type="pct"/>
            <w:tcBorders>
              <w:top w:val="nil"/>
              <w:left w:val="nil"/>
              <w:bottom w:val="single" w:sz="4" w:space="0" w:color="auto"/>
              <w:right w:val="single" w:sz="4" w:space="0" w:color="auto"/>
            </w:tcBorders>
            <w:shd w:val="clear" w:color="auto" w:fill="auto"/>
            <w:vAlign w:val="center"/>
            <w:hideMark/>
          </w:tcPr>
          <w:p w:rsidR="009C40C7" w:rsidRPr="00F90846" w:rsidRDefault="009C40C7" w:rsidP="009C40C7">
            <w:pPr>
              <w:jc w:val="center"/>
              <w:rPr>
                <w:color w:val="000000"/>
              </w:rPr>
            </w:pPr>
            <w:r w:rsidRPr="00F90846">
              <w:rPr>
                <w:color w:val="000000"/>
              </w:rPr>
              <w:t>1 952,1</w:t>
            </w:r>
          </w:p>
        </w:tc>
        <w:tc>
          <w:tcPr>
            <w:tcW w:w="432" w:type="pct"/>
            <w:tcBorders>
              <w:top w:val="nil"/>
              <w:left w:val="nil"/>
              <w:bottom w:val="single" w:sz="4" w:space="0" w:color="auto"/>
              <w:right w:val="single" w:sz="4" w:space="0" w:color="auto"/>
            </w:tcBorders>
            <w:shd w:val="clear" w:color="auto" w:fill="auto"/>
            <w:vAlign w:val="center"/>
            <w:hideMark/>
          </w:tcPr>
          <w:p w:rsidR="009C40C7" w:rsidRPr="00F90846" w:rsidRDefault="009C40C7" w:rsidP="009C40C7">
            <w:pPr>
              <w:jc w:val="center"/>
              <w:rPr>
                <w:color w:val="000000"/>
              </w:rPr>
            </w:pPr>
            <w:r w:rsidRPr="00F90846">
              <w:rPr>
                <w:color w:val="000000"/>
              </w:rPr>
              <w:t>2 067,7</w:t>
            </w:r>
          </w:p>
        </w:tc>
      </w:tr>
      <w:tr w:rsidR="009C40C7" w:rsidRPr="00F90846" w:rsidTr="009C40C7">
        <w:trPr>
          <w:cantSplit/>
          <w:trHeight w:val="600"/>
        </w:trPr>
        <w:tc>
          <w:tcPr>
            <w:tcW w:w="1587" w:type="pct"/>
            <w:tcBorders>
              <w:top w:val="nil"/>
              <w:left w:val="single" w:sz="4" w:space="0" w:color="auto"/>
              <w:bottom w:val="single" w:sz="4" w:space="0" w:color="auto"/>
              <w:right w:val="single" w:sz="4" w:space="0" w:color="auto"/>
            </w:tcBorders>
            <w:shd w:val="clear" w:color="auto" w:fill="auto"/>
            <w:vAlign w:val="center"/>
            <w:hideMark/>
          </w:tcPr>
          <w:p w:rsidR="009C40C7" w:rsidRPr="00F90846" w:rsidRDefault="009C40C7" w:rsidP="009C40C7">
            <w:pPr>
              <w:rPr>
                <w:color w:val="000000"/>
              </w:rPr>
            </w:pPr>
            <w:r w:rsidRPr="00F90846">
              <w:rPr>
                <w:color w:val="000000"/>
              </w:rPr>
              <w:t>Доля расходов на социальную сферу в общей сумме расходов, в процентах</w:t>
            </w:r>
          </w:p>
        </w:tc>
        <w:tc>
          <w:tcPr>
            <w:tcW w:w="427" w:type="pct"/>
            <w:tcBorders>
              <w:top w:val="nil"/>
              <w:left w:val="nil"/>
              <w:bottom w:val="single" w:sz="4" w:space="0" w:color="auto"/>
              <w:right w:val="single" w:sz="4" w:space="0" w:color="auto"/>
            </w:tcBorders>
            <w:shd w:val="clear" w:color="auto" w:fill="auto"/>
            <w:vAlign w:val="center"/>
            <w:hideMark/>
          </w:tcPr>
          <w:p w:rsidR="009C40C7" w:rsidRPr="00F90846" w:rsidRDefault="009C40C7" w:rsidP="009C40C7">
            <w:pPr>
              <w:jc w:val="center"/>
              <w:rPr>
                <w:color w:val="000000"/>
              </w:rPr>
            </w:pPr>
            <w:r w:rsidRPr="00F90846">
              <w:rPr>
                <w:color w:val="000000"/>
              </w:rPr>
              <w:t>50,6</w:t>
            </w:r>
          </w:p>
        </w:tc>
        <w:tc>
          <w:tcPr>
            <w:tcW w:w="428" w:type="pct"/>
            <w:tcBorders>
              <w:top w:val="nil"/>
              <w:left w:val="nil"/>
              <w:bottom w:val="single" w:sz="4" w:space="0" w:color="auto"/>
              <w:right w:val="single" w:sz="4" w:space="0" w:color="auto"/>
            </w:tcBorders>
            <w:shd w:val="clear" w:color="auto" w:fill="auto"/>
            <w:vAlign w:val="center"/>
            <w:hideMark/>
          </w:tcPr>
          <w:p w:rsidR="009C40C7" w:rsidRPr="00F90846" w:rsidRDefault="009C40C7" w:rsidP="009C40C7">
            <w:pPr>
              <w:jc w:val="center"/>
              <w:rPr>
                <w:color w:val="000000"/>
              </w:rPr>
            </w:pPr>
            <w:r w:rsidRPr="00F90846">
              <w:rPr>
                <w:color w:val="000000"/>
              </w:rPr>
              <w:t>50,9</w:t>
            </w:r>
          </w:p>
        </w:tc>
        <w:tc>
          <w:tcPr>
            <w:tcW w:w="428" w:type="pct"/>
            <w:tcBorders>
              <w:top w:val="nil"/>
              <w:left w:val="nil"/>
              <w:bottom w:val="single" w:sz="4" w:space="0" w:color="auto"/>
              <w:right w:val="single" w:sz="4" w:space="0" w:color="auto"/>
            </w:tcBorders>
            <w:shd w:val="clear" w:color="auto" w:fill="auto"/>
            <w:vAlign w:val="center"/>
            <w:hideMark/>
          </w:tcPr>
          <w:p w:rsidR="009C40C7" w:rsidRPr="00F90846" w:rsidRDefault="009C40C7" w:rsidP="009C40C7">
            <w:pPr>
              <w:jc w:val="center"/>
              <w:rPr>
                <w:color w:val="000000"/>
              </w:rPr>
            </w:pPr>
            <w:r w:rsidRPr="00F90846">
              <w:rPr>
                <w:color w:val="000000"/>
              </w:rPr>
              <w:t>60,7</w:t>
            </w:r>
          </w:p>
        </w:tc>
        <w:tc>
          <w:tcPr>
            <w:tcW w:w="428" w:type="pct"/>
            <w:tcBorders>
              <w:top w:val="nil"/>
              <w:left w:val="nil"/>
              <w:bottom w:val="single" w:sz="4" w:space="0" w:color="auto"/>
              <w:right w:val="single" w:sz="4" w:space="0" w:color="auto"/>
            </w:tcBorders>
            <w:shd w:val="clear" w:color="auto" w:fill="auto"/>
            <w:vAlign w:val="center"/>
            <w:hideMark/>
          </w:tcPr>
          <w:p w:rsidR="009C40C7" w:rsidRPr="00F90846" w:rsidRDefault="009C40C7" w:rsidP="009C40C7">
            <w:pPr>
              <w:jc w:val="center"/>
              <w:rPr>
                <w:color w:val="000000"/>
              </w:rPr>
            </w:pPr>
            <w:r w:rsidRPr="00F90846">
              <w:rPr>
                <w:color w:val="000000"/>
              </w:rPr>
              <w:t>54,0</w:t>
            </w:r>
          </w:p>
        </w:tc>
        <w:tc>
          <w:tcPr>
            <w:tcW w:w="406" w:type="pct"/>
            <w:tcBorders>
              <w:top w:val="nil"/>
              <w:left w:val="nil"/>
              <w:bottom w:val="single" w:sz="4" w:space="0" w:color="auto"/>
              <w:right w:val="single" w:sz="4" w:space="0" w:color="auto"/>
            </w:tcBorders>
            <w:shd w:val="clear" w:color="auto" w:fill="auto"/>
            <w:vAlign w:val="center"/>
            <w:hideMark/>
          </w:tcPr>
          <w:p w:rsidR="009C40C7" w:rsidRPr="00F90846" w:rsidRDefault="009C40C7" w:rsidP="009C40C7">
            <w:pPr>
              <w:jc w:val="center"/>
              <w:rPr>
                <w:color w:val="000000"/>
              </w:rPr>
            </w:pPr>
            <w:r w:rsidRPr="00F90846">
              <w:rPr>
                <w:color w:val="000000"/>
              </w:rPr>
              <w:t>67,6</w:t>
            </w:r>
          </w:p>
        </w:tc>
        <w:tc>
          <w:tcPr>
            <w:tcW w:w="432" w:type="pct"/>
            <w:tcBorders>
              <w:top w:val="nil"/>
              <w:left w:val="nil"/>
              <w:bottom w:val="single" w:sz="4" w:space="0" w:color="auto"/>
              <w:right w:val="single" w:sz="4" w:space="0" w:color="auto"/>
            </w:tcBorders>
            <w:shd w:val="clear" w:color="auto" w:fill="auto"/>
            <w:vAlign w:val="center"/>
            <w:hideMark/>
          </w:tcPr>
          <w:p w:rsidR="009C40C7" w:rsidRPr="00F90846" w:rsidRDefault="009C40C7" w:rsidP="009C40C7">
            <w:pPr>
              <w:jc w:val="center"/>
              <w:rPr>
                <w:color w:val="000000"/>
              </w:rPr>
            </w:pPr>
            <w:r w:rsidRPr="00F90846">
              <w:rPr>
                <w:color w:val="000000"/>
              </w:rPr>
              <w:t>41,1</w:t>
            </w:r>
          </w:p>
        </w:tc>
        <w:tc>
          <w:tcPr>
            <w:tcW w:w="433" w:type="pct"/>
            <w:tcBorders>
              <w:top w:val="nil"/>
              <w:left w:val="nil"/>
              <w:bottom w:val="single" w:sz="4" w:space="0" w:color="auto"/>
              <w:right w:val="single" w:sz="4" w:space="0" w:color="auto"/>
            </w:tcBorders>
            <w:shd w:val="clear" w:color="auto" w:fill="auto"/>
            <w:vAlign w:val="center"/>
            <w:hideMark/>
          </w:tcPr>
          <w:p w:rsidR="009C40C7" w:rsidRPr="00F90846" w:rsidRDefault="009C40C7" w:rsidP="009C40C7">
            <w:pPr>
              <w:jc w:val="center"/>
              <w:rPr>
                <w:color w:val="000000"/>
              </w:rPr>
            </w:pPr>
            <w:r w:rsidRPr="00F90846">
              <w:rPr>
                <w:color w:val="000000"/>
              </w:rPr>
              <w:t>49,3</w:t>
            </w:r>
          </w:p>
        </w:tc>
        <w:tc>
          <w:tcPr>
            <w:tcW w:w="432" w:type="pct"/>
            <w:tcBorders>
              <w:top w:val="nil"/>
              <w:left w:val="nil"/>
              <w:bottom w:val="single" w:sz="4" w:space="0" w:color="auto"/>
              <w:right w:val="single" w:sz="4" w:space="0" w:color="auto"/>
            </w:tcBorders>
            <w:shd w:val="clear" w:color="auto" w:fill="auto"/>
            <w:vAlign w:val="center"/>
            <w:hideMark/>
          </w:tcPr>
          <w:p w:rsidR="009C40C7" w:rsidRPr="00F90846" w:rsidRDefault="009C40C7" w:rsidP="009C40C7">
            <w:pPr>
              <w:jc w:val="center"/>
              <w:rPr>
                <w:color w:val="000000"/>
              </w:rPr>
            </w:pPr>
            <w:r w:rsidRPr="00F90846">
              <w:rPr>
                <w:color w:val="000000"/>
              </w:rPr>
              <w:t>66,4</w:t>
            </w:r>
          </w:p>
        </w:tc>
      </w:tr>
      <w:tr w:rsidR="009C40C7" w:rsidRPr="00F90846" w:rsidTr="009C40C7">
        <w:trPr>
          <w:cantSplit/>
          <w:trHeight w:val="600"/>
        </w:trPr>
        <w:tc>
          <w:tcPr>
            <w:tcW w:w="1587" w:type="pct"/>
            <w:tcBorders>
              <w:top w:val="nil"/>
              <w:left w:val="single" w:sz="4" w:space="0" w:color="auto"/>
              <w:bottom w:val="single" w:sz="4" w:space="0" w:color="auto"/>
              <w:right w:val="single" w:sz="4" w:space="0" w:color="auto"/>
            </w:tcBorders>
            <w:shd w:val="clear" w:color="auto" w:fill="auto"/>
            <w:vAlign w:val="center"/>
            <w:hideMark/>
          </w:tcPr>
          <w:p w:rsidR="009C40C7" w:rsidRPr="00F90846" w:rsidRDefault="009C40C7" w:rsidP="009C40C7">
            <w:pPr>
              <w:rPr>
                <w:color w:val="000000"/>
              </w:rPr>
            </w:pPr>
            <w:r w:rsidRPr="00F90846">
              <w:rPr>
                <w:color w:val="000000"/>
              </w:rPr>
              <w:t>Расходы на поддержку отраслей экономики, млн. руб.</w:t>
            </w:r>
          </w:p>
        </w:tc>
        <w:tc>
          <w:tcPr>
            <w:tcW w:w="427" w:type="pct"/>
            <w:tcBorders>
              <w:top w:val="nil"/>
              <w:left w:val="nil"/>
              <w:bottom w:val="single" w:sz="4" w:space="0" w:color="auto"/>
              <w:right w:val="single" w:sz="4" w:space="0" w:color="auto"/>
            </w:tcBorders>
            <w:shd w:val="clear" w:color="auto" w:fill="auto"/>
            <w:vAlign w:val="center"/>
            <w:hideMark/>
          </w:tcPr>
          <w:p w:rsidR="009C40C7" w:rsidRPr="00F90846" w:rsidRDefault="009C40C7" w:rsidP="009C40C7">
            <w:pPr>
              <w:jc w:val="center"/>
              <w:rPr>
                <w:color w:val="000000"/>
              </w:rPr>
            </w:pPr>
            <w:r w:rsidRPr="00F90846">
              <w:rPr>
                <w:color w:val="000000"/>
              </w:rPr>
              <w:t>282,2</w:t>
            </w:r>
          </w:p>
        </w:tc>
        <w:tc>
          <w:tcPr>
            <w:tcW w:w="428" w:type="pct"/>
            <w:tcBorders>
              <w:top w:val="nil"/>
              <w:left w:val="nil"/>
              <w:bottom w:val="single" w:sz="4" w:space="0" w:color="auto"/>
              <w:right w:val="single" w:sz="4" w:space="0" w:color="auto"/>
            </w:tcBorders>
            <w:shd w:val="clear" w:color="auto" w:fill="auto"/>
            <w:vAlign w:val="center"/>
            <w:hideMark/>
          </w:tcPr>
          <w:p w:rsidR="009C40C7" w:rsidRPr="00F90846" w:rsidRDefault="009C40C7" w:rsidP="009C40C7">
            <w:pPr>
              <w:jc w:val="center"/>
              <w:rPr>
                <w:color w:val="000000"/>
              </w:rPr>
            </w:pPr>
            <w:r w:rsidRPr="00F90846">
              <w:rPr>
                <w:color w:val="000000"/>
              </w:rPr>
              <w:t>286,8</w:t>
            </w:r>
          </w:p>
        </w:tc>
        <w:tc>
          <w:tcPr>
            <w:tcW w:w="428" w:type="pct"/>
            <w:tcBorders>
              <w:top w:val="nil"/>
              <w:left w:val="nil"/>
              <w:bottom w:val="single" w:sz="4" w:space="0" w:color="auto"/>
              <w:right w:val="single" w:sz="4" w:space="0" w:color="auto"/>
            </w:tcBorders>
            <w:shd w:val="clear" w:color="auto" w:fill="auto"/>
            <w:vAlign w:val="center"/>
            <w:hideMark/>
          </w:tcPr>
          <w:p w:rsidR="009C40C7" w:rsidRPr="00F90846" w:rsidRDefault="009C40C7" w:rsidP="009C40C7">
            <w:pPr>
              <w:jc w:val="center"/>
              <w:rPr>
                <w:color w:val="000000"/>
              </w:rPr>
            </w:pPr>
            <w:r w:rsidRPr="00F90846">
              <w:rPr>
                <w:color w:val="000000"/>
              </w:rPr>
              <w:t>302,3</w:t>
            </w:r>
          </w:p>
        </w:tc>
        <w:tc>
          <w:tcPr>
            <w:tcW w:w="428" w:type="pct"/>
            <w:tcBorders>
              <w:top w:val="nil"/>
              <w:left w:val="nil"/>
              <w:bottom w:val="single" w:sz="4" w:space="0" w:color="auto"/>
              <w:right w:val="single" w:sz="4" w:space="0" w:color="auto"/>
            </w:tcBorders>
            <w:shd w:val="clear" w:color="auto" w:fill="auto"/>
            <w:vAlign w:val="center"/>
            <w:hideMark/>
          </w:tcPr>
          <w:p w:rsidR="009C40C7" w:rsidRPr="00F90846" w:rsidRDefault="009C40C7" w:rsidP="009C40C7">
            <w:pPr>
              <w:jc w:val="center"/>
              <w:rPr>
                <w:color w:val="000000"/>
              </w:rPr>
            </w:pPr>
            <w:r w:rsidRPr="00F90846">
              <w:rPr>
                <w:color w:val="000000"/>
              </w:rPr>
              <w:t>288,7</w:t>
            </w:r>
          </w:p>
        </w:tc>
        <w:tc>
          <w:tcPr>
            <w:tcW w:w="406" w:type="pct"/>
            <w:tcBorders>
              <w:top w:val="nil"/>
              <w:left w:val="nil"/>
              <w:bottom w:val="single" w:sz="4" w:space="0" w:color="auto"/>
              <w:right w:val="single" w:sz="4" w:space="0" w:color="auto"/>
            </w:tcBorders>
            <w:shd w:val="clear" w:color="auto" w:fill="auto"/>
            <w:vAlign w:val="center"/>
            <w:hideMark/>
          </w:tcPr>
          <w:p w:rsidR="009C40C7" w:rsidRPr="00F90846" w:rsidRDefault="009C40C7" w:rsidP="009C40C7">
            <w:pPr>
              <w:jc w:val="center"/>
              <w:rPr>
                <w:color w:val="000000"/>
              </w:rPr>
            </w:pPr>
            <w:r w:rsidRPr="00F90846">
              <w:rPr>
                <w:color w:val="000000"/>
              </w:rPr>
              <w:t>261,0</w:t>
            </w:r>
          </w:p>
        </w:tc>
        <w:tc>
          <w:tcPr>
            <w:tcW w:w="432" w:type="pct"/>
            <w:tcBorders>
              <w:top w:val="nil"/>
              <w:left w:val="nil"/>
              <w:bottom w:val="single" w:sz="4" w:space="0" w:color="auto"/>
              <w:right w:val="single" w:sz="4" w:space="0" w:color="auto"/>
            </w:tcBorders>
            <w:shd w:val="clear" w:color="auto" w:fill="auto"/>
            <w:vAlign w:val="center"/>
            <w:hideMark/>
          </w:tcPr>
          <w:p w:rsidR="009C40C7" w:rsidRPr="00F90846" w:rsidRDefault="009C40C7" w:rsidP="009C40C7">
            <w:pPr>
              <w:jc w:val="center"/>
              <w:rPr>
                <w:color w:val="000000"/>
              </w:rPr>
            </w:pPr>
            <w:r w:rsidRPr="00F90846">
              <w:rPr>
                <w:color w:val="000000"/>
              </w:rPr>
              <w:t>225,5</w:t>
            </w:r>
          </w:p>
        </w:tc>
        <w:tc>
          <w:tcPr>
            <w:tcW w:w="433" w:type="pct"/>
            <w:tcBorders>
              <w:top w:val="nil"/>
              <w:left w:val="nil"/>
              <w:bottom w:val="single" w:sz="4" w:space="0" w:color="auto"/>
              <w:right w:val="single" w:sz="4" w:space="0" w:color="auto"/>
            </w:tcBorders>
            <w:shd w:val="clear" w:color="auto" w:fill="auto"/>
            <w:vAlign w:val="center"/>
            <w:hideMark/>
          </w:tcPr>
          <w:p w:rsidR="009C40C7" w:rsidRPr="00F90846" w:rsidRDefault="009C40C7" w:rsidP="009C40C7">
            <w:pPr>
              <w:jc w:val="center"/>
              <w:rPr>
                <w:color w:val="000000"/>
              </w:rPr>
            </w:pPr>
            <w:r w:rsidRPr="00F90846">
              <w:rPr>
                <w:color w:val="000000"/>
              </w:rPr>
              <w:t>216,5</w:t>
            </w:r>
          </w:p>
        </w:tc>
        <w:tc>
          <w:tcPr>
            <w:tcW w:w="432" w:type="pct"/>
            <w:tcBorders>
              <w:top w:val="nil"/>
              <w:left w:val="nil"/>
              <w:bottom w:val="single" w:sz="4" w:space="0" w:color="auto"/>
              <w:right w:val="single" w:sz="4" w:space="0" w:color="auto"/>
            </w:tcBorders>
            <w:shd w:val="clear" w:color="auto" w:fill="auto"/>
            <w:vAlign w:val="center"/>
            <w:hideMark/>
          </w:tcPr>
          <w:p w:rsidR="009C40C7" w:rsidRPr="00F90846" w:rsidRDefault="009C40C7" w:rsidP="009C40C7">
            <w:pPr>
              <w:jc w:val="center"/>
              <w:rPr>
                <w:color w:val="000000"/>
              </w:rPr>
            </w:pPr>
            <w:r w:rsidRPr="00F90846">
              <w:rPr>
                <w:color w:val="000000"/>
              </w:rPr>
              <w:t>261,5</w:t>
            </w:r>
          </w:p>
        </w:tc>
      </w:tr>
      <w:tr w:rsidR="009C40C7" w:rsidRPr="00F90846" w:rsidTr="009C40C7">
        <w:trPr>
          <w:cantSplit/>
          <w:trHeight w:val="900"/>
        </w:trPr>
        <w:tc>
          <w:tcPr>
            <w:tcW w:w="1587" w:type="pct"/>
            <w:tcBorders>
              <w:top w:val="nil"/>
              <w:left w:val="single" w:sz="4" w:space="0" w:color="auto"/>
              <w:bottom w:val="single" w:sz="4" w:space="0" w:color="auto"/>
              <w:right w:val="single" w:sz="4" w:space="0" w:color="auto"/>
            </w:tcBorders>
            <w:shd w:val="clear" w:color="auto" w:fill="auto"/>
            <w:vAlign w:val="center"/>
            <w:hideMark/>
          </w:tcPr>
          <w:p w:rsidR="009C40C7" w:rsidRPr="00F90846" w:rsidRDefault="009C40C7" w:rsidP="009C40C7">
            <w:pPr>
              <w:rPr>
                <w:color w:val="000000"/>
              </w:rPr>
            </w:pPr>
            <w:r w:rsidRPr="00F90846">
              <w:rPr>
                <w:color w:val="000000"/>
              </w:rPr>
              <w:t>Доля расходов на поддержку отраслей экономики в общей сумме расходов, в процентах</w:t>
            </w:r>
          </w:p>
        </w:tc>
        <w:tc>
          <w:tcPr>
            <w:tcW w:w="427" w:type="pct"/>
            <w:tcBorders>
              <w:top w:val="nil"/>
              <w:left w:val="nil"/>
              <w:bottom w:val="single" w:sz="4" w:space="0" w:color="auto"/>
              <w:right w:val="single" w:sz="4" w:space="0" w:color="auto"/>
            </w:tcBorders>
            <w:shd w:val="clear" w:color="auto" w:fill="auto"/>
            <w:vAlign w:val="center"/>
            <w:hideMark/>
          </w:tcPr>
          <w:p w:rsidR="009C40C7" w:rsidRPr="00F90846" w:rsidRDefault="009C40C7" w:rsidP="009C40C7">
            <w:pPr>
              <w:jc w:val="center"/>
              <w:rPr>
                <w:color w:val="000000"/>
              </w:rPr>
            </w:pPr>
            <w:r w:rsidRPr="00F90846">
              <w:rPr>
                <w:color w:val="000000"/>
              </w:rPr>
              <w:t>8,5</w:t>
            </w:r>
          </w:p>
        </w:tc>
        <w:tc>
          <w:tcPr>
            <w:tcW w:w="428" w:type="pct"/>
            <w:tcBorders>
              <w:top w:val="nil"/>
              <w:left w:val="nil"/>
              <w:bottom w:val="single" w:sz="4" w:space="0" w:color="auto"/>
              <w:right w:val="single" w:sz="4" w:space="0" w:color="auto"/>
            </w:tcBorders>
            <w:shd w:val="clear" w:color="auto" w:fill="auto"/>
            <w:vAlign w:val="center"/>
            <w:hideMark/>
          </w:tcPr>
          <w:p w:rsidR="009C40C7" w:rsidRPr="00F90846" w:rsidRDefault="009C40C7" w:rsidP="009C40C7">
            <w:pPr>
              <w:jc w:val="center"/>
              <w:rPr>
                <w:color w:val="000000"/>
              </w:rPr>
            </w:pPr>
            <w:r w:rsidRPr="00F90846">
              <w:rPr>
                <w:color w:val="000000"/>
              </w:rPr>
              <w:t>7,9</w:t>
            </w:r>
          </w:p>
        </w:tc>
        <w:tc>
          <w:tcPr>
            <w:tcW w:w="428" w:type="pct"/>
            <w:tcBorders>
              <w:top w:val="nil"/>
              <w:left w:val="nil"/>
              <w:bottom w:val="single" w:sz="4" w:space="0" w:color="auto"/>
              <w:right w:val="single" w:sz="4" w:space="0" w:color="auto"/>
            </w:tcBorders>
            <w:shd w:val="clear" w:color="auto" w:fill="auto"/>
            <w:vAlign w:val="center"/>
            <w:hideMark/>
          </w:tcPr>
          <w:p w:rsidR="009C40C7" w:rsidRPr="00F90846" w:rsidRDefault="009C40C7" w:rsidP="009C40C7">
            <w:pPr>
              <w:jc w:val="center"/>
              <w:rPr>
                <w:color w:val="000000"/>
              </w:rPr>
            </w:pPr>
            <w:r w:rsidRPr="00F90846">
              <w:rPr>
                <w:color w:val="000000"/>
              </w:rPr>
              <w:t>9,4</w:t>
            </w:r>
          </w:p>
        </w:tc>
        <w:tc>
          <w:tcPr>
            <w:tcW w:w="428" w:type="pct"/>
            <w:tcBorders>
              <w:top w:val="nil"/>
              <w:left w:val="nil"/>
              <w:bottom w:val="single" w:sz="4" w:space="0" w:color="auto"/>
              <w:right w:val="single" w:sz="4" w:space="0" w:color="auto"/>
            </w:tcBorders>
            <w:shd w:val="clear" w:color="auto" w:fill="auto"/>
            <w:vAlign w:val="center"/>
            <w:hideMark/>
          </w:tcPr>
          <w:p w:rsidR="009C40C7" w:rsidRPr="00F90846" w:rsidRDefault="009C40C7" w:rsidP="009C40C7">
            <w:pPr>
              <w:jc w:val="center"/>
              <w:rPr>
                <w:color w:val="000000"/>
              </w:rPr>
            </w:pPr>
            <w:r w:rsidRPr="00F90846">
              <w:rPr>
                <w:color w:val="000000"/>
              </w:rPr>
              <w:t>9,4</w:t>
            </w:r>
          </w:p>
        </w:tc>
        <w:tc>
          <w:tcPr>
            <w:tcW w:w="406" w:type="pct"/>
            <w:tcBorders>
              <w:top w:val="nil"/>
              <w:left w:val="nil"/>
              <w:bottom w:val="single" w:sz="4" w:space="0" w:color="auto"/>
              <w:right w:val="single" w:sz="4" w:space="0" w:color="auto"/>
            </w:tcBorders>
            <w:shd w:val="clear" w:color="auto" w:fill="auto"/>
            <w:vAlign w:val="center"/>
            <w:hideMark/>
          </w:tcPr>
          <w:p w:rsidR="009C40C7" w:rsidRPr="00F90846" w:rsidRDefault="009C40C7" w:rsidP="009C40C7">
            <w:pPr>
              <w:jc w:val="center"/>
              <w:rPr>
                <w:color w:val="000000"/>
              </w:rPr>
            </w:pPr>
            <w:r w:rsidRPr="00F90846">
              <w:rPr>
                <w:color w:val="000000"/>
              </w:rPr>
              <w:t>9,0</w:t>
            </w:r>
          </w:p>
        </w:tc>
        <w:tc>
          <w:tcPr>
            <w:tcW w:w="432" w:type="pct"/>
            <w:tcBorders>
              <w:top w:val="nil"/>
              <w:left w:val="nil"/>
              <w:bottom w:val="single" w:sz="4" w:space="0" w:color="auto"/>
              <w:right w:val="single" w:sz="4" w:space="0" w:color="auto"/>
            </w:tcBorders>
            <w:shd w:val="clear" w:color="auto" w:fill="auto"/>
            <w:vAlign w:val="center"/>
            <w:hideMark/>
          </w:tcPr>
          <w:p w:rsidR="009C40C7" w:rsidRPr="00F90846" w:rsidRDefault="009C40C7" w:rsidP="009C40C7">
            <w:pPr>
              <w:jc w:val="center"/>
              <w:rPr>
                <w:color w:val="000000"/>
              </w:rPr>
            </w:pPr>
            <w:r w:rsidRPr="00F90846">
              <w:rPr>
                <w:color w:val="000000"/>
              </w:rPr>
              <w:t>4,0</w:t>
            </w:r>
          </w:p>
        </w:tc>
        <w:tc>
          <w:tcPr>
            <w:tcW w:w="433" w:type="pct"/>
            <w:tcBorders>
              <w:top w:val="nil"/>
              <w:left w:val="nil"/>
              <w:bottom w:val="single" w:sz="4" w:space="0" w:color="auto"/>
              <w:right w:val="single" w:sz="4" w:space="0" w:color="auto"/>
            </w:tcBorders>
            <w:shd w:val="clear" w:color="auto" w:fill="auto"/>
            <w:vAlign w:val="center"/>
            <w:hideMark/>
          </w:tcPr>
          <w:p w:rsidR="009C40C7" w:rsidRPr="00F90846" w:rsidRDefault="009C40C7" w:rsidP="009C40C7">
            <w:pPr>
              <w:jc w:val="center"/>
              <w:rPr>
                <w:color w:val="000000"/>
              </w:rPr>
            </w:pPr>
            <w:r w:rsidRPr="00F90846">
              <w:rPr>
                <w:color w:val="000000"/>
              </w:rPr>
              <w:t>5,5</w:t>
            </w:r>
          </w:p>
        </w:tc>
        <w:tc>
          <w:tcPr>
            <w:tcW w:w="432" w:type="pct"/>
            <w:tcBorders>
              <w:top w:val="nil"/>
              <w:left w:val="nil"/>
              <w:bottom w:val="single" w:sz="4" w:space="0" w:color="auto"/>
              <w:right w:val="single" w:sz="4" w:space="0" w:color="auto"/>
            </w:tcBorders>
            <w:shd w:val="clear" w:color="auto" w:fill="auto"/>
            <w:vAlign w:val="center"/>
            <w:hideMark/>
          </w:tcPr>
          <w:p w:rsidR="009C40C7" w:rsidRPr="00F90846" w:rsidRDefault="009C40C7" w:rsidP="009C40C7">
            <w:pPr>
              <w:jc w:val="center"/>
              <w:rPr>
                <w:color w:val="000000"/>
              </w:rPr>
            </w:pPr>
            <w:r w:rsidRPr="00F90846">
              <w:rPr>
                <w:color w:val="000000"/>
              </w:rPr>
              <w:t>8,4</w:t>
            </w:r>
          </w:p>
        </w:tc>
      </w:tr>
      <w:tr w:rsidR="009C40C7" w:rsidRPr="00F90846" w:rsidTr="009C40C7">
        <w:trPr>
          <w:cantSplit/>
          <w:trHeight w:val="315"/>
        </w:trPr>
        <w:tc>
          <w:tcPr>
            <w:tcW w:w="1587" w:type="pct"/>
            <w:tcBorders>
              <w:top w:val="nil"/>
              <w:left w:val="single" w:sz="4" w:space="0" w:color="auto"/>
              <w:bottom w:val="single" w:sz="4" w:space="0" w:color="auto"/>
              <w:right w:val="single" w:sz="4" w:space="0" w:color="auto"/>
            </w:tcBorders>
            <w:shd w:val="clear" w:color="auto" w:fill="auto"/>
            <w:vAlign w:val="center"/>
            <w:hideMark/>
          </w:tcPr>
          <w:p w:rsidR="009C40C7" w:rsidRPr="00F90846" w:rsidRDefault="009C40C7" w:rsidP="009C40C7">
            <w:pPr>
              <w:rPr>
                <w:color w:val="000000"/>
              </w:rPr>
            </w:pPr>
            <w:r w:rsidRPr="00F90846">
              <w:rPr>
                <w:color w:val="000000"/>
              </w:rPr>
              <w:t>Профицит (+) / дефицит (-) бюджета, млн. руб.</w:t>
            </w:r>
          </w:p>
        </w:tc>
        <w:tc>
          <w:tcPr>
            <w:tcW w:w="427" w:type="pct"/>
            <w:tcBorders>
              <w:top w:val="nil"/>
              <w:left w:val="nil"/>
              <w:bottom w:val="single" w:sz="4" w:space="0" w:color="auto"/>
              <w:right w:val="single" w:sz="4" w:space="0" w:color="auto"/>
            </w:tcBorders>
            <w:shd w:val="clear" w:color="auto" w:fill="auto"/>
            <w:vAlign w:val="center"/>
            <w:hideMark/>
          </w:tcPr>
          <w:p w:rsidR="009C40C7" w:rsidRPr="00F90846" w:rsidRDefault="009C40C7" w:rsidP="009C40C7">
            <w:pPr>
              <w:jc w:val="center"/>
              <w:rPr>
                <w:color w:val="000000"/>
              </w:rPr>
            </w:pPr>
            <w:r w:rsidRPr="00F90846">
              <w:rPr>
                <w:color w:val="000000"/>
              </w:rPr>
              <w:t>-523,3</w:t>
            </w:r>
          </w:p>
        </w:tc>
        <w:tc>
          <w:tcPr>
            <w:tcW w:w="428" w:type="pct"/>
            <w:tcBorders>
              <w:top w:val="nil"/>
              <w:left w:val="nil"/>
              <w:bottom w:val="single" w:sz="4" w:space="0" w:color="auto"/>
              <w:right w:val="single" w:sz="4" w:space="0" w:color="auto"/>
            </w:tcBorders>
            <w:shd w:val="clear" w:color="auto" w:fill="auto"/>
            <w:vAlign w:val="center"/>
            <w:hideMark/>
          </w:tcPr>
          <w:p w:rsidR="009C40C7" w:rsidRPr="00F90846" w:rsidRDefault="009C40C7" w:rsidP="009C40C7">
            <w:pPr>
              <w:jc w:val="center"/>
              <w:rPr>
                <w:color w:val="000000"/>
              </w:rPr>
            </w:pPr>
            <w:r w:rsidRPr="00F90846">
              <w:rPr>
                <w:color w:val="000000"/>
              </w:rPr>
              <w:t>-104,9</w:t>
            </w:r>
          </w:p>
        </w:tc>
        <w:tc>
          <w:tcPr>
            <w:tcW w:w="428" w:type="pct"/>
            <w:tcBorders>
              <w:top w:val="nil"/>
              <w:left w:val="nil"/>
              <w:bottom w:val="single" w:sz="4" w:space="0" w:color="auto"/>
              <w:right w:val="single" w:sz="4" w:space="0" w:color="auto"/>
            </w:tcBorders>
            <w:shd w:val="clear" w:color="auto" w:fill="auto"/>
            <w:vAlign w:val="center"/>
            <w:hideMark/>
          </w:tcPr>
          <w:p w:rsidR="009C40C7" w:rsidRPr="00F90846" w:rsidRDefault="009C40C7" w:rsidP="009C40C7">
            <w:pPr>
              <w:jc w:val="center"/>
              <w:rPr>
                <w:color w:val="000000"/>
              </w:rPr>
            </w:pPr>
            <w:r w:rsidRPr="00F90846">
              <w:rPr>
                <w:color w:val="000000"/>
              </w:rPr>
              <w:t>-20,7</w:t>
            </w:r>
          </w:p>
        </w:tc>
        <w:tc>
          <w:tcPr>
            <w:tcW w:w="428" w:type="pct"/>
            <w:tcBorders>
              <w:top w:val="nil"/>
              <w:left w:val="nil"/>
              <w:bottom w:val="single" w:sz="4" w:space="0" w:color="auto"/>
              <w:right w:val="single" w:sz="4" w:space="0" w:color="auto"/>
            </w:tcBorders>
            <w:shd w:val="clear" w:color="auto" w:fill="auto"/>
            <w:vAlign w:val="center"/>
            <w:hideMark/>
          </w:tcPr>
          <w:p w:rsidR="009C40C7" w:rsidRPr="00F90846" w:rsidRDefault="009C40C7" w:rsidP="009C40C7">
            <w:pPr>
              <w:jc w:val="center"/>
              <w:rPr>
                <w:color w:val="000000"/>
              </w:rPr>
            </w:pPr>
            <w:r w:rsidRPr="00F90846">
              <w:rPr>
                <w:color w:val="000000"/>
              </w:rPr>
              <w:t>170,6</w:t>
            </w:r>
          </w:p>
        </w:tc>
        <w:tc>
          <w:tcPr>
            <w:tcW w:w="406" w:type="pct"/>
            <w:tcBorders>
              <w:top w:val="nil"/>
              <w:left w:val="nil"/>
              <w:bottom w:val="single" w:sz="4" w:space="0" w:color="auto"/>
              <w:right w:val="single" w:sz="4" w:space="0" w:color="auto"/>
            </w:tcBorders>
            <w:shd w:val="clear" w:color="auto" w:fill="auto"/>
            <w:vAlign w:val="center"/>
            <w:hideMark/>
          </w:tcPr>
          <w:p w:rsidR="009C40C7" w:rsidRPr="00F90846" w:rsidRDefault="009C40C7" w:rsidP="009C40C7">
            <w:pPr>
              <w:jc w:val="center"/>
              <w:rPr>
                <w:color w:val="000000"/>
              </w:rPr>
            </w:pPr>
            <w:r w:rsidRPr="00F90846">
              <w:rPr>
                <w:color w:val="000000"/>
              </w:rPr>
              <w:t>-90,7</w:t>
            </w:r>
          </w:p>
        </w:tc>
        <w:tc>
          <w:tcPr>
            <w:tcW w:w="432" w:type="pct"/>
            <w:tcBorders>
              <w:top w:val="nil"/>
              <w:left w:val="nil"/>
              <w:bottom w:val="single" w:sz="4" w:space="0" w:color="auto"/>
              <w:right w:val="single" w:sz="4" w:space="0" w:color="auto"/>
            </w:tcBorders>
            <w:shd w:val="clear" w:color="auto" w:fill="auto"/>
            <w:vAlign w:val="center"/>
            <w:hideMark/>
          </w:tcPr>
          <w:p w:rsidR="009C40C7" w:rsidRPr="00F90846" w:rsidRDefault="009C40C7" w:rsidP="009C40C7">
            <w:pPr>
              <w:jc w:val="center"/>
              <w:rPr>
                <w:color w:val="000000"/>
              </w:rPr>
            </w:pPr>
            <w:r w:rsidRPr="00F90846">
              <w:rPr>
                <w:color w:val="000000"/>
              </w:rPr>
              <w:t>-340,3</w:t>
            </w:r>
          </w:p>
        </w:tc>
        <w:tc>
          <w:tcPr>
            <w:tcW w:w="433" w:type="pct"/>
            <w:tcBorders>
              <w:top w:val="nil"/>
              <w:left w:val="nil"/>
              <w:bottom w:val="single" w:sz="4" w:space="0" w:color="auto"/>
              <w:right w:val="single" w:sz="4" w:space="0" w:color="auto"/>
            </w:tcBorders>
            <w:shd w:val="clear" w:color="auto" w:fill="auto"/>
            <w:vAlign w:val="center"/>
            <w:hideMark/>
          </w:tcPr>
          <w:p w:rsidR="009C40C7" w:rsidRPr="00F90846" w:rsidRDefault="009C40C7" w:rsidP="009C40C7">
            <w:pPr>
              <w:jc w:val="center"/>
              <w:rPr>
                <w:color w:val="000000"/>
              </w:rPr>
            </w:pPr>
            <w:r w:rsidRPr="00F90846">
              <w:rPr>
                <w:color w:val="000000"/>
              </w:rPr>
              <w:t>1 378,8</w:t>
            </w:r>
          </w:p>
        </w:tc>
        <w:tc>
          <w:tcPr>
            <w:tcW w:w="432" w:type="pct"/>
            <w:tcBorders>
              <w:top w:val="nil"/>
              <w:left w:val="nil"/>
              <w:bottom w:val="single" w:sz="4" w:space="0" w:color="auto"/>
              <w:right w:val="single" w:sz="4" w:space="0" w:color="auto"/>
            </w:tcBorders>
            <w:shd w:val="clear" w:color="auto" w:fill="auto"/>
            <w:vAlign w:val="center"/>
            <w:hideMark/>
          </w:tcPr>
          <w:p w:rsidR="009C40C7" w:rsidRPr="00F90846" w:rsidRDefault="009C40C7" w:rsidP="009C40C7">
            <w:pPr>
              <w:jc w:val="center"/>
              <w:rPr>
                <w:color w:val="000000"/>
              </w:rPr>
            </w:pPr>
            <w:r w:rsidRPr="00F90846">
              <w:rPr>
                <w:color w:val="000000"/>
              </w:rPr>
              <w:t>-49,8</w:t>
            </w:r>
          </w:p>
        </w:tc>
      </w:tr>
      <w:tr w:rsidR="009C40C7" w:rsidRPr="00F90846" w:rsidTr="009C40C7">
        <w:trPr>
          <w:cantSplit/>
          <w:trHeight w:val="315"/>
        </w:trPr>
        <w:tc>
          <w:tcPr>
            <w:tcW w:w="1587" w:type="pct"/>
            <w:tcBorders>
              <w:top w:val="nil"/>
              <w:left w:val="single" w:sz="4" w:space="0" w:color="auto"/>
              <w:bottom w:val="single" w:sz="4" w:space="0" w:color="auto"/>
              <w:right w:val="single" w:sz="4" w:space="0" w:color="auto"/>
            </w:tcBorders>
            <w:shd w:val="clear" w:color="auto" w:fill="auto"/>
            <w:vAlign w:val="center"/>
            <w:hideMark/>
          </w:tcPr>
          <w:p w:rsidR="009C40C7" w:rsidRPr="00F90846" w:rsidRDefault="009C40C7" w:rsidP="009C40C7">
            <w:pPr>
              <w:rPr>
                <w:color w:val="000000"/>
              </w:rPr>
            </w:pPr>
            <w:r w:rsidRPr="00F90846">
              <w:rPr>
                <w:color w:val="000000"/>
              </w:rPr>
              <w:t>Резервный фонд, млн. руб.</w:t>
            </w:r>
          </w:p>
        </w:tc>
        <w:tc>
          <w:tcPr>
            <w:tcW w:w="427" w:type="pct"/>
            <w:tcBorders>
              <w:top w:val="nil"/>
              <w:left w:val="nil"/>
              <w:bottom w:val="single" w:sz="4" w:space="0" w:color="auto"/>
              <w:right w:val="single" w:sz="4" w:space="0" w:color="auto"/>
            </w:tcBorders>
            <w:shd w:val="clear" w:color="auto" w:fill="auto"/>
            <w:vAlign w:val="center"/>
            <w:hideMark/>
          </w:tcPr>
          <w:p w:rsidR="009C40C7" w:rsidRPr="00F90846" w:rsidRDefault="009C40C7" w:rsidP="009C40C7">
            <w:pPr>
              <w:jc w:val="center"/>
              <w:rPr>
                <w:color w:val="000000"/>
              </w:rPr>
            </w:pPr>
            <w:r w:rsidRPr="00F90846">
              <w:rPr>
                <w:color w:val="000000"/>
              </w:rPr>
              <w:t>0,0</w:t>
            </w:r>
          </w:p>
        </w:tc>
        <w:tc>
          <w:tcPr>
            <w:tcW w:w="428" w:type="pct"/>
            <w:tcBorders>
              <w:top w:val="nil"/>
              <w:left w:val="nil"/>
              <w:bottom w:val="single" w:sz="4" w:space="0" w:color="auto"/>
              <w:right w:val="single" w:sz="4" w:space="0" w:color="auto"/>
            </w:tcBorders>
            <w:shd w:val="clear" w:color="auto" w:fill="auto"/>
            <w:vAlign w:val="center"/>
            <w:hideMark/>
          </w:tcPr>
          <w:p w:rsidR="009C40C7" w:rsidRPr="00F90846" w:rsidRDefault="009C40C7" w:rsidP="009C40C7">
            <w:pPr>
              <w:jc w:val="center"/>
              <w:rPr>
                <w:color w:val="000000"/>
              </w:rPr>
            </w:pPr>
            <w:r w:rsidRPr="00F90846">
              <w:rPr>
                <w:color w:val="000000"/>
              </w:rPr>
              <w:t>0,0</w:t>
            </w:r>
          </w:p>
        </w:tc>
        <w:tc>
          <w:tcPr>
            <w:tcW w:w="428" w:type="pct"/>
            <w:tcBorders>
              <w:top w:val="nil"/>
              <w:left w:val="nil"/>
              <w:bottom w:val="single" w:sz="4" w:space="0" w:color="auto"/>
              <w:right w:val="single" w:sz="4" w:space="0" w:color="auto"/>
            </w:tcBorders>
            <w:shd w:val="clear" w:color="auto" w:fill="auto"/>
            <w:vAlign w:val="center"/>
            <w:hideMark/>
          </w:tcPr>
          <w:p w:rsidR="009C40C7" w:rsidRPr="00F90846" w:rsidRDefault="009C40C7" w:rsidP="009C40C7">
            <w:pPr>
              <w:jc w:val="center"/>
              <w:rPr>
                <w:color w:val="000000"/>
              </w:rPr>
            </w:pPr>
            <w:r w:rsidRPr="00F90846">
              <w:rPr>
                <w:color w:val="000000"/>
              </w:rPr>
              <w:t>0,0</w:t>
            </w:r>
          </w:p>
        </w:tc>
        <w:tc>
          <w:tcPr>
            <w:tcW w:w="428" w:type="pct"/>
            <w:tcBorders>
              <w:top w:val="nil"/>
              <w:left w:val="nil"/>
              <w:bottom w:val="single" w:sz="4" w:space="0" w:color="auto"/>
              <w:right w:val="single" w:sz="4" w:space="0" w:color="auto"/>
            </w:tcBorders>
            <w:shd w:val="clear" w:color="auto" w:fill="auto"/>
            <w:vAlign w:val="center"/>
            <w:hideMark/>
          </w:tcPr>
          <w:p w:rsidR="009C40C7" w:rsidRPr="00F90846" w:rsidRDefault="009C40C7" w:rsidP="009C40C7">
            <w:pPr>
              <w:jc w:val="center"/>
              <w:rPr>
                <w:color w:val="000000"/>
              </w:rPr>
            </w:pPr>
            <w:r w:rsidRPr="00F90846">
              <w:rPr>
                <w:color w:val="000000"/>
              </w:rPr>
              <w:t>0,0</w:t>
            </w:r>
          </w:p>
        </w:tc>
        <w:tc>
          <w:tcPr>
            <w:tcW w:w="406" w:type="pct"/>
            <w:tcBorders>
              <w:top w:val="nil"/>
              <w:left w:val="nil"/>
              <w:bottom w:val="single" w:sz="4" w:space="0" w:color="auto"/>
              <w:right w:val="single" w:sz="4" w:space="0" w:color="auto"/>
            </w:tcBorders>
            <w:shd w:val="clear" w:color="auto" w:fill="auto"/>
            <w:vAlign w:val="center"/>
            <w:hideMark/>
          </w:tcPr>
          <w:p w:rsidR="009C40C7" w:rsidRPr="00F90846" w:rsidRDefault="009C40C7" w:rsidP="009C40C7">
            <w:pPr>
              <w:jc w:val="center"/>
              <w:rPr>
                <w:color w:val="000000"/>
              </w:rPr>
            </w:pPr>
            <w:r w:rsidRPr="00F90846">
              <w:rPr>
                <w:color w:val="000000"/>
              </w:rPr>
              <w:t>0,5</w:t>
            </w:r>
          </w:p>
        </w:tc>
        <w:tc>
          <w:tcPr>
            <w:tcW w:w="432" w:type="pct"/>
            <w:tcBorders>
              <w:top w:val="nil"/>
              <w:left w:val="nil"/>
              <w:bottom w:val="single" w:sz="4" w:space="0" w:color="auto"/>
              <w:right w:val="single" w:sz="4" w:space="0" w:color="auto"/>
            </w:tcBorders>
            <w:shd w:val="clear" w:color="auto" w:fill="auto"/>
            <w:vAlign w:val="center"/>
            <w:hideMark/>
          </w:tcPr>
          <w:p w:rsidR="009C40C7" w:rsidRPr="00F90846" w:rsidRDefault="009C40C7" w:rsidP="009C40C7">
            <w:pPr>
              <w:jc w:val="center"/>
              <w:rPr>
                <w:color w:val="000000"/>
              </w:rPr>
            </w:pPr>
            <w:r w:rsidRPr="00F90846">
              <w:rPr>
                <w:color w:val="000000"/>
              </w:rPr>
              <w:t>0,0</w:t>
            </w:r>
          </w:p>
        </w:tc>
        <w:tc>
          <w:tcPr>
            <w:tcW w:w="433" w:type="pct"/>
            <w:tcBorders>
              <w:top w:val="nil"/>
              <w:left w:val="nil"/>
              <w:bottom w:val="single" w:sz="4" w:space="0" w:color="auto"/>
              <w:right w:val="single" w:sz="4" w:space="0" w:color="auto"/>
            </w:tcBorders>
            <w:shd w:val="clear" w:color="auto" w:fill="auto"/>
            <w:vAlign w:val="center"/>
            <w:hideMark/>
          </w:tcPr>
          <w:p w:rsidR="009C40C7" w:rsidRPr="00F90846" w:rsidRDefault="009C40C7" w:rsidP="009C40C7">
            <w:pPr>
              <w:jc w:val="center"/>
              <w:rPr>
                <w:color w:val="000000"/>
              </w:rPr>
            </w:pPr>
            <w:r w:rsidRPr="00F90846">
              <w:rPr>
                <w:color w:val="000000"/>
              </w:rPr>
              <w:t>0,0</w:t>
            </w:r>
          </w:p>
        </w:tc>
        <w:tc>
          <w:tcPr>
            <w:tcW w:w="432" w:type="pct"/>
            <w:tcBorders>
              <w:top w:val="nil"/>
              <w:left w:val="nil"/>
              <w:bottom w:val="single" w:sz="4" w:space="0" w:color="auto"/>
              <w:right w:val="single" w:sz="4" w:space="0" w:color="auto"/>
            </w:tcBorders>
            <w:shd w:val="clear" w:color="auto" w:fill="auto"/>
            <w:vAlign w:val="center"/>
            <w:hideMark/>
          </w:tcPr>
          <w:p w:rsidR="009C40C7" w:rsidRPr="00F90846" w:rsidRDefault="009C40C7" w:rsidP="009C40C7">
            <w:pPr>
              <w:jc w:val="center"/>
              <w:rPr>
                <w:color w:val="000000"/>
              </w:rPr>
            </w:pPr>
            <w:r w:rsidRPr="00F90846">
              <w:rPr>
                <w:color w:val="000000"/>
              </w:rPr>
              <w:t>0,5</w:t>
            </w:r>
          </w:p>
        </w:tc>
      </w:tr>
      <w:tr w:rsidR="009C40C7" w:rsidRPr="00F90846" w:rsidTr="009C40C7">
        <w:trPr>
          <w:cantSplit/>
          <w:trHeight w:val="315"/>
        </w:trPr>
        <w:tc>
          <w:tcPr>
            <w:tcW w:w="1587" w:type="pct"/>
            <w:tcBorders>
              <w:top w:val="nil"/>
              <w:left w:val="single" w:sz="4" w:space="0" w:color="auto"/>
              <w:bottom w:val="single" w:sz="4" w:space="0" w:color="auto"/>
              <w:right w:val="single" w:sz="4" w:space="0" w:color="auto"/>
            </w:tcBorders>
            <w:shd w:val="clear" w:color="auto" w:fill="auto"/>
            <w:vAlign w:val="center"/>
            <w:hideMark/>
          </w:tcPr>
          <w:p w:rsidR="009C40C7" w:rsidRPr="00F90846" w:rsidRDefault="009C40C7" w:rsidP="009C40C7">
            <w:pPr>
              <w:rPr>
                <w:color w:val="000000"/>
              </w:rPr>
            </w:pPr>
            <w:r w:rsidRPr="00F90846">
              <w:rPr>
                <w:color w:val="000000"/>
              </w:rPr>
              <w:t>Муниципальный долг, млн. руб.</w:t>
            </w:r>
          </w:p>
        </w:tc>
        <w:tc>
          <w:tcPr>
            <w:tcW w:w="427" w:type="pct"/>
            <w:tcBorders>
              <w:top w:val="nil"/>
              <w:left w:val="nil"/>
              <w:bottom w:val="single" w:sz="4" w:space="0" w:color="auto"/>
              <w:right w:val="single" w:sz="4" w:space="0" w:color="auto"/>
            </w:tcBorders>
            <w:shd w:val="clear" w:color="auto" w:fill="auto"/>
            <w:vAlign w:val="center"/>
            <w:hideMark/>
          </w:tcPr>
          <w:p w:rsidR="009C40C7" w:rsidRPr="00F90846" w:rsidRDefault="009C40C7" w:rsidP="009C40C7">
            <w:pPr>
              <w:jc w:val="center"/>
              <w:rPr>
                <w:color w:val="000000"/>
              </w:rPr>
            </w:pPr>
            <w:r w:rsidRPr="00F90846">
              <w:rPr>
                <w:color w:val="000000"/>
              </w:rPr>
              <w:t>348,2</w:t>
            </w:r>
          </w:p>
        </w:tc>
        <w:tc>
          <w:tcPr>
            <w:tcW w:w="428" w:type="pct"/>
            <w:tcBorders>
              <w:top w:val="nil"/>
              <w:left w:val="nil"/>
              <w:bottom w:val="single" w:sz="4" w:space="0" w:color="auto"/>
              <w:right w:val="single" w:sz="4" w:space="0" w:color="auto"/>
            </w:tcBorders>
            <w:shd w:val="clear" w:color="auto" w:fill="auto"/>
            <w:vAlign w:val="center"/>
            <w:hideMark/>
          </w:tcPr>
          <w:p w:rsidR="009C40C7" w:rsidRPr="00F90846" w:rsidRDefault="009C40C7" w:rsidP="009C40C7">
            <w:pPr>
              <w:jc w:val="center"/>
              <w:rPr>
                <w:color w:val="000000"/>
              </w:rPr>
            </w:pPr>
            <w:r w:rsidRPr="00F90846">
              <w:rPr>
                <w:color w:val="000000"/>
              </w:rPr>
              <w:t>220,6</w:t>
            </w:r>
          </w:p>
        </w:tc>
        <w:tc>
          <w:tcPr>
            <w:tcW w:w="428" w:type="pct"/>
            <w:tcBorders>
              <w:top w:val="nil"/>
              <w:left w:val="nil"/>
              <w:bottom w:val="single" w:sz="4" w:space="0" w:color="auto"/>
              <w:right w:val="single" w:sz="4" w:space="0" w:color="auto"/>
            </w:tcBorders>
            <w:shd w:val="clear" w:color="auto" w:fill="auto"/>
            <w:vAlign w:val="center"/>
            <w:hideMark/>
          </w:tcPr>
          <w:p w:rsidR="009C40C7" w:rsidRPr="00F90846" w:rsidRDefault="009C40C7" w:rsidP="009C40C7">
            <w:pPr>
              <w:jc w:val="center"/>
              <w:rPr>
                <w:color w:val="000000"/>
              </w:rPr>
            </w:pPr>
            <w:r w:rsidRPr="00F90846">
              <w:rPr>
                <w:color w:val="000000"/>
              </w:rPr>
              <w:t>261,6</w:t>
            </w:r>
          </w:p>
        </w:tc>
        <w:tc>
          <w:tcPr>
            <w:tcW w:w="428" w:type="pct"/>
            <w:tcBorders>
              <w:top w:val="nil"/>
              <w:left w:val="nil"/>
              <w:bottom w:val="single" w:sz="4" w:space="0" w:color="auto"/>
              <w:right w:val="single" w:sz="4" w:space="0" w:color="auto"/>
            </w:tcBorders>
            <w:shd w:val="clear" w:color="auto" w:fill="auto"/>
            <w:vAlign w:val="center"/>
            <w:hideMark/>
          </w:tcPr>
          <w:p w:rsidR="009C40C7" w:rsidRPr="00F90846" w:rsidRDefault="009C40C7" w:rsidP="009C40C7">
            <w:pPr>
              <w:jc w:val="center"/>
              <w:rPr>
                <w:color w:val="000000"/>
              </w:rPr>
            </w:pPr>
            <w:r w:rsidRPr="00F90846">
              <w:rPr>
                <w:color w:val="000000"/>
              </w:rPr>
              <w:t>168,3</w:t>
            </w:r>
          </w:p>
        </w:tc>
        <w:tc>
          <w:tcPr>
            <w:tcW w:w="406" w:type="pct"/>
            <w:tcBorders>
              <w:top w:val="nil"/>
              <w:left w:val="nil"/>
              <w:bottom w:val="single" w:sz="4" w:space="0" w:color="auto"/>
              <w:right w:val="single" w:sz="4" w:space="0" w:color="auto"/>
            </w:tcBorders>
            <w:shd w:val="clear" w:color="auto" w:fill="auto"/>
            <w:vAlign w:val="center"/>
            <w:hideMark/>
          </w:tcPr>
          <w:p w:rsidR="009C40C7" w:rsidRPr="00F90846" w:rsidRDefault="009C40C7" w:rsidP="009C40C7">
            <w:pPr>
              <w:jc w:val="center"/>
              <w:rPr>
                <w:color w:val="000000"/>
              </w:rPr>
            </w:pPr>
            <w:r w:rsidRPr="00F90846">
              <w:rPr>
                <w:color w:val="000000"/>
              </w:rPr>
              <w:t>204,2</w:t>
            </w:r>
          </w:p>
        </w:tc>
        <w:tc>
          <w:tcPr>
            <w:tcW w:w="432" w:type="pct"/>
            <w:tcBorders>
              <w:top w:val="nil"/>
              <w:left w:val="nil"/>
              <w:bottom w:val="single" w:sz="4" w:space="0" w:color="auto"/>
              <w:right w:val="single" w:sz="4" w:space="0" w:color="auto"/>
            </w:tcBorders>
            <w:shd w:val="clear" w:color="auto" w:fill="auto"/>
            <w:vAlign w:val="center"/>
            <w:hideMark/>
          </w:tcPr>
          <w:p w:rsidR="009C40C7" w:rsidRPr="00F90846" w:rsidRDefault="009C40C7" w:rsidP="009C40C7">
            <w:pPr>
              <w:jc w:val="center"/>
              <w:rPr>
                <w:color w:val="000000"/>
              </w:rPr>
            </w:pPr>
            <w:r w:rsidRPr="00F90846">
              <w:rPr>
                <w:color w:val="000000"/>
              </w:rPr>
              <w:t>505,6</w:t>
            </w:r>
          </w:p>
        </w:tc>
        <w:tc>
          <w:tcPr>
            <w:tcW w:w="433" w:type="pct"/>
            <w:tcBorders>
              <w:top w:val="nil"/>
              <w:left w:val="nil"/>
              <w:bottom w:val="single" w:sz="4" w:space="0" w:color="auto"/>
              <w:right w:val="single" w:sz="4" w:space="0" w:color="auto"/>
            </w:tcBorders>
            <w:shd w:val="clear" w:color="auto" w:fill="auto"/>
            <w:vAlign w:val="center"/>
            <w:hideMark/>
          </w:tcPr>
          <w:p w:rsidR="009C40C7" w:rsidRPr="00F90846" w:rsidRDefault="009C40C7" w:rsidP="009C40C7">
            <w:pPr>
              <w:jc w:val="center"/>
              <w:rPr>
                <w:color w:val="000000"/>
              </w:rPr>
            </w:pPr>
            <w:r w:rsidRPr="00F90846">
              <w:rPr>
                <w:color w:val="000000"/>
              </w:rPr>
              <w:t>176,3</w:t>
            </w:r>
          </w:p>
        </w:tc>
        <w:tc>
          <w:tcPr>
            <w:tcW w:w="432" w:type="pct"/>
            <w:tcBorders>
              <w:top w:val="nil"/>
              <w:left w:val="nil"/>
              <w:bottom w:val="single" w:sz="4" w:space="0" w:color="auto"/>
              <w:right w:val="single" w:sz="4" w:space="0" w:color="auto"/>
            </w:tcBorders>
            <w:shd w:val="clear" w:color="auto" w:fill="auto"/>
            <w:vAlign w:val="center"/>
            <w:hideMark/>
          </w:tcPr>
          <w:p w:rsidR="009C40C7" w:rsidRPr="00F90846" w:rsidRDefault="009C40C7" w:rsidP="009C40C7">
            <w:pPr>
              <w:jc w:val="center"/>
              <w:rPr>
                <w:color w:val="000000"/>
              </w:rPr>
            </w:pPr>
            <w:r w:rsidRPr="00F90846">
              <w:rPr>
                <w:color w:val="000000"/>
              </w:rPr>
              <w:t>85,5</w:t>
            </w:r>
          </w:p>
        </w:tc>
      </w:tr>
    </w:tbl>
    <w:p w:rsidR="009C40C7" w:rsidRDefault="009C40C7" w:rsidP="009C40C7">
      <w:pPr>
        <w:spacing w:line="360" w:lineRule="auto"/>
        <w:ind w:firstLine="540"/>
        <w:jc w:val="center"/>
        <w:rPr>
          <w:sz w:val="28"/>
        </w:rPr>
      </w:pPr>
    </w:p>
    <w:p w:rsidR="009C40C7" w:rsidRDefault="009C40C7" w:rsidP="009C40C7">
      <w:pPr>
        <w:spacing w:line="360" w:lineRule="auto"/>
        <w:ind w:firstLine="540"/>
        <w:jc w:val="right"/>
        <w:rPr>
          <w:sz w:val="28"/>
        </w:rPr>
      </w:pPr>
    </w:p>
    <w:p w:rsidR="009C40C7" w:rsidRDefault="009C40C7" w:rsidP="009C40C7">
      <w:pPr>
        <w:spacing w:line="360" w:lineRule="auto"/>
        <w:ind w:firstLine="540"/>
        <w:jc w:val="right"/>
        <w:rPr>
          <w:sz w:val="28"/>
        </w:rPr>
      </w:pPr>
    </w:p>
    <w:p w:rsidR="009C40C7" w:rsidRPr="007D146A" w:rsidRDefault="009C40C7" w:rsidP="009C40C7">
      <w:pPr>
        <w:spacing w:line="360" w:lineRule="auto"/>
        <w:ind w:firstLine="540"/>
        <w:jc w:val="right"/>
        <w:rPr>
          <w:sz w:val="28"/>
        </w:rPr>
      </w:pPr>
      <w:r w:rsidRPr="007D146A">
        <w:rPr>
          <w:sz w:val="28"/>
        </w:rPr>
        <w:t>Рис. 1</w:t>
      </w:r>
    </w:p>
    <w:p w:rsidR="009C40C7" w:rsidRPr="007D146A" w:rsidRDefault="009C40C7" w:rsidP="009C40C7">
      <w:pPr>
        <w:spacing w:line="360" w:lineRule="auto"/>
        <w:jc w:val="both"/>
      </w:pPr>
      <w:r w:rsidRPr="007D146A">
        <w:rPr>
          <w:noProof/>
        </w:rPr>
        <w:lastRenderedPageBreak/>
        <w:drawing>
          <wp:inline distT="0" distB="0" distL="0" distR="0" wp14:anchorId="37A30C75" wp14:editId="0521AB2A">
            <wp:extent cx="5953125" cy="3676650"/>
            <wp:effectExtent l="0" t="0" r="0" b="0"/>
            <wp:docPr id="4"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9C40C7" w:rsidRPr="007D146A" w:rsidRDefault="009C40C7" w:rsidP="009C40C7">
      <w:pPr>
        <w:spacing w:line="360" w:lineRule="auto"/>
        <w:ind w:firstLine="425"/>
        <w:jc w:val="both"/>
        <w:rPr>
          <w:sz w:val="28"/>
        </w:rPr>
      </w:pPr>
      <w:r w:rsidRPr="007D146A">
        <w:rPr>
          <w:sz w:val="28"/>
        </w:rPr>
        <w:t>Доходная часть бюджета муниципального образования за 201</w:t>
      </w:r>
      <w:r>
        <w:rPr>
          <w:sz w:val="28"/>
        </w:rPr>
        <w:t>8</w:t>
      </w:r>
      <w:r w:rsidRPr="007D146A">
        <w:rPr>
          <w:sz w:val="28"/>
        </w:rPr>
        <w:t xml:space="preserve"> год исполнена на сумму </w:t>
      </w:r>
      <w:r>
        <w:rPr>
          <w:sz w:val="28"/>
        </w:rPr>
        <w:t>5 342,4</w:t>
      </w:r>
      <w:r w:rsidRPr="007D146A">
        <w:rPr>
          <w:sz w:val="28"/>
        </w:rPr>
        <w:t xml:space="preserve"> млн. руб. (100,</w:t>
      </w:r>
      <w:r>
        <w:rPr>
          <w:sz w:val="28"/>
        </w:rPr>
        <w:t>4</w:t>
      </w:r>
      <w:r w:rsidRPr="007D146A">
        <w:rPr>
          <w:sz w:val="28"/>
        </w:rPr>
        <w:t xml:space="preserve">% к уточненному годовому плану по доходам). В структуре доходов </w:t>
      </w:r>
      <w:r>
        <w:rPr>
          <w:sz w:val="28"/>
        </w:rPr>
        <w:t>76</w:t>
      </w:r>
      <w:r w:rsidRPr="007D146A">
        <w:rPr>
          <w:sz w:val="28"/>
        </w:rPr>
        <w:t xml:space="preserve">% - безвозмездные поступления, </w:t>
      </w:r>
      <w:r>
        <w:rPr>
          <w:sz w:val="28"/>
        </w:rPr>
        <w:t>16</w:t>
      </w:r>
      <w:r w:rsidRPr="007D146A">
        <w:rPr>
          <w:sz w:val="28"/>
        </w:rPr>
        <w:t>%- налоговые доходы, 8% -неналоговые доходы.</w:t>
      </w:r>
    </w:p>
    <w:p w:rsidR="009C40C7" w:rsidRPr="007D146A" w:rsidRDefault="009C40C7" w:rsidP="009C40C7">
      <w:pPr>
        <w:ind w:firstLine="426"/>
        <w:jc w:val="right"/>
        <w:rPr>
          <w:sz w:val="28"/>
        </w:rPr>
      </w:pPr>
      <w:r w:rsidRPr="007D146A">
        <w:rPr>
          <w:sz w:val="28"/>
        </w:rPr>
        <w:t>Рис. 2</w:t>
      </w:r>
    </w:p>
    <w:p w:rsidR="009C40C7" w:rsidRPr="00CB653F" w:rsidRDefault="009C40C7" w:rsidP="009C40C7">
      <w:pPr>
        <w:ind w:firstLine="426"/>
        <w:jc w:val="center"/>
        <w:rPr>
          <w:rFonts w:asciiTheme="minorHAnsi" w:hAnsiTheme="minorHAnsi"/>
          <w:sz w:val="28"/>
        </w:rPr>
      </w:pPr>
      <w:r w:rsidRPr="00CB653F">
        <w:rPr>
          <w:rFonts w:asciiTheme="minorHAnsi" w:hAnsiTheme="minorHAnsi"/>
          <w:color w:val="595959" w:themeColor="text1" w:themeTint="A6"/>
          <w:sz w:val="28"/>
        </w:rPr>
        <w:t xml:space="preserve">Структура доходов бюджета города Пыть-Яха за 2014-2019 годы </w:t>
      </w:r>
      <w:r w:rsidRPr="00CB653F">
        <w:rPr>
          <w:rFonts w:asciiTheme="minorHAnsi" w:hAnsiTheme="minorHAnsi"/>
          <w:color w:val="595959" w:themeColor="text1" w:themeTint="A6"/>
          <w:sz w:val="28"/>
        </w:rPr>
        <w:br/>
        <w:t>(млн. руб.)</w:t>
      </w:r>
    </w:p>
    <w:p w:rsidR="009C40C7" w:rsidRPr="007D146A" w:rsidRDefault="009C40C7" w:rsidP="009C40C7">
      <w:pPr>
        <w:jc w:val="both"/>
      </w:pPr>
      <w:r>
        <w:rPr>
          <w:noProof/>
        </w:rPr>
        <w:drawing>
          <wp:inline distT="0" distB="0" distL="0" distR="0" wp14:anchorId="77B028BF" wp14:editId="3C1813F5">
            <wp:extent cx="6172200" cy="2714625"/>
            <wp:effectExtent l="0" t="0" r="0" b="0"/>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9C40C7" w:rsidRPr="007D146A" w:rsidRDefault="009C40C7" w:rsidP="009C40C7">
      <w:pPr>
        <w:spacing w:line="360" w:lineRule="auto"/>
        <w:ind w:firstLine="708"/>
        <w:jc w:val="both"/>
        <w:rPr>
          <w:sz w:val="28"/>
          <w:szCs w:val="28"/>
        </w:rPr>
      </w:pPr>
      <w:r w:rsidRPr="007D146A">
        <w:rPr>
          <w:sz w:val="28"/>
          <w:szCs w:val="28"/>
        </w:rPr>
        <w:t xml:space="preserve">Расходная часть бюджета исполнена в сумме </w:t>
      </w:r>
      <w:r>
        <w:rPr>
          <w:sz w:val="28"/>
          <w:szCs w:val="28"/>
        </w:rPr>
        <w:t>3 963,6 млн. рублей</w:t>
      </w:r>
      <w:r w:rsidRPr="007D146A">
        <w:rPr>
          <w:sz w:val="28"/>
          <w:szCs w:val="28"/>
        </w:rPr>
        <w:t xml:space="preserve">. Установленные на 2017 год плановые показатели бюджета исполнены на </w:t>
      </w:r>
      <w:r>
        <w:rPr>
          <w:sz w:val="28"/>
          <w:szCs w:val="28"/>
        </w:rPr>
        <w:t>70</w:t>
      </w:r>
      <w:r w:rsidRPr="007D146A">
        <w:rPr>
          <w:sz w:val="28"/>
          <w:szCs w:val="28"/>
        </w:rPr>
        <w:t>%</w:t>
      </w:r>
      <w:r>
        <w:rPr>
          <w:sz w:val="28"/>
          <w:szCs w:val="28"/>
        </w:rPr>
        <w:t>. Исполнение расходов не в полном объеме обусловлено</w:t>
      </w:r>
      <w:r w:rsidRPr="0073052A">
        <w:rPr>
          <w:sz w:val="28"/>
          <w:szCs w:val="28"/>
        </w:rPr>
        <w:t xml:space="preserve"> </w:t>
      </w:r>
      <w:r>
        <w:rPr>
          <w:sz w:val="28"/>
          <w:szCs w:val="28"/>
        </w:rPr>
        <w:t xml:space="preserve">выделением средств из </w:t>
      </w:r>
      <w:r>
        <w:rPr>
          <w:sz w:val="28"/>
          <w:szCs w:val="28"/>
        </w:rPr>
        <w:lastRenderedPageBreak/>
        <w:t xml:space="preserve">бюджета автономного округа в октябре 2018 года на реализацию </w:t>
      </w:r>
      <w:r w:rsidRPr="003F0229">
        <w:rPr>
          <w:sz w:val="28"/>
          <w:szCs w:val="28"/>
        </w:rPr>
        <w:t>программ муниципальных образований по ликвидации и расселению приспособленных для проживания строений</w:t>
      </w:r>
      <w:r>
        <w:rPr>
          <w:sz w:val="28"/>
          <w:szCs w:val="28"/>
        </w:rPr>
        <w:t xml:space="preserve"> в сумме 1 738,2 млн. рублей, кроме того </w:t>
      </w:r>
      <w:r w:rsidRPr="0073052A">
        <w:rPr>
          <w:sz w:val="28"/>
          <w:szCs w:val="28"/>
        </w:rPr>
        <w:t>приостановлен</w:t>
      </w:r>
      <w:r>
        <w:rPr>
          <w:sz w:val="28"/>
          <w:szCs w:val="28"/>
        </w:rPr>
        <w:t>о строительство</w:t>
      </w:r>
      <w:r w:rsidRPr="0073052A">
        <w:rPr>
          <w:sz w:val="28"/>
          <w:szCs w:val="28"/>
        </w:rPr>
        <w:t xml:space="preserve"> ФСК с ледовой ареной </w:t>
      </w:r>
      <w:r w:rsidRPr="006669E1">
        <w:rPr>
          <w:sz w:val="28"/>
          <w:szCs w:val="28"/>
        </w:rPr>
        <w:t>на основании предписания авторского надзора</w:t>
      </w:r>
      <w:r>
        <w:rPr>
          <w:sz w:val="28"/>
          <w:szCs w:val="28"/>
        </w:rPr>
        <w:t xml:space="preserve"> (</w:t>
      </w:r>
      <w:r w:rsidRPr="006669E1">
        <w:rPr>
          <w:sz w:val="28"/>
          <w:szCs w:val="28"/>
        </w:rPr>
        <w:t>контракт на строительно-монтажные работы расторгнут в одностороннем порядке, контракт на авторский надзор расторгнут по соглашению сторон, разработана «дорожная карта» для решения вопросов</w:t>
      </w:r>
      <w:r>
        <w:rPr>
          <w:sz w:val="28"/>
          <w:szCs w:val="28"/>
        </w:rPr>
        <w:t xml:space="preserve"> по внесению изменений в проект). Расходы бюджета города за 2018 год без учета безвозмездных поступлений, имеющих целевое назначение исполнены на 94,8%.</w:t>
      </w:r>
      <w:r w:rsidRPr="007D146A">
        <w:rPr>
          <w:sz w:val="28"/>
          <w:szCs w:val="28"/>
        </w:rPr>
        <w:t xml:space="preserve"> </w:t>
      </w:r>
    </w:p>
    <w:p w:rsidR="009C40C7" w:rsidRPr="007D146A" w:rsidRDefault="009C40C7" w:rsidP="009C40C7">
      <w:pPr>
        <w:jc w:val="right"/>
        <w:rPr>
          <w:sz w:val="28"/>
          <w:szCs w:val="28"/>
        </w:rPr>
      </w:pPr>
      <w:r w:rsidRPr="007D146A">
        <w:rPr>
          <w:sz w:val="28"/>
          <w:szCs w:val="28"/>
        </w:rPr>
        <w:t>Рис.3</w:t>
      </w:r>
    </w:p>
    <w:p w:rsidR="009C40C7" w:rsidRPr="007D146A" w:rsidRDefault="009C40C7" w:rsidP="009C40C7">
      <w:pPr>
        <w:jc w:val="center"/>
      </w:pPr>
      <w:r w:rsidRPr="007D146A">
        <w:rPr>
          <w:noProof/>
        </w:rPr>
        <w:drawing>
          <wp:inline distT="0" distB="0" distL="0" distR="0" wp14:anchorId="02C27F7D" wp14:editId="7AA19DF2">
            <wp:extent cx="5991225" cy="3743325"/>
            <wp:effectExtent l="0" t="0" r="0" b="0"/>
            <wp:docPr id="31" name="Диаграмма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9C40C7" w:rsidRDefault="009C40C7" w:rsidP="009C40C7">
      <w:pPr>
        <w:spacing w:line="360" w:lineRule="auto"/>
        <w:ind w:firstLine="709"/>
        <w:jc w:val="both"/>
        <w:rPr>
          <w:sz w:val="28"/>
        </w:rPr>
      </w:pPr>
      <w:r w:rsidRPr="00700A30">
        <w:rPr>
          <w:sz w:val="28"/>
        </w:rPr>
        <w:t>В целом расходы на социальный блок за 201</w:t>
      </w:r>
      <w:r>
        <w:rPr>
          <w:sz w:val="28"/>
        </w:rPr>
        <w:t>8</w:t>
      </w:r>
      <w:r w:rsidRPr="00700A30">
        <w:rPr>
          <w:sz w:val="28"/>
        </w:rPr>
        <w:t xml:space="preserve"> год составили </w:t>
      </w:r>
      <w:r>
        <w:rPr>
          <w:sz w:val="28"/>
        </w:rPr>
        <w:t>49,3</w:t>
      </w:r>
      <w:r w:rsidRPr="00700A30">
        <w:rPr>
          <w:sz w:val="28"/>
        </w:rPr>
        <w:t xml:space="preserve"> %, или </w:t>
      </w:r>
      <w:r>
        <w:rPr>
          <w:sz w:val="28"/>
        </w:rPr>
        <w:t>1 952,1</w:t>
      </w:r>
      <w:r w:rsidRPr="00700A30">
        <w:rPr>
          <w:sz w:val="28"/>
        </w:rPr>
        <w:t xml:space="preserve"> млн. рублей в общих расходах бюджета города</w:t>
      </w:r>
      <w:r>
        <w:rPr>
          <w:sz w:val="28"/>
        </w:rPr>
        <w:t xml:space="preserve">. </w:t>
      </w:r>
      <w:r w:rsidRPr="00700A30">
        <w:rPr>
          <w:sz w:val="28"/>
        </w:rPr>
        <w:t xml:space="preserve">На протяжении последних лет наблюдается социальная направленность бюджета. Удельный вес расходов на социальную сферу в динамике составляет </w:t>
      </w:r>
      <w:r>
        <w:rPr>
          <w:sz w:val="28"/>
        </w:rPr>
        <w:t>около</w:t>
      </w:r>
      <w:r w:rsidRPr="00700A30">
        <w:rPr>
          <w:sz w:val="28"/>
        </w:rPr>
        <w:t xml:space="preserve"> 50 % от общих р</w:t>
      </w:r>
      <w:r>
        <w:rPr>
          <w:sz w:val="28"/>
        </w:rPr>
        <w:t>асходов бюджета города Пыть-Яха</w:t>
      </w:r>
      <w:r w:rsidRPr="00700A30">
        <w:rPr>
          <w:sz w:val="28"/>
        </w:rPr>
        <w:t>, что подтверждает приоритет использования ресурсов в человеческий капитал и свидетельствует о социальной ориентированности бюджета. В 201</w:t>
      </w:r>
      <w:r>
        <w:rPr>
          <w:sz w:val="28"/>
        </w:rPr>
        <w:t>8</w:t>
      </w:r>
      <w:r w:rsidRPr="00700A30">
        <w:rPr>
          <w:sz w:val="28"/>
        </w:rPr>
        <w:t xml:space="preserve"> году расходы на социальную сферу в расчете на 1 жителя города Пыть-Яха сложился в сумме </w:t>
      </w:r>
      <w:r>
        <w:rPr>
          <w:sz w:val="28"/>
        </w:rPr>
        <w:t>48,8</w:t>
      </w:r>
      <w:r w:rsidRPr="00700A30">
        <w:rPr>
          <w:sz w:val="28"/>
        </w:rPr>
        <w:t xml:space="preserve"> тысяч рублей.</w:t>
      </w:r>
    </w:p>
    <w:p w:rsidR="009C40C7" w:rsidRPr="00700A30" w:rsidRDefault="009C40C7" w:rsidP="009C40C7">
      <w:pPr>
        <w:spacing w:line="360" w:lineRule="auto"/>
        <w:ind w:firstLine="709"/>
        <w:jc w:val="both"/>
        <w:rPr>
          <w:sz w:val="28"/>
        </w:rPr>
      </w:pPr>
      <w:r w:rsidRPr="00700A30">
        <w:rPr>
          <w:sz w:val="28"/>
        </w:rPr>
        <w:lastRenderedPageBreak/>
        <w:t>В структуре расходов бюджета за 201</w:t>
      </w:r>
      <w:r>
        <w:rPr>
          <w:sz w:val="28"/>
        </w:rPr>
        <w:t>8</w:t>
      </w:r>
      <w:r w:rsidRPr="00700A30">
        <w:rPr>
          <w:sz w:val="28"/>
        </w:rPr>
        <w:t xml:space="preserve"> год расходы бюджета на жилищно-коммунальное хозяйство произведены в сумме </w:t>
      </w:r>
      <w:r>
        <w:rPr>
          <w:sz w:val="28"/>
        </w:rPr>
        <w:t>1 263,4</w:t>
      </w:r>
      <w:r w:rsidRPr="00700A30">
        <w:rPr>
          <w:sz w:val="28"/>
        </w:rPr>
        <w:t xml:space="preserve"> млн. рублей, что составляет </w:t>
      </w:r>
      <w:r>
        <w:rPr>
          <w:sz w:val="28"/>
        </w:rPr>
        <w:t>31,9</w:t>
      </w:r>
      <w:r w:rsidRPr="00700A30">
        <w:rPr>
          <w:sz w:val="28"/>
        </w:rPr>
        <w:t xml:space="preserve"> % в общих расходах бюджета города.</w:t>
      </w:r>
    </w:p>
    <w:p w:rsidR="009C40C7" w:rsidRPr="00700A30" w:rsidRDefault="009C40C7" w:rsidP="009C40C7">
      <w:pPr>
        <w:spacing w:line="360" w:lineRule="auto"/>
        <w:ind w:firstLine="709"/>
        <w:jc w:val="both"/>
        <w:rPr>
          <w:sz w:val="28"/>
        </w:rPr>
      </w:pPr>
      <w:r w:rsidRPr="00700A30">
        <w:rPr>
          <w:sz w:val="28"/>
        </w:rPr>
        <w:t>На остальные отрасли (Общегосударственные вопросы, Национальная оборона, Национальная безопасность и правоохранительная деятельность,</w:t>
      </w:r>
      <w:r>
        <w:rPr>
          <w:sz w:val="28"/>
        </w:rPr>
        <w:t xml:space="preserve"> </w:t>
      </w:r>
      <w:r w:rsidRPr="00D45B72">
        <w:rPr>
          <w:sz w:val="28"/>
        </w:rPr>
        <w:t>Охрана окружающей среды</w:t>
      </w:r>
      <w:r>
        <w:rPr>
          <w:sz w:val="28"/>
        </w:rPr>
        <w:t xml:space="preserve">, </w:t>
      </w:r>
      <w:r w:rsidRPr="00700A30">
        <w:rPr>
          <w:sz w:val="28"/>
        </w:rPr>
        <w:t xml:space="preserve">Средства массовой информации, Обслуживание муниципального долга) приходится </w:t>
      </w:r>
      <w:r>
        <w:rPr>
          <w:sz w:val="28"/>
        </w:rPr>
        <w:t>13,4</w:t>
      </w:r>
      <w:r w:rsidRPr="00700A30">
        <w:rPr>
          <w:sz w:val="28"/>
        </w:rPr>
        <w:t xml:space="preserve"> % от общих расходов бюджета города Пыть-Яха</w:t>
      </w:r>
    </w:p>
    <w:p w:rsidR="009C40C7" w:rsidRPr="00700A30" w:rsidRDefault="009C40C7" w:rsidP="009C40C7">
      <w:pPr>
        <w:spacing w:line="360" w:lineRule="auto"/>
        <w:ind w:firstLine="709"/>
        <w:jc w:val="both"/>
        <w:rPr>
          <w:sz w:val="28"/>
        </w:rPr>
      </w:pPr>
      <w:r w:rsidRPr="00700A30">
        <w:rPr>
          <w:sz w:val="28"/>
        </w:rPr>
        <w:t>Расходы на развитие отраслей экономического блока, относящихся к раздел</w:t>
      </w:r>
      <w:r>
        <w:rPr>
          <w:sz w:val="28"/>
        </w:rPr>
        <w:t>у</w:t>
      </w:r>
      <w:r w:rsidRPr="00700A30">
        <w:rPr>
          <w:sz w:val="28"/>
        </w:rPr>
        <w:t xml:space="preserve"> «Национальная экономика», произведены в сумме </w:t>
      </w:r>
      <w:r>
        <w:rPr>
          <w:sz w:val="28"/>
        </w:rPr>
        <w:t>216,5</w:t>
      </w:r>
      <w:r w:rsidRPr="00700A30">
        <w:rPr>
          <w:sz w:val="28"/>
        </w:rPr>
        <w:t xml:space="preserve"> млн. рублей, что составляет </w:t>
      </w:r>
      <w:r>
        <w:rPr>
          <w:sz w:val="28"/>
        </w:rPr>
        <w:t>5,5</w:t>
      </w:r>
      <w:r w:rsidRPr="00700A30">
        <w:rPr>
          <w:sz w:val="28"/>
        </w:rPr>
        <w:t xml:space="preserve"> % в общих расходах бюджета.</w:t>
      </w:r>
    </w:p>
    <w:p w:rsidR="009C40C7" w:rsidRPr="007D146A" w:rsidRDefault="009C40C7" w:rsidP="009C40C7">
      <w:pPr>
        <w:jc w:val="right"/>
        <w:rPr>
          <w:sz w:val="28"/>
          <w:szCs w:val="28"/>
        </w:rPr>
      </w:pPr>
      <w:r>
        <w:rPr>
          <w:sz w:val="28"/>
          <w:szCs w:val="28"/>
        </w:rPr>
        <w:t>Рис. 4</w:t>
      </w:r>
    </w:p>
    <w:p w:rsidR="009C40C7" w:rsidRPr="00CB653F" w:rsidRDefault="009C40C7" w:rsidP="009C40C7">
      <w:pPr>
        <w:jc w:val="center"/>
        <w:rPr>
          <w:rFonts w:asciiTheme="minorHAnsi" w:hAnsiTheme="minorHAnsi"/>
          <w:sz w:val="28"/>
        </w:rPr>
      </w:pPr>
      <w:r w:rsidRPr="00CB653F">
        <w:rPr>
          <w:rFonts w:asciiTheme="minorHAnsi" w:hAnsiTheme="minorHAnsi"/>
          <w:color w:val="595959" w:themeColor="text1" w:themeTint="A6"/>
          <w:sz w:val="28"/>
        </w:rPr>
        <w:t>Динамика расходов бюджета города Пыть-Яха</w:t>
      </w:r>
    </w:p>
    <w:p w:rsidR="009C40C7" w:rsidRDefault="009C40C7" w:rsidP="009C40C7">
      <w:pPr>
        <w:jc w:val="both"/>
      </w:pPr>
      <w:r w:rsidRPr="007D146A">
        <w:rPr>
          <w:noProof/>
        </w:rPr>
        <w:drawing>
          <wp:inline distT="0" distB="0" distL="0" distR="0" wp14:anchorId="25354E52" wp14:editId="090A5E82">
            <wp:extent cx="5962650" cy="2124075"/>
            <wp:effectExtent l="0" t="0" r="0" b="0"/>
            <wp:docPr id="32" name="Диаграмма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9C40C7" w:rsidRPr="00700A30" w:rsidRDefault="009C40C7" w:rsidP="009C40C7">
      <w:pPr>
        <w:spacing w:line="360" w:lineRule="auto"/>
        <w:ind w:firstLine="709"/>
        <w:jc w:val="both"/>
        <w:rPr>
          <w:sz w:val="28"/>
        </w:rPr>
      </w:pPr>
      <w:r w:rsidRPr="00700A30">
        <w:rPr>
          <w:sz w:val="28"/>
        </w:rPr>
        <w:t>Бюджетная политика в социальной сфере ориентирована на сохранение приоритетности в финансовом обеспечении обширного спектра задач в области образования, социальной политики, культуры, физической культуры и спорта.</w:t>
      </w:r>
      <w:r>
        <w:rPr>
          <w:sz w:val="28"/>
        </w:rPr>
        <w:t xml:space="preserve"> </w:t>
      </w:r>
      <w:r w:rsidRPr="00911C8C">
        <w:rPr>
          <w:sz w:val="28"/>
          <w:szCs w:val="28"/>
        </w:rPr>
        <w:t xml:space="preserve">По отношению к предыдущему финансовому году расходы на социальную сферу увеличились на </w:t>
      </w:r>
      <w:r>
        <w:rPr>
          <w:sz w:val="28"/>
          <w:szCs w:val="28"/>
        </w:rPr>
        <w:t>289,3</w:t>
      </w:r>
      <w:r w:rsidRPr="00911C8C">
        <w:rPr>
          <w:sz w:val="28"/>
          <w:szCs w:val="28"/>
        </w:rPr>
        <w:t xml:space="preserve"> млн. рублей</w:t>
      </w:r>
    </w:p>
    <w:p w:rsidR="009C40C7" w:rsidRDefault="009C40C7" w:rsidP="009C40C7">
      <w:pPr>
        <w:spacing w:line="360" w:lineRule="auto"/>
        <w:ind w:firstLine="709"/>
        <w:jc w:val="both"/>
        <w:rPr>
          <w:sz w:val="28"/>
        </w:rPr>
      </w:pPr>
      <w:r w:rsidRPr="00700A30">
        <w:rPr>
          <w:sz w:val="28"/>
        </w:rPr>
        <w:t>Приоритетом в финансировании социальной сферы в 201</w:t>
      </w:r>
      <w:r>
        <w:rPr>
          <w:sz w:val="28"/>
        </w:rPr>
        <w:t>8</w:t>
      </w:r>
      <w:r w:rsidRPr="00700A30">
        <w:rPr>
          <w:sz w:val="28"/>
        </w:rPr>
        <w:t xml:space="preserve"> году остается реализация указов Президента России.</w:t>
      </w:r>
      <w:r>
        <w:rPr>
          <w:sz w:val="28"/>
        </w:rPr>
        <w:t xml:space="preserve"> За 2018 год расходы, направленные на реализацию Указов, составляют 1 342,7 млн. рублей. </w:t>
      </w:r>
      <w:r w:rsidRPr="00E6188C">
        <w:rPr>
          <w:sz w:val="28"/>
        </w:rPr>
        <w:t xml:space="preserve">Учитывая, что 2018 год – это год завершения реализации положений указов Президента Российской Федерации 2012 года в части обеспечения достижения целевых показателей повышения оплаты труда по отдельным категориям работников социальной сферы, их </w:t>
      </w:r>
      <w:r w:rsidRPr="00E6188C">
        <w:rPr>
          <w:sz w:val="28"/>
        </w:rPr>
        <w:lastRenderedPageBreak/>
        <w:t xml:space="preserve">выполнение осуществлялось в приоритетном порядке, в том числе за счет повышения эффективности расходов по соответствующим муниципальным программам и финансирования обязательств за счет средств от приносящей доход деятельности. </w:t>
      </w:r>
      <w:r>
        <w:rPr>
          <w:sz w:val="28"/>
        </w:rPr>
        <w:t xml:space="preserve">По итогам 2018 года, </w:t>
      </w:r>
      <w:r w:rsidRPr="0073052A">
        <w:rPr>
          <w:sz w:val="28"/>
        </w:rPr>
        <w:t>целевы</w:t>
      </w:r>
      <w:r>
        <w:rPr>
          <w:sz w:val="28"/>
        </w:rPr>
        <w:t>е</w:t>
      </w:r>
      <w:r w:rsidRPr="0073052A">
        <w:rPr>
          <w:sz w:val="28"/>
        </w:rPr>
        <w:t xml:space="preserve"> показател</w:t>
      </w:r>
      <w:r>
        <w:rPr>
          <w:sz w:val="28"/>
        </w:rPr>
        <w:t>и</w:t>
      </w:r>
      <w:r w:rsidRPr="0073052A">
        <w:rPr>
          <w:sz w:val="28"/>
        </w:rPr>
        <w:t xml:space="preserve"> по средней заработной плате отдельных категорий работников, в соответствии с Указами Президента Российской Федерации от 07 мая 2012 г. №597 «О мероприятиях по реализации государственной социальной политики», от 01 июня 2012 г. №761 «О национальной стратегии действий в интересах детей на 2012 – 2017 годы» </w:t>
      </w:r>
      <w:r>
        <w:rPr>
          <w:sz w:val="28"/>
        </w:rPr>
        <w:t xml:space="preserve">достигнуты в 100,0% размере, в соответствии с </w:t>
      </w:r>
      <w:r w:rsidRPr="00C01F49">
        <w:rPr>
          <w:sz w:val="28"/>
        </w:rPr>
        <w:t>целевы</w:t>
      </w:r>
      <w:r>
        <w:rPr>
          <w:sz w:val="28"/>
        </w:rPr>
        <w:t>ми</w:t>
      </w:r>
      <w:r w:rsidRPr="00C01F49">
        <w:rPr>
          <w:sz w:val="28"/>
        </w:rPr>
        <w:t xml:space="preserve"> показател</w:t>
      </w:r>
      <w:r>
        <w:rPr>
          <w:sz w:val="28"/>
        </w:rPr>
        <w:t>ями</w:t>
      </w:r>
      <w:r w:rsidRPr="00C01F49">
        <w:rPr>
          <w:sz w:val="28"/>
        </w:rPr>
        <w:t xml:space="preserve">, доведенных </w:t>
      </w:r>
      <w:proofErr w:type="spellStart"/>
      <w:r w:rsidRPr="0069748F">
        <w:rPr>
          <w:sz w:val="28"/>
        </w:rPr>
        <w:t>Депкультурой</w:t>
      </w:r>
      <w:proofErr w:type="spellEnd"/>
      <w:r w:rsidRPr="0069748F">
        <w:rPr>
          <w:sz w:val="28"/>
        </w:rPr>
        <w:t xml:space="preserve"> Югры и </w:t>
      </w:r>
      <w:proofErr w:type="spellStart"/>
      <w:r w:rsidRPr="0069748F">
        <w:rPr>
          <w:sz w:val="28"/>
        </w:rPr>
        <w:t>Депобразования</w:t>
      </w:r>
      <w:proofErr w:type="spellEnd"/>
      <w:r w:rsidRPr="0069748F">
        <w:rPr>
          <w:sz w:val="28"/>
        </w:rPr>
        <w:t xml:space="preserve"> Югры</w:t>
      </w:r>
      <w:r>
        <w:rPr>
          <w:sz w:val="28"/>
        </w:rPr>
        <w:t>.</w:t>
      </w:r>
    </w:p>
    <w:p w:rsidR="009C40C7" w:rsidRPr="004968C4" w:rsidRDefault="009C40C7" w:rsidP="009C40C7">
      <w:pPr>
        <w:spacing w:line="360" w:lineRule="auto"/>
        <w:ind w:firstLine="709"/>
        <w:jc w:val="both"/>
        <w:rPr>
          <w:sz w:val="28"/>
        </w:rPr>
      </w:pPr>
      <w:r w:rsidRPr="004968C4">
        <w:rPr>
          <w:sz w:val="28"/>
        </w:rPr>
        <w:t>Уровень средней заработной платы составил:</w:t>
      </w:r>
    </w:p>
    <w:p w:rsidR="009C40C7" w:rsidRPr="004968C4" w:rsidRDefault="009C40C7" w:rsidP="009C40C7">
      <w:pPr>
        <w:spacing w:line="360" w:lineRule="auto"/>
        <w:ind w:firstLine="709"/>
        <w:jc w:val="both"/>
        <w:rPr>
          <w:sz w:val="28"/>
        </w:rPr>
      </w:pPr>
      <w:r>
        <w:rPr>
          <w:sz w:val="28"/>
        </w:rPr>
        <w:t>-</w:t>
      </w:r>
      <w:r>
        <w:rPr>
          <w:sz w:val="28"/>
        </w:rPr>
        <w:tab/>
        <w:t>60 709,4</w:t>
      </w:r>
      <w:r w:rsidRPr="004968C4">
        <w:rPr>
          <w:sz w:val="28"/>
        </w:rPr>
        <w:t xml:space="preserve"> руб. - работников учреждений культуры;</w:t>
      </w:r>
    </w:p>
    <w:p w:rsidR="009C40C7" w:rsidRPr="004968C4" w:rsidRDefault="009C40C7" w:rsidP="009C40C7">
      <w:pPr>
        <w:spacing w:line="360" w:lineRule="auto"/>
        <w:ind w:firstLine="709"/>
        <w:jc w:val="both"/>
        <w:rPr>
          <w:sz w:val="28"/>
        </w:rPr>
      </w:pPr>
      <w:r w:rsidRPr="004968C4">
        <w:rPr>
          <w:sz w:val="28"/>
        </w:rPr>
        <w:t>-</w:t>
      </w:r>
      <w:r>
        <w:rPr>
          <w:sz w:val="28"/>
        </w:rPr>
        <w:tab/>
        <w:t>65 232,4</w:t>
      </w:r>
      <w:r w:rsidRPr="004968C4">
        <w:rPr>
          <w:sz w:val="28"/>
        </w:rPr>
        <w:t xml:space="preserve"> руб. - педагогических работников учреждений дополнительного образования;</w:t>
      </w:r>
    </w:p>
    <w:p w:rsidR="009C40C7" w:rsidRPr="004968C4" w:rsidRDefault="009C40C7" w:rsidP="009C40C7">
      <w:pPr>
        <w:spacing w:line="360" w:lineRule="auto"/>
        <w:ind w:firstLine="709"/>
        <w:jc w:val="both"/>
        <w:rPr>
          <w:sz w:val="28"/>
        </w:rPr>
      </w:pPr>
      <w:r w:rsidRPr="004968C4">
        <w:rPr>
          <w:sz w:val="28"/>
        </w:rPr>
        <w:t>-</w:t>
      </w:r>
      <w:r>
        <w:rPr>
          <w:sz w:val="28"/>
        </w:rPr>
        <w:tab/>
        <w:t>53 700,3</w:t>
      </w:r>
      <w:r w:rsidRPr="004968C4">
        <w:rPr>
          <w:sz w:val="28"/>
        </w:rPr>
        <w:t xml:space="preserve"> руб. - педагогических работников организаций дошкольного образования;</w:t>
      </w:r>
    </w:p>
    <w:p w:rsidR="009C40C7" w:rsidRDefault="009C40C7" w:rsidP="009C40C7">
      <w:pPr>
        <w:spacing w:line="360" w:lineRule="auto"/>
        <w:ind w:firstLine="709"/>
        <w:jc w:val="both"/>
        <w:rPr>
          <w:sz w:val="28"/>
        </w:rPr>
      </w:pPr>
      <w:r w:rsidRPr="004968C4">
        <w:rPr>
          <w:sz w:val="28"/>
        </w:rPr>
        <w:t>-</w:t>
      </w:r>
      <w:r>
        <w:rPr>
          <w:sz w:val="28"/>
        </w:rPr>
        <w:tab/>
        <w:t>60 853,7</w:t>
      </w:r>
      <w:r w:rsidRPr="004968C4">
        <w:rPr>
          <w:sz w:val="28"/>
        </w:rPr>
        <w:t xml:space="preserve"> рубль - педагогических работников организаций общего образования.</w:t>
      </w:r>
    </w:p>
    <w:p w:rsidR="009C40C7" w:rsidRPr="003A702F" w:rsidRDefault="009C40C7" w:rsidP="009C40C7">
      <w:pPr>
        <w:spacing w:line="360" w:lineRule="auto"/>
        <w:ind w:firstLine="708"/>
        <w:jc w:val="both"/>
        <w:rPr>
          <w:sz w:val="28"/>
          <w:szCs w:val="28"/>
        </w:rPr>
      </w:pPr>
      <w:r>
        <w:rPr>
          <w:sz w:val="28"/>
        </w:rPr>
        <w:t>В бюджете города на 2019 год</w:t>
      </w:r>
      <w:r w:rsidRPr="000E0279">
        <w:rPr>
          <w:sz w:val="28"/>
        </w:rPr>
        <w:t xml:space="preserve"> 8 муниципальных программ интегрированы 7 национальных проектов (программ), определенных Указом № 204 «О национальных целях и стратегических задачах развития Российской Федерации на период до 2024 года», что позволит обеспечить системный подход к достижению национальных целей и стратегических задач Российской Федерации в городе, повысить эффективность реализации муниципальных программ и, в целом, динамику достижения стратегической цели города Пыть-Яха – повышение качества жизни населения </w:t>
      </w:r>
      <w:r w:rsidRPr="003A702F">
        <w:rPr>
          <w:sz w:val="28"/>
          <w:szCs w:val="28"/>
        </w:rPr>
        <w:t>города.</w:t>
      </w:r>
    </w:p>
    <w:p w:rsidR="009C40C7" w:rsidRPr="003A702F" w:rsidRDefault="009C40C7" w:rsidP="009C40C7">
      <w:pPr>
        <w:autoSpaceDE w:val="0"/>
        <w:autoSpaceDN w:val="0"/>
        <w:adjustRightInd w:val="0"/>
        <w:ind w:firstLine="709"/>
        <w:jc w:val="right"/>
        <w:rPr>
          <w:sz w:val="28"/>
          <w:szCs w:val="28"/>
        </w:rPr>
      </w:pPr>
      <w:r w:rsidRPr="003A702F">
        <w:rPr>
          <w:sz w:val="28"/>
          <w:szCs w:val="28"/>
        </w:rPr>
        <w:t>Таблица 3</w:t>
      </w:r>
    </w:p>
    <w:p w:rsidR="009C40C7" w:rsidRPr="003A702F" w:rsidRDefault="009C40C7" w:rsidP="009C40C7">
      <w:pPr>
        <w:autoSpaceDE w:val="0"/>
        <w:autoSpaceDN w:val="0"/>
        <w:adjustRightInd w:val="0"/>
        <w:jc w:val="center"/>
        <w:rPr>
          <w:b/>
          <w:sz w:val="28"/>
          <w:szCs w:val="28"/>
        </w:rPr>
      </w:pPr>
      <w:r w:rsidRPr="003A702F">
        <w:rPr>
          <w:b/>
          <w:sz w:val="28"/>
          <w:szCs w:val="28"/>
        </w:rPr>
        <w:t>Расходы бюджета города Пыть-Яха на финансовое обеспечение реализации национальных проектов на 2019-2021 годы</w:t>
      </w:r>
    </w:p>
    <w:p w:rsidR="009C40C7" w:rsidRPr="003A702F" w:rsidRDefault="009C40C7" w:rsidP="009C40C7">
      <w:pPr>
        <w:autoSpaceDE w:val="0"/>
        <w:autoSpaceDN w:val="0"/>
        <w:adjustRightInd w:val="0"/>
        <w:ind w:firstLine="709"/>
        <w:jc w:val="right"/>
        <w:rPr>
          <w:sz w:val="28"/>
          <w:szCs w:val="28"/>
        </w:rPr>
      </w:pPr>
      <w:r w:rsidRPr="003A702F">
        <w:rPr>
          <w:sz w:val="28"/>
          <w:szCs w:val="28"/>
        </w:rPr>
        <w:t>(тыс. рублей)</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1134"/>
        <w:gridCol w:w="1134"/>
        <w:gridCol w:w="1134"/>
        <w:gridCol w:w="1276"/>
      </w:tblGrid>
      <w:tr w:rsidR="009C40C7" w:rsidRPr="00555EAC" w:rsidTr="009C40C7">
        <w:trPr>
          <w:cantSplit/>
          <w:trHeight w:val="20"/>
          <w:tblHeader/>
        </w:trPr>
        <w:tc>
          <w:tcPr>
            <w:tcW w:w="4673" w:type="dxa"/>
            <w:shd w:val="clear" w:color="auto" w:fill="auto"/>
            <w:vAlign w:val="center"/>
            <w:hideMark/>
          </w:tcPr>
          <w:p w:rsidR="009C40C7" w:rsidRPr="00555EAC" w:rsidRDefault="009C40C7" w:rsidP="009C40C7">
            <w:pPr>
              <w:jc w:val="center"/>
              <w:rPr>
                <w:color w:val="000000"/>
                <w:sz w:val="20"/>
                <w:szCs w:val="20"/>
              </w:rPr>
            </w:pPr>
            <w:r w:rsidRPr="00555EAC">
              <w:rPr>
                <w:color w:val="000000"/>
                <w:sz w:val="20"/>
                <w:szCs w:val="20"/>
              </w:rPr>
              <w:lastRenderedPageBreak/>
              <w:t>Наименование национального проекта / Наименование региональной составляющей федерального проекта, по направлениям</w:t>
            </w:r>
          </w:p>
        </w:tc>
        <w:tc>
          <w:tcPr>
            <w:tcW w:w="1134" w:type="dxa"/>
            <w:shd w:val="clear" w:color="auto" w:fill="auto"/>
            <w:vAlign w:val="center"/>
            <w:hideMark/>
          </w:tcPr>
          <w:p w:rsidR="009C40C7" w:rsidRPr="00555EAC" w:rsidRDefault="009C40C7" w:rsidP="009C40C7">
            <w:pPr>
              <w:jc w:val="center"/>
              <w:rPr>
                <w:color w:val="000000"/>
                <w:sz w:val="20"/>
                <w:szCs w:val="20"/>
              </w:rPr>
            </w:pPr>
            <w:r w:rsidRPr="00555EAC">
              <w:rPr>
                <w:color w:val="000000"/>
                <w:sz w:val="20"/>
                <w:szCs w:val="20"/>
              </w:rPr>
              <w:t>2019 год</w:t>
            </w:r>
          </w:p>
        </w:tc>
        <w:tc>
          <w:tcPr>
            <w:tcW w:w="1134" w:type="dxa"/>
            <w:shd w:val="clear" w:color="auto" w:fill="auto"/>
            <w:vAlign w:val="center"/>
            <w:hideMark/>
          </w:tcPr>
          <w:p w:rsidR="009C40C7" w:rsidRPr="00555EAC" w:rsidRDefault="009C40C7" w:rsidP="009C40C7">
            <w:pPr>
              <w:jc w:val="center"/>
              <w:rPr>
                <w:color w:val="000000"/>
                <w:sz w:val="20"/>
                <w:szCs w:val="20"/>
              </w:rPr>
            </w:pPr>
            <w:r w:rsidRPr="00555EAC">
              <w:rPr>
                <w:color w:val="000000"/>
                <w:sz w:val="20"/>
                <w:szCs w:val="20"/>
              </w:rPr>
              <w:t>2020 год</w:t>
            </w:r>
          </w:p>
        </w:tc>
        <w:tc>
          <w:tcPr>
            <w:tcW w:w="1134" w:type="dxa"/>
            <w:shd w:val="clear" w:color="auto" w:fill="auto"/>
            <w:vAlign w:val="center"/>
            <w:hideMark/>
          </w:tcPr>
          <w:p w:rsidR="009C40C7" w:rsidRPr="00555EAC" w:rsidRDefault="009C40C7" w:rsidP="009C40C7">
            <w:pPr>
              <w:jc w:val="center"/>
              <w:rPr>
                <w:color w:val="000000"/>
                <w:sz w:val="20"/>
                <w:szCs w:val="20"/>
              </w:rPr>
            </w:pPr>
            <w:r w:rsidRPr="00555EAC">
              <w:rPr>
                <w:color w:val="000000"/>
                <w:sz w:val="20"/>
                <w:szCs w:val="20"/>
              </w:rPr>
              <w:t>2021 год</w:t>
            </w:r>
          </w:p>
        </w:tc>
        <w:tc>
          <w:tcPr>
            <w:tcW w:w="1276" w:type="dxa"/>
            <w:shd w:val="clear" w:color="auto" w:fill="auto"/>
            <w:vAlign w:val="center"/>
            <w:hideMark/>
          </w:tcPr>
          <w:p w:rsidR="009C40C7" w:rsidRPr="00555EAC" w:rsidRDefault="009C40C7" w:rsidP="009C40C7">
            <w:pPr>
              <w:jc w:val="center"/>
              <w:rPr>
                <w:color w:val="000000"/>
                <w:sz w:val="20"/>
                <w:szCs w:val="20"/>
              </w:rPr>
            </w:pPr>
            <w:r w:rsidRPr="00555EAC">
              <w:rPr>
                <w:color w:val="000000"/>
                <w:sz w:val="20"/>
                <w:szCs w:val="20"/>
              </w:rPr>
              <w:t>Итого: 2019-2021 годы</w:t>
            </w:r>
          </w:p>
        </w:tc>
      </w:tr>
      <w:tr w:rsidR="009C40C7" w:rsidRPr="00555EAC" w:rsidTr="009C40C7">
        <w:trPr>
          <w:cantSplit/>
          <w:trHeight w:val="20"/>
          <w:tblHeader/>
        </w:trPr>
        <w:tc>
          <w:tcPr>
            <w:tcW w:w="4673" w:type="dxa"/>
            <w:shd w:val="clear" w:color="auto" w:fill="auto"/>
            <w:vAlign w:val="center"/>
            <w:hideMark/>
          </w:tcPr>
          <w:p w:rsidR="009C40C7" w:rsidRPr="00555EAC" w:rsidRDefault="009C40C7" w:rsidP="009C40C7">
            <w:pPr>
              <w:jc w:val="center"/>
              <w:rPr>
                <w:color w:val="000000"/>
                <w:sz w:val="20"/>
                <w:szCs w:val="20"/>
              </w:rPr>
            </w:pPr>
            <w:r w:rsidRPr="00555EAC">
              <w:rPr>
                <w:color w:val="000000"/>
                <w:sz w:val="20"/>
                <w:szCs w:val="20"/>
              </w:rPr>
              <w:t>1</w:t>
            </w:r>
          </w:p>
        </w:tc>
        <w:tc>
          <w:tcPr>
            <w:tcW w:w="1134" w:type="dxa"/>
            <w:shd w:val="clear" w:color="auto" w:fill="auto"/>
            <w:vAlign w:val="center"/>
            <w:hideMark/>
          </w:tcPr>
          <w:p w:rsidR="009C40C7" w:rsidRPr="00555EAC" w:rsidRDefault="009C40C7" w:rsidP="009C40C7">
            <w:pPr>
              <w:jc w:val="center"/>
              <w:rPr>
                <w:color w:val="000000"/>
                <w:sz w:val="20"/>
                <w:szCs w:val="20"/>
              </w:rPr>
            </w:pPr>
            <w:r w:rsidRPr="00555EAC">
              <w:rPr>
                <w:color w:val="000000"/>
                <w:sz w:val="20"/>
                <w:szCs w:val="20"/>
              </w:rPr>
              <w:t>2</w:t>
            </w:r>
          </w:p>
        </w:tc>
        <w:tc>
          <w:tcPr>
            <w:tcW w:w="1134" w:type="dxa"/>
            <w:shd w:val="clear" w:color="auto" w:fill="auto"/>
            <w:vAlign w:val="center"/>
            <w:hideMark/>
          </w:tcPr>
          <w:p w:rsidR="009C40C7" w:rsidRPr="00555EAC" w:rsidRDefault="009C40C7" w:rsidP="009C40C7">
            <w:pPr>
              <w:jc w:val="center"/>
              <w:rPr>
                <w:color w:val="000000"/>
                <w:sz w:val="20"/>
                <w:szCs w:val="20"/>
              </w:rPr>
            </w:pPr>
            <w:r w:rsidRPr="00555EAC">
              <w:rPr>
                <w:color w:val="000000"/>
                <w:sz w:val="20"/>
                <w:szCs w:val="20"/>
              </w:rPr>
              <w:t>3</w:t>
            </w:r>
          </w:p>
        </w:tc>
        <w:tc>
          <w:tcPr>
            <w:tcW w:w="1134" w:type="dxa"/>
            <w:shd w:val="clear" w:color="auto" w:fill="auto"/>
            <w:vAlign w:val="center"/>
            <w:hideMark/>
          </w:tcPr>
          <w:p w:rsidR="009C40C7" w:rsidRPr="00555EAC" w:rsidRDefault="009C40C7" w:rsidP="009C40C7">
            <w:pPr>
              <w:jc w:val="center"/>
              <w:rPr>
                <w:color w:val="000000"/>
                <w:sz w:val="20"/>
                <w:szCs w:val="20"/>
              </w:rPr>
            </w:pPr>
            <w:r w:rsidRPr="00555EAC">
              <w:rPr>
                <w:color w:val="000000"/>
                <w:sz w:val="20"/>
                <w:szCs w:val="20"/>
              </w:rPr>
              <w:t>4</w:t>
            </w:r>
          </w:p>
        </w:tc>
        <w:tc>
          <w:tcPr>
            <w:tcW w:w="1276" w:type="dxa"/>
            <w:shd w:val="clear" w:color="auto" w:fill="auto"/>
            <w:vAlign w:val="center"/>
            <w:hideMark/>
          </w:tcPr>
          <w:p w:rsidR="009C40C7" w:rsidRPr="00555EAC" w:rsidRDefault="009C40C7" w:rsidP="009C40C7">
            <w:pPr>
              <w:jc w:val="center"/>
              <w:rPr>
                <w:color w:val="000000"/>
                <w:sz w:val="20"/>
                <w:szCs w:val="20"/>
              </w:rPr>
            </w:pPr>
            <w:r w:rsidRPr="00555EAC">
              <w:rPr>
                <w:color w:val="000000"/>
                <w:sz w:val="20"/>
                <w:szCs w:val="20"/>
              </w:rPr>
              <w:t>5=2+3+4</w:t>
            </w:r>
          </w:p>
        </w:tc>
      </w:tr>
      <w:tr w:rsidR="009C40C7" w:rsidRPr="00555EAC" w:rsidTr="009C40C7">
        <w:trPr>
          <w:cantSplit/>
          <w:trHeight w:val="20"/>
        </w:trPr>
        <w:tc>
          <w:tcPr>
            <w:tcW w:w="4673" w:type="dxa"/>
            <w:shd w:val="clear" w:color="auto" w:fill="auto"/>
            <w:vAlign w:val="center"/>
            <w:hideMark/>
          </w:tcPr>
          <w:p w:rsidR="009C40C7" w:rsidRPr="00555EAC" w:rsidRDefault="009C40C7" w:rsidP="009C40C7">
            <w:pPr>
              <w:rPr>
                <w:b/>
                <w:bCs/>
                <w:color w:val="000000"/>
                <w:sz w:val="20"/>
                <w:szCs w:val="20"/>
              </w:rPr>
            </w:pPr>
            <w:r w:rsidRPr="00555EAC">
              <w:rPr>
                <w:b/>
                <w:bCs/>
                <w:color w:val="000000"/>
                <w:sz w:val="20"/>
                <w:szCs w:val="20"/>
              </w:rPr>
              <w:t>ВСЕГО на реализацию национальных проектов</w:t>
            </w:r>
          </w:p>
        </w:tc>
        <w:tc>
          <w:tcPr>
            <w:tcW w:w="1134" w:type="dxa"/>
            <w:shd w:val="clear" w:color="auto" w:fill="auto"/>
            <w:vAlign w:val="center"/>
            <w:hideMark/>
          </w:tcPr>
          <w:p w:rsidR="009C40C7" w:rsidRPr="00555EAC" w:rsidRDefault="009C40C7" w:rsidP="009C40C7">
            <w:pPr>
              <w:jc w:val="center"/>
              <w:rPr>
                <w:b/>
                <w:bCs/>
                <w:color w:val="000000"/>
                <w:sz w:val="20"/>
                <w:szCs w:val="20"/>
              </w:rPr>
            </w:pPr>
            <w:r w:rsidRPr="00555EAC">
              <w:rPr>
                <w:b/>
                <w:bCs/>
                <w:color w:val="000000"/>
                <w:sz w:val="20"/>
                <w:szCs w:val="20"/>
              </w:rPr>
              <w:t>291 244,3</w:t>
            </w:r>
          </w:p>
        </w:tc>
        <w:tc>
          <w:tcPr>
            <w:tcW w:w="1134" w:type="dxa"/>
            <w:shd w:val="clear" w:color="auto" w:fill="auto"/>
            <w:vAlign w:val="center"/>
            <w:hideMark/>
          </w:tcPr>
          <w:p w:rsidR="009C40C7" w:rsidRPr="00555EAC" w:rsidRDefault="009C40C7" w:rsidP="009C40C7">
            <w:pPr>
              <w:jc w:val="center"/>
              <w:rPr>
                <w:b/>
                <w:bCs/>
                <w:color w:val="000000"/>
                <w:sz w:val="20"/>
                <w:szCs w:val="20"/>
              </w:rPr>
            </w:pPr>
            <w:r w:rsidRPr="00555EAC">
              <w:rPr>
                <w:b/>
                <w:bCs/>
                <w:color w:val="000000"/>
                <w:sz w:val="20"/>
                <w:szCs w:val="20"/>
              </w:rPr>
              <w:t>695 012,5</w:t>
            </w:r>
          </w:p>
        </w:tc>
        <w:tc>
          <w:tcPr>
            <w:tcW w:w="1134" w:type="dxa"/>
            <w:shd w:val="clear" w:color="auto" w:fill="auto"/>
            <w:vAlign w:val="center"/>
            <w:hideMark/>
          </w:tcPr>
          <w:p w:rsidR="009C40C7" w:rsidRPr="00555EAC" w:rsidRDefault="009C40C7" w:rsidP="009C40C7">
            <w:pPr>
              <w:jc w:val="center"/>
              <w:rPr>
                <w:b/>
                <w:bCs/>
                <w:color w:val="000000"/>
                <w:sz w:val="20"/>
                <w:szCs w:val="20"/>
              </w:rPr>
            </w:pPr>
            <w:r w:rsidRPr="00555EAC">
              <w:rPr>
                <w:b/>
                <w:bCs/>
                <w:color w:val="000000"/>
                <w:sz w:val="20"/>
                <w:szCs w:val="20"/>
              </w:rPr>
              <w:t>663 590,1</w:t>
            </w:r>
          </w:p>
        </w:tc>
        <w:tc>
          <w:tcPr>
            <w:tcW w:w="1276" w:type="dxa"/>
            <w:shd w:val="clear" w:color="auto" w:fill="auto"/>
            <w:vAlign w:val="center"/>
            <w:hideMark/>
          </w:tcPr>
          <w:p w:rsidR="009C40C7" w:rsidRPr="00555EAC" w:rsidRDefault="009C40C7" w:rsidP="009C40C7">
            <w:pPr>
              <w:jc w:val="center"/>
              <w:rPr>
                <w:b/>
                <w:bCs/>
                <w:color w:val="000000"/>
                <w:sz w:val="20"/>
                <w:szCs w:val="20"/>
              </w:rPr>
            </w:pPr>
            <w:r w:rsidRPr="00555EAC">
              <w:rPr>
                <w:b/>
                <w:bCs/>
                <w:color w:val="000000"/>
                <w:sz w:val="20"/>
                <w:szCs w:val="20"/>
              </w:rPr>
              <w:t>1 649 846,9</w:t>
            </w:r>
          </w:p>
        </w:tc>
      </w:tr>
      <w:tr w:rsidR="009C40C7" w:rsidRPr="00555EAC" w:rsidTr="009C40C7">
        <w:trPr>
          <w:cantSplit/>
          <w:trHeight w:val="20"/>
        </w:trPr>
        <w:tc>
          <w:tcPr>
            <w:tcW w:w="4673" w:type="dxa"/>
            <w:shd w:val="clear" w:color="auto" w:fill="auto"/>
            <w:vAlign w:val="center"/>
            <w:hideMark/>
          </w:tcPr>
          <w:p w:rsidR="009C40C7" w:rsidRPr="00555EAC" w:rsidRDefault="009C40C7" w:rsidP="009C40C7">
            <w:pPr>
              <w:rPr>
                <w:b/>
                <w:bCs/>
                <w:i/>
                <w:iCs/>
                <w:color w:val="000000"/>
                <w:sz w:val="20"/>
                <w:szCs w:val="20"/>
              </w:rPr>
            </w:pPr>
            <w:r w:rsidRPr="00555EAC">
              <w:rPr>
                <w:b/>
                <w:bCs/>
                <w:i/>
                <w:iCs/>
                <w:color w:val="000000"/>
                <w:sz w:val="20"/>
                <w:szCs w:val="20"/>
              </w:rPr>
              <w:t>Итого НП «Демография»:</w:t>
            </w:r>
          </w:p>
        </w:tc>
        <w:tc>
          <w:tcPr>
            <w:tcW w:w="1134" w:type="dxa"/>
            <w:shd w:val="clear" w:color="auto" w:fill="auto"/>
            <w:vAlign w:val="center"/>
            <w:hideMark/>
          </w:tcPr>
          <w:p w:rsidR="009C40C7" w:rsidRPr="00555EAC" w:rsidRDefault="009C40C7" w:rsidP="009C40C7">
            <w:pPr>
              <w:jc w:val="center"/>
              <w:rPr>
                <w:b/>
                <w:bCs/>
                <w:i/>
                <w:iCs/>
                <w:color w:val="000000"/>
                <w:sz w:val="20"/>
                <w:szCs w:val="20"/>
              </w:rPr>
            </w:pPr>
            <w:r w:rsidRPr="00555EAC">
              <w:rPr>
                <w:b/>
                <w:bCs/>
                <w:i/>
                <w:iCs/>
                <w:color w:val="000000"/>
                <w:sz w:val="20"/>
                <w:szCs w:val="20"/>
              </w:rPr>
              <w:t>103 962,2</w:t>
            </w:r>
          </w:p>
        </w:tc>
        <w:tc>
          <w:tcPr>
            <w:tcW w:w="1134" w:type="dxa"/>
            <w:shd w:val="clear" w:color="auto" w:fill="auto"/>
            <w:vAlign w:val="center"/>
            <w:hideMark/>
          </w:tcPr>
          <w:p w:rsidR="009C40C7" w:rsidRPr="00555EAC" w:rsidRDefault="009C40C7" w:rsidP="009C40C7">
            <w:pPr>
              <w:jc w:val="center"/>
              <w:rPr>
                <w:b/>
                <w:bCs/>
                <w:i/>
                <w:iCs/>
                <w:color w:val="000000"/>
                <w:sz w:val="20"/>
                <w:szCs w:val="20"/>
              </w:rPr>
            </w:pPr>
            <w:r w:rsidRPr="00555EAC">
              <w:rPr>
                <w:b/>
                <w:bCs/>
                <w:i/>
                <w:iCs/>
                <w:color w:val="000000"/>
                <w:sz w:val="20"/>
                <w:szCs w:val="20"/>
              </w:rPr>
              <w:t>102 794,2</w:t>
            </w:r>
          </w:p>
        </w:tc>
        <w:tc>
          <w:tcPr>
            <w:tcW w:w="1134" w:type="dxa"/>
            <w:shd w:val="clear" w:color="auto" w:fill="auto"/>
            <w:vAlign w:val="center"/>
            <w:hideMark/>
          </w:tcPr>
          <w:p w:rsidR="009C40C7" w:rsidRPr="00555EAC" w:rsidRDefault="009C40C7" w:rsidP="009C40C7">
            <w:pPr>
              <w:jc w:val="center"/>
              <w:rPr>
                <w:b/>
                <w:bCs/>
                <w:i/>
                <w:iCs/>
                <w:color w:val="000000"/>
                <w:sz w:val="20"/>
                <w:szCs w:val="20"/>
              </w:rPr>
            </w:pPr>
            <w:r w:rsidRPr="00555EAC">
              <w:rPr>
                <w:b/>
                <w:bCs/>
                <w:i/>
                <w:iCs/>
                <w:color w:val="000000"/>
                <w:sz w:val="20"/>
                <w:szCs w:val="20"/>
              </w:rPr>
              <w:t>96 057,0</w:t>
            </w:r>
          </w:p>
        </w:tc>
        <w:tc>
          <w:tcPr>
            <w:tcW w:w="1276" w:type="dxa"/>
            <w:shd w:val="clear" w:color="auto" w:fill="auto"/>
            <w:vAlign w:val="center"/>
            <w:hideMark/>
          </w:tcPr>
          <w:p w:rsidR="009C40C7" w:rsidRPr="00555EAC" w:rsidRDefault="009C40C7" w:rsidP="009C40C7">
            <w:pPr>
              <w:jc w:val="center"/>
              <w:rPr>
                <w:b/>
                <w:bCs/>
                <w:i/>
                <w:iCs/>
                <w:color w:val="000000"/>
                <w:sz w:val="20"/>
                <w:szCs w:val="20"/>
              </w:rPr>
            </w:pPr>
            <w:r w:rsidRPr="00555EAC">
              <w:rPr>
                <w:b/>
                <w:bCs/>
                <w:i/>
                <w:iCs/>
                <w:color w:val="000000"/>
                <w:sz w:val="20"/>
                <w:szCs w:val="20"/>
              </w:rPr>
              <w:t>302 813,4</w:t>
            </w:r>
          </w:p>
        </w:tc>
      </w:tr>
      <w:tr w:rsidR="009C40C7" w:rsidRPr="00555EAC" w:rsidTr="009C40C7">
        <w:trPr>
          <w:cantSplit/>
          <w:trHeight w:val="20"/>
        </w:trPr>
        <w:tc>
          <w:tcPr>
            <w:tcW w:w="4673" w:type="dxa"/>
            <w:shd w:val="clear" w:color="auto" w:fill="auto"/>
            <w:vAlign w:val="center"/>
            <w:hideMark/>
          </w:tcPr>
          <w:p w:rsidR="009C40C7" w:rsidRPr="00555EAC" w:rsidRDefault="009C40C7" w:rsidP="009C40C7">
            <w:pPr>
              <w:rPr>
                <w:color w:val="000000"/>
                <w:sz w:val="20"/>
                <w:szCs w:val="20"/>
              </w:rPr>
            </w:pPr>
            <w:r w:rsidRPr="00555EAC">
              <w:rPr>
                <w:color w:val="000000"/>
                <w:sz w:val="20"/>
                <w:szCs w:val="20"/>
              </w:rPr>
              <w:t>Муниципальная программа "Развитие физической культуры и спорта в городе Пыть-Яхе" всего, в том числе:</w:t>
            </w:r>
          </w:p>
        </w:tc>
        <w:tc>
          <w:tcPr>
            <w:tcW w:w="1134" w:type="dxa"/>
            <w:shd w:val="clear" w:color="auto" w:fill="auto"/>
            <w:vAlign w:val="center"/>
            <w:hideMark/>
          </w:tcPr>
          <w:p w:rsidR="009C40C7" w:rsidRPr="00555EAC" w:rsidRDefault="009C40C7" w:rsidP="009C40C7">
            <w:pPr>
              <w:jc w:val="center"/>
              <w:rPr>
                <w:color w:val="000000"/>
                <w:sz w:val="20"/>
                <w:szCs w:val="20"/>
              </w:rPr>
            </w:pPr>
            <w:r w:rsidRPr="00555EAC">
              <w:rPr>
                <w:color w:val="000000"/>
                <w:sz w:val="20"/>
                <w:szCs w:val="20"/>
              </w:rPr>
              <w:t>103 962,2</w:t>
            </w:r>
          </w:p>
        </w:tc>
        <w:tc>
          <w:tcPr>
            <w:tcW w:w="1134" w:type="dxa"/>
            <w:shd w:val="clear" w:color="auto" w:fill="auto"/>
            <w:vAlign w:val="center"/>
            <w:hideMark/>
          </w:tcPr>
          <w:p w:rsidR="009C40C7" w:rsidRPr="00555EAC" w:rsidRDefault="009C40C7" w:rsidP="009C40C7">
            <w:pPr>
              <w:jc w:val="center"/>
              <w:rPr>
                <w:color w:val="000000"/>
                <w:sz w:val="20"/>
                <w:szCs w:val="20"/>
              </w:rPr>
            </w:pPr>
            <w:r w:rsidRPr="00555EAC">
              <w:rPr>
                <w:color w:val="000000"/>
                <w:sz w:val="20"/>
                <w:szCs w:val="20"/>
              </w:rPr>
              <w:t>102 794,2</w:t>
            </w:r>
          </w:p>
        </w:tc>
        <w:tc>
          <w:tcPr>
            <w:tcW w:w="1134" w:type="dxa"/>
            <w:shd w:val="clear" w:color="auto" w:fill="auto"/>
            <w:vAlign w:val="center"/>
            <w:hideMark/>
          </w:tcPr>
          <w:p w:rsidR="009C40C7" w:rsidRPr="00555EAC" w:rsidRDefault="009C40C7" w:rsidP="009C40C7">
            <w:pPr>
              <w:jc w:val="center"/>
              <w:rPr>
                <w:color w:val="000000"/>
                <w:sz w:val="20"/>
                <w:szCs w:val="20"/>
              </w:rPr>
            </w:pPr>
            <w:r w:rsidRPr="00555EAC">
              <w:rPr>
                <w:color w:val="000000"/>
                <w:sz w:val="20"/>
                <w:szCs w:val="20"/>
              </w:rPr>
              <w:t>96 057,0</w:t>
            </w:r>
          </w:p>
        </w:tc>
        <w:tc>
          <w:tcPr>
            <w:tcW w:w="1276" w:type="dxa"/>
            <w:shd w:val="clear" w:color="auto" w:fill="auto"/>
            <w:vAlign w:val="center"/>
            <w:hideMark/>
          </w:tcPr>
          <w:p w:rsidR="009C40C7" w:rsidRPr="00555EAC" w:rsidRDefault="009C40C7" w:rsidP="009C40C7">
            <w:pPr>
              <w:jc w:val="center"/>
              <w:rPr>
                <w:color w:val="000000"/>
                <w:sz w:val="20"/>
                <w:szCs w:val="20"/>
              </w:rPr>
            </w:pPr>
            <w:r w:rsidRPr="00555EAC">
              <w:rPr>
                <w:color w:val="000000"/>
                <w:sz w:val="20"/>
                <w:szCs w:val="20"/>
              </w:rPr>
              <w:t>302 813,4</w:t>
            </w:r>
          </w:p>
        </w:tc>
      </w:tr>
      <w:tr w:rsidR="009C40C7" w:rsidRPr="00555EAC" w:rsidTr="009C40C7">
        <w:trPr>
          <w:cantSplit/>
          <w:trHeight w:val="20"/>
        </w:trPr>
        <w:tc>
          <w:tcPr>
            <w:tcW w:w="4673" w:type="dxa"/>
            <w:shd w:val="clear" w:color="auto" w:fill="auto"/>
            <w:vAlign w:val="center"/>
            <w:hideMark/>
          </w:tcPr>
          <w:p w:rsidR="009C40C7" w:rsidRPr="00555EAC" w:rsidRDefault="009C40C7" w:rsidP="009C40C7">
            <w:pPr>
              <w:rPr>
                <w:color w:val="000000"/>
                <w:sz w:val="20"/>
                <w:szCs w:val="20"/>
              </w:rPr>
            </w:pPr>
            <w:r w:rsidRPr="00555EAC">
              <w:rPr>
                <w:color w:val="000000"/>
                <w:sz w:val="20"/>
                <w:szCs w:val="20"/>
              </w:rPr>
              <w:t>- бюджет города</w:t>
            </w:r>
          </w:p>
        </w:tc>
        <w:tc>
          <w:tcPr>
            <w:tcW w:w="1134" w:type="dxa"/>
            <w:shd w:val="clear" w:color="auto" w:fill="auto"/>
            <w:vAlign w:val="center"/>
            <w:hideMark/>
          </w:tcPr>
          <w:p w:rsidR="009C40C7" w:rsidRPr="00555EAC" w:rsidRDefault="009C40C7" w:rsidP="009C40C7">
            <w:pPr>
              <w:jc w:val="center"/>
              <w:rPr>
                <w:color w:val="000000"/>
                <w:sz w:val="20"/>
                <w:szCs w:val="20"/>
              </w:rPr>
            </w:pPr>
            <w:r w:rsidRPr="00555EAC">
              <w:rPr>
                <w:color w:val="000000"/>
                <w:sz w:val="20"/>
                <w:szCs w:val="20"/>
              </w:rPr>
              <w:t>101 538,5</w:t>
            </w:r>
          </w:p>
        </w:tc>
        <w:tc>
          <w:tcPr>
            <w:tcW w:w="1134" w:type="dxa"/>
            <w:shd w:val="clear" w:color="auto" w:fill="auto"/>
            <w:vAlign w:val="center"/>
            <w:hideMark/>
          </w:tcPr>
          <w:p w:rsidR="009C40C7" w:rsidRPr="00555EAC" w:rsidRDefault="009C40C7" w:rsidP="009C40C7">
            <w:pPr>
              <w:jc w:val="center"/>
              <w:rPr>
                <w:color w:val="000000"/>
                <w:sz w:val="20"/>
                <w:szCs w:val="20"/>
              </w:rPr>
            </w:pPr>
            <w:r w:rsidRPr="00555EAC">
              <w:rPr>
                <w:color w:val="000000"/>
                <w:sz w:val="20"/>
                <w:szCs w:val="20"/>
              </w:rPr>
              <w:t>101 538,5</w:t>
            </w:r>
          </w:p>
        </w:tc>
        <w:tc>
          <w:tcPr>
            <w:tcW w:w="1134" w:type="dxa"/>
            <w:shd w:val="clear" w:color="auto" w:fill="auto"/>
            <w:vAlign w:val="center"/>
            <w:hideMark/>
          </w:tcPr>
          <w:p w:rsidR="009C40C7" w:rsidRPr="00555EAC" w:rsidRDefault="009C40C7" w:rsidP="009C40C7">
            <w:pPr>
              <w:jc w:val="center"/>
              <w:rPr>
                <w:color w:val="000000"/>
                <w:sz w:val="20"/>
                <w:szCs w:val="20"/>
              </w:rPr>
            </w:pPr>
            <w:r w:rsidRPr="00555EAC">
              <w:rPr>
                <w:color w:val="000000"/>
                <w:sz w:val="20"/>
                <w:szCs w:val="20"/>
              </w:rPr>
              <w:t>94 801,3</w:t>
            </w:r>
          </w:p>
        </w:tc>
        <w:tc>
          <w:tcPr>
            <w:tcW w:w="1276" w:type="dxa"/>
            <w:shd w:val="clear" w:color="auto" w:fill="auto"/>
            <w:vAlign w:val="center"/>
            <w:hideMark/>
          </w:tcPr>
          <w:p w:rsidR="009C40C7" w:rsidRPr="00555EAC" w:rsidRDefault="009C40C7" w:rsidP="009C40C7">
            <w:pPr>
              <w:jc w:val="center"/>
              <w:rPr>
                <w:color w:val="000000"/>
                <w:sz w:val="20"/>
                <w:szCs w:val="20"/>
              </w:rPr>
            </w:pPr>
            <w:r w:rsidRPr="00555EAC">
              <w:rPr>
                <w:color w:val="000000"/>
                <w:sz w:val="20"/>
                <w:szCs w:val="20"/>
              </w:rPr>
              <w:t>297 878,3</w:t>
            </w:r>
          </w:p>
        </w:tc>
      </w:tr>
      <w:tr w:rsidR="009C40C7" w:rsidRPr="00555EAC" w:rsidTr="009C40C7">
        <w:trPr>
          <w:cantSplit/>
          <w:trHeight w:val="20"/>
        </w:trPr>
        <w:tc>
          <w:tcPr>
            <w:tcW w:w="4673" w:type="dxa"/>
            <w:shd w:val="clear" w:color="auto" w:fill="auto"/>
            <w:vAlign w:val="center"/>
            <w:hideMark/>
          </w:tcPr>
          <w:p w:rsidR="009C40C7" w:rsidRPr="00555EAC" w:rsidRDefault="009C40C7" w:rsidP="009C40C7">
            <w:pPr>
              <w:rPr>
                <w:color w:val="000000"/>
                <w:sz w:val="20"/>
                <w:szCs w:val="20"/>
              </w:rPr>
            </w:pPr>
            <w:r w:rsidRPr="00555EAC">
              <w:rPr>
                <w:color w:val="000000"/>
                <w:sz w:val="20"/>
                <w:szCs w:val="20"/>
              </w:rPr>
              <w:t>- бюджет автономного округа</w:t>
            </w:r>
          </w:p>
        </w:tc>
        <w:tc>
          <w:tcPr>
            <w:tcW w:w="1134" w:type="dxa"/>
            <w:shd w:val="clear" w:color="auto" w:fill="auto"/>
            <w:vAlign w:val="center"/>
            <w:hideMark/>
          </w:tcPr>
          <w:p w:rsidR="009C40C7" w:rsidRPr="00555EAC" w:rsidRDefault="009C40C7" w:rsidP="009C40C7">
            <w:pPr>
              <w:jc w:val="center"/>
              <w:rPr>
                <w:color w:val="000000"/>
                <w:sz w:val="20"/>
                <w:szCs w:val="20"/>
              </w:rPr>
            </w:pPr>
            <w:r w:rsidRPr="00555EAC">
              <w:rPr>
                <w:color w:val="000000"/>
                <w:sz w:val="20"/>
                <w:szCs w:val="20"/>
              </w:rPr>
              <w:t>1 947,8</w:t>
            </w:r>
          </w:p>
        </w:tc>
        <w:tc>
          <w:tcPr>
            <w:tcW w:w="1134" w:type="dxa"/>
            <w:shd w:val="clear" w:color="auto" w:fill="auto"/>
            <w:vAlign w:val="center"/>
            <w:hideMark/>
          </w:tcPr>
          <w:p w:rsidR="009C40C7" w:rsidRPr="00555EAC" w:rsidRDefault="009C40C7" w:rsidP="009C40C7">
            <w:pPr>
              <w:jc w:val="center"/>
              <w:rPr>
                <w:color w:val="000000"/>
                <w:sz w:val="20"/>
                <w:szCs w:val="20"/>
              </w:rPr>
            </w:pPr>
            <w:r w:rsidRPr="00555EAC">
              <w:rPr>
                <w:color w:val="000000"/>
                <w:sz w:val="20"/>
                <w:szCs w:val="20"/>
              </w:rPr>
              <w:t>1 255,7</w:t>
            </w:r>
          </w:p>
        </w:tc>
        <w:tc>
          <w:tcPr>
            <w:tcW w:w="1134" w:type="dxa"/>
            <w:shd w:val="clear" w:color="auto" w:fill="auto"/>
            <w:vAlign w:val="center"/>
            <w:hideMark/>
          </w:tcPr>
          <w:p w:rsidR="009C40C7" w:rsidRPr="00555EAC" w:rsidRDefault="009C40C7" w:rsidP="009C40C7">
            <w:pPr>
              <w:jc w:val="center"/>
              <w:rPr>
                <w:color w:val="000000"/>
                <w:sz w:val="20"/>
                <w:szCs w:val="20"/>
              </w:rPr>
            </w:pPr>
            <w:r w:rsidRPr="00555EAC">
              <w:rPr>
                <w:color w:val="000000"/>
                <w:sz w:val="20"/>
                <w:szCs w:val="20"/>
              </w:rPr>
              <w:t>1 255,7</w:t>
            </w:r>
          </w:p>
        </w:tc>
        <w:tc>
          <w:tcPr>
            <w:tcW w:w="1276" w:type="dxa"/>
            <w:shd w:val="clear" w:color="auto" w:fill="auto"/>
            <w:vAlign w:val="center"/>
            <w:hideMark/>
          </w:tcPr>
          <w:p w:rsidR="009C40C7" w:rsidRPr="00555EAC" w:rsidRDefault="009C40C7" w:rsidP="009C40C7">
            <w:pPr>
              <w:jc w:val="center"/>
              <w:rPr>
                <w:color w:val="000000"/>
                <w:sz w:val="20"/>
                <w:szCs w:val="20"/>
              </w:rPr>
            </w:pPr>
            <w:r w:rsidRPr="00555EAC">
              <w:rPr>
                <w:color w:val="000000"/>
                <w:sz w:val="20"/>
                <w:szCs w:val="20"/>
              </w:rPr>
              <w:t>4 459,2</w:t>
            </w:r>
          </w:p>
        </w:tc>
      </w:tr>
      <w:tr w:rsidR="009C40C7" w:rsidRPr="00555EAC" w:rsidTr="009C40C7">
        <w:trPr>
          <w:cantSplit/>
          <w:trHeight w:val="20"/>
        </w:trPr>
        <w:tc>
          <w:tcPr>
            <w:tcW w:w="4673" w:type="dxa"/>
            <w:shd w:val="clear" w:color="auto" w:fill="auto"/>
            <w:vAlign w:val="center"/>
            <w:hideMark/>
          </w:tcPr>
          <w:p w:rsidR="009C40C7" w:rsidRPr="00555EAC" w:rsidRDefault="009C40C7" w:rsidP="009C40C7">
            <w:pPr>
              <w:rPr>
                <w:color w:val="000000"/>
                <w:sz w:val="20"/>
                <w:szCs w:val="20"/>
              </w:rPr>
            </w:pPr>
            <w:r w:rsidRPr="00555EAC">
              <w:rPr>
                <w:color w:val="000000"/>
                <w:sz w:val="20"/>
                <w:szCs w:val="20"/>
              </w:rPr>
              <w:t>- федеральный бюджет</w:t>
            </w:r>
          </w:p>
        </w:tc>
        <w:tc>
          <w:tcPr>
            <w:tcW w:w="1134" w:type="dxa"/>
            <w:shd w:val="clear" w:color="auto" w:fill="auto"/>
            <w:vAlign w:val="center"/>
            <w:hideMark/>
          </w:tcPr>
          <w:p w:rsidR="009C40C7" w:rsidRPr="00555EAC" w:rsidRDefault="009C40C7" w:rsidP="009C40C7">
            <w:pPr>
              <w:jc w:val="center"/>
              <w:rPr>
                <w:color w:val="000000"/>
                <w:sz w:val="20"/>
                <w:szCs w:val="20"/>
              </w:rPr>
            </w:pPr>
            <w:r w:rsidRPr="00555EAC">
              <w:rPr>
                <w:color w:val="000000"/>
                <w:sz w:val="20"/>
                <w:szCs w:val="20"/>
              </w:rPr>
              <w:t>475,9</w:t>
            </w:r>
          </w:p>
        </w:tc>
        <w:tc>
          <w:tcPr>
            <w:tcW w:w="1134" w:type="dxa"/>
            <w:shd w:val="clear" w:color="auto" w:fill="auto"/>
            <w:vAlign w:val="center"/>
            <w:hideMark/>
          </w:tcPr>
          <w:p w:rsidR="009C40C7" w:rsidRPr="00555EAC" w:rsidRDefault="009C40C7" w:rsidP="009C40C7">
            <w:pPr>
              <w:jc w:val="center"/>
              <w:rPr>
                <w:color w:val="000000"/>
                <w:sz w:val="20"/>
                <w:szCs w:val="20"/>
              </w:rPr>
            </w:pPr>
            <w:r w:rsidRPr="00555EAC">
              <w:rPr>
                <w:color w:val="000000"/>
                <w:sz w:val="20"/>
                <w:szCs w:val="20"/>
              </w:rPr>
              <w:t> </w:t>
            </w:r>
          </w:p>
        </w:tc>
        <w:tc>
          <w:tcPr>
            <w:tcW w:w="1134" w:type="dxa"/>
            <w:shd w:val="clear" w:color="auto" w:fill="auto"/>
            <w:vAlign w:val="center"/>
            <w:hideMark/>
          </w:tcPr>
          <w:p w:rsidR="009C40C7" w:rsidRPr="00555EAC" w:rsidRDefault="009C40C7" w:rsidP="009C40C7">
            <w:pPr>
              <w:jc w:val="center"/>
              <w:rPr>
                <w:color w:val="000000"/>
                <w:sz w:val="20"/>
                <w:szCs w:val="20"/>
              </w:rPr>
            </w:pPr>
            <w:r w:rsidRPr="00555EAC">
              <w:rPr>
                <w:color w:val="000000"/>
                <w:sz w:val="20"/>
                <w:szCs w:val="20"/>
              </w:rPr>
              <w:t> </w:t>
            </w:r>
          </w:p>
        </w:tc>
        <w:tc>
          <w:tcPr>
            <w:tcW w:w="1276" w:type="dxa"/>
            <w:shd w:val="clear" w:color="auto" w:fill="auto"/>
            <w:vAlign w:val="center"/>
            <w:hideMark/>
          </w:tcPr>
          <w:p w:rsidR="009C40C7" w:rsidRPr="00555EAC" w:rsidRDefault="009C40C7" w:rsidP="009C40C7">
            <w:pPr>
              <w:jc w:val="center"/>
              <w:rPr>
                <w:color w:val="000000"/>
                <w:sz w:val="20"/>
                <w:szCs w:val="20"/>
              </w:rPr>
            </w:pPr>
            <w:r w:rsidRPr="00555EAC">
              <w:rPr>
                <w:color w:val="000000"/>
                <w:sz w:val="20"/>
                <w:szCs w:val="20"/>
              </w:rPr>
              <w:t>475,9</w:t>
            </w:r>
          </w:p>
        </w:tc>
      </w:tr>
      <w:tr w:rsidR="009C40C7" w:rsidRPr="00555EAC" w:rsidTr="009C40C7">
        <w:trPr>
          <w:cantSplit/>
          <w:trHeight w:val="20"/>
        </w:trPr>
        <w:tc>
          <w:tcPr>
            <w:tcW w:w="4673" w:type="dxa"/>
            <w:shd w:val="clear" w:color="auto" w:fill="auto"/>
            <w:vAlign w:val="center"/>
            <w:hideMark/>
          </w:tcPr>
          <w:p w:rsidR="009C40C7" w:rsidRPr="00555EAC" w:rsidRDefault="009C40C7" w:rsidP="009C40C7">
            <w:pPr>
              <w:rPr>
                <w:b/>
                <w:bCs/>
                <w:i/>
                <w:iCs/>
                <w:color w:val="000000"/>
                <w:sz w:val="20"/>
                <w:szCs w:val="20"/>
              </w:rPr>
            </w:pPr>
            <w:r w:rsidRPr="00555EAC">
              <w:rPr>
                <w:b/>
                <w:bCs/>
                <w:i/>
                <w:iCs/>
                <w:color w:val="000000"/>
                <w:sz w:val="20"/>
                <w:szCs w:val="20"/>
              </w:rPr>
              <w:t>Итого по НП "Образование":</w:t>
            </w:r>
          </w:p>
        </w:tc>
        <w:tc>
          <w:tcPr>
            <w:tcW w:w="1134" w:type="dxa"/>
            <w:shd w:val="clear" w:color="auto" w:fill="auto"/>
            <w:vAlign w:val="center"/>
            <w:hideMark/>
          </w:tcPr>
          <w:p w:rsidR="009C40C7" w:rsidRPr="00555EAC" w:rsidRDefault="009C40C7" w:rsidP="009C40C7">
            <w:pPr>
              <w:jc w:val="center"/>
              <w:rPr>
                <w:b/>
                <w:bCs/>
                <w:i/>
                <w:iCs/>
                <w:color w:val="000000"/>
                <w:sz w:val="20"/>
                <w:szCs w:val="20"/>
              </w:rPr>
            </w:pPr>
            <w:r w:rsidRPr="00555EAC">
              <w:rPr>
                <w:b/>
                <w:bCs/>
                <w:i/>
                <w:iCs/>
                <w:color w:val="000000"/>
                <w:sz w:val="20"/>
                <w:szCs w:val="20"/>
              </w:rPr>
              <w:t>54 423,8</w:t>
            </w:r>
          </w:p>
        </w:tc>
        <w:tc>
          <w:tcPr>
            <w:tcW w:w="1134" w:type="dxa"/>
            <w:shd w:val="clear" w:color="auto" w:fill="auto"/>
            <w:vAlign w:val="center"/>
            <w:hideMark/>
          </w:tcPr>
          <w:p w:rsidR="009C40C7" w:rsidRPr="00555EAC" w:rsidRDefault="009C40C7" w:rsidP="009C40C7">
            <w:pPr>
              <w:jc w:val="center"/>
              <w:rPr>
                <w:b/>
                <w:bCs/>
                <w:i/>
                <w:iCs/>
                <w:color w:val="000000"/>
                <w:sz w:val="20"/>
                <w:szCs w:val="20"/>
              </w:rPr>
            </w:pPr>
            <w:r w:rsidRPr="00555EAC">
              <w:rPr>
                <w:b/>
                <w:bCs/>
                <w:i/>
                <w:iCs/>
                <w:color w:val="000000"/>
                <w:sz w:val="20"/>
                <w:szCs w:val="20"/>
              </w:rPr>
              <w:t>54 423,8</w:t>
            </w:r>
          </w:p>
        </w:tc>
        <w:tc>
          <w:tcPr>
            <w:tcW w:w="1134" w:type="dxa"/>
            <w:shd w:val="clear" w:color="auto" w:fill="auto"/>
            <w:vAlign w:val="center"/>
            <w:hideMark/>
          </w:tcPr>
          <w:p w:rsidR="009C40C7" w:rsidRPr="00555EAC" w:rsidRDefault="009C40C7" w:rsidP="009C40C7">
            <w:pPr>
              <w:jc w:val="center"/>
              <w:rPr>
                <w:b/>
                <w:bCs/>
                <w:i/>
                <w:iCs/>
                <w:color w:val="000000"/>
                <w:sz w:val="20"/>
                <w:szCs w:val="20"/>
              </w:rPr>
            </w:pPr>
            <w:r w:rsidRPr="00555EAC">
              <w:rPr>
                <w:b/>
                <w:bCs/>
                <w:i/>
                <w:iCs/>
                <w:color w:val="000000"/>
                <w:sz w:val="20"/>
                <w:szCs w:val="20"/>
              </w:rPr>
              <w:t>54 423,8</w:t>
            </w:r>
          </w:p>
        </w:tc>
        <w:tc>
          <w:tcPr>
            <w:tcW w:w="1276" w:type="dxa"/>
            <w:shd w:val="clear" w:color="auto" w:fill="auto"/>
            <w:vAlign w:val="center"/>
            <w:hideMark/>
          </w:tcPr>
          <w:p w:rsidR="009C40C7" w:rsidRPr="00555EAC" w:rsidRDefault="009C40C7" w:rsidP="009C40C7">
            <w:pPr>
              <w:jc w:val="center"/>
              <w:rPr>
                <w:b/>
                <w:bCs/>
                <w:i/>
                <w:iCs/>
                <w:color w:val="000000"/>
                <w:sz w:val="20"/>
                <w:szCs w:val="20"/>
              </w:rPr>
            </w:pPr>
            <w:r w:rsidRPr="00555EAC">
              <w:rPr>
                <w:b/>
                <w:bCs/>
                <w:i/>
                <w:iCs/>
                <w:color w:val="000000"/>
                <w:sz w:val="20"/>
                <w:szCs w:val="20"/>
              </w:rPr>
              <w:t>163 271,4</w:t>
            </w:r>
          </w:p>
        </w:tc>
      </w:tr>
      <w:tr w:rsidR="009C40C7" w:rsidRPr="00555EAC" w:rsidTr="009C40C7">
        <w:trPr>
          <w:cantSplit/>
          <w:trHeight w:val="20"/>
        </w:trPr>
        <w:tc>
          <w:tcPr>
            <w:tcW w:w="4673" w:type="dxa"/>
            <w:shd w:val="clear" w:color="auto" w:fill="auto"/>
            <w:vAlign w:val="bottom"/>
            <w:hideMark/>
          </w:tcPr>
          <w:p w:rsidR="009C40C7" w:rsidRPr="00555EAC" w:rsidRDefault="009C40C7" w:rsidP="009C40C7">
            <w:pPr>
              <w:rPr>
                <w:color w:val="000000"/>
                <w:sz w:val="20"/>
                <w:szCs w:val="20"/>
              </w:rPr>
            </w:pPr>
            <w:r w:rsidRPr="00555EAC">
              <w:rPr>
                <w:color w:val="000000"/>
                <w:sz w:val="20"/>
                <w:szCs w:val="20"/>
              </w:rPr>
              <w:t>Муниципальная программа "Развитие образования в городе Пыть-Яхе" всего, в том числе:</w:t>
            </w:r>
          </w:p>
        </w:tc>
        <w:tc>
          <w:tcPr>
            <w:tcW w:w="1134" w:type="dxa"/>
            <w:shd w:val="clear" w:color="auto" w:fill="auto"/>
            <w:vAlign w:val="center"/>
            <w:hideMark/>
          </w:tcPr>
          <w:p w:rsidR="009C40C7" w:rsidRPr="00555EAC" w:rsidRDefault="009C40C7" w:rsidP="009C40C7">
            <w:pPr>
              <w:jc w:val="center"/>
              <w:rPr>
                <w:color w:val="000000"/>
                <w:sz w:val="20"/>
                <w:szCs w:val="20"/>
              </w:rPr>
            </w:pPr>
            <w:r w:rsidRPr="00555EAC">
              <w:rPr>
                <w:color w:val="000000"/>
                <w:sz w:val="20"/>
                <w:szCs w:val="20"/>
              </w:rPr>
              <w:t>54 423,8</w:t>
            </w:r>
          </w:p>
        </w:tc>
        <w:tc>
          <w:tcPr>
            <w:tcW w:w="1134" w:type="dxa"/>
            <w:shd w:val="clear" w:color="auto" w:fill="auto"/>
            <w:vAlign w:val="center"/>
            <w:hideMark/>
          </w:tcPr>
          <w:p w:rsidR="009C40C7" w:rsidRPr="00555EAC" w:rsidRDefault="009C40C7" w:rsidP="009C40C7">
            <w:pPr>
              <w:jc w:val="center"/>
              <w:rPr>
                <w:color w:val="000000"/>
                <w:sz w:val="20"/>
                <w:szCs w:val="20"/>
              </w:rPr>
            </w:pPr>
            <w:r w:rsidRPr="00555EAC">
              <w:rPr>
                <w:color w:val="000000"/>
                <w:sz w:val="20"/>
                <w:szCs w:val="20"/>
              </w:rPr>
              <w:t>54 423,8</w:t>
            </w:r>
          </w:p>
        </w:tc>
        <w:tc>
          <w:tcPr>
            <w:tcW w:w="1134" w:type="dxa"/>
            <w:shd w:val="clear" w:color="auto" w:fill="auto"/>
            <w:vAlign w:val="center"/>
            <w:hideMark/>
          </w:tcPr>
          <w:p w:rsidR="009C40C7" w:rsidRPr="00555EAC" w:rsidRDefault="009C40C7" w:rsidP="009C40C7">
            <w:pPr>
              <w:jc w:val="center"/>
              <w:rPr>
                <w:color w:val="000000"/>
                <w:sz w:val="20"/>
                <w:szCs w:val="20"/>
              </w:rPr>
            </w:pPr>
            <w:r w:rsidRPr="00555EAC">
              <w:rPr>
                <w:color w:val="000000"/>
                <w:sz w:val="20"/>
                <w:szCs w:val="20"/>
              </w:rPr>
              <w:t>54 423,8</w:t>
            </w:r>
          </w:p>
        </w:tc>
        <w:tc>
          <w:tcPr>
            <w:tcW w:w="1276" w:type="dxa"/>
            <w:shd w:val="clear" w:color="auto" w:fill="auto"/>
            <w:vAlign w:val="center"/>
            <w:hideMark/>
          </w:tcPr>
          <w:p w:rsidR="009C40C7" w:rsidRPr="00555EAC" w:rsidRDefault="009C40C7" w:rsidP="009C40C7">
            <w:pPr>
              <w:jc w:val="center"/>
              <w:rPr>
                <w:color w:val="000000"/>
                <w:sz w:val="20"/>
                <w:szCs w:val="20"/>
              </w:rPr>
            </w:pPr>
            <w:r w:rsidRPr="00555EAC">
              <w:rPr>
                <w:color w:val="000000"/>
                <w:sz w:val="20"/>
                <w:szCs w:val="20"/>
              </w:rPr>
              <w:t>163 271,4</w:t>
            </w:r>
          </w:p>
        </w:tc>
      </w:tr>
      <w:tr w:rsidR="009C40C7" w:rsidRPr="00555EAC" w:rsidTr="009C40C7">
        <w:trPr>
          <w:cantSplit/>
          <w:trHeight w:val="20"/>
        </w:trPr>
        <w:tc>
          <w:tcPr>
            <w:tcW w:w="4673" w:type="dxa"/>
            <w:shd w:val="clear" w:color="auto" w:fill="auto"/>
            <w:vAlign w:val="center"/>
            <w:hideMark/>
          </w:tcPr>
          <w:p w:rsidR="009C40C7" w:rsidRPr="00555EAC" w:rsidRDefault="009C40C7" w:rsidP="009C40C7">
            <w:pPr>
              <w:rPr>
                <w:color w:val="000000"/>
                <w:sz w:val="20"/>
                <w:szCs w:val="20"/>
              </w:rPr>
            </w:pPr>
            <w:r w:rsidRPr="00555EAC">
              <w:rPr>
                <w:color w:val="000000"/>
                <w:sz w:val="20"/>
                <w:szCs w:val="20"/>
              </w:rPr>
              <w:t>- бюджет города</w:t>
            </w:r>
          </w:p>
        </w:tc>
        <w:tc>
          <w:tcPr>
            <w:tcW w:w="1134" w:type="dxa"/>
            <w:shd w:val="clear" w:color="auto" w:fill="auto"/>
            <w:vAlign w:val="center"/>
            <w:hideMark/>
          </w:tcPr>
          <w:p w:rsidR="009C40C7" w:rsidRPr="00555EAC" w:rsidRDefault="009C40C7" w:rsidP="009C40C7">
            <w:pPr>
              <w:jc w:val="center"/>
              <w:rPr>
                <w:color w:val="000000"/>
                <w:sz w:val="20"/>
                <w:szCs w:val="20"/>
              </w:rPr>
            </w:pPr>
            <w:r w:rsidRPr="00555EAC">
              <w:rPr>
                <w:color w:val="000000"/>
                <w:sz w:val="20"/>
                <w:szCs w:val="20"/>
              </w:rPr>
              <w:t>54 423,8</w:t>
            </w:r>
          </w:p>
        </w:tc>
        <w:tc>
          <w:tcPr>
            <w:tcW w:w="1134" w:type="dxa"/>
            <w:shd w:val="clear" w:color="auto" w:fill="auto"/>
            <w:vAlign w:val="center"/>
            <w:hideMark/>
          </w:tcPr>
          <w:p w:rsidR="009C40C7" w:rsidRPr="00555EAC" w:rsidRDefault="009C40C7" w:rsidP="009C40C7">
            <w:pPr>
              <w:jc w:val="center"/>
              <w:rPr>
                <w:color w:val="000000"/>
                <w:sz w:val="20"/>
                <w:szCs w:val="20"/>
              </w:rPr>
            </w:pPr>
            <w:r w:rsidRPr="00555EAC">
              <w:rPr>
                <w:color w:val="000000"/>
                <w:sz w:val="20"/>
                <w:szCs w:val="20"/>
              </w:rPr>
              <w:t>54 423,8</w:t>
            </w:r>
          </w:p>
        </w:tc>
        <w:tc>
          <w:tcPr>
            <w:tcW w:w="1134" w:type="dxa"/>
            <w:shd w:val="clear" w:color="auto" w:fill="auto"/>
            <w:vAlign w:val="center"/>
            <w:hideMark/>
          </w:tcPr>
          <w:p w:rsidR="009C40C7" w:rsidRPr="00555EAC" w:rsidRDefault="009C40C7" w:rsidP="009C40C7">
            <w:pPr>
              <w:jc w:val="center"/>
              <w:rPr>
                <w:color w:val="000000"/>
                <w:sz w:val="20"/>
                <w:szCs w:val="20"/>
              </w:rPr>
            </w:pPr>
            <w:r w:rsidRPr="00555EAC">
              <w:rPr>
                <w:color w:val="000000"/>
                <w:sz w:val="20"/>
                <w:szCs w:val="20"/>
              </w:rPr>
              <w:t>54 423,8</w:t>
            </w:r>
          </w:p>
        </w:tc>
        <w:tc>
          <w:tcPr>
            <w:tcW w:w="1276" w:type="dxa"/>
            <w:shd w:val="clear" w:color="auto" w:fill="auto"/>
            <w:vAlign w:val="center"/>
            <w:hideMark/>
          </w:tcPr>
          <w:p w:rsidR="009C40C7" w:rsidRPr="00555EAC" w:rsidRDefault="009C40C7" w:rsidP="009C40C7">
            <w:pPr>
              <w:jc w:val="center"/>
              <w:rPr>
                <w:color w:val="000000"/>
                <w:sz w:val="20"/>
                <w:szCs w:val="20"/>
              </w:rPr>
            </w:pPr>
            <w:r w:rsidRPr="00555EAC">
              <w:rPr>
                <w:color w:val="000000"/>
                <w:sz w:val="20"/>
                <w:szCs w:val="20"/>
              </w:rPr>
              <w:t>163 271,4</w:t>
            </w:r>
          </w:p>
        </w:tc>
      </w:tr>
      <w:tr w:rsidR="009C40C7" w:rsidRPr="00555EAC" w:rsidTr="009C40C7">
        <w:trPr>
          <w:cantSplit/>
          <w:trHeight w:val="20"/>
        </w:trPr>
        <w:tc>
          <w:tcPr>
            <w:tcW w:w="4673" w:type="dxa"/>
            <w:shd w:val="clear" w:color="auto" w:fill="auto"/>
            <w:vAlign w:val="center"/>
            <w:hideMark/>
          </w:tcPr>
          <w:p w:rsidR="009C40C7" w:rsidRPr="00555EAC" w:rsidRDefault="009C40C7" w:rsidP="009C40C7">
            <w:pPr>
              <w:rPr>
                <w:color w:val="000000"/>
                <w:sz w:val="20"/>
                <w:szCs w:val="20"/>
              </w:rPr>
            </w:pPr>
            <w:r w:rsidRPr="00555EAC">
              <w:rPr>
                <w:color w:val="000000"/>
                <w:sz w:val="20"/>
                <w:szCs w:val="20"/>
              </w:rPr>
              <w:t>- бюджет автономного округа</w:t>
            </w:r>
          </w:p>
        </w:tc>
        <w:tc>
          <w:tcPr>
            <w:tcW w:w="1134" w:type="dxa"/>
            <w:shd w:val="clear" w:color="auto" w:fill="auto"/>
            <w:vAlign w:val="center"/>
            <w:hideMark/>
          </w:tcPr>
          <w:p w:rsidR="009C40C7" w:rsidRPr="00555EAC" w:rsidRDefault="009C40C7" w:rsidP="009C40C7">
            <w:pPr>
              <w:jc w:val="center"/>
              <w:rPr>
                <w:color w:val="000000"/>
                <w:sz w:val="20"/>
                <w:szCs w:val="20"/>
              </w:rPr>
            </w:pPr>
            <w:r w:rsidRPr="00555EAC">
              <w:rPr>
                <w:color w:val="000000"/>
                <w:sz w:val="20"/>
                <w:szCs w:val="20"/>
              </w:rPr>
              <w:t> </w:t>
            </w:r>
          </w:p>
        </w:tc>
        <w:tc>
          <w:tcPr>
            <w:tcW w:w="1134" w:type="dxa"/>
            <w:shd w:val="clear" w:color="auto" w:fill="auto"/>
            <w:vAlign w:val="center"/>
            <w:hideMark/>
          </w:tcPr>
          <w:p w:rsidR="009C40C7" w:rsidRPr="00555EAC" w:rsidRDefault="009C40C7" w:rsidP="009C40C7">
            <w:pPr>
              <w:jc w:val="center"/>
              <w:rPr>
                <w:color w:val="000000"/>
                <w:sz w:val="20"/>
                <w:szCs w:val="20"/>
              </w:rPr>
            </w:pPr>
            <w:r w:rsidRPr="00555EAC">
              <w:rPr>
                <w:color w:val="000000"/>
                <w:sz w:val="20"/>
                <w:szCs w:val="20"/>
              </w:rPr>
              <w:t> </w:t>
            </w:r>
          </w:p>
        </w:tc>
        <w:tc>
          <w:tcPr>
            <w:tcW w:w="1134" w:type="dxa"/>
            <w:shd w:val="clear" w:color="auto" w:fill="auto"/>
            <w:vAlign w:val="center"/>
            <w:hideMark/>
          </w:tcPr>
          <w:p w:rsidR="009C40C7" w:rsidRPr="00555EAC" w:rsidRDefault="009C40C7" w:rsidP="009C40C7">
            <w:pPr>
              <w:jc w:val="center"/>
              <w:rPr>
                <w:color w:val="000000"/>
                <w:sz w:val="20"/>
                <w:szCs w:val="20"/>
              </w:rPr>
            </w:pPr>
            <w:r w:rsidRPr="00555EAC">
              <w:rPr>
                <w:color w:val="000000"/>
                <w:sz w:val="20"/>
                <w:szCs w:val="20"/>
              </w:rPr>
              <w:t> </w:t>
            </w:r>
          </w:p>
        </w:tc>
        <w:tc>
          <w:tcPr>
            <w:tcW w:w="1276" w:type="dxa"/>
            <w:shd w:val="clear" w:color="auto" w:fill="auto"/>
            <w:vAlign w:val="center"/>
            <w:hideMark/>
          </w:tcPr>
          <w:p w:rsidR="009C40C7" w:rsidRPr="00555EAC" w:rsidRDefault="009C40C7" w:rsidP="009C40C7">
            <w:pPr>
              <w:jc w:val="center"/>
              <w:rPr>
                <w:color w:val="000000"/>
                <w:sz w:val="20"/>
                <w:szCs w:val="20"/>
              </w:rPr>
            </w:pPr>
            <w:r w:rsidRPr="00555EAC">
              <w:rPr>
                <w:color w:val="000000"/>
                <w:sz w:val="20"/>
                <w:szCs w:val="20"/>
              </w:rPr>
              <w:t>0,0</w:t>
            </w:r>
          </w:p>
        </w:tc>
      </w:tr>
      <w:tr w:rsidR="009C40C7" w:rsidRPr="00555EAC" w:rsidTr="009C40C7">
        <w:trPr>
          <w:cantSplit/>
          <w:trHeight w:val="20"/>
        </w:trPr>
        <w:tc>
          <w:tcPr>
            <w:tcW w:w="4673" w:type="dxa"/>
            <w:shd w:val="clear" w:color="auto" w:fill="auto"/>
            <w:vAlign w:val="center"/>
            <w:hideMark/>
          </w:tcPr>
          <w:p w:rsidR="009C40C7" w:rsidRPr="00555EAC" w:rsidRDefault="009C40C7" w:rsidP="009C40C7">
            <w:pPr>
              <w:rPr>
                <w:color w:val="000000"/>
                <w:sz w:val="20"/>
                <w:szCs w:val="20"/>
              </w:rPr>
            </w:pPr>
            <w:r w:rsidRPr="00555EAC">
              <w:rPr>
                <w:color w:val="000000"/>
                <w:sz w:val="20"/>
                <w:szCs w:val="20"/>
              </w:rPr>
              <w:t>- федеральный бюджет</w:t>
            </w:r>
          </w:p>
        </w:tc>
        <w:tc>
          <w:tcPr>
            <w:tcW w:w="1134" w:type="dxa"/>
            <w:shd w:val="clear" w:color="auto" w:fill="auto"/>
            <w:vAlign w:val="center"/>
            <w:hideMark/>
          </w:tcPr>
          <w:p w:rsidR="009C40C7" w:rsidRPr="00555EAC" w:rsidRDefault="009C40C7" w:rsidP="009C40C7">
            <w:pPr>
              <w:jc w:val="center"/>
              <w:rPr>
                <w:color w:val="000000"/>
                <w:sz w:val="20"/>
                <w:szCs w:val="20"/>
              </w:rPr>
            </w:pPr>
            <w:r w:rsidRPr="00555EAC">
              <w:rPr>
                <w:color w:val="000000"/>
                <w:sz w:val="20"/>
                <w:szCs w:val="20"/>
              </w:rPr>
              <w:t> </w:t>
            </w:r>
          </w:p>
        </w:tc>
        <w:tc>
          <w:tcPr>
            <w:tcW w:w="1134" w:type="dxa"/>
            <w:shd w:val="clear" w:color="auto" w:fill="auto"/>
            <w:vAlign w:val="center"/>
            <w:hideMark/>
          </w:tcPr>
          <w:p w:rsidR="009C40C7" w:rsidRPr="00555EAC" w:rsidRDefault="009C40C7" w:rsidP="009C40C7">
            <w:pPr>
              <w:jc w:val="center"/>
              <w:rPr>
                <w:color w:val="000000"/>
                <w:sz w:val="20"/>
                <w:szCs w:val="20"/>
              </w:rPr>
            </w:pPr>
            <w:r w:rsidRPr="00555EAC">
              <w:rPr>
                <w:color w:val="000000"/>
                <w:sz w:val="20"/>
                <w:szCs w:val="20"/>
              </w:rPr>
              <w:t> </w:t>
            </w:r>
          </w:p>
        </w:tc>
        <w:tc>
          <w:tcPr>
            <w:tcW w:w="1134" w:type="dxa"/>
            <w:shd w:val="clear" w:color="auto" w:fill="auto"/>
            <w:vAlign w:val="center"/>
            <w:hideMark/>
          </w:tcPr>
          <w:p w:rsidR="009C40C7" w:rsidRPr="00555EAC" w:rsidRDefault="009C40C7" w:rsidP="009C40C7">
            <w:pPr>
              <w:jc w:val="center"/>
              <w:rPr>
                <w:color w:val="000000"/>
                <w:sz w:val="20"/>
                <w:szCs w:val="20"/>
              </w:rPr>
            </w:pPr>
            <w:r w:rsidRPr="00555EAC">
              <w:rPr>
                <w:color w:val="000000"/>
                <w:sz w:val="20"/>
                <w:szCs w:val="20"/>
              </w:rPr>
              <w:t> </w:t>
            </w:r>
          </w:p>
        </w:tc>
        <w:tc>
          <w:tcPr>
            <w:tcW w:w="1276" w:type="dxa"/>
            <w:shd w:val="clear" w:color="auto" w:fill="auto"/>
            <w:vAlign w:val="center"/>
            <w:hideMark/>
          </w:tcPr>
          <w:p w:rsidR="009C40C7" w:rsidRPr="00555EAC" w:rsidRDefault="009C40C7" w:rsidP="009C40C7">
            <w:pPr>
              <w:jc w:val="center"/>
              <w:rPr>
                <w:color w:val="000000"/>
                <w:sz w:val="20"/>
                <w:szCs w:val="20"/>
              </w:rPr>
            </w:pPr>
            <w:r w:rsidRPr="00555EAC">
              <w:rPr>
                <w:color w:val="000000"/>
                <w:sz w:val="20"/>
                <w:szCs w:val="20"/>
              </w:rPr>
              <w:t>0,0</w:t>
            </w:r>
          </w:p>
        </w:tc>
      </w:tr>
      <w:tr w:rsidR="009C40C7" w:rsidRPr="00555EAC" w:rsidTr="009C40C7">
        <w:trPr>
          <w:cantSplit/>
          <w:trHeight w:val="20"/>
        </w:trPr>
        <w:tc>
          <w:tcPr>
            <w:tcW w:w="4673" w:type="dxa"/>
            <w:shd w:val="clear" w:color="auto" w:fill="auto"/>
            <w:vAlign w:val="center"/>
            <w:hideMark/>
          </w:tcPr>
          <w:p w:rsidR="009C40C7" w:rsidRPr="00555EAC" w:rsidRDefault="009C40C7" w:rsidP="009C40C7">
            <w:pPr>
              <w:rPr>
                <w:b/>
                <w:bCs/>
                <w:i/>
                <w:iCs/>
                <w:color w:val="000000"/>
                <w:sz w:val="20"/>
                <w:szCs w:val="20"/>
              </w:rPr>
            </w:pPr>
            <w:r w:rsidRPr="00555EAC">
              <w:rPr>
                <w:b/>
                <w:bCs/>
                <w:i/>
                <w:iCs/>
                <w:color w:val="000000"/>
                <w:sz w:val="20"/>
                <w:szCs w:val="20"/>
              </w:rPr>
              <w:t>Итого по НП «Жилье и городская среда»:</w:t>
            </w:r>
          </w:p>
        </w:tc>
        <w:tc>
          <w:tcPr>
            <w:tcW w:w="1134" w:type="dxa"/>
            <w:shd w:val="clear" w:color="auto" w:fill="auto"/>
            <w:vAlign w:val="center"/>
            <w:hideMark/>
          </w:tcPr>
          <w:p w:rsidR="009C40C7" w:rsidRPr="00555EAC" w:rsidRDefault="009C40C7" w:rsidP="009C40C7">
            <w:pPr>
              <w:jc w:val="center"/>
              <w:rPr>
                <w:b/>
                <w:bCs/>
                <w:i/>
                <w:iCs/>
                <w:color w:val="000000"/>
                <w:sz w:val="20"/>
                <w:szCs w:val="20"/>
              </w:rPr>
            </w:pPr>
            <w:r w:rsidRPr="00555EAC">
              <w:rPr>
                <w:b/>
                <w:bCs/>
                <w:i/>
                <w:iCs/>
                <w:color w:val="000000"/>
                <w:sz w:val="20"/>
                <w:szCs w:val="20"/>
              </w:rPr>
              <w:t>123 413,9</w:t>
            </w:r>
          </w:p>
        </w:tc>
        <w:tc>
          <w:tcPr>
            <w:tcW w:w="1134" w:type="dxa"/>
            <w:shd w:val="clear" w:color="auto" w:fill="auto"/>
            <w:vAlign w:val="center"/>
            <w:hideMark/>
          </w:tcPr>
          <w:p w:rsidR="009C40C7" w:rsidRPr="00555EAC" w:rsidRDefault="009C40C7" w:rsidP="009C40C7">
            <w:pPr>
              <w:jc w:val="center"/>
              <w:rPr>
                <w:b/>
                <w:bCs/>
                <w:i/>
                <w:iCs/>
                <w:color w:val="000000"/>
                <w:sz w:val="20"/>
                <w:szCs w:val="20"/>
              </w:rPr>
            </w:pPr>
            <w:r w:rsidRPr="00555EAC">
              <w:rPr>
                <w:b/>
                <w:bCs/>
                <w:i/>
                <w:iCs/>
                <w:color w:val="000000"/>
                <w:sz w:val="20"/>
                <w:szCs w:val="20"/>
              </w:rPr>
              <w:t>141 814,8</w:t>
            </w:r>
          </w:p>
        </w:tc>
        <w:tc>
          <w:tcPr>
            <w:tcW w:w="1134" w:type="dxa"/>
            <w:shd w:val="clear" w:color="auto" w:fill="auto"/>
            <w:vAlign w:val="center"/>
            <w:hideMark/>
          </w:tcPr>
          <w:p w:rsidR="009C40C7" w:rsidRPr="00555EAC" w:rsidRDefault="009C40C7" w:rsidP="009C40C7">
            <w:pPr>
              <w:jc w:val="center"/>
              <w:rPr>
                <w:b/>
                <w:bCs/>
                <w:i/>
                <w:iCs/>
                <w:color w:val="000000"/>
                <w:sz w:val="20"/>
                <w:szCs w:val="20"/>
              </w:rPr>
            </w:pPr>
            <w:r w:rsidRPr="00555EAC">
              <w:rPr>
                <w:b/>
                <w:bCs/>
                <w:i/>
                <w:iCs/>
                <w:color w:val="000000"/>
                <w:sz w:val="20"/>
                <w:szCs w:val="20"/>
              </w:rPr>
              <w:t>118 691,5</w:t>
            </w:r>
          </w:p>
        </w:tc>
        <w:tc>
          <w:tcPr>
            <w:tcW w:w="1276" w:type="dxa"/>
            <w:shd w:val="clear" w:color="auto" w:fill="auto"/>
            <w:vAlign w:val="center"/>
            <w:hideMark/>
          </w:tcPr>
          <w:p w:rsidR="009C40C7" w:rsidRPr="00555EAC" w:rsidRDefault="009C40C7" w:rsidP="009C40C7">
            <w:pPr>
              <w:jc w:val="center"/>
              <w:rPr>
                <w:b/>
                <w:bCs/>
                <w:i/>
                <w:iCs/>
                <w:color w:val="000000"/>
                <w:sz w:val="20"/>
                <w:szCs w:val="20"/>
              </w:rPr>
            </w:pPr>
            <w:r w:rsidRPr="00555EAC">
              <w:rPr>
                <w:b/>
                <w:bCs/>
                <w:i/>
                <w:iCs/>
                <w:color w:val="000000"/>
                <w:sz w:val="20"/>
                <w:szCs w:val="20"/>
              </w:rPr>
              <w:t>383 920,2</w:t>
            </w:r>
          </w:p>
        </w:tc>
      </w:tr>
      <w:tr w:rsidR="009C40C7" w:rsidRPr="00555EAC" w:rsidTr="009C40C7">
        <w:trPr>
          <w:cantSplit/>
          <w:trHeight w:val="20"/>
        </w:trPr>
        <w:tc>
          <w:tcPr>
            <w:tcW w:w="4673" w:type="dxa"/>
            <w:shd w:val="clear" w:color="auto" w:fill="auto"/>
            <w:vAlign w:val="center"/>
            <w:hideMark/>
          </w:tcPr>
          <w:p w:rsidR="009C40C7" w:rsidRPr="00555EAC" w:rsidRDefault="009C40C7" w:rsidP="009C40C7">
            <w:pPr>
              <w:rPr>
                <w:color w:val="000000"/>
                <w:sz w:val="20"/>
                <w:szCs w:val="20"/>
              </w:rPr>
            </w:pPr>
            <w:r w:rsidRPr="00555EAC">
              <w:rPr>
                <w:color w:val="000000"/>
                <w:sz w:val="20"/>
                <w:szCs w:val="20"/>
              </w:rPr>
              <w:t>Муниципальная программа "Развитие жилищной сферы в городе Пыть-Яхе" всего, в том числе:</w:t>
            </w:r>
          </w:p>
        </w:tc>
        <w:tc>
          <w:tcPr>
            <w:tcW w:w="1134" w:type="dxa"/>
            <w:shd w:val="clear" w:color="auto" w:fill="auto"/>
            <w:vAlign w:val="center"/>
            <w:hideMark/>
          </w:tcPr>
          <w:p w:rsidR="009C40C7" w:rsidRPr="00555EAC" w:rsidRDefault="009C40C7" w:rsidP="009C40C7">
            <w:pPr>
              <w:jc w:val="center"/>
              <w:rPr>
                <w:color w:val="000000"/>
                <w:sz w:val="20"/>
                <w:szCs w:val="20"/>
              </w:rPr>
            </w:pPr>
            <w:r w:rsidRPr="00555EAC">
              <w:rPr>
                <w:color w:val="000000"/>
                <w:sz w:val="20"/>
                <w:szCs w:val="20"/>
              </w:rPr>
              <w:t>110 834,6</w:t>
            </w:r>
          </w:p>
        </w:tc>
        <w:tc>
          <w:tcPr>
            <w:tcW w:w="1134" w:type="dxa"/>
            <w:shd w:val="clear" w:color="auto" w:fill="auto"/>
            <w:vAlign w:val="center"/>
            <w:hideMark/>
          </w:tcPr>
          <w:p w:rsidR="009C40C7" w:rsidRPr="00555EAC" w:rsidRDefault="009C40C7" w:rsidP="009C40C7">
            <w:pPr>
              <w:jc w:val="center"/>
              <w:rPr>
                <w:color w:val="000000"/>
                <w:sz w:val="20"/>
                <w:szCs w:val="20"/>
              </w:rPr>
            </w:pPr>
            <w:r w:rsidRPr="00555EAC">
              <w:rPr>
                <w:color w:val="000000"/>
                <w:sz w:val="20"/>
                <w:szCs w:val="20"/>
              </w:rPr>
              <w:t>129 911,6</w:t>
            </w:r>
          </w:p>
        </w:tc>
        <w:tc>
          <w:tcPr>
            <w:tcW w:w="1134" w:type="dxa"/>
            <w:shd w:val="clear" w:color="auto" w:fill="auto"/>
            <w:vAlign w:val="center"/>
            <w:hideMark/>
          </w:tcPr>
          <w:p w:rsidR="009C40C7" w:rsidRPr="00555EAC" w:rsidRDefault="009C40C7" w:rsidP="009C40C7">
            <w:pPr>
              <w:jc w:val="center"/>
              <w:rPr>
                <w:color w:val="000000"/>
                <w:sz w:val="20"/>
                <w:szCs w:val="20"/>
              </w:rPr>
            </w:pPr>
            <w:r w:rsidRPr="00555EAC">
              <w:rPr>
                <w:color w:val="000000"/>
                <w:sz w:val="20"/>
                <w:szCs w:val="20"/>
              </w:rPr>
              <w:t>109 038,0</w:t>
            </w:r>
          </w:p>
        </w:tc>
        <w:tc>
          <w:tcPr>
            <w:tcW w:w="1276" w:type="dxa"/>
            <w:shd w:val="clear" w:color="auto" w:fill="auto"/>
            <w:vAlign w:val="center"/>
            <w:hideMark/>
          </w:tcPr>
          <w:p w:rsidR="009C40C7" w:rsidRPr="00555EAC" w:rsidRDefault="009C40C7" w:rsidP="009C40C7">
            <w:pPr>
              <w:jc w:val="center"/>
              <w:rPr>
                <w:color w:val="000000"/>
                <w:sz w:val="20"/>
                <w:szCs w:val="20"/>
              </w:rPr>
            </w:pPr>
            <w:r w:rsidRPr="00555EAC">
              <w:rPr>
                <w:color w:val="000000"/>
                <w:sz w:val="20"/>
                <w:szCs w:val="20"/>
              </w:rPr>
              <w:t>349 784,2</w:t>
            </w:r>
          </w:p>
        </w:tc>
      </w:tr>
      <w:tr w:rsidR="009C40C7" w:rsidRPr="00555EAC" w:rsidTr="009C40C7">
        <w:trPr>
          <w:cantSplit/>
          <w:trHeight w:val="20"/>
        </w:trPr>
        <w:tc>
          <w:tcPr>
            <w:tcW w:w="4673" w:type="dxa"/>
            <w:shd w:val="clear" w:color="auto" w:fill="auto"/>
            <w:vAlign w:val="center"/>
            <w:hideMark/>
          </w:tcPr>
          <w:p w:rsidR="009C40C7" w:rsidRPr="00555EAC" w:rsidRDefault="009C40C7" w:rsidP="009C40C7">
            <w:pPr>
              <w:rPr>
                <w:color w:val="000000"/>
                <w:sz w:val="20"/>
                <w:szCs w:val="20"/>
              </w:rPr>
            </w:pPr>
            <w:r w:rsidRPr="00555EAC">
              <w:rPr>
                <w:color w:val="000000"/>
                <w:sz w:val="20"/>
                <w:szCs w:val="20"/>
              </w:rPr>
              <w:t>- бюджет города</w:t>
            </w:r>
          </w:p>
        </w:tc>
        <w:tc>
          <w:tcPr>
            <w:tcW w:w="1134" w:type="dxa"/>
            <w:shd w:val="clear" w:color="auto" w:fill="auto"/>
            <w:vAlign w:val="center"/>
            <w:hideMark/>
          </w:tcPr>
          <w:p w:rsidR="009C40C7" w:rsidRPr="00555EAC" w:rsidRDefault="009C40C7" w:rsidP="009C40C7">
            <w:pPr>
              <w:jc w:val="center"/>
              <w:rPr>
                <w:color w:val="000000"/>
                <w:sz w:val="20"/>
                <w:szCs w:val="20"/>
              </w:rPr>
            </w:pPr>
            <w:r w:rsidRPr="00555EAC">
              <w:rPr>
                <w:color w:val="000000"/>
                <w:sz w:val="20"/>
                <w:szCs w:val="20"/>
              </w:rPr>
              <w:t>17 312,7</w:t>
            </w:r>
          </w:p>
        </w:tc>
        <w:tc>
          <w:tcPr>
            <w:tcW w:w="1134" w:type="dxa"/>
            <w:shd w:val="clear" w:color="auto" w:fill="auto"/>
            <w:vAlign w:val="center"/>
            <w:hideMark/>
          </w:tcPr>
          <w:p w:rsidR="009C40C7" w:rsidRPr="00555EAC" w:rsidRDefault="009C40C7" w:rsidP="009C40C7">
            <w:pPr>
              <w:jc w:val="center"/>
              <w:rPr>
                <w:color w:val="000000"/>
                <w:sz w:val="20"/>
                <w:szCs w:val="20"/>
              </w:rPr>
            </w:pPr>
            <w:r w:rsidRPr="00555EAC">
              <w:rPr>
                <w:color w:val="000000"/>
                <w:sz w:val="20"/>
                <w:szCs w:val="20"/>
              </w:rPr>
              <w:t>10 330,1</w:t>
            </w:r>
          </w:p>
        </w:tc>
        <w:tc>
          <w:tcPr>
            <w:tcW w:w="1134" w:type="dxa"/>
            <w:shd w:val="clear" w:color="auto" w:fill="auto"/>
            <w:vAlign w:val="center"/>
            <w:hideMark/>
          </w:tcPr>
          <w:p w:rsidR="009C40C7" w:rsidRPr="00555EAC" w:rsidRDefault="009C40C7" w:rsidP="009C40C7">
            <w:pPr>
              <w:jc w:val="center"/>
              <w:rPr>
                <w:color w:val="000000"/>
                <w:sz w:val="20"/>
                <w:szCs w:val="20"/>
              </w:rPr>
            </w:pPr>
            <w:r w:rsidRPr="00555EAC">
              <w:rPr>
                <w:color w:val="000000"/>
                <w:sz w:val="20"/>
                <w:szCs w:val="20"/>
              </w:rPr>
              <w:t>8 682,9</w:t>
            </w:r>
          </w:p>
        </w:tc>
        <w:tc>
          <w:tcPr>
            <w:tcW w:w="1276" w:type="dxa"/>
            <w:shd w:val="clear" w:color="auto" w:fill="auto"/>
            <w:vAlign w:val="center"/>
            <w:hideMark/>
          </w:tcPr>
          <w:p w:rsidR="009C40C7" w:rsidRPr="00555EAC" w:rsidRDefault="009C40C7" w:rsidP="009C40C7">
            <w:pPr>
              <w:jc w:val="center"/>
              <w:rPr>
                <w:color w:val="000000"/>
                <w:sz w:val="20"/>
                <w:szCs w:val="20"/>
              </w:rPr>
            </w:pPr>
            <w:r w:rsidRPr="00555EAC">
              <w:rPr>
                <w:color w:val="000000"/>
                <w:sz w:val="20"/>
                <w:szCs w:val="20"/>
              </w:rPr>
              <w:t>36 325,7</w:t>
            </w:r>
          </w:p>
        </w:tc>
      </w:tr>
      <w:tr w:rsidR="009C40C7" w:rsidRPr="00555EAC" w:rsidTr="009C40C7">
        <w:trPr>
          <w:cantSplit/>
          <w:trHeight w:val="20"/>
        </w:trPr>
        <w:tc>
          <w:tcPr>
            <w:tcW w:w="4673" w:type="dxa"/>
            <w:shd w:val="clear" w:color="auto" w:fill="auto"/>
            <w:vAlign w:val="center"/>
            <w:hideMark/>
          </w:tcPr>
          <w:p w:rsidR="009C40C7" w:rsidRPr="00555EAC" w:rsidRDefault="009C40C7" w:rsidP="009C40C7">
            <w:pPr>
              <w:rPr>
                <w:color w:val="000000"/>
                <w:sz w:val="20"/>
                <w:szCs w:val="20"/>
              </w:rPr>
            </w:pPr>
            <w:r w:rsidRPr="00555EAC">
              <w:rPr>
                <w:color w:val="000000"/>
                <w:sz w:val="20"/>
                <w:szCs w:val="20"/>
              </w:rPr>
              <w:t>- бюджет автономного округа</w:t>
            </w:r>
          </w:p>
        </w:tc>
        <w:tc>
          <w:tcPr>
            <w:tcW w:w="1134" w:type="dxa"/>
            <w:shd w:val="clear" w:color="auto" w:fill="auto"/>
            <w:vAlign w:val="center"/>
            <w:hideMark/>
          </w:tcPr>
          <w:p w:rsidR="009C40C7" w:rsidRPr="00555EAC" w:rsidRDefault="009C40C7" w:rsidP="009C40C7">
            <w:pPr>
              <w:jc w:val="center"/>
              <w:rPr>
                <w:color w:val="000000"/>
                <w:sz w:val="20"/>
                <w:szCs w:val="20"/>
              </w:rPr>
            </w:pPr>
            <w:r w:rsidRPr="00555EAC">
              <w:rPr>
                <w:color w:val="000000"/>
                <w:sz w:val="20"/>
                <w:szCs w:val="20"/>
              </w:rPr>
              <w:t>88 985,0</w:t>
            </w:r>
          </w:p>
        </w:tc>
        <w:tc>
          <w:tcPr>
            <w:tcW w:w="1134" w:type="dxa"/>
            <w:shd w:val="clear" w:color="auto" w:fill="auto"/>
            <w:vAlign w:val="center"/>
            <w:hideMark/>
          </w:tcPr>
          <w:p w:rsidR="009C40C7" w:rsidRPr="00555EAC" w:rsidRDefault="009C40C7" w:rsidP="009C40C7">
            <w:pPr>
              <w:jc w:val="center"/>
              <w:rPr>
                <w:color w:val="000000"/>
                <w:sz w:val="20"/>
                <w:szCs w:val="20"/>
              </w:rPr>
            </w:pPr>
            <w:r w:rsidRPr="00555EAC">
              <w:rPr>
                <w:color w:val="000000"/>
                <w:sz w:val="20"/>
                <w:szCs w:val="20"/>
              </w:rPr>
              <w:t>115 140,5</w:t>
            </w:r>
          </w:p>
        </w:tc>
        <w:tc>
          <w:tcPr>
            <w:tcW w:w="1134" w:type="dxa"/>
            <w:shd w:val="clear" w:color="auto" w:fill="auto"/>
            <w:vAlign w:val="center"/>
            <w:hideMark/>
          </w:tcPr>
          <w:p w:rsidR="009C40C7" w:rsidRPr="00555EAC" w:rsidRDefault="009C40C7" w:rsidP="009C40C7">
            <w:pPr>
              <w:jc w:val="center"/>
              <w:rPr>
                <w:color w:val="000000"/>
                <w:sz w:val="20"/>
                <w:szCs w:val="20"/>
              </w:rPr>
            </w:pPr>
            <w:r w:rsidRPr="00555EAC">
              <w:rPr>
                <w:color w:val="000000"/>
                <w:sz w:val="20"/>
                <w:szCs w:val="20"/>
              </w:rPr>
              <w:t>95 914,1</w:t>
            </w:r>
          </w:p>
        </w:tc>
        <w:tc>
          <w:tcPr>
            <w:tcW w:w="1276" w:type="dxa"/>
            <w:shd w:val="clear" w:color="auto" w:fill="auto"/>
            <w:vAlign w:val="center"/>
            <w:hideMark/>
          </w:tcPr>
          <w:p w:rsidR="009C40C7" w:rsidRPr="00555EAC" w:rsidRDefault="009C40C7" w:rsidP="009C40C7">
            <w:pPr>
              <w:jc w:val="center"/>
              <w:rPr>
                <w:color w:val="000000"/>
                <w:sz w:val="20"/>
                <w:szCs w:val="20"/>
              </w:rPr>
            </w:pPr>
            <w:r w:rsidRPr="00555EAC">
              <w:rPr>
                <w:color w:val="000000"/>
                <w:sz w:val="20"/>
                <w:szCs w:val="20"/>
              </w:rPr>
              <w:t>300 039,6</w:t>
            </w:r>
          </w:p>
        </w:tc>
      </w:tr>
      <w:tr w:rsidR="009C40C7" w:rsidRPr="00555EAC" w:rsidTr="009C40C7">
        <w:trPr>
          <w:cantSplit/>
          <w:trHeight w:val="20"/>
        </w:trPr>
        <w:tc>
          <w:tcPr>
            <w:tcW w:w="4673" w:type="dxa"/>
            <w:shd w:val="clear" w:color="auto" w:fill="auto"/>
            <w:vAlign w:val="center"/>
            <w:hideMark/>
          </w:tcPr>
          <w:p w:rsidR="009C40C7" w:rsidRPr="00555EAC" w:rsidRDefault="009C40C7" w:rsidP="009C40C7">
            <w:pPr>
              <w:rPr>
                <w:color w:val="000000"/>
                <w:sz w:val="20"/>
                <w:szCs w:val="20"/>
              </w:rPr>
            </w:pPr>
            <w:r w:rsidRPr="00555EAC">
              <w:rPr>
                <w:color w:val="000000"/>
                <w:sz w:val="20"/>
                <w:szCs w:val="20"/>
              </w:rPr>
              <w:t>- федеральный бюджет</w:t>
            </w:r>
          </w:p>
        </w:tc>
        <w:tc>
          <w:tcPr>
            <w:tcW w:w="1134" w:type="dxa"/>
            <w:shd w:val="clear" w:color="auto" w:fill="auto"/>
            <w:vAlign w:val="center"/>
            <w:hideMark/>
          </w:tcPr>
          <w:p w:rsidR="009C40C7" w:rsidRPr="00555EAC" w:rsidRDefault="009C40C7" w:rsidP="009C40C7">
            <w:pPr>
              <w:jc w:val="center"/>
              <w:rPr>
                <w:color w:val="000000"/>
                <w:sz w:val="20"/>
                <w:szCs w:val="20"/>
              </w:rPr>
            </w:pPr>
            <w:r w:rsidRPr="00555EAC">
              <w:rPr>
                <w:color w:val="000000"/>
                <w:sz w:val="20"/>
                <w:szCs w:val="20"/>
              </w:rPr>
              <w:t>4 536,9</w:t>
            </w:r>
          </w:p>
        </w:tc>
        <w:tc>
          <w:tcPr>
            <w:tcW w:w="1134" w:type="dxa"/>
            <w:shd w:val="clear" w:color="auto" w:fill="auto"/>
            <w:vAlign w:val="center"/>
            <w:hideMark/>
          </w:tcPr>
          <w:p w:rsidR="009C40C7" w:rsidRPr="00555EAC" w:rsidRDefault="009C40C7" w:rsidP="009C40C7">
            <w:pPr>
              <w:jc w:val="center"/>
              <w:rPr>
                <w:color w:val="000000"/>
                <w:sz w:val="20"/>
                <w:szCs w:val="20"/>
              </w:rPr>
            </w:pPr>
            <w:r w:rsidRPr="00555EAC">
              <w:rPr>
                <w:color w:val="000000"/>
                <w:sz w:val="20"/>
                <w:szCs w:val="20"/>
              </w:rPr>
              <w:t>4 441,0</w:t>
            </w:r>
          </w:p>
        </w:tc>
        <w:tc>
          <w:tcPr>
            <w:tcW w:w="1134" w:type="dxa"/>
            <w:shd w:val="clear" w:color="auto" w:fill="auto"/>
            <w:vAlign w:val="center"/>
            <w:hideMark/>
          </w:tcPr>
          <w:p w:rsidR="009C40C7" w:rsidRPr="00555EAC" w:rsidRDefault="009C40C7" w:rsidP="009C40C7">
            <w:pPr>
              <w:jc w:val="center"/>
              <w:rPr>
                <w:color w:val="000000"/>
                <w:sz w:val="20"/>
                <w:szCs w:val="20"/>
              </w:rPr>
            </w:pPr>
            <w:r w:rsidRPr="00555EAC">
              <w:rPr>
                <w:color w:val="000000"/>
                <w:sz w:val="20"/>
                <w:szCs w:val="20"/>
              </w:rPr>
              <w:t>4 441,0</w:t>
            </w:r>
          </w:p>
        </w:tc>
        <w:tc>
          <w:tcPr>
            <w:tcW w:w="1276" w:type="dxa"/>
            <w:shd w:val="clear" w:color="auto" w:fill="auto"/>
            <w:vAlign w:val="center"/>
            <w:hideMark/>
          </w:tcPr>
          <w:p w:rsidR="009C40C7" w:rsidRPr="00555EAC" w:rsidRDefault="009C40C7" w:rsidP="009C40C7">
            <w:pPr>
              <w:jc w:val="center"/>
              <w:rPr>
                <w:color w:val="000000"/>
                <w:sz w:val="20"/>
                <w:szCs w:val="20"/>
              </w:rPr>
            </w:pPr>
            <w:r w:rsidRPr="00555EAC">
              <w:rPr>
                <w:color w:val="000000"/>
                <w:sz w:val="20"/>
                <w:szCs w:val="20"/>
              </w:rPr>
              <w:t>13 418,9</w:t>
            </w:r>
          </w:p>
        </w:tc>
      </w:tr>
      <w:tr w:rsidR="009C40C7" w:rsidRPr="00555EAC" w:rsidTr="009C40C7">
        <w:trPr>
          <w:cantSplit/>
          <w:trHeight w:val="20"/>
        </w:trPr>
        <w:tc>
          <w:tcPr>
            <w:tcW w:w="4673" w:type="dxa"/>
            <w:shd w:val="clear" w:color="auto" w:fill="auto"/>
            <w:vAlign w:val="center"/>
            <w:hideMark/>
          </w:tcPr>
          <w:p w:rsidR="009C40C7" w:rsidRPr="00555EAC" w:rsidRDefault="009C40C7" w:rsidP="009C40C7">
            <w:pPr>
              <w:rPr>
                <w:color w:val="000000"/>
                <w:sz w:val="20"/>
                <w:szCs w:val="20"/>
              </w:rPr>
            </w:pPr>
            <w:r w:rsidRPr="00555EAC">
              <w:rPr>
                <w:color w:val="000000"/>
                <w:sz w:val="20"/>
                <w:szCs w:val="20"/>
              </w:rPr>
              <w:t>Муниципальная программа "Жилищно-коммунальный комплекс и городская среда города Пыть-Яха" всего, в том числе:</w:t>
            </w:r>
          </w:p>
        </w:tc>
        <w:tc>
          <w:tcPr>
            <w:tcW w:w="1134" w:type="dxa"/>
            <w:shd w:val="clear" w:color="auto" w:fill="auto"/>
            <w:vAlign w:val="center"/>
            <w:hideMark/>
          </w:tcPr>
          <w:p w:rsidR="009C40C7" w:rsidRPr="00555EAC" w:rsidRDefault="009C40C7" w:rsidP="009C40C7">
            <w:pPr>
              <w:jc w:val="center"/>
              <w:rPr>
                <w:color w:val="000000"/>
                <w:sz w:val="20"/>
                <w:szCs w:val="20"/>
              </w:rPr>
            </w:pPr>
            <w:r w:rsidRPr="00555EAC">
              <w:rPr>
                <w:color w:val="000000"/>
                <w:sz w:val="20"/>
                <w:szCs w:val="20"/>
              </w:rPr>
              <w:t>12 579,3</w:t>
            </w:r>
          </w:p>
        </w:tc>
        <w:tc>
          <w:tcPr>
            <w:tcW w:w="1134" w:type="dxa"/>
            <w:shd w:val="clear" w:color="auto" w:fill="auto"/>
            <w:vAlign w:val="center"/>
            <w:hideMark/>
          </w:tcPr>
          <w:p w:rsidR="009C40C7" w:rsidRPr="00555EAC" w:rsidRDefault="009C40C7" w:rsidP="009C40C7">
            <w:pPr>
              <w:jc w:val="center"/>
              <w:rPr>
                <w:color w:val="000000"/>
                <w:sz w:val="20"/>
                <w:szCs w:val="20"/>
              </w:rPr>
            </w:pPr>
            <w:r w:rsidRPr="00555EAC">
              <w:rPr>
                <w:color w:val="000000"/>
                <w:sz w:val="20"/>
                <w:szCs w:val="20"/>
              </w:rPr>
              <w:t>11 903,2</w:t>
            </w:r>
          </w:p>
        </w:tc>
        <w:tc>
          <w:tcPr>
            <w:tcW w:w="1134" w:type="dxa"/>
            <w:shd w:val="clear" w:color="auto" w:fill="auto"/>
            <w:vAlign w:val="center"/>
            <w:hideMark/>
          </w:tcPr>
          <w:p w:rsidR="009C40C7" w:rsidRPr="00555EAC" w:rsidRDefault="009C40C7" w:rsidP="009C40C7">
            <w:pPr>
              <w:jc w:val="center"/>
              <w:rPr>
                <w:color w:val="000000"/>
                <w:sz w:val="20"/>
                <w:szCs w:val="20"/>
              </w:rPr>
            </w:pPr>
            <w:r w:rsidRPr="00555EAC">
              <w:rPr>
                <w:color w:val="000000"/>
                <w:sz w:val="20"/>
                <w:szCs w:val="20"/>
              </w:rPr>
              <w:t>9 653,5</w:t>
            </w:r>
          </w:p>
        </w:tc>
        <w:tc>
          <w:tcPr>
            <w:tcW w:w="1276" w:type="dxa"/>
            <w:shd w:val="clear" w:color="auto" w:fill="auto"/>
            <w:vAlign w:val="center"/>
            <w:hideMark/>
          </w:tcPr>
          <w:p w:rsidR="009C40C7" w:rsidRPr="00555EAC" w:rsidRDefault="009C40C7" w:rsidP="009C40C7">
            <w:pPr>
              <w:jc w:val="center"/>
              <w:rPr>
                <w:color w:val="000000"/>
                <w:sz w:val="20"/>
                <w:szCs w:val="20"/>
              </w:rPr>
            </w:pPr>
            <w:r w:rsidRPr="00555EAC">
              <w:rPr>
                <w:color w:val="000000"/>
                <w:sz w:val="20"/>
                <w:szCs w:val="20"/>
              </w:rPr>
              <w:t>34 136,0</w:t>
            </w:r>
          </w:p>
        </w:tc>
      </w:tr>
      <w:tr w:rsidR="009C40C7" w:rsidRPr="00555EAC" w:rsidTr="009C40C7">
        <w:trPr>
          <w:cantSplit/>
          <w:trHeight w:val="20"/>
        </w:trPr>
        <w:tc>
          <w:tcPr>
            <w:tcW w:w="4673" w:type="dxa"/>
            <w:shd w:val="clear" w:color="auto" w:fill="auto"/>
            <w:vAlign w:val="center"/>
            <w:hideMark/>
          </w:tcPr>
          <w:p w:rsidR="009C40C7" w:rsidRPr="00555EAC" w:rsidRDefault="009C40C7" w:rsidP="009C40C7">
            <w:pPr>
              <w:rPr>
                <w:color w:val="000000"/>
                <w:sz w:val="20"/>
                <w:szCs w:val="20"/>
              </w:rPr>
            </w:pPr>
            <w:r w:rsidRPr="00555EAC">
              <w:rPr>
                <w:color w:val="000000"/>
                <w:sz w:val="20"/>
                <w:szCs w:val="20"/>
              </w:rPr>
              <w:t>- бюджет города</w:t>
            </w:r>
          </w:p>
        </w:tc>
        <w:tc>
          <w:tcPr>
            <w:tcW w:w="1134" w:type="dxa"/>
            <w:shd w:val="clear" w:color="auto" w:fill="auto"/>
            <w:vAlign w:val="center"/>
            <w:hideMark/>
          </w:tcPr>
          <w:p w:rsidR="009C40C7" w:rsidRPr="00555EAC" w:rsidRDefault="009C40C7" w:rsidP="009C40C7">
            <w:pPr>
              <w:jc w:val="center"/>
              <w:rPr>
                <w:color w:val="000000"/>
                <w:sz w:val="20"/>
                <w:szCs w:val="20"/>
              </w:rPr>
            </w:pPr>
            <w:r w:rsidRPr="00555EAC">
              <w:rPr>
                <w:color w:val="000000"/>
                <w:sz w:val="20"/>
                <w:szCs w:val="20"/>
              </w:rPr>
              <w:t>1 886,9</w:t>
            </w:r>
          </w:p>
        </w:tc>
        <w:tc>
          <w:tcPr>
            <w:tcW w:w="1134" w:type="dxa"/>
            <w:shd w:val="clear" w:color="auto" w:fill="auto"/>
            <w:vAlign w:val="center"/>
            <w:hideMark/>
          </w:tcPr>
          <w:p w:rsidR="009C40C7" w:rsidRPr="00555EAC" w:rsidRDefault="009C40C7" w:rsidP="009C40C7">
            <w:pPr>
              <w:jc w:val="center"/>
              <w:rPr>
                <w:color w:val="000000"/>
                <w:sz w:val="20"/>
                <w:szCs w:val="20"/>
              </w:rPr>
            </w:pPr>
            <w:r w:rsidRPr="00555EAC">
              <w:rPr>
                <w:color w:val="000000"/>
                <w:sz w:val="20"/>
                <w:szCs w:val="20"/>
              </w:rPr>
              <w:t>1 785,5</w:t>
            </w:r>
          </w:p>
        </w:tc>
        <w:tc>
          <w:tcPr>
            <w:tcW w:w="1134" w:type="dxa"/>
            <w:shd w:val="clear" w:color="auto" w:fill="auto"/>
            <w:vAlign w:val="center"/>
            <w:hideMark/>
          </w:tcPr>
          <w:p w:rsidR="009C40C7" w:rsidRPr="00555EAC" w:rsidRDefault="009C40C7" w:rsidP="009C40C7">
            <w:pPr>
              <w:jc w:val="center"/>
              <w:rPr>
                <w:color w:val="000000"/>
                <w:sz w:val="20"/>
                <w:szCs w:val="20"/>
              </w:rPr>
            </w:pPr>
            <w:r w:rsidRPr="00555EAC">
              <w:rPr>
                <w:color w:val="000000"/>
                <w:sz w:val="20"/>
                <w:szCs w:val="20"/>
              </w:rPr>
              <w:t>1 448,1</w:t>
            </w:r>
          </w:p>
        </w:tc>
        <w:tc>
          <w:tcPr>
            <w:tcW w:w="1276" w:type="dxa"/>
            <w:shd w:val="clear" w:color="auto" w:fill="auto"/>
            <w:vAlign w:val="center"/>
            <w:hideMark/>
          </w:tcPr>
          <w:p w:rsidR="009C40C7" w:rsidRPr="00555EAC" w:rsidRDefault="009C40C7" w:rsidP="009C40C7">
            <w:pPr>
              <w:jc w:val="center"/>
              <w:rPr>
                <w:color w:val="000000"/>
                <w:sz w:val="20"/>
                <w:szCs w:val="20"/>
              </w:rPr>
            </w:pPr>
            <w:r w:rsidRPr="00555EAC">
              <w:rPr>
                <w:color w:val="000000"/>
                <w:sz w:val="20"/>
                <w:szCs w:val="20"/>
              </w:rPr>
              <w:t>5 120,5</w:t>
            </w:r>
          </w:p>
        </w:tc>
      </w:tr>
      <w:tr w:rsidR="009C40C7" w:rsidRPr="00555EAC" w:rsidTr="009C40C7">
        <w:trPr>
          <w:cantSplit/>
          <w:trHeight w:val="20"/>
        </w:trPr>
        <w:tc>
          <w:tcPr>
            <w:tcW w:w="4673" w:type="dxa"/>
            <w:shd w:val="clear" w:color="auto" w:fill="auto"/>
            <w:vAlign w:val="center"/>
            <w:hideMark/>
          </w:tcPr>
          <w:p w:rsidR="009C40C7" w:rsidRPr="00555EAC" w:rsidRDefault="009C40C7" w:rsidP="009C40C7">
            <w:pPr>
              <w:rPr>
                <w:color w:val="000000"/>
                <w:sz w:val="20"/>
                <w:szCs w:val="20"/>
              </w:rPr>
            </w:pPr>
            <w:r w:rsidRPr="00555EAC">
              <w:rPr>
                <w:color w:val="000000"/>
                <w:sz w:val="20"/>
                <w:szCs w:val="20"/>
              </w:rPr>
              <w:t>- бюджет автономного округа</w:t>
            </w:r>
          </w:p>
        </w:tc>
        <w:tc>
          <w:tcPr>
            <w:tcW w:w="1134" w:type="dxa"/>
            <w:shd w:val="clear" w:color="auto" w:fill="auto"/>
            <w:vAlign w:val="center"/>
            <w:hideMark/>
          </w:tcPr>
          <w:p w:rsidR="009C40C7" w:rsidRPr="00555EAC" w:rsidRDefault="009C40C7" w:rsidP="009C40C7">
            <w:pPr>
              <w:jc w:val="center"/>
              <w:rPr>
                <w:color w:val="000000"/>
                <w:sz w:val="20"/>
                <w:szCs w:val="20"/>
              </w:rPr>
            </w:pPr>
            <w:r w:rsidRPr="00555EAC">
              <w:rPr>
                <w:color w:val="000000"/>
                <w:sz w:val="20"/>
                <w:szCs w:val="20"/>
              </w:rPr>
              <w:t>10 692,4</w:t>
            </w:r>
          </w:p>
        </w:tc>
        <w:tc>
          <w:tcPr>
            <w:tcW w:w="1134" w:type="dxa"/>
            <w:shd w:val="clear" w:color="auto" w:fill="auto"/>
            <w:vAlign w:val="center"/>
            <w:hideMark/>
          </w:tcPr>
          <w:p w:rsidR="009C40C7" w:rsidRPr="00555EAC" w:rsidRDefault="009C40C7" w:rsidP="009C40C7">
            <w:pPr>
              <w:jc w:val="center"/>
              <w:rPr>
                <w:color w:val="000000"/>
                <w:sz w:val="20"/>
                <w:szCs w:val="20"/>
              </w:rPr>
            </w:pPr>
            <w:r w:rsidRPr="00555EAC">
              <w:rPr>
                <w:color w:val="000000"/>
                <w:sz w:val="20"/>
                <w:szCs w:val="20"/>
              </w:rPr>
              <w:t>10 117,7</w:t>
            </w:r>
          </w:p>
        </w:tc>
        <w:tc>
          <w:tcPr>
            <w:tcW w:w="1134" w:type="dxa"/>
            <w:shd w:val="clear" w:color="auto" w:fill="auto"/>
            <w:vAlign w:val="center"/>
            <w:hideMark/>
          </w:tcPr>
          <w:p w:rsidR="009C40C7" w:rsidRPr="00555EAC" w:rsidRDefault="009C40C7" w:rsidP="009C40C7">
            <w:pPr>
              <w:jc w:val="center"/>
              <w:rPr>
                <w:color w:val="000000"/>
                <w:sz w:val="20"/>
                <w:szCs w:val="20"/>
              </w:rPr>
            </w:pPr>
            <w:r w:rsidRPr="00555EAC">
              <w:rPr>
                <w:color w:val="000000"/>
                <w:sz w:val="20"/>
                <w:szCs w:val="20"/>
              </w:rPr>
              <w:t>8 205,4</w:t>
            </w:r>
          </w:p>
        </w:tc>
        <w:tc>
          <w:tcPr>
            <w:tcW w:w="1276" w:type="dxa"/>
            <w:shd w:val="clear" w:color="auto" w:fill="auto"/>
            <w:vAlign w:val="center"/>
            <w:hideMark/>
          </w:tcPr>
          <w:p w:rsidR="009C40C7" w:rsidRPr="00555EAC" w:rsidRDefault="009C40C7" w:rsidP="009C40C7">
            <w:pPr>
              <w:jc w:val="center"/>
              <w:rPr>
                <w:color w:val="000000"/>
                <w:sz w:val="20"/>
                <w:szCs w:val="20"/>
              </w:rPr>
            </w:pPr>
            <w:r w:rsidRPr="00555EAC">
              <w:rPr>
                <w:color w:val="000000"/>
                <w:sz w:val="20"/>
                <w:szCs w:val="20"/>
              </w:rPr>
              <w:t>29 015,5</w:t>
            </w:r>
          </w:p>
        </w:tc>
      </w:tr>
      <w:tr w:rsidR="009C40C7" w:rsidRPr="00555EAC" w:rsidTr="009C40C7">
        <w:trPr>
          <w:cantSplit/>
          <w:trHeight w:val="20"/>
        </w:trPr>
        <w:tc>
          <w:tcPr>
            <w:tcW w:w="4673" w:type="dxa"/>
            <w:shd w:val="clear" w:color="auto" w:fill="auto"/>
            <w:vAlign w:val="center"/>
            <w:hideMark/>
          </w:tcPr>
          <w:p w:rsidR="009C40C7" w:rsidRPr="00555EAC" w:rsidRDefault="009C40C7" w:rsidP="009C40C7">
            <w:pPr>
              <w:rPr>
                <w:color w:val="000000"/>
                <w:sz w:val="20"/>
                <w:szCs w:val="20"/>
              </w:rPr>
            </w:pPr>
            <w:r w:rsidRPr="00555EAC">
              <w:rPr>
                <w:color w:val="000000"/>
                <w:sz w:val="20"/>
                <w:szCs w:val="20"/>
              </w:rPr>
              <w:t>- федеральный бюджет</w:t>
            </w:r>
          </w:p>
        </w:tc>
        <w:tc>
          <w:tcPr>
            <w:tcW w:w="1134" w:type="dxa"/>
            <w:shd w:val="clear" w:color="auto" w:fill="auto"/>
            <w:vAlign w:val="center"/>
            <w:hideMark/>
          </w:tcPr>
          <w:p w:rsidR="009C40C7" w:rsidRPr="00555EAC" w:rsidRDefault="009C40C7" w:rsidP="009C40C7">
            <w:pPr>
              <w:jc w:val="center"/>
              <w:rPr>
                <w:color w:val="000000"/>
                <w:sz w:val="20"/>
                <w:szCs w:val="20"/>
              </w:rPr>
            </w:pPr>
            <w:r w:rsidRPr="00555EAC">
              <w:rPr>
                <w:color w:val="000000"/>
                <w:sz w:val="20"/>
                <w:szCs w:val="20"/>
              </w:rPr>
              <w:t> </w:t>
            </w:r>
          </w:p>
        </w:tc>
        <w:tc>
          <w:tcPr>
            <w:tcW w:w="1134" w:type="dxa"/>
            <w:shd w:val="clear" w:color="auto" w:fill="auto"/>
            <w:vAlign w:val="center"/>
            <w:hideMark/>
          </w:tcPr>
          <w:p w:rsidR="009C40C7" w:rsidRPr="00555EAC" w:rsidRDefault="009C40C7" w:rsidP="009C40C7">
            <w:pPr>
              <w:jc w:val="center"/>
              <w:rPr>
                <w:color w:val="000000"/>
                <w:sz w:val="20"/>
                <w:szCs w:val="20"/>
              </w:rPr>
            </w:pPr>
            <w:r w:rsidRPr="00555EAC">
              <w:rPr>
                <w:color w:val="000000"/>
                <w:sz w:val="20"/>
                <w:szCs w:val="20"/>
              </w:rPr>
              <w:t> </w:t>
            </w:r>
          </w:p>
        </w:tc>
        <w:tc>
          <w:tcPr>
            <w:tcW w:w="1134" w:type="dxa"/>
            <w:shd w:val="clear" w:color="auto" w:fill="auto"/>
            <w:vAlign w:val="center"/>
            <w:hideMark/>
          </w:tcPr>
          <w:p w:rsidR="009C40C7" w:rsidRPr="00555EAC" w:rsidRDefault="009C40C7" w:rsidP="009C40C7">
            <w:pPr>
              <w:jc w:val="center"/>
              <w:rPr>
                <w:color w:val="000000"/>
                <w:sz w:val="20"/>
                <w:szCs w:val="20"/>
              </w:rPr>
            </w:pPr>
            <w:r w:rsidRPr="00555EAC">
              <w:rPr>
                <w:color w:val="000000"/>
                <w:sz w:val="20"/>
                <w:szCs w:val="20"/>
              </w:rPr>
              <w:t> </w:t>
            </w:r>
          </w:p>
        </w:tc>
        <w:tc>
          <w:tcPr>
            <w:tcW w:w="1276" w:type="dxa"/>
            <w:shd w:val="clear" w:color="auto" w:fill="auto"/>
            <w:vAlign w:val="center"/>
            <w:hideMark/>
          </w:tcPr>
          <w:p w:rsidR="009C40C7" w:rsidRPr="00555EAC" w:rsidRDefault="009C40C7" w:rsidP="009C40C7">
            <w:pPr>
              <w:jc w:val="center"/>
              <w:rPr>
                <w:color w:val="000000"/>
                <w:sz w:val="20"/>
                <w:szCs w:val="20"/>
              </w:rPr>
            </w:pPr>
            <w:r w:rsidRPr="00555EAC">
              <w:rPr>
                <w:color w:val="000000"/>
                <w:sz w:val="20"/>
                <w:szCs w:val="20"/>
              </w:rPr>
              <w:t>0,0</w:t>
            </w:r>
          </w:p>
        </w:tc>
      </w:tr>
      <w:tr w:rsidR="009C40C7" w:rsidRPr="00555EAC" w:rsidTr="009C40C7">
        <w:trPr>
          <w:cantSplit/>
          <w:trHeight w:val="20"/>
        </w:trPr>
        <w:tc>
          <w:tcPr>
            <w:tcW w:w="4673" w:type="dxa"/>
            <w:shd w:val="clear" w:color="auto" w:fill="auto"/>
            <w:vAlign w:val="center"/>
            <w:hideMark/>
          </w:tcPr>
          <w:p w:rsidR="009C40C7" w:rsidRPr="00555EAC" w:rsidRDefault="009C40C7" w:rsidP="009C40C7">
            <w:pPr>
              <w:rPr>
                <w:b/>
                <w:bCs/>
                <w:i/>
                <w:iCs/>
                <w:color w:val="000000"/>
                <w:sz w:val="20"/>
                <w:szCs w:val="20"/>
              </w:rPr>
            </w:pPr>
            <w:r w:rsidRPr="00555EAC">
              <w:rPr>
                <w:b/>
                <w:bCs/>
                <w:i/>
                <w:iCs/>
                <w:color w:val="000000"/>
                <w:sz w:val="20"/>
                <w:szCs w:val="20"/>
              </w:rPr>
              <w:t>Итого по НП «Экология»:</w:t>
            </w:r>
          </w:p>
        </w:tc>
        <w:tc>
          <w:tcPr>
            <w:tcW w:w="1134" w:type="dxa"/>
            <w:shd w:val="clear" w:color="auto" w:fill="auto"/>
            <w:vAlign w:val="center"/>
            <w:hideMark/>
          </w:tcPr>
          <w:p w:rsidR="009C40C7" w:rsidRPr="00555EAC" w:rsidRDefault="009C40C7" w:rsidP="009C40C7">
            <w:pPr>
              <w:jc w:val="center"/>
              <w:rPr>
                <w:b/>
                <w:bCs/>
                <w:i/>
                <w:iCs/>
                <w:color w:val="000000"/>
                <w:sz w:val="20"/>
                <w:szCs w:val="20"/>
              </w:rPr>
            </w:pPr>
            <w:r w:rsidRPr="00555EAC">
              <w:rPr>
                <w:b/>
                <w:bCs/>
                <w:i/>
                <w:iCs/>
                <w:color w:val="000000"/>
                <w:sz w:val="20"/>
                <w:szCs w:val="20"/>
              </w:rPr>
              <w:t>663,0</w:t>
            </w:r>
          </w:p>
        </w:tc>
        <w:tc>
          <w:tcPr>
            <w:tcW w:w="1134" w:type="dxa"/>
            <w:shd w:val="clear" w:color="auto" w:fill="auto"/>
            <w:vAlign w:val="center"/>
            <w:hideMark/>
          </w:tcPr>
          <w:p w:rsidR="009C40C7" w:rsidRPr="00555EAC" w:rsidRDefault="009C40C7" w:rsidP="009C40C7">
            <w:pPr>
              <w:jc w:val="center"/>
              <w:rPr>
                <w:b/>
                <w:bCs/>
                <w:i/>
                <w:iCs/>
                <w:color w:val="000000"/>
                <w:sz w:val="20"/>
                <w:szCs w:val="20"/>
              </w:rPr>
            </w:pPr>
            <w:r w:rsidRPr="00555EAC">
              <w:rPr>
                <w:b/>
                <w:bCs/>
                <w:i/>
                <w:iCs/>
                <w:color w:val="000000"/>
                <w:sz w:val="20"/>
                <w:szCs w:val="20"/>
              </w:rPr>
              <w:t>386 806,8</w:t>
            </w:r>
          </w:p>
        </w:tc>
        <w:tc>
          <w:tcPr>
            <w:tcW w:w="1134" w:type="dxa"/>
            <w:shd w:val="clear" w:color="auto" w:fill="auto"/>
            <w:vAlign w:val="center"/>
            <w:hideMark/>
          </w:tcPr>
          <w:p w:rsidR="009C40C7" w:rsidRPr="00555EAC" w:rsidRDefault="009C40C7" w:rsidP="009C40C7">
            <w:pPr>
              <w:jc w:val="center"/>
              <w:rPr>
                <w:b/>
                <w:bCs/>
                <w:i/>
                <w:iCs/>
                <w:color w:val="000000"/>
                <w:sz w:val="20"/>
                <w:szCs w:val="20"/>
              </w:rPr>
            </w:pPr>
            <w:r w:rsidRPr="00555EAC">
              <w:rPr>
                <w:b/>
                <w:bCs/>
                <w:i/>
                <w:iCs/>
                <w:color w:val="000000"/>
                <w:sz w:val="20"/>
                <w:szCs w:val="20"/>
              </w:rPr>
              <w:t>385 998,3</w:t>
            </w:r>
          </w:p>
        </w:tc>
        <w:tc>
          <w:tcPr>
            <w:tcW w:w="1276" w:type="dxa"/>
            <w:shd w:val="clear" w:color="auto" w:fill="auto"/>
            <w:vAlign w:val="center"/>
            <w:hideMark/>
          </w:tcPr>
          <w:p w:rsidR="009C40C7" w:rsidRPr="00555EAC" w:rsidRDefault="009C40C7" w:rsidP="009C40C7">
            <w:pPr>
              <w:jc w:val="center"/>
              <w:rPr>
                <w:b/>
                <w:bCs/>
                <w:i/>
                <w:iCs/>
                <w:color w:val="000000"/>
                <w:sz w:val="20"/>
                <w:szCs w:val="20"/>
              </w:rPr>
            </w:pPr>
            <w:r w:rsidRPr="00555EAC">
              <w:rPr>
                <w:b/>
                <w:bCs/>
                <w:i/>
                <w:iCs/>
                <w:color w:val="000000"/>
                <w:sz w:val="20"/>
                <w:szCs w:val="20"/>
              </w:rPr>
              <w:t>773 468,1</w:t>
            </w:r>
          </w:p>
        </w:tc>
      </w:tr>
      <w:tr w:rsidR="009C40C7" w:rsidRPr="00555EAC" w:rsidTr="009C40C7">
        <w:trPr>
          <w:cantSplit/>
          <w:trHeight w:val="20"/>
        </w:trPr>
        <w:tc>
          <w:tcPr>
            <w:tcW w:w="4673" w:type="dxa"/>
            <w:shd w:val="clear" w:color="auto" w:fill="auto"/>
            <w:vAlign w:val="center"/>
            <w:hideMark/>
          </w:tcPr>
          <w:p w:rsidR="009C40C7" w:rsidRPr="00555EAC" w:rsidRDefault="009C40C7" w:rsidP="009C40C7">
            <w:pPr>
              <w:rPr>
                <w:color w:val="000000"/>
                <w:sz w:val="20"/>
                <w:szCs w:val="20"/>
              </w:rPr>
            </w:pPr>
            <w:r w:rsidRPr="00555EAC">
              <w:rPr>
                <w:color w:val="000000"/>
                <w:sz w:val="20"/>
                <w:szCs w:val="20"/>
              </w:rPr>
              <w:t>Муниципальная программа "Жилищно-коммунальный комплекс и городская среда города Пыть-Яха" всего, в том числе:</w:t>
            </w:r>
          </w:p>
        </w:tc>
        <w:tc>
          <w:tcPr>
            <w:tcW w:w="1134" w:type="dxa"/>
            <w:shd w:val="clear" w:color="auto" w:fill="auto"/>
            <w:vAlign w:val="center"/>
            <w:hideMark/>
          </w:tcPr>
          <w:p w:rsidR="009C40C7" w:rsidRPr="00555EAC" w:rsidRDefault="009C40C7" w:rsidP="009C40C7">
            <w:pPr>
              <w:jc w:val="center"/>
              <w:rPr>
                <w:color w:val="000000"/>
                <w:sz w:val="20"/>
                <w:szCs w:val="20"/>
              </w:rPr>
            </w:pPr>
            <w:r w:rsidRPr="00555EAC">
              <w:rPr>
                <w:color w:val="000000"/>
                <w:sz w:val="20"/>
                <w:szCs w:val="20"/>
              </w:rPr>
              <w:t>0,0</w:t>
            </w:r>
          </w:p>
        </w:tc>
        <w:tc>
          <w:tcPr>
            <w:tcW w:w="1134" w:type="dxa"/>
            <w:shd w:val="clear" w:color="auto" w:fill="auto"/>
            <w:vAlign w:val="center"/>
            <w:hideMark/>
          </w:tcPr>
          <w:p w:rsidR="009C40C7" w:rsidRPr="00555EAC" w:rsidRDefault="009C40C7" w:rsidP="009C40C7">
            <w:pPr>
              <w:jc w:val="center"/>
              <w:rPr>
                <w:color w:val="000000"/>
                <w:sz w:val="20"/>
                <w:szCs w:val="20"/>
              </w:rPr>
            </w:pPr>
            <w:r w:rsidRPr="00555EAC">
              <w:rPr>
                <w:color w:val="000000"/>
                <w:sz w:val="20"/>
                <w:szCs w:val="20"/>
              </w:rPr>
              <w:t>386 143,8</w:t>
            </w:r>
          </w:p>
        </w:tc>
        <w:tc>
          <w:tcPr>
            <w:tcW w:w="1134" w:type="dxa"/>
            <w:shd w:val="clear" w:color="auto" w:fill="auto"/>
            <w:vAlign w:val="center"/>
            <w:hideMark/>
          </w:tcPr>
          <w:p w:rsidR="009C40C7" w:rsidRPr="00555EAC" w:rsidRDefault="009C40C7" w:rsidP="009C40C7">
            <w:pPr>
              <w:jc w:val="center"/>
              <w:rPr>
                <w:color w:val="000000"/>
                <w:sz w:val="20"/>
                <w:szCs w:val="20"/>
              </w:rPr>
            </w:pPr>
            <w:r w:rsidRPr="00555EAC">
              <w:rPr>
                <w:color w:val="000000"/>
                <w:sz w:val="20"/>
                <w:szCs w:val="20"/>
              </w:rPr>
              <w:t>385 335,3</w:t>
            </w:r>
          </w:p>
        </w:tc>
        <w:tc>
          <w:tcPr>
            <w:tcW w:w="1276" w:type="dxa"/>
            <w:shd w:val="clear" w:color="auto" w:fill="auto"/>
            <w:vAlign w:val="center"/>
            <w:hideMark/>
          </w:tcPr>
          <w:p w:rsidR="009C40C7" w:rsidRPr="00555EAC" w:rsidRDefault="009C40C7" w:rsidP="009C40C7">
            <w:pPr>
              <w:jc w:val="center"/>
              <w:rPr>
                <w:color w:val="000000"/>
                <w:sz w:val="20"/>
                <w:szCs w:val="20"/>
              </w:rPr>
            </w:pPr>
            <w:r w:rsidRPr="00555EAC">
              <w:rPr>
                <w:color w:val="000000"/>
                <w:sz w:val="20"/>
                <w:szCs w:val="20"/>
              </w:rPr>
              <w:t>771 479,1</w:t>
            </w:r>
          </w:p>
        </w:tc>
      </w:tr>
      <w:tr w:rsidR="009C40C7" w:rsidRPr="00555EAC" w:rsidTr="009C40C7">
        <w:trPr>
          <w:cantSplit/>
          <w:trHeight w:val="20"/>
        </w:trPr>
        <w:tc>
          <w:tcPr>
            <w:tcW w:w="4673" w:type="dxa"/>
            <w:shd w:val="clear" w:color="auto" w:fill="auto"/>
            <w:vAlign w:val="center"/>
            <w:hideMark/>
          </w:tcPr>
          <w:p w:rsidR="009C40C7" w:rsidRPr="00555EAC" w:rsidRDefault="009C40C7" w:rsidP="009C40C7">
            <w:pPr>
              <w:rPr>
                <w:color w:val="000000"/>
                <w:sz w:val="20"/>
                <w:szCs w:val="20"/>
              </w:rPr>
            </w:pPr>
            <w:r w:rsidRPr="00555EAC">
              <w:rPr>
                <w:color w:val="000000"/>
                <w:sz w:val="20"/>
                <w:szCs w:val="20"/>
              </w:rPr>
              <w:t>- бюджет города</w:t>
            </w:r>
          </w:p>
        </w:tc>
        <w:tc>
          <w:tcPr>
            <w:tcW w:w="1134" w:type="dxa"/>
            <w:shd w:val="clear" w:color="auto" w:fill="auto"/>
            <w:vAlign w:val="center"/>
            <w:hideMark/>
          </w:tcPr>
          <w:p w:rsidR="009C40C7" w:rsidRPr="00555EAC" w:rsidRDefault="009C40C7" w:rsidP="009C40C7">
            <w:pPr>
              <w:jc w:val="center"/>
              <w:rPr>
                <w:color w:val="000000"/>
                <w:sz w:val="20"/>
                <w:szCs w:val="20"/>
              </w:rPr>
            </w:pPr>
            <w:r w:rsidRPr="00555EAC">
              <w:rPr>
                <w:color w:val="000000"/>
                <w:sz w:val="20"/>
                <w:szCs w:val="20"/>
              </w:rPr>
              <w:t> </w:t>
            </w:r>
          </w:p>
        </w:tc>
        <w:tc>
          <w:tcPr>
            <w:tcW w:w="1134" w:type="dxa"/>
            <w:shd w:val="clear" w:color="auto" w:fill="auto"/>
            <w:vAlign w:val="center"/>
            <w:hideMark/>
          </w:tcPr>
          <w:p w:rsidR="009C40C7" w:rsidRPr="00555EAC" w:rsidRDefault="009C40C7" w:rsidP="009C40C7">
            <w:pPr>
              <w:jc w:val="center"/>
              <w:rPr>
                <w:color w:val="000000"/>
                <w:sz w:val="20"/>
                <w:szCs w:val="20"/>
              </w:rPr>
            </w:pPr>
            <w:r w:rsidRPr="00555EAC">
              <w:rPr>
                <w:color w:val="000000"/>
                <w:sz w:val="20"/>
                <w:szCs w:val="20"/>
              </w:rPr>
              <w:t>19 307,2</w:t>
            </w:r>
          </w:p>
        </w:tc>
        <w:tc>
          <w:tcPr>
            <w:tcW w:w="1134" w:type="dxa"/>
            <w:shd w:val="clear" w:color="auto" w:fill="auto"/>
            <w:vAlign w:val="center"/>
            <w:hideMark/>
          </w:tcPr>
          <w:p w:rsidR="009C40C7" w:rsidRPr="00555EAC" w:rsidRDefault="009C40C7" w:rsidP="009C40C7">
            <w:pPr>
              <w:jc w:val="center"/>
              <w:rPr>
                <w:color w:val="000000"/>
                <w:sz w:val="20"/>
                <w:szCs w:val="20"/>
              </w:rPr>
            </w:pPr>
            <w:r w:rsidRPr="00555EAC">
              <w:rPr>
                <w:color w:val="000000"/>
                <w:sz w:val="20"/>
                <w:szCs w:val="20"/>
              </w:rPr>
              <w:t>19 266,8</w:t>
            </w:r>
          </w:p>
        </w:tc>
        <w:tc>
          <w:tcPr>
            <w:tcW w:w="1276" w:type="dxa"/>
            <w:shd w:val="clear" w:color="auto" w:fill="auto"/>
            <w:vAlign w:val="center"/>
            <w:hideMark/>
          </w:tcPr>
          <w:p w:rsidR="009C40C7" w:rsidRPr="00555EAC" w:rsidRDefault="009C40C7" w:rsidP="009C40C7">
            <w:pPr>
              <w:jc w:val="center"/>
              <w:rPr>
                <w:color w:val="000000"/>
                <w:sz w:val="20"/>
                <w:szCs w:val="20"/>
              </w:rPr>
            </w:pPr>
            <w:r w:rsidRPr="00555EAC">
              <w:rPr>
                <w:color w:val="000000"/>
                <w:sz w:val="20"/>
                <w:szCs w:val="20"/>
              </w:rPr>
              <w:t>38 574,0</w:t>
            </w:r>
          </w:p>
        </w:tc>
      </w:tr>
      <w:tr w:rsidR="009C40C7" w:rsidRPr="00555EAC" w:rsidTr="009C40C7">
        <w:trPr>
          <w:cantSplit/>
          <w:trHeight w:val="20"/>
        </w:trPr>
        <w:tc>
          <w:tcPr>
            <w:tcW w:w="4673" w:type="dxa"/>
            <w:shd w:val="clear" w:color="auto" w:fill="auto"/>
            <w:vAlign w:val="center"/>
            <w:hideMark/>
          </w:tcPr>
          <w:p w:rsidR="009C40C7" w:rsidRPr="00555EAC" w:rsidRDefault="009C40C7" w:rsidP="009C40C7">
            <w:pPr>
              <w:rPr>
                <w:color w:val="000000"/>
                <w:sz w:val="20"/>
                <w:szCs w:val="20"/>
              </w:rPr>
            </w:pPr>
            <w:r w:rsidRPr="00555EAC">
              <w:rPr>
                <w:color w:val="000000"/>
                <w:sz w:val="20"/>
                <w:szCs w:val="20"/>
              </w:rPr>
              <w:t>- бюджет автономного округа</w:t>
            </w:r>
          </w:p>
        </w:tc>
        <w:tc>
          <w:tcPr>
            <w:tcW w:w="1134" w:type="dxa"/>
            <w:shd w:val="clear" w:color="auto" w:fill="auto"/>
            <w:vAlign w:val="center"/>
            <w:hideMark/>
          </w:tcPr>
          <w:p w:rsidR="009C40C7" w:rsidRPr="00555EAC" w:rsidRDefault="009C40C7" w:rsidP="009C40C7">
            <w:pPr>
              <w:jc w:val="center"/>
              <w:rPr>
                <w:color w:val="000000"/>
                <w:sz w:val="20"/>
                <w:szCs w:val="20"/>
              </w:rPr>
            </w:pPr>
            <w:r w:rsidRPr="00555EAC">
              <w:rPr>
                <w:color w:val="000000"/>
                <w:sz w:val="20"/>
                <w:szCs w:val="20"/>
              </w:rPr>
              <w:t> </w:t>
            </w:r>
          </w:p>
        </w:tc>
        <w:tc>
          <w:tcPr>
            <w:tcW w:w="1134" w:type="dxa"/>
            <w:shd w:val="clear" w:color="auto" w:fill="auto"/>
            <w:vAlign w:val="center"/>
            <w:hideMark/>
          </w:tcPr>
          <w:p w:rsidR="009C40C7" w:rsidRPr="00555EAC" w:rsidRDefault="009C40C7" w:rsidP="009C40C7">
            <w:pPr>
              <w:jc w:val="center"/>
              <w:rPr>
                <w:color w:val="000000"/>
                <w:sz w:val="20"/>
                <w:szCs w:val="20"/>
              </w:rPr>
            </w:pPr>
            <w:r w:rsidRPr="00555EAC">
              <w:rPr>
                <w:color w:val="000000"/>
                <w:sz w:val="20"/>
                <w:szCs w:val="20"/>
              </w:rPr>
              <w:t>366 836,6</w:t>
            </w:r>
          </w:p>
        </w:tc>
        <w:tc>
          <w:tcPr>
            <w:tcW w:w="1134" w:type="dxa"/>
            <w:shd w:val="clear" w:color="auto" w:fill="auto"/>
            <w:vAlign w:val="center"/>
            <w:hideMark/>
          </w:tcPr>
          <w:p w:rsidR="009C40C7" w:rsidRPr="00555EAC" w:rsidRDefault="009C40C7" w:rsidP="009C40C7">
            <w:pPr>
              <w:jc w:val="center"/>
              <w:rPr>
                <w:color w:val="000000"/>
                <w:sz w:val="20"/>
                <w:szCs w:val="20"/>
              </w:rPr>
            </w:pPr>
            <w:r w:rsidRPr="00555EAC">
              <w:rPr>
                <w:color w:val="000000"/>
                <w:sz w:val="20"/>
                <w:szCs w:val="20"/>
              </w:rPr>
              <w:t>366 068,5</w:t>
            </w:r>
          </w:p>
        </w:tc>
        <w:tc>
          <w:tcPr>
            <w:tcW w:w="1276" w:type="dxa"/>
            <w:shd w:val="clear" w:color="auto" w:fill="auto"/>
            <w:vAlign w:val="center"/>
            <w:hideMark/>
          </w:tcPr>
          <w:p w:rsidR="009C40C7" w:rsidRPr="00555EAC" w:rsidRDefault="009C40C7" w:rsidP="009C40C7">
            <w:pPr>
              <w:jc w:val="center"/>
              <w:rPr>
                <w:color w:val="000000"/>
                <w:sz w:val="20"/>
                <w:szCs w:val="20"/>
              </w:rPr>
            </w:pPr>
            <w:r w:rsidRPr="00555EAC">
              <w:rPr>
                <w:color w:val="000000"/>
                <w:sz w:val="20"/>
                <w:szCs w:val="20"/>
              </w:rPr>
              <w:t>732 905,1</w:t>
            </w:r>
          </w:p>
        </w:tc>
      </w:tr>
      <w:tr w:rsidR="009C40C7" w:rsidRPr="00555EAC" w:rsidTr="009C40C7">
        <w:trPr>
          <w:cantSplit/>
          <w:trHeight w:val="20"/>
        </w:trPr>
        <w:tc>
          <w:tcPr>
            <w:tcW w:w="4673" w:type="dxa"/>
            <w:shd w:val="clear" w:color="auto" w:fill="auto"/>
            <w:vAlign w:val="center"/>
            <w:hideMark/>
          </w:tcPr>
          <w:p w:rsidR="009C40C7" w:rsidRPr="00555EAC" w:rsidRDefault="009C40C7" w:rsidP="009C40C7">
            <w:pPr>
              <w:rPr>
                <w:color w:val="000000"/>
                <w:sz w:val="20"/>
                <w:szCs w:val="20"/>
              </w:rPr>
            </w:pPr>
            <w:r w:rsidRPr="00555EAC">
              <w:rPr>
                <w:color w:val="000000"/>
                <w:sz w:val="20"/>
                <w:szCs w:val="20"/>
              </w:rPr>
              <w:t>- федеральный бюджет</w:t>
            </w:r>
          </w:p>
        </w:tc>
        <w:tc>
          <w:tcPr>
            <w:tcW w:w="1134" w:type="dxa"/>
            <w:shd w:val="clear" w:color="auto" w:fill="auto"/>
            <w:vAlign w:val="center"/>
            <w:hideMark/>
          </w:tcPr>
          <w:p w:rsidR="009C40C7" w:rsidRPr="00555EAC" w:rsidRDefault="009C40C7" w:rsidP="009C40C7">
            <w:pPr>
              <w:jc w:val="center"/>
              <w:rPr>
                <w:color w:val="000000"/>
                <w:sz w:val="20"/>
                <w:szCs w:val="20"/>
              </w:rPr>
            </w:pPr>
            <w:r w:rsidRPr="00555EAC">
              <w:rPr>
                <w:color w:val="000000"/>
                <w:sz w:val="20"/>
                <w:szCs w:val="20"/>
              </w:rPr>
              <w:t> </w:t>
            </w:r>
          </w:p>
        </w:tc>
        <w:tc>
          <w:tcPr>
            <w:tcW w:w="1134" w:type="dxa"/>
            <w:shd w:val="clear" w:color="auto" w:fill="auto"/>
            <w:vAlign w:val="center"/>
            <w:hideMark/>
          </w:tcPr>
          <w:p w:rsidR="009C40C7" w:rsidRPr="00555EAC" w:rsidRDefault="009C40C7" w:rsidP="009C40C7">
            <w:pPr>
              <w:jc w:val="center"/>
              <w:rPr>
                <w:color w:val="000000"/>
                <w:sz w:val="20"/>
                <w:szCs w:val="20"/>
              </w:rPr>
            </w:pPr>
            <w:r w:rsidRPr="00555EAC">
              <w:rPr>
                <w:color w:val="000000"/>
                <w:sz w:val="20"/>
                <w:szCs w:val="20"/>
              </w:rPr>
              <w:t> </w:t>
            </w:r>
          </w:p>
        </w:tc>
        <w:tc>
          <w:tcPr>
            <w:tcW w:w="1134" w:type="dxa"/>
            <w:shd w:val="clear" w:color="auto" w:fill="auto"/>
            <w:vAlign w:val="center"/>
            <w:hideMark/>
          </w:tcPr>
          <w:p w:rsidR="009C40C7" w:rsidRPr="00555EAC" w:rsidRDefault="009C40C7" w:rsidP="009C40C7">
            <w:pPr>
              <w:jc w:val="center"/>
              <w:rPr>
                <w:color w:val="000000"/>
                <w:sz w:val="20"/>
                <w:szCs w:val="20"/>
              </w:rPr>
            </w:pPr>
            <w:r w:rsidRPr="00555EAC">
              <w:rPr>
                <w:color w:val="000000"/>
                <w:sz w:val="20"/>
                <w:szCs w:val="20"/>
              </w:rPr>
              <w:t> </w:t>
            </w:r>
          </w:p>
        </w:tc>
        <w:tc>
          <w:tcPr>
            <w:tcW w:w="1276" w:type="dxa"/>
            <w:shd w:val="clear" w:color="auto" w:fill="auto"/>
            <w:vAlign w:val="center"/>
            <w:hideMark/>
          </w:tcPr>
          <w:p w:rsidR="009C40C7" w:rsidRPr="00555EAC" w:rsidRDefault="009C40C7" w:rsidP="009C40C7">
            <w:pPr>
              <w:jc w:val="center"/>
              <w:rPr>
                <w:color w:val="000000"/>
                <w:sz w:val="20"/>
                <w:szCs w:val="20"/>
              </w:rPr>
            </w:pPr>
            <w:r w:rsidRPr="00555EAC">
              <w:rPr>
                <w:color w:val="000000"/>
                <w:sz w:val="20"/>
                <w:szCs w:val="20"/>
              </w:rPr>
              <w:t>0,0</w:t>
            </w:r>
          </w:p>
        </w:tc>
      </w:tr>
      <w:tr w:rsidR="009C40C7" w:rsidRPr="00555EAC" w:rsidTr="009C40C7">
        <w:trPr>
          <w:cantSplit/>
          <w:trHeight w:val="20"/>
        </w:trPr>
        <w:tc>
          <w:tcPr>
            <w:tcW w:w="4673" w:type="dxa"/>
            <w:shd w:val="clear" w:color="auto" w:fill="auto"/>
            <w:vAlign w:val="center"/>
            <w:hideMark/>
          </w:tcPr>
          <w:p w:rsidR="009C40C7" w:rsidRPr="00555EAC" w:rsidRDefault="009C40C7" w:rsidP="009C40C7">
            <w:pPr>
              <w:rPr>
                <w:color w:val="000000"/>
                <w:sz w:val="20"/>
                <w:szCs w:val="20"/>
              </w:rPr>
            </w:pPr>
            <w:r w:rsidRPr="00555EAC">
              <w:rPr>
                <w:color w:val="000000"/>
                <w:sz w:val="20"/>
                <w:szCs w:val="20"/>
              </w:rPr>
              <w:t>Муниципальная программа "Экологическая безопасность города Пыть-Яха" всего, в том числе:</w:t>
            </w:r>
          </w:p>
        </w:tc>
        <w:tc>
          <w:tcPr>
            <w:tcW w:w="1134" w:type="dxa"/>
            <w:shd w:val="clear" w:color="auto" w:fill="auto"/>
            <w:vAlign w:val="center"/>
            <w:hideMark/>
          </w:tcPr>
          <w:p w:rsidR="009C40C7" w:rsidRPr="00555EAC" w:rsidRDefault="009C40C7" w:rsidP="009C40C7">
            <w:pPr>
              <w:jc w:val="center"/>
              <w:rPr>
                <w:color w:val="000000"/>
                <w:sz w:val="20"/>
                <w:szCs w:val="20"/>
              </w:rPr>
            </w:pPr>
            <w:r w:rsidRPr="00555EAC">
              <w:rPr>
                <w:color w:val="000000"/>
                <w:sz w:val="20"/>
                <w:szCs w:val="20"/>
              </w:rPr>
              <w:t>663,0</w:t>
            </w:r>
          </w:p>
        </w:tc>
        <w:tc>
          <w:tcPr>
            <w:tcW w:w="1134" w:type="dxa"/>
            <w:shd w:val="clear" w:color="auto" w:fill="auto"/>
            <w:vAlign w:val="center"/>
            <w:hideMark/>
          </w:tcPr>
          <w:p w:rsidR="009C40C7" w:rsidRPr="00555EAC" w:rsidRDefault="009C40C7" w:rsidP="009C40C7">
            <w:pPr>
              <w:jc w:val="center"/>
              <w:rPr>
                <w:color w:val="000000"/>
                <w:sz w:val="20"/>
                <w:szCs w:val="20"/>
              </w:rPr>
            </w:pPr>
            <w:r w:rsidRPr="00555EAC">
              <w:rPr>
                <w:color w:val="000000"/>
                <w:sz w:val="20"/>
                <w:szCs w:val="20"/>
              </w:rPr>
              <w:t>663,0</w:t>
            </w:r>
          </w:p>
        </w:tc>
        <w:tc>
          <w:tcPr>
            <w:tcW w:w="1134" w:type="dxa"/>
            <w:shd w:val="clear" w:color="auto" w:fill="auto"/>
            <w:vAlign w:val="center"/>
            <w:hideMark/>
          </w:tcPr>
          <w:p w:rsidR="009C40C7" w:rsidRPr="00555EAC" w:rsidRDefault="009C40C7" w:rsidP="009C40C7">
            <w:pPr>
              <w:jc w:val="center"/>
              <w:rPr>
                <w:color w:val="000000"/>
                <w:sz w:val="20"/>
                <w:szCs w:val="20"/>
              </w:rPr>
            </w:pPr>
            <w:r w:rsidRPr="00555EAC">
              <w:rPr>
                <w:color w:val="000000"/>
                <w:sz w:val="20"/>
                <w:szCs w:val="20"/>
              </w:rPr>
              <w:t>663,0</w:t>
            </w:r>
          </w:p>
        </w:tc>
        <w:tc>
          <w:tcPr>
            <w:tcW w:w="1276" w:type="dxa"/>
            <w:shd w:val="clear" w:color="auto" w:fill="auto"/>
            <w:vAlign w:val="center"/>
            <w:hideMark/>
          </w:tcPr>
          <w:p w:rsidR="009C40C7" w:rsidRPr="00555EAC" w:rsidRDefault="009C40C7" w:rsidP="009C40C7">
            <w:pPr>
              <w:jc w:val="center"/>
              <w:rPr>
                <w:color w:val="000000"/>
                <w:sz w:val="20"/>
                <w:szCs w:val="20"/>
              </w:rPr>
            </w:pPr>
            <w:r w:rsidRPr="00555EAC">
              <w:rPr>
                <w:color w:val="000000"/>
                <w:sz w:val="20"/>
                <w:szCs w:val="20"/>
              </w:rPr>
              <w:t>1 989,0</w:t>
            </w:r>
          </w:p>
        </w:tc>
      </w:tr>
      <w:tr w:rsidR="009C40C7" w:rsidRPr="00555EAC" w:rsidTr="009C40C7">
        <w:trPr>
          <w:cantSplit/>
          <w:trHeight w:val="20"/>
        </w:trPr>
        <w:tc>
          <w:tcPr>
            <w:tcW w:w="4673" w:type="dxa"/>
            <w:shd w:val="clear" w:color="auto" w:fill="auto"/>
            <w:vAlign w:val="center"/>
            <w:hideMark/>
          </w:tcPr>
          <w:p w:rsidR="009C40C7" w:rsidRPr="00555EAC" w:rsidRDefault="009C40C7" w:rsidP="009C40C7">
            <w:pPr>
              <w:rPr>
                <w:color w:val="000000"/>
                <w:sz w:val="20"/>
                <w:szCs w:val="20"/>
              </w:rPr>
            </w:pPr>
            <w:r w:rsidRPr="00555EAC">
              <w:rPr>
                <w:color w:val="000000"/>
                <w:sz w:val="20"/>
                <w:szCs w:val="20"/>
              </w:rPr>
              <w:t>- бюджет города</w:t>
            </w:r>
          </w:p>
        </w:tc>
        <w:tc>
          <w:tcPr>
            <w:tcW w:w="1134" w:type="dxa"/>
            <w:shd w:val="clear" w:color="auto" w:fill="auto"/>
            <w:vAlign w:val="center"/>
            <w:hideMark/>
          </w:tcPr>
          <w:p w:rsidR="009C40C7" w:rsidRPr="00555EAC" w:rsidRDefault="009C40C7" w:rsidP="009C40C7">
            <w:pPr>
              <w:jc w:val="center"/>
              <w:rPr>
                <w:color w:val="000000"/>
                <w:sz w:val="20"/>
                <w:szCs w:val="20"/>
              </w:rPr>
            </w:pPr>
            <w:r w:rsidRPr="00555EAC">
              <w:rPr>
                <w:color w:val="000000"/>
                <w:sz w:val="20"/>
                <w:szCs w:val="20"/>
              </w:rPr>
              <w:t>663,0</w:t>
            </w:r>
          </w:p>
        </w:tc>
        <w:tc>
          <w:tcPr>
            <w:tcW w:w="1134" w:type="dxa"/>
            <w:shd w:val="clear" w:color="auto" w:fill="auto"/>
            <w:vAlign w:val="center"/>
            <w:hideMark/>
          </w:tcPr>
          <w:p w:rsidR="009C40C7" w:rsidRPr="00555EAC" w:rsidRDefault="009C40C7" w:rsidP="009C40C7">
            <w:pPr>
              <w:jc w:val="center"/>
              <w:rPr>
                <w:color w:val="000000"/>
                <w:sz w:val="20"/>
                <w:szCs w:val="20"/>
              </w:rPr>
            </w:pPr>
            <w:r w:rsidRPr="00555EAC">
              <w:rPr>
                <w:color w:val="000000"/>
                <w:sz w:val="20"/>
                <w:szCs w:val="20"/>
              </w:rPr>
              <w:t>663,0</w:t>
            </w:r>
          </w:p>
        </w:tc>
        <w:tc>
          <w:tcPr>
            <w:tcW w:w="1134" w:type="dxa"/>
            <w:shd w:val="clear" w:color="auto" w:fill="auto"/>
            <w:vAlign w:val="center"/>
            <w:hideMark/>
          </w:tcPr>
          <w:p w:rsidR="009C40C7" w:rsidRPr="00555EAC" w:rsidRDefault="009C40C7" w:rsidP="009C40C7">
            <w:pPr>
              <w:jc w:val="center"/>
              <w:rPr>
                <w:color w:val="000000"/>
                <w:sz w:val="20"/>
                <w:szCs w:val="20"/>
              </w:rPr>
            </w:pPr>
            <w:r w:rsidRPr="00555EAC">
              <w:rPr>
                <w:color w:val="000000"/>
                <w:sz w:val="20"/>
                <w:szCs w:val="20"/>
              </w:rPr>
              <w:t>663,0</w:t>
            </w:r>
          </w:p>
        </w:tc>
        <w:tc>
          <w:tcPr>
            <w:tcW w:w="1276" w:type="dxa"/>
            <w:shd w:val="clear" w:color="auto" w:fill="auto"/>
            <w:vAlign w:val="center"/>
            <w:hideMark/>
          </w:tcPr>
          <w:p w:rsidR="009C40C7" w:rsidRPr="00555EAC" w:rsidRDefault="009C40C7" w:rsidP="009C40C7">
            <w:pPr>
              <w:jc w:val="center"/>
              <w:rPr>
                <w:color w:val="000000"/>
                <w:sz w:val="20"/>
                <w:szCs w:val="20"/>
              </w:rPr>
            </w:pPr>
            <w:r w:rsidRPr="00555EAC">
              <w:rPr>
                <w:color w:val="000000"/>
                <w:sz w:val="20"/>
                <w:szCs w:val="20"/>
              </w:rPr>
              <w:t>1 989,0</w:t>
            </w:r>
          </w:p>
        </w:tc>
      </w:tr>
      <w:tr w:rsidR="009C40C7" w:rsidRPr="00555EAC" w:rsidTr="009C40C7">
        <w:trPr>
          <w:cantSplit/>
          <w:trHeight w:val="20"/>
        </w:trPr>
        <w:tc>
          <w:tcPr>
            <w:tcW w:w="4673" w:type="dxa"/>
            <w:shd w:val="clear" w:color="auto" w:fill="auto"/>
            <w:vAlign w:val="center"/>
            <w:hideMark/>
          </w:tcPr>
          <w:p w:rsidR="009C40C7" w:rsidRPr="00555EAC" w:rsidRDefault="009C40C7" w:rsidP="009C40C7">
            <w:pPr>
              <w:rPr>
                <w:color w:val="000000"/>
                <w:sz w:val="20"/>
                <w:szCs w:val="20"/>
              </w:rPr>
            </w:pPr>
            <w:r w:rsidRPr="00555EAC">
              <w:rPr>
                <w:color w:val="000000"/>
                <w:sz w:val="20"/>
                <w:szCs w:val="20"/>
              </w:rPr>
              <w:t>- бюджет автономного округа</w:t>
            </w:r>
          </w:p>
        </w:tc>
        <w:tc>
          <w:tcPr>
            <w:tcW w:w="1134" w:type="dxa"/>
            <w:shd w:val="clear" w:color="auto" w:fill="auto"/>
            <w:vAlign w:val="center"/>
            <w:hideMark/>
          </w:tcPr>
          <w:p w:rsidR="009C40C7" w:rsidRPr="00555EAC" w:rsidRDefault="009C40C7" w:rsidP="009C40C7">
            <w:pPr>
              <w:jc w:val="center"/>
              <w:rPr>
                <w:color w:val="000000"/>
                <w:sz w:val="20"/>
                <w:szCs w:val="20"/>
              </w:rPr>
            </w:pPr>
            <w:r w:rsidRPr="00555EAC">
              <w:rPr>
                <w:color w:val="000000"/>
                <w:sz w:val="20"/>
                <w:szCs w:val="20"/>
              </w:rPr>
              <w:t> </w:t>
            </w:r>
          </w:p>
        </w:tc>
        <w:tc>
          <w:tcPr>
            <w:tcW w:w="1134" w:type="dxa"/>
            <w:shd w:val="clear" w:color="auto" w:fill="auto"/>
            <w:vAlign w:val="center"/>
            <w:hideMark/>
          </w:tcPr>
          <w:p w:rsidR="009C40C7" w:rsidRPr="00555EAC" w:rsidRDefault="009C40C7" w:rsidP="009C40C7">
            <w:pPr>
              <w:jc w:val="center"/>
              <w:rPr>
                <w:color w:val="000000"/>
                <w:sz w:val="20"/>
                <w:szCs w:val="20"/>
              </w:rPr>
            </w:pPr>
            <w:r w:rsidRPr="00555EAC">
              <w:rPr>
                <w:color w:val="000000"/>
                <w:sz w:val="20"/>
                <w:szCs w:val="20"/>
              </w:rPr>
              <w:t> </w:t>
            </w:r>
          </w:p>
        </w:tc>
        <w:tc>
          <w:tcPr>
            <w:tcW w:w="1134" w:type="dxa"/>
            <w:shd w:val="clear" w:color="auto" w:fill="auto"/>
            <w:vAlign w:val="center"/>
            <w:hideMark/>
          </w:tcPr>
          <w:p w:rsidR="009C40C7" w:rsidRPr="00555EAC" w:rsidRDefault="009C40C7" w:rsidP="009C40C7">
            <w:pPr>
              <w:jc w:val="center"/>
              <w:rPr>
                <w:color w:val="000000"/>
                <w:sz w:val="20"/>
                <w:szCs w:val="20"/>
              </w:rPr>
            </w:pPr>
            <w:r w:rsidRPr="00555EAC">
              <w:rPr>
                <w:color w:val="000000"/>
                <w:sz w:val="20"/>
                <w:szCs w:val="20"/>
              </w:rPr>
              <w:t> </w:t>
            </w:r>
          </w:p>
        </w:tc>
        <w:tc>
          <w:tcPr>
            <w:tcW w:w="1276" w:type="dxa"/>
            <w:shd w:val="clear" w:color="auto" w:fill="auto"/>
            <w:vAlign w:val="center"/>
            <w:hideMark/>
          </w:tcPr>
          <w:p w:rsidR="009C40C7" w:rsidRPr="00555EAC" w:rsidRDefault="009C40C7" w:rsidP="009C40C7">
            <w:pPr>
              <w:jc w:val="center"/>
              <w:rPr>
                <w:color w:val="000000"/>
                <w:sz w:val="20"/>
                <w:szCs w:val="20"/>
              </w:rPr>
            </w:pPr>
            <w:r w:rsidRPr="00555EAC">
              <w:rPr>
                <w:color w:val="000000"/>
                <w:sz w:val="20"/>
                <w:szCs w:val="20"/>
              </w:rPr>
              <w:t>0,0</w:t>
            </w:r>
          </w:p>
        </w:tc>
      </w:tr>
      <w:tr w:rsidR="009C40C7" w:rsidRPr="00555EAC" w:rsidTr="009C40C7">
        <w:trPr>
          <w:cantSplit/>
          <w:trHeight w:val="20"/>
        </w:trPr>
        <w:tc>
          <w:tcPr>
            <w:tcW w:w="4673" w:type="dxa"/>
            <w:shd w:val="clear" w:color="auto" w:fill="auto"/>
            <w:vAlign w:val="center"/>
            <w:hideMark/>
          </w:tcPr>
          <w:p w:rsidR="009C40C7" w:rsidRPr="00555EAC" w:rsidRDefault="009C40C7" w:rsidP="009C40C7">
            <w:pPr>
              <w:rPr>
                <w:color w:val="000000"/>
                <w:sz w:val="20"/>
                <w:szCs w:val="20"/>
              </w:rPr>
            </w:pPr>
            <w:r w:rsidRPr="00555EAC">
              <w:rPr>
                <w:color w:val="000000"/>
                <w:sz w:val="20"/>
                <w:szCs w:val="20"/>
              </w:rPr>
              <w:t>- федеральный бюджет</w:t>
            </w:r>
          </w:p>
        </w:tc>
        <w:tc>
          <w:tcPr>
            <w:tcW w:w="1134" w:type="dxa"/>
            <w:shd w:val="clear" w:color="auto" w:fill="auto"/>
            <w:vAlign w:val="center"/>
            <w:hideMark/>
          </w:tcPr>
          <w:p w:rsidR="009C40C7" w:rsidRPr="00555EAC" w:rsidRDefault="009C40C7" w:rsidP="009C40C7">
            <w:pPr>
              <w:jc w:val="center"/>
              <w:rPr>
                <w:color w:val="000000"/>
                <w:sz w:val="20"/>
                <w:szCs w:val="20"/>
              </w:rPr>
            </w:pPr>
            <w:r w:rsidRPr="00555EAC">
              <w:rPr>
                <w:color w:val="000000"/>
                <w:sz w:val="20"/>
                <w:szCs w:val="20"/>
              </w:rPr>
              <w:t> </w:t>
            </w:r>
          </w:p>
        </w:tc>
        <w:tc>
          <w:tcPr>
            <w:tcW w:w="1134" w:type="dxa"/>
            <w:shd w:val="clear" w:color="auto" w:fill="auto"/>
            <w:vAlign w:val="center"/>
            <w:hideMark/>
          </w:tcPr>
          <w:p w:rsidR="009C40C7" w:rsidRPr="00555EAC" w:rsidRDefault="009C40C7" w:rsidP="009C40C7">
            <w:pPr>
              <w:jc w:val="center"/>
              <w:rPr>
                <w:color w:val="000000"/>
                <w:sz w:val="20"/>
                <w:szCs w:val="20"/>
              </w:rPr>
            </w:pPr>
            <w:r w:rsidRPr="00555EAC">
              <w:rPr>
                <w:color w:val="000000"/>
                <w:sz w:val="20"/>
                <w:szCs w:val="20"/>
              </w:rPr>
              <w:t> </w:t>
            </w:r>
          </w:p>
        </w:tc>
        <w:tc>
          <w:tcPr>
            <w:tcW w:w="1134" w:type="dxa"/>
            <w:shd w:val="clear" w:color="auto" w:fill="auto"/>
            <w:vAlign w:val="center"/>
            <w:hideMark/>
          </w:tcPr>
          <w:p w:rsidR="009C40C7" w:rsidRPr="00555EAC" w:rsidRDefault="009C40C7" w:rsidP="009C40C7">
            <w:pPr>
              <w:jc w:val="center"/>
              <w:rPr>
                <w:color w:val="000000"/>
                <w:sz w:val="20"/>
                <w:szCs w:val="20"/>
              </w:rPr>
            </w:pPr>
            <w:r w:rsidRPr="00555EAC">
              <w:rPr>
                <w:color w:val="000000"/>
                <w:sz w:val="20"/>
                <w:szCs w:val="20"/>
              </w:rPr>
              <w:t> </w:t>
            </w:r>
          </w:p>
        </w:tc>
        <w:tc>
          <w:tcPr>
            <w:tcW w:w="1276" w:type="dxa"/>
            <w:shd w:val="clear" w:color="auto" w:fill="auto"/>
            <w:vAlign w:val="center"/>
            <w:hideMark/>
          </w:tcPr>
          <w:p w:rsidR="009C40C7" w:rsidRPr="00555EAC" w:rsidRDefault="009C40C7" w:rsidP="009C40C7">
            <w:pPr>
              <w:jc w:val="center"/>
              <w:rPr>
                <w:color w:val="000000"/>
                <w:sz w:val="20"/>
                <w:szCs w:val="20"/>
              </w:rPr>
            </w:pPr>
            <w:r w:rsidRPr="00555EAC">
              <w:rPr>
                <w:color w:val="000000"/>
                <w:sz w:val="20"/>
                <w:szCs w:val="20"/>
              </w:rPr>
              <w:t>0,0</w:t>
            </w:r>
          </w:p>
        </w:tc>
      </w:tr>
      <w:tr w:rsidR="009C40C7" w:rsidRPr="00555EAC" w:rsidTr="009C40C7">
        <w:trPr>
          <w:cantSplit/>
          <w:trHeight w:val="20"/>
        </w:trPr>
        <w:tc>
          <w:tcPr>
            <w:tcW w:w="4673" w:type="dxa"/>
            <w:shd w:val="clear" w:color="auto" w:fill="auto"/>
            <w:vAlign w:val="center"/>
            <w:hideMark/>
          </w:tcPr>
          <w:p w:rsidR="009C40C7" w:rsidRPr="00555EAC" w:rsidRDefault="009C40C7" w:rsidP="009C40C7">
            <w:pPr>
              <w:rPr>
                <w:b/>
                <w:bCs/>
                <w:i/>
                <w:iCs/>
                <w:color w:val="000000"/>
                <w:sz w:val="20"/>
                <w:szCs w:val="20"/>
              </w:rPr>
            </w:pPr>
            <w:r w:rsidRPr="00555EAC">
              <w:rPr>
                <w:b/>
                <w:bCs/>
                <w:i/>
                <w:iCs/>
                <w:color w:val="000000"/>
                <w:sz w:val="20"/>
                <w:szCs w:val="20"/>
              </w:rPr>
              <w:t>Итого по НП «Цифровая экономика»:</w:t>
            </w:r>
          </w:p>
        </w:tc>
        <w:tc>
          <w:tcPr>
            <w:tcW w:w="1134" w:type="dxa"/>
            <w:shd w:val="clear" w:color="auto" w:fill="auto"/>
            <w:vAlign w:val="center"/>
            <w:hideMark/>
          </w:tcPr>
          <w:p w:rsidR="009C40C7" w:rsidRPr="00555EAC" w:rsidRDefault="009C40C7" w:rsidP="009C40C7">
            <w:pPr>
              <w:jc w:val="center"/>
              <w:rPr>
                <w:b/>
                <w:bCs/>
                <w:i/>
                <w:iCs/>
                <w:color w:val="000000"/>
                <w:sz w:val="20"/>
                <w:szCs w:val="20"/>
              </w:rPr>
            </w:pPr>
            <w:r w:rsidRPr="00555EAC">
              <w:rPr>
                <w:b/>
                <w:bCs/>
                <w:i/>
                <w:iCs/>
                <w:color w:val="000000"/>
                <w:sz w:val="20"/>
                <w:szCs w:val="20"/>
              </w:rPr>
              <w:t>2 075,2</w:t>
            </w:r>
          </w:p>
        </w:tc>
        <w:tc>
          <w:tcPr>
            <w:tcW w:w="1134" w:type="dxa"/>
            <w:shd w:val="clear" w:color="auto" w:fill="auto"/>
            <w:vAlign w:val="center"/>
            <w:hideMark/>
          </w:tcPr>
          <w:p w:rsidR="009C40C7" w:rsidRPr="00555EAC" w:rsidRDefault="009C40C7" w:rsidP="009C40C7">
            <w:pPr>
              <w:jc w:val="center"/>
              <w:rPr>
                <w:b/>
                <w:bCs/>
                <w:i/>
                <w:iCs/>
                <w:color w:val="000000"/>
                <w:sz w:val="20"/>
                <w:szCs w:val="20"/>
              </w:rPr>
            </w:pPr>
            <w:r w:rsidRPr="00555EAC">
              <w:rPr>
                <w:b/>
                <w:bCs/>
                <w:i/>
                <w:iCs/>
                <w:color w:val="000000"/>
                <w:sz w:val="20"/>
                <w:szCs w:val="20"/>
              </w:rPr>
              <w:t>2 075,2</w:t>
            </w:r>
          </w:p>
        </w:tc>
        <w:tc>
          <w:tcPr>
            <w:tcW w:w="1134" w:type="dxa"/>
            <w:shd w:val="clear" w:color="auto" w:fill="auto"/>
            <w:vAlign w:val="center"/>
            <w:hideMark/>
          </w:tcPr>
          <w:p w:rsidR="009C40C7" w:rsidRPr="00555EAC" w:rsidRDefault="009C40C7" w:rsidP="009C40C7">
            <w:pPr>
              <w:jc w:val="center"/>
              <w:rPr>
                <w:b/>
                <w:bCs/>
                <w:i/>
                <w:iCs/>
                <w:color w:val="000000"/>
                <w:sz w:val="20"/>
                <w:szCs w:val="20"/>
              </w:rPr>
            </w:pPr>
            <w:r w:rsidRPr="00555EAC">
              <w:rPr>
                <w:b/>
                <w:bCs/>
                <w:i/>
                <w:iCs/>
                <w:color w:val="000000"/>
                <w:sz w:val="20"/>
                <w:szCs w:val="20"/>
              </w:rPr>
              <w:t>2 075,2</w:t>
            </w:r>
          </w:p>
        </w:tc>
        <w:tc>
          <w:tcPr>
            <w:tcW w:w="1276" w:type="dxa"/>
            <w:shd w:val="clear" w:color="auto" w:fill="auto"/>
            <w:vAlign w:val="center"/>
            <w:hideMark/>
          </w:tcPr>
          <w:p w:rsidR="009C40C7" w:rsidRPr="00555EAC" w:rsidRDefault="009C40C7" w:rsidP="009C40C7">
            <w:pPr>
              <w:jc w:val="center"/>
              <w:rPr>
                <w:b/>
                <w:bCs/>
                <w:i/>
                <w:iCs/>
                <w:color w:val="000000"/>
                <w:sz w:val="20"/>
                <w:szCs w:val="20"/>
              </w:rPr>
            </w:pPr>
            <w:r w:rsidRPr="00555EAC">
              <w:rPr>
                <w:b/>
                <w:bCs/>
                <w:i/>
                <w:iCs/>
                <w:color w:val="000000"/>
                <w:sz w:val="20"/>
                <w:szCs w:val="20"/>
              </w:rPr>
              <w:t>6 225,6</w:t>
            </w:r>
          </w:p>
        </w:tc>
      </w:tr>
      <w:tr w:rsidR="009C40C7" w:rsidRPr="00555EAC" w:rsidTr="009C40C7">
        <w:trPr>
          <w:cantSplit/>
          <w:trHeight w:val="20"/>
        </w:trPr>
        <w:tc>
          <w:tcPr>
            <w:tcW w:w="4673" w:type="dxa"/>
            <w:shd w:val="clear" w:color="auto" w:fill="auto"/>
            <w:vAlign w:val="center"/>
            <w:hideMark/>
          </w:tcPr>
          <w:p w:rsidR="009C40C7" w:rsidRPr="00555EAC" w:rsidRDefault="009C40C7" w:rsidP="009C40C7">
            <w:pPr>
              <w:rPr>
                <w:color w:val="000000"/>
                <w:sz w:val="20"/>
                <w:szCs w:val="20"/>
              </w:rPr>
            </w:pPr>
            <w:r w:rsidRPr="00555EAC">
              <w:rPr>
                <w:color w:val="000000"/>
                <w:sz w:val="20"/>
                <w:szCs w:val="20"/>
              </w:rPr>
              <w:t>Муниципальная программа "Цифровое развитие города Пыть-Яха" всего, в том числе:</w:t>
            </w:r>
          </w:p>
        </w:tc>
        <w:tc>
          <w:tcPr>
            <w:tcW w:w="1134" w:type="dxa"/>
            <w:shd w:val="clear" w:color="auto" w:fill="auto"/>
            <w:vAlign w:val="center"/>
            <w:hideMark/>
          </w:tcPr>
          <w:p w:rsidR="009C40C7" w:rsidRPr="00555EAC" w:rsidRDefault="009C40C7" w:rsidP="009C40C7">
            <w:pPr>
              <w:jc w:val="center"/>
              <w:rPr>
                <w:color w:val="000000"/>
                <w:sz w:val="20"/>
                <w:szCs w:val="20"/>
              </w:rPr>
            </w:pPr>
            <w:r w:rsidRPr="00555EAC">
              <w:rPr>
                <w:color w:val="000000"/>
                <w:sz w:val="20"/>
                <w:szCs w:val="20"/>
              </w:rPr>
              <w:t>2 075,2</w:t>
            </w:r>
          </w:p>
        </w:tc>
        <w:tc>
          <w:tcPr>
            <w:tcW w:w="1134" w:type="dxa"/>
            <w:shd w:val="clear" w:color="auto" w:fill="auto"/>
            <w:vAlign w:val="center"/>
            <w:hideMark/>
          </w:tcPr>
          <w:p w:rsidR="009C40C7" w:rsidRPr="00555EAC" w:rsidRDefault="009C40C7" w:rsidP="009C40C7">
            <w:pPr>
              <w:jc w:val="center"/>
              <w:rPr>
                <w:color w:val="000000"/>
                <w:sz w:val="20"/>
                <w:szCs w:val="20"/>
              </w:rPr>
            </w:pPr>
            <w:r w:rsidRPr="00555EAC">
              <w:rPr>
                <w:color w:val="000000"/>
                <w:sz w:val="20"/>
                <w:szCs w:val="20"/>
              </w:rPr>
              <w:t>2 075,2</w:t>
            </w:r>
          </w:p>
        </w:tc>
        <w:tc>
          <w:tcPr>
            <w:tcW w:w="1134" w:type="dxa"/>
            <w:shd w:val="clear" w:color="auto" w:fill="auto"/>
            <w:vAlign w:val="center"/>
            <w:hideMark/>
          </w:tcPr>
          <w:p w:rsidR="009C40C7" w:rsidRPr="00555EAC" w:rsidRDefault="009C40C7" w:rsidP="009C40C7">
            <w:pPr>
              <w:jc w:val="center"/>
              <w:rPr>
                <w:color w:val="000000"/>
                <w:sz w:val="20"/>
                <w:szCs w:val="20"/>
              </w:rPr>
            </w:pPr>
            <w:r w:rsidRPr="00555EAC">
              <w:rPr>
                <w:color w:val="000000"/>
                <w:sz w:val="20"/>
                <w:szCs w:val="20"/>
              </w:rPr>
              <w:t>2 075,2</w:t>
            </w:r>
          </w:p>
        </w:tc>
        <w:tc>
          <w:tcPr>
            <w:tcW w:w="1276" w:type="dxa"/>
            <w:shd w:val="clear" w:color="auto" w:fill="auto"/>
            <w:vAlign w:val="center"/>
            <w:hideMark/>
          </w:tcPr>
          <w:p w:rsidR="009C40C7" w:rsidRPr="00555EAC" w:rsidRDefault="009C40C7" w:rsidP="009C40C7">
            <w:pPr>
              <w:jc w:val="center"/>
              <w:rPr>
                <w:color w:val="000000"/>
                <w:sz w:val="20"/>
                <w:szCs w:val="20"/>
              </w:rPr>
            </w:pPr>
            <w:r w:rsidRPr="00555EAC">
              <w:rPr>
                <w:color w:val="000000"/>
                <w:sz w:val="20"/>
                <w:szCs w:val="20"/>
              </w:rPr>
              <w:t>6 225,6</w:t>
            </w:r>
          </w:p>
        </w:tc>
      </w:tr>
      <w:tr w:rsidR="009C40C7" w:rsidRPr="00555EAC" w:rsidTr="009C40C7">
        <w:trPr>
          <w:cantSplit/>
          <w:trHeight w:val="20"/>
        </w:trPr>
        <w:tc>
          <w:tcPr>
            <w:tcW w:w="4673" w:type="dxa"/>
            <w:shd w:val="clear" w:color="auto" w:fill="auto"/>
            <w:vAlign w:val="center"/>
            <w:hideMark/>
          </w:tcPr>
          <w:p w:rsidR="009C40C7" w:rsidRPr="00555EAC" w:rsidRDefault="009C40C7" w:rsidP="009C40C7">
            <w:pPr>
              <w:rPr>
                <w:color w:val="000000"/>
                <w:sz w:val="20"/>
                <w:szCs w:val="20"/>
              </w:rPr>
            </w:pPr>
            <w:r w:rsidRPr="00555EAC">
              <w:rPr>
                <w:color w:val="000000"/>
                <w:sz w:val="20"/>
                <w:szCs w:val="20"/>
              </w:rPr>
              <w:t>- бюджет города</w:t>
            </w:r>
          </w:p>
        </w:tc>
        <w:tc>
          <w:tcPr>
            <w:tcW w:w="1134" w:type="dxa"/>
            <w:shd w:val="clear" w:color="auto" w:fill="auto"/>
            <w:vAlign w:val="center"/>
            <w:hideMark/>
          </w:tcPr>
          <w:p w:rsidR="009C40C7" w:rsidRPr="00555EAC" w:rsidRDefault="009C40C7" w:rsidP="009C40C7">
            <w:pPr>
              <w:jc w:val="center"/>
              <w:rPr>
                <w:color w:val="000000"/>
                <w:sz w:val="20"/>
                <w:szCs w:val="20"/>
              </w:rPr>
            </w:pPr>
            <w:r w:rsidRPr="00555EAC">
              <w:rPr>
                <w:color w:val="000000"/>
                <w:sz w:val="20"/>
                <w:szCs w:val="20"/>
              </w:rPr>
              <w:t>2 075,2</w:t>
            </w:r>
          </w:p>
        </w:tc>
        <w:tc>
          <w:tcPr>
            <w:tcW w:w="1134" w:type="dxa"/>
            <w:shd w:val="clear" w:color="auto" w:fill="auto"/>
            <w:vAlign w:val="center"/>
            <w:hideMark/>
          </w:tcPr>
          <w:p w:rsidR="009C40C7" w:rsidRPr="00555EAC" w:rsidRDefault="009C40C7" w:rsidP="009C40C7">
            <w:pPr>
              <w:jc w:val="center"/>
              <w:rPr>
                <w:color w:val="000000"/>
                <w:sz w:val="20"/>
                <w:szCs w:val="20"/>
              </w:rPr>
            </w:pPr>
            <w:r w:rsidRPr="00555EAC">
              <w:rPr>
                <w:color w:val="000000"/>
                <w:sz w:val="20"/>
                <w:szCs w:val="20"/>
              </w:rPr>
              <w:t>2 075,2</w:t>
            </w:r>
          </w:p>
        </w:tc>
        <w:tc>
          <w:tcPr>
            <w:tcW w:w="1134" w:type="dxa"/>
            <w:shd w:val="clear" w:color="auto" w:fill="auto"/>
            <w:vAlign w:val="center"/>
            <w:hideMark/>
          </w:tcPr>
          <w:p w:rsidR="009C40C7" w:rsidRPr="00555EAC" w:rsidRDefault="009C40C7" w:rsidP="009C40C7">
            <w:pPr>
              <w:jc w:val="center"/>
              <w:rPr>
                <w:color w:val="000000"/>
                <w:sz w:val="20"/>
                <w:szCs w:val="20"/>
              </w:rPr>
            </w:pPr>
            <w:r w:rsidRPr="00555EAC">
              <w:rPr>
                <w:color w:val="000000"/>
                <w:sz w:val="20"/>
                <w:szCs w:val="20"/>
              </w:rPr>
              <w:t>2 075,2</w:t>
            </w:r>
          </w:p>
        </w:tc>
        <w:tc>
          <w:tcPr>
            <w:tcW w:w="1276" w:type="dxa"/>
            <w:shd w:val="clear" w:color="auto" w:fill="auto"/>
            <w:vAlign w:val="center"/>
            <w:hideMark/>
          </w:tcPr>
          <w:p w:rsidR="009C40C7" w:rsidRPr="00555EAC" w:rsidRDefault="009C40C7" w:rsidP="009C40C7">
            <w:pPr>
              <w:jc w:val="center"/>
              <w:rPr>
                <w:color w:val="000000"/>
                <w:sz w:val="20"/>
                <w:szCs w:val="20"/>
              </w:rPr>
            </w:pPr>
            <w:r w:rsidRPr="00555EAC">
              <w:rPr>
                <w:color w:val="000000"/>
                <w:sz w:val="20"/>
                <w:szCs w:val="20"/>
              </w:rPr>
              <w:t>6 225,6</w:t>
            </w:r>
          </w:p>
        </w:tc>
      </w:tr>
      <w:tr w:rsidR="009C40C7" w:rsidRPr="00555EAC" w:rsidTr="009C40C7">
        <w:trPr>
          <w:cantSplit/>
          <w:trHeight w:val="20"/>
        </w:trPr>
        <w:tc>
          <w:tcPr>
            <w:tcW w:w="4673" w:type="dxa"/>
            <w:shd w:val="clear" w:color="auto" w:fill="auto"/>
            <w:vAlign w:val="center"/>
            <w:hideMark/>
          </w:tcPr>
          <w:p w:rsidR="009C40C7" w:rsidRPr="00555EAC" w:rsidRDefault="009C40C7" w:rsidP="009C40C7">
            <w:pPr>
              <w:rPr>
                <w:color w:val="000000"/>
                <w:sz w:val="20"/>
                <w:szCs w:val="20"/>
              </w:rPr>
            </w:pPr>
            <w:r w:rsidRPr="00555EAC">
              <w:rPr>
                <w:color w:val="000000"/>
                <w:sz w:val="20"/>
                <w:szCs w:val="20"/>
              </w:rPr>
              <w:t>- бюджет автономного округа</w:t>
            </w:r>
          </w:p>
        </w:tc>
        <w:tc>
          <w:tcPr>
            <w:tcW w:w="1134" w:type="dxa"/>
            <w:shd w:val="clear" w:color="auto" w:fill="auto"/>
            <w:vAlign w:val="center"/>
            <w:hideMark/>
          </w:tcPr>
          <w:p w:rsidR="009C40C7" w:rsidRPr="00555EAC" w:rsidRDefault="009C40C7" w:rsidP="009C40C7">
            <w:pPr>
              <w:jc w:val="center"/>
              <w:rPr>
                <w:color w:val="000000"/>
                <w:sz w:val="20"/>
                <w:szCs w:val="20"/>
              </w:rPr>
            </w:pPr>
            <w:r w:rsidRPr="00555EAC">
              <w:rPr>
                <w:color w:val="000000"/>
                <w:sz w:val="20"/>
                <w:szCs w:val="20"/>
              </w:rPr>
              <w:t> </w:t>
            </w:r>
          </w:p>
        </w:tc>
        <w:tc>
          <w:tcPr>
            <w:tcW w:w="1134" w:type="dxa"/>
            <w:shd w:val="clear" w:color="auto" w:fill="auto"/>
            <w:vAlign w:val="center"/>
            <w:hideMark/>
          </w:tcPr>
          <w:p w:rsidR="009C40C7" w:rsidRPr="00555EAC" w:rsidRDefault="009C40C7" w:rsidP="009C40C7">
            <w:pPr>
              <w:jc w:val="center"/>
              <w:rPr>
                <w:color w:val="000000"/>
                <w:sz w:val="20"/>
                <w:szCs w:val="20"/>
              </w:rPr>
            </w:pPr>
            <w:r w:rsidRPr="00555EAC">
              <w:rPr>
                <w:color w:val="000000"/>
                <w:sz w:val="20"/>
                <w:szCs w:val="20"/>
              </w:rPr>
              <w:t> </w:t>
            </w:r>
          </w:p>
        </w:tc>
        <w:tc>
          <w:tcPr>
            <w:tcW w:w="1134" w:type="dxa"/>
            <w:shd w:val="clear" w:color="auto" w:fill="auto"/>
            <w:vAlign w:val="center"/>
            <w:hideMark/>
          </w:tcPr>
          <w:p w:rsidR="009C40C7" w:rsidRPr="00555EAC" w:rsidRDefault="009C40C7" w:rsidP="009C40C7">
            <w:pPr>
              <w:jc w:val="center"/>
              <w:rPr>
                <w:color w:val="000000"/>
                <w:sz w:val="20"/>
                <w:szCs w:val="20"/>
              </w:rPr>
            </w:pPr>
            <w:r w:rsidRPr="00555EAC">
              <w:rPr>
                <w:color w:val="000000"/>
                <w:sz w:val="20"/>
                <w:szCs w:val="20"/>
              </w:rPr>
              <w:t> </w:t>
            </w:r>
          </w:p>
        </w:tc>
        <w:tc>
          <w:tcPr>
            <w:tcW w:w="1276" w:type="dxa"/>
            <w:shd w:val="clear" w:color="auto" w:fill="auto"/>
            <w:vAlign w:val="center"/>
            <w:hideMark/>
          </w:tcPr>
          <w:p w:rsidR="009C40C7" w:rsidRPr="00555EAC" w:rsidRDefault="009C40C7" w:rsidP="009C40C7">
            <w:pPr>
              <w:jc w:val="center"/>
              <w:rPr>
                <w:color w:val="000000"/>
                <w:sz w:val="20"/>
                <w:szCs w:val="20"/>
              </w:rPr>
            </w:pPr>
            <w:r w:rsidRPr="00555EAC">
              <w:rPr>
                <w:color w:val="000000"/>
                <w:sz w:val="20"/>
                <w:szCs w:val="20"/>
              </w:rPr>
              <w:t>0,0</w:t>
            </w:r>
          </w:p>
        </w:tc>
      </w:tr>
      <w:tr w:rsidR="009C40C7" w:rsidRPr="00555EAC" w:rsidTr="009C40C7">
        <w:trPr>
          <w:cantSplit/>
          <w:trHeight w:val="20"/>
        </w:trPr>
        <w:tc>
          <w:tcPr>
            <w:tcW w:w="4673" w:type="dxa"/>
            <w:shd w:val="clear" w:color="auto" w:fill="auto"/>
            <w:vAlign w:val="center"/>
            <w:hideMark/>
          </w:tcPr>
          <w:p w:rsidR="009C40C7" w:rsidRPr="00555EAC" w:rsidRDefault="009C40C7" w:rsidP="009C40C7">
            <w:pPr>
              <w:rPr>
                <w:color w:val="000000"/>
                <w:sz w:val="20"/>
                <w:szCs w:val="20"/>
              </w:rPr>
            </w:pPr>
            <w:r w:rsidRPr="00555EAC">
              <w:rPr>
                <w:color w:val="000000"/>
                <w:sz w:val="20"/>
                <w:szCs w:val="20"/>
              </w:rPr>
              <w:t>- федеральный бюджет</w:t>
            </w:r>
          </w:p>
        </w:tc>
        <w:tc>
          <w:tcPr>
            <w:tcW w:w="1134" w:type="dxa"/>
            <w:shd w:val="clear" w:color="auto" w:fill="auto"/>
            <w:vAlign w:val="center"/>
            <w:hideMark/>
          </w:tcPr>
          <w:p w:rsidR="009C40C7" w:rsidRPr="00555EAC" w:rsidRDefault="009C40C7" w:rsidP="009C40C7">
            <w:pPr>
              <w:jc w:val="center"/>
              <w:rPr>
                <w:color w:val="000000"/>
                <w:sz w:val="20"/>
                <w:szCs w:val="20"/>
              </w:rPr>
            </w:pPr>
            <w:r w:rsidRPr="00555EAC">
              <w:rPr>
                <w:color w:val="000000"/>
                <w:sz w:val="20"/>
                <w:szCs w:val="20"/>
              </w:rPr>
              <w:t> </w:t>
            </w:r>
          </w:p>
        </w:tc>
        <w:tc>
          <w:tcPr>
            <w:tcW w:w="1134" w:type="dxa"/>
            <w:shd w:val="clear" w:color="auto" w:fill="auto"/>
            <w:vAlign w:val="center"/>
            <w:hideMark/>
          </w:tcPr>
          <w:p w:rsidR="009C40C7" w:rsidRPr="00555EAC" w:rsidRDefault="009C40C7" w:rsidP="009C40C7">
            <w:pPr>
              <w:jc w:val="center"/>
              <w:rPr>
                <w:color w:val="000000"/>
                <w:sz w:val="20"/>
                <w:szCs w:val="20"/>
              </w:rPr>
            </w:pPr>
            <w:r w:rsidRPr="00555EAC">
              <w:rPr>
                <w:color w:val="000000"/>
                <w:sz w:val="20"/>
                <w:szCs w:val="20"/>
              </w:rPr>
              <w:t> </w:t>
            </w:r>
          </w:p>
        </w:tc>
        <w:tc>
          <w:tcPr>
            <w:tcW w:w="1134" w:type="dxa"/>
            <w:shd w:val="clear" w:color="auto" w:fill="auto"/>
            <w:vAlign w:val="center"/>
            <w:hideMark/>
          </w:tcPr>
          <w:p w:rsidR="009C40C7" w:rsidRPr="00555EAC" w:rsidRDefault="009C40C7" w:rsidP="009C40C7">
            <w:pPr>
              <w:jc w:val="center"/>
              <w:rPr>
                <w:color w:val="000000"/>
                <w:sz w:val="20"/>
                <w:szCs w:val="20"/>
              </w:rPr>
            </w:pPr>
            <w:r w:rsidRPr="00555EAC">
              <w:rPr>
                <w:color w:val="000000"/>
                <w:sz w:val="20"/>
                <w:szCs w:val="20"/>
              </w:rPr>
              <w:t> </w:t>
            </w:r>
          </w:p>
        </w:tc>
        <w:tc>
          <w:tcPr>
            <w:tcW w:w="1276" w:type="dxa"/>
            <w:shd w:val="clear" w:color="auto" w:fill="auto"/>
            <w:vAlign w:val="center"/>
            <w:hideMark/>
          </w:tcPr>
          <w:p w:rsidR="009C40C7" w:rsidRPr="00555EAC" w:rsidRDefault="009C40C7" w:rsidP="009C40C7">
            <w:pPr>
              <w:jc w:val="center"/>
              <w:rPr>
                <w:color w:val="000000"/>
                <w:sz w:val="20"/>
                <w:szCs w:val="20"/>
              </w:rPr>
            </w:pPr>
            <w:r w:rsidRPr="00555EAC">
              <w:rPr>
                <w:color w:val="000000"/>
                <w:sz w:val="20"/>
                <w:szCs w:val="20"/>
              </w:rPr>
              <w:t>0,0</w:t>
            </w:r>
          </w:p>
        </w:tc>
      </w:tr>
      <w:tr w:rsidR="009C40C7" w:rsidRPr="00555EAC" w:rsidTr="009C40C7">
        <w:trPr>
          <w:cantSplit/>
          <w:trHeight w:val="20"/>
        </w:trPr>
        <w:tc>
          <w:tcPr>
            <w:tcW w:w="4673" w:type="dxa"/>
            <w:shd w:val="clear" w:color="auto" w:fill="auto"/>
            <w:vAlign w:val="center"/>
            <w:hideMark/>
          </w:tcPr>
          <w:p w:rsidR="009C40C7" w:rsidRPr="00555EAC" w:rsidRDefault="009C40C7" w:rsidP="009C40C7">
            <w:pPr>
              <w:rPr>
                <w:b/>
                <w:bCs/>
                <w:i/>
                <w:iCs/>
                <w:color w:val="000000"/>
                <w:sz w:val="20"/>
                <w:szCs w:val="20"/>
              </w:rPr>
            </w:pPr>
            <w:r w:rsidRPr="00555EAC">
              <w:rPr>
                <w:b/>
                <w:bCs/>
                <w:i/>
                <w:iCs/>
                <w:color w:val="000000"/>
                <w:sz w:val="20"/>
                <w:szCs w:val="20"/>
              </w:rPr>
              <w:t>Итого по НП «Культура»:</w:t>
            </w:r>
          </w:p>
        </w:tc>
        <w:tc>
          <w:tcPr>
            <w:tcW w:w="1134" w:type="dxa"/>
            <w:shd w:val="clear" w:color="auto" w:fill="auto"/>
            <w:vAlign w:val="center"/>
            <w:hideMark/>
          </w:tcPr>
          <w:p w:rsidR="009C40C7" w:rsidRPr="00555EAC" w:rsidRDefault="009C40C7" w:rsidP="009C40C7">
            <w:pPr>
              <w:jc w:val="center"/>
              <w:rPr>
                <w:b/>
                <w:bCs/>
                <w:i/>
                <w:iCs/>
                <w:color w:val="000000"/>
                <w:sz w:val="20"/>
                <w:szCs w:val="20"/>
              </w:rPr>
            </w:pPr>
            <w:r w:rsidRPr="00555EAC">
              <w:rPr>
                <w:b/>
                <w:bCs/>
                <w:i/>
                <w:iCs/>
                <w:color w:val="000000"/>
                <w:sz w:val="20"/>
                <w:szCs w:val="20"/>
              </w:rPr>
              <w:t>1 305,4</w:t>
            </w:r>
          </w:p>
        </w:tc>
        <w:tc>
          <w:tcPr>
            <w:tcW w:w="1134" w:type="dxa"/>
            <w:shd w:val="clear" w:color="auto" w:fill="auto"/>
            <w:vAlign w:val="center"/>
            <w:hideMark/>
          </w:tcPr>
          <w:p w:rsidR="009C40C7" w:rsidRPr="00555EAC" w:rsidRDefault="009C40C7" w:rsidP="009C40C7">
            <w:pPr>
              <w:jc w:val="center"/>
              <w:rPr>
                <w:b/>
                <w:bCs/>
                <w:i/>
                <w:iCs/>
                <w:color w:val="000000"/>
                <w:sz w:val="20"/>
                <w:szCs w:val="20"/>
              </w:rPr>
            </w:pPr>
            <w:r w:rsidRPr="00555EAC">
              <w:rPr>
                <w:b/>
                <w:bCs/>
                <w:i/>
                <w:iCs/>
                <w:color w:val="000000"/>
                <w:sz w:val="20"/>
                <w:szCs w:val="20"/>
              </w:rPr>
              <w:t>2 133,2</w:t>
            </w:r>
          </w:p>
        </w:tc>
        <w:tc>
          <w:tcPr>
            <w:tcW w:w="1134" w:type="dxa"/>
            <w:shd w:val="clear" w:color="auto" w:fill="auto"/>
            <w:vAlign w:val="center"/>
            <w:hideMark/>
          </w:tcPr>
          <w:p w:rsidR="009C40C7" w:rsidRPr="00555EAC" w:rsidRDefault="009C40C7" w:rsidP="009C40C7">
            <w:pPr>
              <w:jc w:val="center"/>
              <w:rPr>
                <w:b/>
                <w:bCs/>
                <w:i/>
                <w:iCs/>
                <w:color w:val="000000"/>
                <w:sz w:val="20"/>
                <w:szCs w:val="20"/>
              </w:rPr>
            </w:pPr>
            <w:r w:rsidRPr="00555EAC">
              <w:rPr>
                <w:b/>
                <w:bCs/>
                <w:i/>
                <w:iCs/>
                <w:color w:val="000000"/>
                <w:sz w:val="20"/>
                <w:szCs w:val="20"/>
              </w:rPr>
              <w:t>1 379,8</w:t>
            </w:r>
          </w:p>
        </w:tc>
        <w:tc>
          <w:tcPr>
            <w:tcW w:w="1276" w:type="dxa"/>
            <w:shd w:val="clear" w:color="auto" w:fill="auto"/>
            <w:vAlign w:val="center"/>
            <w:hideMark/>
          </w:tcPr>
          <w:p w:rsidR="009C40C7" w:rsidRPr="00555EAC" w:rsidRDefault="009C40C7" w:rsidP="009C40C7">
            <w:pPr>
              <w:jc w:val="center"/>
              <w:rPr>
                <w:b/>
                <w:bCs/>
                <w:i/>
                <w:iCs/>
                <w:color w:val="000000"/>
                <w:sz w:val="20"/>
                <w:szCs w:val="20"/>
              </w:rPr>
            </w:pPr>
            <w:r w:rsidRPr="00555EAC">
              <w:rPr>
                <w:b/>
                <w:bCs/>
                <w:i/>
                <w:iCs/>
                <w:color w:val="000000"/>
                <w:sz w:val="20"/>
                <w:szCs w:val="20"/>
              </w:rPr>
              <w:t>4 818,4</w:t>
            </w:r>
          </w:p>
        </w:tc>
      </w:tr>
      <w:tr w:rsidR="009C40C7" w:rsidRPr="00555EAC" w:rsidTr="009C40C7">
        <w:trPr>
          <w:cantSplit/>
          <w:trHeight w:val="20"/>
        </w:trPr>
        <w:tc>
          <w:tcPr>
            <w:tcW w:w="4673" w:type="dxa"/>
            <w:shd w:val="clear" w:color="auto" w:fill="auto"/>
            <w:vAlign w:val="center"/>
            <w:hideMark/>
          </w:tcPr>
          <w:p w:rsidR="009C40C7" w:rsidRPr="00555EAC" w:rsidRDefault="009C40C7" w:rsidP="009C40C7">
            <w:pPr>
              <w:rPr>
                <w:color w:val="000000"/>
                <w:sz w:val="20"/>
                <w:szCs w:val="20"/>
              </w:rPr>
            </w:pPr>
            <w:r w:rsidRPr="00555EAC">
              <w:rPr>
                <w:color w:val="000000"/>
                <w:sz w:val="20"/>
                <w:szCs w:val="20"/>
              </w:rPr>
              <w:t>Муниципальная программа "Культурное пространство города Пыть-Яха" всего, в том числе:</w:t>
            </w:r>
          </w:p>
        </w:tc>
        <w:tc>
          <w:tcPr>
            <w:tcW w:w="1134" w:type="dxa"/>
            <w:shd w:val="clear" w:color="auto" w:fill="auto"/>
            <w:vAlign w:val="center"/>
            <w:hideMark/>
          </w:tcPr>
          <w:p w:rsidR="009C40C7" w:rsidRPr="00555EAC" w:rsidRDefault="009C40C7" w:rsidP="009C40C7">
            <w:pPr>
              <w:jc w:val="center"/>
              <w:rPr>
                <w:color w:val="000000"/>
                <w:sz w:val="20"/>
                <w:szCs w:val="20"/>
              </w:rPr>
            </w:pPr>
            <w:r w:rsidRPr="00555EAC">
              <w:rPr>
                <w:color w:val="000000"/>
                <w:sz w:val="20"/>
                <w:szCs w:val="20"/>
              </w:rPr>
              <w:t>1 305,4</w:t>
            </w:r>
          </w:p>
        </w:tc>
        <w:tc>
          <w:tcPr>
            <w:tcW w:w="1134" w:type="dxa"/>
            <w:shd w:val="clear" w:color="auto" w:fill="auto"/>
            <w:vAlign w:val="center"/>
            <w:hideMark/>
          </w:tcPr>
          <w:p w:rsidR="009C40C7" w:rsidRPr="00555EAC" w:rsidRDefault="009C40C7" w:rsidP="009C40C7">
            <w:pPr>
              <w:jc w:val="center"/>
              <w:rPr>
                <w:color w:val="000000"/>
                <w:sz w:val="20"/>
                <w:szCs w:val="20"/>
              </w:rPr>
            </w:pPr>
            <w:r w:rsidRPr="00555EAC">
              <w:rPr>
                <w:color w:val="000000"/>
                <w:sz w:val="20"/>
                <w:szCs w:val="20"/>
              </w:rPr>
              <w:t>2 133,2</w:t>
            </w:r>
          </w:p>
        </w:tc>
        <w:tc>
          <w:tcPr>
            <w:tcW w:w="1134" w:type="dxa"/>
            <w:shd w:val="clear" w:color="auto" w:fill="auto"/>
            <w:vAlign w:val="center"/>
            <w:hideMark/>
          </w:tcPr>
          <w:p w:rsidR="009C40C7" w:rsidRPr="00555EAC" w:rsidRDefault="009C40C7" w:rsidP="009C40C7">
            <w:pPr>
              <w:jc w:val="center"/>
              <w:rPr>
                <w:color w:val="000000"/>
                <w:sz w:val="20"/>
                <w:szCs w:val="20"/>
              </w:rPr>
            </w:pPr>
            <w:r w:rsidRPr="00555EAC">
              <w:rPr>
                <w:color w:val="000000"/>
                <w:sz w:val="20"/>
                <w:szCs w:val="20"/>
              </w:rPr>
              <w:t>1 379,8</w:t>
            </w:r>
          </w:p>
        </w:tc>
        <w:tc>
          <w:tcPr>
            <w:tcW w:w="1276" w:type="dxa"/>
            <w:shd w:val="clear" w:color="auto" w:fill="auto"/>
            <w:vAlign w:val="center"/>
            <w:hideMark/>
          </w:tcPr>
          <w:p w:rsidR="009C40C7" w:rsidRPr="00555EAC" w:rsidRDefault="009C40C7" w:rsidP="009C40C7">
            <w:pPr>
              <w:jc w:val="center"/>
              <w:rPr>
                <w:color w:val="000000"/>
                <w:sz w:val="20"/>
                <w:szCs w:val="20"/>
              </w:rPr>
            </w:pPr>
            <w:r w:rsidRPr="00555EAC">
              <w:rPr>
                <w:color w:val="000000"/>
                <w:sz w:val="20"/>
                <w:szCs w:val="20"/>
              </w:rPr>
              <w:t>4 818,4</w:t>
            </w:r>
          </w:p>
        </w:tc>
      </w:tr>
      <w:tr w:rsidR="009C40C7" w:rsidRPr="00555EAC" w:rsidTr="009C40C7">
        <w:trPr>
          <w:cantSplit/>
          <w:trHeight w:val="20"/>
        </w:trPr>
        <w:tc>
          <w:tcPr>
            <w:tcW w:w="4673" w:type="dxa"/>
            <w:shd w:val="clear" w:color="auto" w:fill="auto"/>
            <w:vAlign w:val="center"/>
            <w:hideMark/>
          </w:tcPr>
          <w:p w:rsidR="009C40C7" w:rsidRPr="00555EAC" w:rsidRDefault="009C40C7" w:rsidP="009C40C7">
            <w:pPr>
              <w:rPr>
                <w:color w:val="000000"/>
                <w:sz w:val="20"/>
                <w:szCs w:val="20"/>
              </w:rPr>
            </w:pPr>
            <w:r w:rsidRPr="00555EAC">
              <w:rPr>
                <w:color w:val="000000"/>
                <w:sz w:val="20"/>
                <w:szCs w:val="20"/>
              </w:rPr>
              <w:t>- бюджет города</w:t>
            </w:r>
          </w:p>
        </w:tc>
        <w:tc>
          <w:tcPr>
            <w:tcW w:w="1134" w:type="dxa"/>
            <w:shd w:val="clear" w:color="auto" w:fill="auto"/>
            <w:vAlign w:val="center"/>
            <w:hideMark/>
          </w:tcPr>
          <w:p w:rsidR="009C40C7" w:rsidRPr="00555EAC" w:rsidRDefault="009C40C7" w:rsidP="009C40C7">
            <w:pPr>
              <w:jc w:val="center"/>
              <w:rPr>
                <w:color w:val="000000"/>
                <w:sz w:val="20"/>
                <w:szCs w:val="20"/>
              </w:rPr>
            </w:pPr>
            <w:r w:rsidRPr="00555EAC">
              <w:rPr>
                <w:color w:val="000000"/>
                <w:sz w:val="20"/>
                <w:szCs w:val="20"/>
              </w:rPr>
              <w:t>223,3</w:t>
            </w:r>
          </w:p>
        </w:tc>
        <w:tc>
          <w:tcPr>
            <w:tcW w:w="1134" w:type="dxa"/>
            <w:shd w:val="clear" w:color="auto" w:fill="auto"/>
            <w:vAlign w:val="center"/>
            <w:hideMark/>
          </w:tcPr>
          <w:p w:rsidR="009C40C7" w:rsidRPr="00555EAC" w:rsidRDefault="009C40C7" w:rsidP="009C40C7">
            <w:pPr>
              <w:jc w:val="center"/>
              <w:rPr>
                <w:color w:val="000000"/>
                <w:sz w:val="20"/>
                <w:szCs w:val="20"/>
              </w:rPr>
            </w:pPr>
            <w:r w:rsidRPr="00555EAC">
              <w:rPr>
                <w:color w:val="000000"/>
                <w:sz w:val="20"/>
                <w:szCs w:val="20"/>
              </w:rPr>
              <w:t>347,5</w:t>
            </w:r>
          </w:p>
        </w:tc>
        <w:tc>
          <w:tcPr>
            <w:tcW w:w="1134" w:type="dxa"/>
            <w:shd w:val="clear" w:color="auto" w:fill="auto"/>
            <w:vAlign w:val="center"/>
            <w:hideMark/>
          </w:tcPr>
          <w:p w:rsidR="009C40C7" w:rsidRPr="00555EAC" w:rsidRDefault="009C40C7" w:rsidP="009C40C7">
            <w:pPr>
              <w:jc w:val="center"/>
              <w:rPr>
                <w:color w:val="000000"/>
                <w:sz w:val="20"/>
                <w:szCs w:val="20"/>
              </w:rPr>
            </w:pPr>
            <w:r w:rsidRPr="00555EAC">
              <w:rPr>
                <w:color w:val="000000"/>
                <w:sz w:val="20"/>
                <w:szCs w:val="20"/>
              </w:rPr>
              <w:t>234,5</w:t>
            </w:r>
          </w:p>
        </w:tc>
        <w:tc>
          <w:tcPr>
            <w:tcW w:w="1276" w:type="dxa"/>
            <w:shd w:val="clear" w:color="auto" w:fill="auto"/>
            <w:vAlign w:val="center"/>
            <w:hideMark/>
          </w:tcPr>
          <w:p w:rsidR="009C40C7" w:rsidRPr="00555EAC" w:rsidRDefault="009C40C7" w:rsidP="009C40C7">
            <w:pPr>
              <w:jc w:val="center"/>
              <w:rPr>
                <w:color w:val="000000"/>
                <w:sz w:val="20"/>
                <w:szCs w:val="20"/>
              </w:rPr>
            </w:pPr>
            <w:r w:rsidRPr="00555EAC">
              <w:rPr>
                <w:color w:val="000000"/>
                <w:sz w:val="20"/>
                <w:szCs w:val="20"/>
              </w:rPr>
              <w:t>805,3</w:t>
            </w:r>
          </w:p>
        </w:tc>
      </w:tr>
      <w:tr w:rsidR="009C40C7" w:rsidRPr="00555EAC" w:rsidTr="009C40C7">
        <w:trPr>
          <w:cantSplit/>
          <w:trHeight w:val="20"/>
        </w:trPr>
        <w:tc>
          <w:tcPr>
            <w:tcW w:w="4673" w:type="dxa"/>
            <w:shd w:val="clear" w:color="auto" w:fill="auto"/>
            <w:vAlign w:val="center"/>
            <w:hideMark/>
          </w:tcPr>
          <w:p w:rsidR="009C40C7" w:rsidRPr="00555EAC" w:rsidRDefault="009C40C7" w:rsidP="009C40C7">
            <w:pPr>
              <w:rPr>
                <w:color w:val="000000"/>
                <w:sz w:val="20"/>
                <w:szCs w:val="20"/>
              </w:rPr>
            </w:pPr>
            <w:r w:rsidRPr="00555EAC">
              <w:rPr>
                <w:color w:val="000000"/>
                <w:sz w:val="20"/>
                <w:szCs w:val="20"/>
              </w:rPr>
              <w:t>- бюджет автономного округа</w:t>
            </w:r>
          </w:p>
        </w:tc>
        <w:tc>
          <w:tcPr>
            <w:tcW w:w="1134" w:type="dxa"/>
            <w:shd w:val="clear" w:color="auto" w:fill="auto"/>
            <w:vAlign w:val="center"/>
            <w:hideMark/>
          </w:tcPr>
          <w:p w:rsidR="009C40C7" w:rsidRPr="00555EAC" w:rsidRDefault="009C40C7" w:rsidP="009C40C7">
            <w:pPr>
              <w:jc w:val="center"/>
              <w:rPr>
                <w:color w:val="000000"/>
                <w:sz w:val="20"/>
                <w:szCs w:val="20"/>
              </w:rPr>
            </w:pPr>
            <w:r w:rsidRPr="00555EAC">
              <w:rPr>
                <w:color w:val="000000"/>
                <w:sz w:val="20"/>
                <w:szCs w:val="20"/>
              </w:rPr>
              <w:t>1 082,1</w:t>
            </w:r>
          </w:p>
        </w:tc>
        <w:tc>
          <w:tcPr>
            <w:tcW w:w="1134" w:type="dxa"/>
            <w:shd w:val="clear" w:color="auto" w:fill="auto"/>
            <w:vAlign w:val="center"/>
            <w:hideMark/>
          </w:tcPr>
          <w:p w:rsidR="009C40C7" w:rsidRPr="00555EAC" w:rsidRDefault="009C40C7" w:rsidP="009C40C7">
            <w:pPr>
              <w:jc w:val="center"/>
              <w:rPr>
                <w:color w:val="000000"/>
                <w:sz w:val="20"/>
                <w:szCs w:val="20"/>
              </w:rPr>
            </w:pPr>
            <w:r w:rsidRPr="00555EAC">
              <w:rPr>
                <w:color w:val="000000"/>
                <w:sz w:val="20"/>
                <w:szCs w:val="20"/>
              </w:rPr>
              <w:t>1 785,7</w:t>
            </w:r>
          </w:p>
        </w:tc>
        <w:tc>
          <w:tcPr>
            <w:tcW w:w="1134" w:type="dxa"/>
            <w:shd w:val="clear" w:color="auto" w:fill="auto"/>
            <w:vAlign w:val="center"/>
            <w:hideMark/>
          </w:tcPr>
          <w:p w:rsidR="009C40C7" w:rsidRPr="00555EAC" w:rsidRDefault="009C40C7" w:rsidP="009C40C7">
            <w:pPr>
              <w:jc w:val="center"/>
              <w:rPr>
                <w:color w:val="000000"/>
                <w:sz w:val="20"/>
                <w:szCs w:val="20"/>
              </w:rPr>
            </w:pPr>
            <w:r w:rsidRPr="00555EAC">
              <w:rPr>
                <w:color w:val="000000"/>
                <w:sz w:val="20"/>
                <w:szCs w:val="20"/>
              </w:rPr>
              <w:t>1 145,3</w:t>
            </w:r>
          </w:p>
        </w:tc>
        <w:tc>
          <w:tcPr>
            <w:tcW w:w="1276" w:type="dxa"/>
            <w:shd w:val="clear" w:color="auto" w:fill="auto"/>
            <w:vAlign w:val="center"/>
            <w:hideMark/>
          </w:tcPr>
          <w:p w:rsidR="009C40C7" w:rsidRPr="00555EAC" w:rsidRDefault="009C40C7" w:rsidP="009C40C7">
            <w:pPr>
              <w:jc w:val="center"/>
              <w:rPr>
                <w:color w:val="000000"/>
                <w:sz w:val="20"/>
                <w:szCs w:val="20"/>
              </w:rPr>
            </w:pPr>
            <w:r w:rsidRPr="00555EAC">
              <w:rPr>
                <w:color w:val="000000"/>
                <w:sz w:val="20"/>
                <w:szCs w:val="20"/>
              </w:rPr>
              <w:t>4 013,1</w:t>
            </w:r>
          </w:p>
        </w:tc>
      </w:tr>
      <w:tr w:rsidR="009C40C7" w:rsidRPr="00555EAC" w:rsidTr="009C40C7">
        <w:trPr>
          <w:cantSplit/>
          <w:trHeight w:val="20"/>
        </w:trPr>
        <w:tc>
          <w:tcPr>
            <w:tcW w:w="4673" w:type="dxa"/>
            <w:shd w:val="clear" w:color="auto" w:fill="auto"/>
            <w:vAlign w:val="center"/>
            <w:hideMark/>
          </w:tcPr>
          <w:p w:rsidR="009C40C7" w:rsidRPr="00555EAC" w:rsidRDefault="009C40C7" w:rsidP="009C40C7">
            <w:pPr>
              <w:rPr>
                <w:color w:val="000000"/>
                <w:sz w:val="20"/>
                <w:szCs w:val="20"/>
              </w:rPr>
            </w:pPr>
            <w:r w:rsidRPr="00555EAC">
              <w:rPr>
                <w:color w:val="000000"/>
                <w:sz w:val="20"/>
                <w:szCs w:val="20"/>
              </w:rPr>
              <w:t>- федеральный бюджет</w:t>
            </w:r>
          </w:p>
        </w:tc>
        <w:tc>
          <w:tcPr>
            <w:tcW w:w="1134" w:type="dxa"/>
            <w:shd w:val="clear" w:color="auto" w:fill="auto"/>
            <w:vAlign w:val="center"/>
            <w:hideMark/>
          </w:tcPr>
          <w:p w:rsidR="009C40C7" w:rsidRPr="00555EAC" w:rsidRDefault="009C40C7" w:rsidP="009C40C7">
            <w:pPr>
              <w:jc w:val="center"/>
              <w:rPr>
                <w:color w:val="000000"/>
                <w:sz w:val="20"/>
                <w:szCs w:val="20"/>
              </w:rPr>
            </w:pPr>
            <w:r w:rsidRPr="00555EAC">
              <w:rPr>
                <w:color w:val="000000"/>
                <w:sz w:val="20"/>
                <w:szCs w:val="20"/>
              </w:rPr>
              <w:t> </w:t>
            </w:r>
          </w:p>
        </w:tc>
        <w:tc>
          <w:tcPr>
            <w:tcW w:w="1134" w:type="dxa"/>
            <w:shd w:val="clear" w:color="auto" w:fill="auto"/>
            <w:vAlign w:val="center"/>
            <w:hideMark/>
          </w:tcPr>
          <w:p w:rsidR="009C40C7" w:rsidRPr="00555EAC" w:rsidRDefault="009C40C7" w:rsidP="009C40C7">
            <w:pPr>
              <w:jc w:val="center"/>
              <w:rPr>
                <w:color w:val="000000"/>
                <w:sz w:val="20"/>
                <w:szCs w:val="20"/>
              </w:rPr>
            </w:pPr>
            <w:r w:rsidRPr="00555EAC">
              <w:rPr>
                <w:color w:val="000000"/>
                <w:sz w:val="20"/>
                <w:szCs w:val="20"/>
              </w:rPr>
              <w:t> </w:t>
            </w:r>
          </w:p>
        </w:tc>
        <w:tc>
          <w:tcPr>
            <w:tcW w:w="1134" w:type="dxa"/>
            <w:shd w:val="clear" w:color="auto" w:fill="auto"/>
            <w:vAlign w:val="center"/>
            <w:hideMark/>
          </w:tcPr>
          <w:p w:rsidR="009C40C7" w:rsidRPr="00555EAC" w:rsidRDefault="009C40C7" w:rsidP="009C40C7">
            <w:pPr>
              <w:jc w:val="center"/>
              <w:rPr>
                <w:color w:val="000000"/>
                <w:sz w:val="20"/>
                <w:szCs w:val="20"/>
              </w:rPr>
            </w:pPr>
            <w:r w:rsidRPr="00555EAC">
              <w:rPr>
                <w:color w:val="000000"/>
                <w:sz w:val="20"/>
                <w:szCs w:val="20"/>
              </w:rPr>
              <w:t> </w:t>
            </w:r>
          </w:p>
        </w:tc>
        <w:tc>
          <w:tcPr>
            <w:tcW w:w="1276" w:type="dxa"/>
            <w:shd w:val="clear" w:color="auto" w:fill="auto"/>
            <w:vAlign w:val="center"/>
            <w:hideMark/>
          </w:tcPr>
          <w:p w:rsidR="009C40C7" w:rsidRPr="00555EAC" w:rsidRDefault="009C40C7" w:rsidP="009C40C7">
            <w:pPr>
              <w:jc w:val="center"/>
              <w:rPr>
                <w:color w:val="000000"/>
                <w:sz w:val="20"/>
                <w:szCs w:val="20"/>
              </w:rPr>
            </w:pPr>
            <w:r w:rsidRPr="00555EAC">
              <w:rPr>
                <w:color w:val="000000"/>
                <w:sz w:val="20"/>
                <w:szCs w:val="20"/>
              </w:rPr>
              <w:t>0,0</w:t>
            </w:r>
          </w:p>
        </w:tc>
      </w:tr>
      <w:tr w:rsidR="009C40C7" w:rsidRPr="00555EAC" w:rsidTr="009C40C7">
        <w:trPr>
          <w:cantSplit/>
          <w:trHeight w:val="20"/>
        </w:trPr>
        <w:tc>
          <w:tcPr>
            <w:tcW w:w="4673" w:type="dxa"/>
            <w:shd w:val="clear" w:color="auto" w:fill="auto"/>
            <w:vAlign w:val="center"/>
            <w:hideMark/>
          </w:tcPr>
          <w:p w:rsidR="009C40C7" w:rsidRPr="00555EAC" w:rsidRDefault="009C40C7" w:rsidP="009C40C7">
            <w:pPr>
              <w:rPr>
                <w:b/>
                <w:bCs/>
                <w:i/>
                <w:iCs/>
                <w:color w:val="000000"/>
                <w:sz w:val="20"/>
                <w:szCs w:val="20"/>
              </w:rPr>
            </w:pPr>
            <w:r w:rsidRPr="00555EAC">
              <w:rPr>
                <w:b/>
                <w:bCs/>
                <w:i/>
                <w:iCs/>
                <w:color w:val="000000"/>
                <w:sz w:val="20"/>
                <w:szCs w:val="20"/>
              </w:rPr>
              <w:t>Итого по НП «Малое и среднее предпринимательство и поддержка индивидуальной предпринимательской инициативы»:</w:t>
            </w:r>
          </w:p>
        </w:tc>
        <w:tc>
          <w:tcPr>
            <w:tcW w:w="1134" w:type="dxa"/>
            <w:shd w:val="clear" w:color="auto" w:fill="auto"/>
            <w:vAlign w:val="center"/>
            <w:hideMark/>
          </w:tcPr>
          <w:p w:rsidR="009C40C7" w:rsidRPr="00555EAC" w:rsidRDefault="009C40C7" w:rsidP="009C40C7">
            <w:pPr>
              <w:jc w:val="center"/>
              <w:rPr>
                <w:b/>
                <w:bCs/>
                <w:i/>
                <w:iCs/>
                <w:color w:val="000000"/>
                <w:sz w:val="20"/>
                <w:szCs w:val="20"/>
              </w:rPr>
            </w:pPr>
            <w:r w:rsidRPr="00555EAC">
              <w:rPr>
                <w:b/>
                <w:bCs/>
                <w:i/>
                <w:iCs/>
                <w:color w:val="000000"/>
                <w:sz w:val="20"/>
                <w:szCs w:val="20"/>
              </w:rPr>
              <w:t>5 400,8</w:t>
            </w:r>
          </w:p>
        </w:tc>
        <w:tc>
          <w:tcPr>
            <w:tcW w:w="1134" w:type="dxa"/>
            <w:shd w:val="clear" w:color="auto" w:fill="auto"/>
            <w:vAlign w:val="center"/>
            <w:hideMark/>
          </w:tcPr>
          <w:p w:rsidR="009C40C7" w:rsidRPr="00555EAC" w:rsidRDefault="009C40C7" w:rsidP="009C40C7">
            <w:pPr>
              <w:jc w:val="center"/>
              <w:rPr>
                <w:b/>
                <w:bCs/>
                <w:i/>
                <w:iCs/>
                <w:color w:val="000000"/>
                <w:sz w:val="20"/>
                <w:szCs w:val="20"/>
              </w:rPr>
            </w:pPr>
            <w:r w:rsidRPr="00555EAC">
              <w:rPr>
                <w:b/>
                <w:bCs/>
                <w:i/>
                <w:iCs/>
                <w:color w:val="000000"/>
                <w:sz w:val="20"/>
                <w:szCs w:val="20"/>
              </w:rPr>
              <w:t>4 964,5</w:t>
            </w:r>
          </w:p>
        </w:tc>
        <w:tc>
          <w:tcPr>
            <w:tcW w:w="1134" w:type="dxa"/>
            <w:shd w:val="clear" w:color="auto" w:fill="auto"/>
            <w:vAlign w:val="center"/>
            <w:hideMark/>
          </w:tcPr>
          <w:p w:rsidR="009C40C7" w:rsidRPr="00555EAC" w:rsidRDefault="009C40C7" w:rsidP="009C40C7">
            <w:pPr>
              <w:jc w:val="center"/>
              <w:rPr>
                <w:b/>
                <w:bCs/>
                <w:i/>
                <w:iCs/>
                <w:color w:val="000000"/>
                <w:sz w:val="20"/>
                <w:szCs w:val="20"/>
              </w:rPr>
            </w:pPr>
            <w:r w:rsidRPr="00555EAC">
              <w:rPr>
                <w:b/>
                <w:bCs/>
                <w:i/>
                <w:iCs/>
                <w:color w:val="000000"/>
                <w:sz w:val="20"/>
                <w:szCs w:val="20"/>
              </w:rPr>
              <w:t>4 964,5</w:t>
            </w:r>
          </w:p>
        </w:tc>
        <w:tc>
          <w:tcPr>
            <w:tcW w:w="1276" w:type="dxa"/>
            <w:shd w:val="clear" w:color="auto" w:fill="auto"/>
            <w:vAlign w:val="center"/>
            <w:hideMark/>
          </w:tcPr>
          <w:p w:rsidR="009C40C7" w:rsidRPr="00555EAC" w:rsidRDefault="009C40C7" w:rsidP="009C40C7">
            <w:pPr>
              <w:jc w:val="center"/>
              <w:rPr>
                <w:b/>
                <w:bCs/>
                <w:i/>
                <w:iCs/>
                <w:color w:val="000000"/>
                <w:sz w:val="20"/>
                <w:szCs w:val="20"/>
              </w:rPr>
            </w:pPr>
            <w:r w:rsidRPr="00555EAC">
              <w:rPr>
                <w:b/>
                <w:bCs/>
                <w:i/>
                <w:iCs/>
                <w:color w:val="000000"/>
                <w:sz w:val="20"/>
                <w:szCs w:val="20"/>
              </w:rPr>
              <w:t>15 329,8</w:t>
            </w:r>
          </w:p>
        </w:tc>
      </w:tr>
      <w:tr w:rsidR="009C40C7" w:rsidRPr="00555EAC" w:rsidTr="009C40C7">
        <w:trPr>
          <w:cantSplit/>
          <w:trHeight w:val="20"/>
        </w:trPr>
        <w:tc>
          <w:tcPr>
            <w:tcW w:w="4673" w:type="dxa"/>
            <w:shd w:val="clear" w:color="auto" w:fill="auto"/>
            <w:vAlign w:val="center"/>
            <w:hideMark/>
          </w:tcPr>
          <w:p w:rsidR="009C40C7" w:rsidRPr="00555EAC" w:rsidRDefault="009C40C7" w:rsidP="009C40C7">
            <w:pPr>
              <w:rPr>
                <w:color w:val="000000"/>
                <w:sz w:val="20"/>
                <w:szCs w:val="20"/>
              </w:rPr>
            </w:pPr>
            <w:r w:rsidRPr="00555EAC">
              <w:rPr>
                <w:color w:val="000000"/>
                <w:sz w:val="20"/>
                <w:szCs w:val="20"/>
              </w:rPr>
              <w:t>Муниципальная программа "Развитие экономического потенциала города Пыть-Яха" всего, в том числе:</w:t>
            </w:r>
          </w:p>
        </w:tc>
        <w:tc>
          <w:tcPr>
            <w:tcW w:w="1134" w:type="dxa"/>
            <w:shd w:val="clear" w:color="auto" w:fill="auto"/>
            <w:vAlign w:val="center"/>
            <w:hideMark/>
          </w:tcPr>
          <w:p w:rsidR="009C40C7" w:rsidRPr="00555EAC" w:rsidRDefault="009C40C7" w:rsidP="009C40C7">
            <w:pPr>
              <w:jc w:val="center"/>
              <w:rPr>
                <w:color w:val="000000"/>
                <w:sz w:val="20"/>
                <w:szCs w:val="20"/>
              </w:rPr>
            </w:pPr>
            <w:r w:rsidRPr="00555EAC">
              <w:rPr>
                <w:color w:val="000000"/>
                <w:sz w:val="20"/>
                <w:szCs w:val="20"/>
              </w:rPr>
              <w:t>5 400,8</w:t>
            </w:r>
          </w:p>
        </w:tc>
        <w:tc>
          <w:tcPr>
            <w:tcW w:w="1134" w:type="dxa"/>
            <w:shd w:val="clear" w:color="auto" w:fill="auto"/>
            <w:vAlign w:val="center"/>
            <w:hideMark/>
          </w:tcPr>
          <w:p w:rsidR="009C40C7" w:rsidRPr="00555EAC" w:rsidRDefault="009C40C7" w:rsidP="009C40C7">
            <w:pPr>
              <w:jc w:val="center"/>
              <w:rPr>
                <w:color w:val="000000"/>
                <w:sz w:val="20"/>
                <w:szCs w:val="20"/>
              </w:rPr>
            </w:pPr>
            <w:r w:rsidRPr="00555EAC">
              <w:rPr>
                <w:color w:val="000000"/>
                <w:sz w:val="20"/>
                <w:szCs w:val="20"/>
              </w:rPr>
              <w:t>4 964,5</w:t>
            </w:r>
          </w:p>
        </w:tc>
        <w:tc>
          <w:tcPr>
            <w:tcW w:w="1134" w:type="dxa"/>
            <w:shd w:val="clear" w:color="auto" w:fill="auto"/>
            <w:vAlign w:val="center"/>
            <w:hideMark/>
          </w:tcPr>
          <w:p w:rsidR="009C40C7" w:rsidRPr="00555EAC" w:rsidRDefault="009C40C7" w:rsidP="009C40C7">
            <w:pPr>
              <w:jc w:val="center"/>
              <w:rPr>
                <w:color w:val="000000"/>
                <w:sz w:val="20"/>
                <w:szCs w:val="20"/>
              </w:rPr>
            </w:pPr>
            <w:r w:rsidRPr="00555EAC">
              <w:rPr>
                <w:color w:val="000000"/>
                <w:sz w:val="20"/>
                <w:szCs w:val="20"/>
              </w:rPr>
              <w:t>4 964,5</w:t>
            </w:r>
          </w:p>
        </w:tc>
        <w:tc>
          <w:tcPr>
            <w:tcW w:w="1276" w:type="dxa"/>
            <w:shd w:val="clear" w:color="auto" w:fill="auto"/>
            <w:vAlign w:val="center"/>
            <w:hideMark/>
          </w:tcPr>
          <w:p w:rsidR="009C40C7" w:rsidRPr="00555EAC" w:rsidRDefault="009C40C7" w:rsidP="009C40C7">
            <w:pPr>
              <w:jc w:val="center"/>
              <w:rPr>
                <w:color w:val="000000"/>
                <w:sz w:val="20"/>
                <w:szCs w:val="20"/>
              </w:rPr>
            </w:pPr>
            <w:r w:rsidRPr="00555EAC">
              <w:rPr>
                <w:color w:val="000000"/>
                <w:sz w:val="20"/>
                <w:szCs w:val="20"/>
              </w:rPr>
              <w:t>15 329,8</w:t>
            </w:r>
          </w:p>
        </w:tc>
      </w:tr>
      <w:tr w:rsidR="009C40C7" w:rsidRPr="00555EAC" w:rsidTr="009C40C7">
        <w:trPr>
          <w:cantSplit/>
          <w:trHeight w:val="20"/>
        </w:trPr>
        <w:tc>
          <w:tcPr>
            <w:tcW w:w="4673" w:type="dxa"/>
            <w:shd w:val="clear" w:color="auto" w:fill="auto"/>
            <w:vAlign w:val="center"/>
            <w:hideMark/>
          </w:tcPr>
          <w:p w:rsidR="009C40C7" w:rsidRPr="00555EAC" w:rsidRDefault="009C40C7" w:rsidP="009C40C7">
            <w:pPr>
              <w:rPr>
                <w:color w:val="000000"/>
                <w:sz w:val="20"/>
                <w:szCs w:val="20"/>
              </w:rPr>
            </w:pPr>
            <w:r w:rsidRPr="00555EAC">
              <w:rPr>
                <w:color w:val="000000"/>
                <w:sz w:val="20"/>
                <w:szCs w:val="20"/>
              </w:rPr>
              <w:lastRenderedPageBreak/>
              <w:t>- бюджет города</w:t>
            </w:r>
          </w:p>
        </w:tc>
        <w:tc>
          <w:tcPr>
            <w:tcW w:w="1134" w:type="dxa"/>
            <w:shd w:val="clear" w:color="auto" w:fill="auto"/>
            <w:vAlign w:val="center"/>
            <w:hideMark/>
          </w:tcPr>
          <w:p w:rsidR="009C40C7" w:rsidRPr="00555EAC" w:rsidRDefault="009C40C7" w:rsidP="009C40C7">
            <w:pPr>
              <w:jc w:val="center"/>
              <w:rPr>
                <w:color w:val="000000"/>
                <w:sz w:val="20"/>
                <w:szCs w:val="20"/>
              </w:rPr>
            </w:pPr>
            <w:r w:rsidRPr="00555EAC">
              <w:rPr>
                <w:color w:val="000000"/>
                <w:sz w:val="20"/>
                <w:szCs w:val="20"/>
              </w:rPr>
              <w:t>543,3</w:t>
            </w:r>
          </w:p>
        </w:tc>
        <w:tc>
          <w:tcPr>
            <w:tcW w:w="1134" w:type="dxa"/>
            <w:shd w:val="clear" w:color="auto" w:fill="auto"/>
            <w:vAlign w:val="center"/>
            <w:hideMark/>
          </w:tcPr>
          <w:p w:rsidR="009C40C7" w:rsidRPr="00555EAC" w:rsidRDefault="009C40C7" w:rsidP="009C40C7">
            <w:pPr>
              <w:jc w:val="center"/>
              <w:rPr>
                <w:color w:val="000000"/>
                <w:sz w:val="20"/>
                <w:szCs w:val="20"/>
              </w:rPr>
            </w:pPr>
            <w:r w:rsidRPr="00555EAC">
              <w:rPr>
                <w:color w:val="000000"/>
                <w:sz w:val="20"/>
                <w:szCs w:val="20"/>
              </w:rPr>
              <w:t>499,6</w:t>
            </w:r>
          </w:p>
        </w:tc>
        <w:tc>
          <w:tcPr>
            <w:tcW w:w="1134" w:type="dxa"/>
            <w:shd w:val="clear" w:color="auto" w:fill="auto"/>
            <w:vAlign w:val="center"/>
            <w:hideMark/>
          </w:tcPr>
          <w:p w:rsidR="009C40C7" w:rsidRPr="00555EAC" w:rsidRDefault="009C40C7" w:rsidP="009C40C7">
            <w:pPr>
              <w:jc w:val="center"/>
              <w:rPr>
                <w:color w:val="000000"/>
                <w:sz w:val="20"/>
                <w:szCs w:val="20"/>
              </w:rPr>
            </w:pPr>
            <w:r w:rsidRPr="00555EAC">
              <w:rPr>
                <w:color w:val="000000"/>
                <w:sz w:val="20"/>
                <w:szCs w:val="20"/>
              </w:rPr>
              <w:t>499,6</w:t>
            </w:r>
          </w:p>
        </w:tc>
        <w:tc>
          <w:tcPr>
            <w:tcW w:w="1276" w:type="dxa"/>
            <w:shd w:val="clear" w:color="auto" w:fill="auto"/>
            <w:vAlign w:val="center"/>
            <w:hideMark/>
          </w:tcPr>
          <w:p w:rsidR="009C40C7" w:rsidRPr="00555EAC" w:rsidRDefault="009C40C7" w:rsidP="009C40C7">
            <w:pPr>
              <w:jc w:val="center"/>
              <w:rPr>
                <w:color w:val="000000"/>
                <w:sz w:val="20"/>
                <w:szCs w:val="20"/>
              </w:rPr>
            </w:pPr>
            <w:r w:rsidRPr="00555EAC">
              <w:rPr>
                <w:color w:val="000000"/>
                <w:sz w:val="20"/>
                <w:szCs w:val="20"/>
              </w:rPr>
              <w:t>1 542,5</w:t>
            </w:r>
          </w:p>
        </w:tc>
      </w:tr>
      <w:tr w:rsidR="009C40C7" w:rsidRPr="00555EAC" w:rsidTr="009C40C7">
        <w:trPr>
          <w:cantSplit/>
          <w:trHeight w:val="20"/>
        </w:trPr>
        <w:tc>
          <w:tcPr>
            <w:tcW w:w="4673" w:type="dxa"/>
            <w:shd w:val="clear" w:color="auto" w:fill="auto"/>
            <w:vAlign w:val="center"/>
            <w:hideMark/>
          </w:tcPr>
          <w:p w:rsidR="009C40C7" w:rsidRPr="00555EAC" w:rsidRDefault="009C40C7" w:rsidP="009C40C7">
            <w:pPr>
              <w:rPr>
                <w:color w:val="000000"/>
                <w:sz w:val="20"/>
                <w:szCs w:val="20"/>
              </w:rPr>
            </w:pPr>
            <w:r w:rsidRPr="00555EAC">
              <w:rPr>
                <w:color w:val="000000"/>
                <w:sz w:val="20"/>
                <w:szCs w:val="20"/>
              </w:rPr>
              <w:t>- бюджет автономного округа</w:t>
            </w:r>
          </w:p>
        </w:tc>
        <w:tc>
          <w:tcPr>
            <w:tcW w:w="1134" w:type="dxa"/>
            <w:shd w:val="clear" w:color="auto" w:fill="auto"/>
            <w:vAlign w:val="center"/>
            <w:hideMark/>
          </w:tcPr>
          <w:p w:rsidR="009C40C7" w:rsidRPr="00555EAC" w:rsidRDefault="009C40C7" w:rsidP="009C40C7">
            <w:pPr>
              <w:jc w:val="center"/>
              <w:rPr>
                <w:color w:val="000000"/>
                <w:sz w:val="20"/>
                <w:szCs w:val="20"/>
              </w:rPr>
            </w:pPr>
            <w:r w:rsidRPr="00555EAC">
              <w:rPr>
                <w:color w:val="000000"/>
                <w:sz w:val="20"/>
                <w:szCs w:val="20"/>
              </w:rPr>
              <w:t>4 857,5</w:t>
            </w:r>
          </w:p>
        </w:tc>
        <w:tc>
          <w:tcPr>
            <w:tcW w:w="1134" w:type="dxa"/>
            <w:shd w:val="clear" w:color="auto" w:fill="auto"/>
            <w:vAlign w:val="center"/>
            <w:hideMark/>
          </w:tcPr>
          <w:p w:rsidR="009C40C7" w:rsidRPr="00555EAC" w:rsidRDefault="009C40C7" w:rsidP="009C40C7">
            <w:pPr>
              <w:jc w:val="center"/>
              <w:rPr>
                <w:color w:val="000000"/>
                <w:sz w:val="20"/>
                <w:szCs w:val="20"/>
              </w:rPr>
            </w:pPr>
            <w:r w:rsidRPr="00555EAC">
              <w:rPr>
                <w:color w:val="000000"/>
                <w:sz w:val="20"/>
                <w:szCs w:val="20"/>
              </w:rPr>
              <w:t>4 464,9</w:t>
            </w:r>
          </w:p>
        </w:tc>
        <w:tc>
          <w:tcPr>
            <w:tcW w:w="1134" w:type="dxa"/>
            <w:shd w:val="clear" w:color="auto" w:fill="auto"/>
            <w:vAlign w:val="center"/>
            <w:hideMark/>
          </w:tcPr>
          <w:p w:rsidR="009C40C7" w:rsidRPr="00555EAC" w:rsidRDefault="009C40C7" w:rsidP="009C40C7">
            <w:pPr>
              <w:jc w:val="center"/>
              <w:rPr>
                <w:color w:val="000000"/>
                <w:sz w:val="20"/>
                <w:szCs w:val="20"/>
              </w:rPr>
            </w:pPr>
            <w:r w:rsidRPr="00555EAC">
              <w:rPr>
                <w:color w:val="000000"/>
                <w:sz w:val="20"/>
                <w:szCs w:val="20"/>
              </w:rPr>
              <w:t>4 464,9</w:t>
            </w:r>
          </w:p>
        </w:tc>
        <w:tc>
          <w:tcPr>
            <w:tcW w:w="1276" w:type="dxa"/>
            <w:shd w:val="clear" w:color="auto" w:fill="auto"/>
            <w:vAlign w:val="center"/>
            <w:hideMark/>
          </w:tcPr>
          <w:p w:rsidR="009C40C7" w:rsidRPr="00555EAC" w:rsidRDefault="009C40C7" w:rsidP="009C40C7">
            <w:pPr>
              <w:jc w:val="center"/>
              <w:rPr>
                <w:color w:val="000000"/>
                <w:sz w:val="20"/>
                <w:szCs w:val="20"/>
              </w:rPr>
            </w:pPr>
            <w:r w:rsidRPr="00555EAC">
              <w:rPr>
                <w:color w:val="000000"/>
                <w:sz w:val="20"/>
                <w:szCs w:val="20"/>
              </w:rPr>
              <w:t>13 787,3</w:t>
            </w:r>
          </w:p>
        </w:tc>
      </w:tr>
      <w:tr w:rsidR="009C40C7" w:rsidRPr="00555EAC" w:rsidTr="009C40C7">
        <w:trPr>
          <w:cantSplit/>
          <w:trHeight w:val="20"/>
        </w:trPr>
        <w:tc>
          <w:tcPr>
            <w:tcW w:w="4673" w:type="dxa"/>
            <w:shd w:val="clear" w:color="auto" w:fill="auto"/>
            <w:vAlign w:val="center"/>
            <w:hideMark/>
          </w:tcPr>
          <w:p w:rsidR="009C40C7" w:rsidRPr="00555EAC" w:rsidRDefault="009C40C7" w:rsidP="009C40C7">
            <w:pPr>
              <w:rPr>
                <w:color w:val="000000"/>
                <w:sz w:val="20"/>
                <w:szCs w:val="20"/>
              </w:rPr>
            </w:pPr>
            <w:r w:rsidRPr="00555EAC">
              <w:rPr>
                <w:color w:val="000000"/>
                <w:sz w:val="20"/>
                <w:szCs w:val="20"/>
              </w:rPr>
              <w:t>- федеральный бюджет</w:t>
            </w:r>
          </w:p>
        </w:tc>
        <w:tc>
          <w:tcPr>
            <w:tcW w:w="1134" w:type="dxa"/>
            <w:shd w:val="clear" w:color="auto" w:fill="auto"/>
            <w:vAlign w:val="center"/>
            <w:hideMark/>
          </w:tcPr>
          <w:p w:rsidR="009C40C7" w:rsidRPr="00555EAC" w:rsidRDefault="009C40C7" w:rsidP="009C40C7">
            <w:pPr>
              <w:jc w:val="center"/>
              <w:rPr>
                <w:color w:val="000000"/>
                <w:sz w:val="20"/>
                <w:szCs w:val="20"/>
              </w:rPr>
            </w:pPr>
            <w:r w:rsidRPr="00555EAC">
              <w:rPr>
                <w:color w:val="000000"/>
                <w:sz w:val="20"/>
                <w:szCs w:val="20"/>
              </w:rPr>
              <w:t> </w:t>
            </w:r>
          </w:p>
        </w:tc>
        <w:tc>
          <w:tcPr>
            <w:tcW w:w="1134" w:type="dxa"/>
            <w:shd w:val="clear" w:color="auto" w:fill="auto"/>
            <w:vAlign w:val="center"/>
            <w:hideMark/>
          </w:tcPr>
          <w:p w:rsidR="009C40C7" w:rsidRPr="00555EAC" w:rsidRDefault="009C40C7" w:rsidP="009C40C7">
            <w:pPr>
              <w:jc w:val="center"/>
              <w:rPr>
                <w:color w:val="000000"/>
                <w:sz w:val="20"/>
                <w:szCs w:val="20"/>
              </w:rPr>
            </w:pPr>
            <w:r w:rsidRPr="00555EAC">
              <w:rPr>
                <w:color w:val="000000"/>
                <w:sz w:val="20"/>
                <w:szCs w:val="20"/>
              </w:rPr>
              <w:t> </w:t>
            </w:r>
          </w:p>
        </w:tc>
        <w:tc>
          <w:tcPr>
            <w:tcW w:w="1134" w:type="dxa"/>
            <w:shd w:val="clear" w:color="auto" w:fill="auto"/>
            <w:vAlign w:val="center"/>
            <w:hideMark/>
          </w:tcPr>
          <w:p w:rsidR="009C40C7" w:rsidRPr="00555EAC" w:rsidRDefault="009C40C7" w:rsidP="009C40C7">
            <w:pPr>
              <w:jc w:val="center"/>
              <w:rPr>
                <w:color w:val="000000"/>
                <w:sz w:val="20"/>
                <w:szCs w:val="20"/>
              </w:rPr>
            </w:pPr>
            <w:r w:rsidRPr="00555EAC">
              <w:rPr>
                <w:color w:val="000000"/>
                <w:sz w:val="20"/>
                <w:szCs w:val="20"/>
              </w:rPr>
              <w:t> </w:t>
            </w:r>
          </w:p>
        </w:tc>
        <w:tc>
          <w:tcPr>
            <w:tcW w:w="1276" w:type="dxa"/>
            <w:shd w:val="clear" w:color="auto" w:fill="auto"/>
            <w:vAlign w:val="center"/>
            <w:hideMark/>
          </w:tcPr>
          <w:p w:rsidR="009C40C7" w:rsidRPr="00555EAC" w:rsidRDefault="009C40C7" w:rsidP="009C40C7">
            <w:pPr>
              <w:jc w:val="center"/>
              <w:rPr>
                <w:color w:val="000000"/>
                <w:sz w:val="20"/>
                <w:szCs w:val="20"/>
              </w:rPr>
            </w:pPr>
            <w:r w:rsidRPr="00555EAC">
              <w:rPr>
                <w:color w:val="000000"/>
                <w:sz w:val="20"/>
                <w:szCs w:val="20"/>
              </w:rPr>
              <w:t>0,0</w:t>
            </w:r>
          </w:p>
        </w:tc>
      </w:tr>
    </w:tbl>
    <w:p w:rsidR="009C40C7" w:rsidRPr="00700A30" w:rsidRDefault="009C40C7" w:rsidP="009C40C7">
      <w:pPr>
        <w:spacing w:before="240" w:line="360" w:lineRule="auto"/>
        <w:ind w:firstLine="708"/>
        <w:jc w:val="both"/>
        <w:rPr>
          <w:sz w:val="28"/>
        </w:rPr>
      </w:pPr>
      <w:r w:rsidRPr="00700A30">
        <w:rPr>
          <w:sz w:val="28"/>
        </w:rPr>
        <w:t xml:space="preserve">Начиная с 2014 года осуществлен переход на программно-целевой метод планирования и исполнения бюджета, что позволило оценивать исполнения бюджета не только с позиции финансовых показателей, но и с позиции достижения целевых показателей социально-экономического развития городского округа. </w:t>
      </w:r>
    </w:p>
    <w:p w:rsidR="009C40C7" w:rsidRDefault="009C40C7" w:rsidP="009C40C7">
      <w:pPr>
        <w:spacing w:line="360" w:lineRule="auto"/>
        <w:ind w:firstLine="709"/>
        <w:jc w:val="right"/>
        <w:rPr>
          <w:sz w:val="28"/>
        </w:rPr>
      </w:pPr>
      <w:r>
        <w:rPr>
          <w:sz w:val="28"/>
        </w:rPr>
        <w:t>Рис. 5</w:t>
      </w:r>
    </w:p>
    <w:p w:rsidR="009C40C7" w:rsidRDefault="009C40C7" w:rsidP="009C40C7">
      <w:pPr>
        <w:spacing w:line="360" w:lineRule="auto"/>
        <w:jc w:val="both"/>
        <w:rPr>
          <w:sz w:val="28"/>
        </w:rPr>
      </w:pPr>
      <w:r>
        <w:rPr>
          <w:noProof/>
          <w:sz w:val="28"/>
        </w:rPr>
        <w:drawing>
          <wp:inline distT="0" distB="0" distL="0" distR="0" wp14:anchorId="6DD855F9" wp14:editId="1F672CDE">
            <wp:extent cx="5915025" cy="2286000"/>
            <wp:effectExtent l="0" t="0" r="0"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9C40C7" w:rsidRPr="00E6188C" w:rsidRDefault="009C40C7" w:rsidP="009C40C7">
      <w:pPr>
        <w:spacing w:line="360" w:lineRule="auto"/>
        <w:ind w:firstLine="709"/>
        <w:jc w:val="both"/>
        <w:rPr>
          <w:sz w:val="28"/>
        </w:rPr>
      </w:pPr>
      <w:r w:rsidRPr="00E6188C">
        <w:rPr>
          <w:sz w:val="28"/>
        </w:rPr>
        <w:t xml:space="preserve">Начиная с 2015 года, доля расходов бюджета города, формируемых на основе муниципальных программ, составляет </w:t>
      </w:r>
      <w:r>
        <w:rPr>
          <w:sz w:val="28"/>
        </w:rPr>
        <w:t>более 95%</w:t>
      </w:r>
      <w:r w:rsidRPr="00E6188C">
        <w:rPr>
          <w:sz w:val="28"/>
        </w:rPr>
        <w:t>.</w:t>
      </w:r>
    </w:p>
    <w:p w:rsidR="009C40C7" w:rsidRDefault="009C40C7" w:rsidP="009C40C7">
      <w:pPr>
        <w:spacing w:line="360" w:lineRule="auto"/>
        <w:ind w:firstLine="709"/>
        <w:jc w:val="both"/>
        <w:rPr>
          <w:sz w:val="28"/>
        </w:rPr>
      </w:pPr>
      <w:r w:rsidRPr="00E6188C">
        <w:rPr>
          <w:sz w:val="28"/>
        </w:rPr>
        <w:t xml:space="preserve">Установленные целевые показатели позволяют эффективно и своевременно оценивать достижение поставленных целей и задач по итогам реализации муниципальных программ. По отношению к предыдущему 2017 году расходы городского бюджета на реализацию муниципальных программ увеличились на </w:t>
      </w:r>
      <w:r>
        <w:rPr>
          <w:sz w:val="28"/>
        </w:rPr>
        <w:t>29,2</w:t>
      </w:r>
      <w:r w:rsidRPr="00E6188C">
        <w:rPr>
          <w:sz w:val="28"/>
        </w:rPr>
        <w:t xml:space="preserve">% или на </w:t>
      </w:r>
      <w:r>
        <w:rPr>
          <w:sz w:val="28"/>
        </w:rPr>
        <w:t>887,7</w:t>
      </w:r>
      <w:r w:rsidRPr="00E6188C">
        <w:rPr>
          <w:sz w:val="28"/>
        </w:rPr>
        <w:t xml:space="preserve"> млн. рублей.</w:t>
      </w:r>
    </w:p>
    <w:p w:rsidR="009C40C7" w:rsidRPr="00700A30" w:rsidRDefault="009C40C7" w:rsidP="009C40C7">
      <w:pPr>
        <w:spacing w:line="360" w:lineRule="auto"/>
        <w:ind w:firstLine="708"/>
        <w:jc w:val="both"/>
        <w:rPr>
          <w:sz w:val="28"/>
        </w:rPr>
      </w:pPr>
      <w:r w:rsidRPr="00700A30">
        <w:rPr>
          <w:sz w:val="28"/>
        </w:rPr>
        <w:t xml:space="preserve">Эффективность и результативность «программного» бюджета зависит от качества муниципальных программ городского округа. При разработке бюджетного прогноза городского округа на долгосрочный период по муниципальным программам городского округа утверждены предельные расходы на их финансовое обеспечение на период реализации. Одной из первоочередных задач является аккумуляция имеющихся резервов повышения эффективности </w:t>
      </w:r>
      <w:r w:rsidRPr="00700A30">
        <w:rPr>
          <w:sz w:val="28"/>
        </w:rPr>
        <w:lastRenderedPageBreak/>
        <w:t>бюджетных расходов на реализацию действующих муниципальных программ городского округа.</w:t>
      </w:r>
    </w:p>
    <w:p w:rsidR="009C40C7" w:rsidRPr="00700A30" w:rsidRDefault="009C40C7" w:rsidP="009C40C7">
      <w:pPr>
        <w:spacing w:line="360" w:lineRule="auto"/>
        <w:ind w:firstLine="708"/>
        <w:jc w:val="both"/>
        <w:rPr>
          <w:sz w:val="28"/>
        </w:rPr>
      </w:pPr>
      <w:r w:rsidRPr="00700A30">
        <w:rPr>
          <w:sz w:val="28"/>
        </w:rPr>
        <w:t xml:space="preserve">За отчетный период в рамках утвержденных муниципальных и ведомственной целевой программ бюджета города исполнен в сумме </w:t>
      </w:r>
      <w:r>
        <w:rPr>
          <w:sz w:val="28"/>
        </w:rPr>
        <w:t>3 924,3</w:t>
      </w:r>
      <w:r w:rsidRPr="00700A30">
        <w:rPr>
          <w:sz w:val="28"/>
        </w:rPr>
        <w:t xml:space="preserve"> млн. руб., что составляет </w:t>
      </w:r>
      <w:r>
        <w:rPr>
          <w:sz w:val="28"/>
        </w:rPr>
        <w:t>99,0</w:t>
      </w:r>
      <w:r w:rsidRPr="00700A30">
        <w:rPr>
          <w:sz w:val="28"/>
        </w:rPr>
        <w:t>% от общей суммы расходов городского бюджета (в 201</w:t>
      </w:r>
      <w:r>
        <w:rPr>
          <w:sz w:val="28"/>
        </w:rPr>
        <w:t>7</w:t>
      </w:r>
      <w:r w:rsidRPr="00700A30">
        <w:rPr>
          <w:sz w:val="28"/>
        </w:rPr>
        <w:t xml:space="preserve"> году доля расходов в рамках утвержденных муниципальных и ведомственной целевой программ составило </w:t>
      </w:r>
      <w:r>
        <w:rPr>
          <w:sz w:val="28"/>
        </w:rPr>
        <w:t>98,7</w:t>
      </w:r>
      <w:r w:rsidRPr="00700A30">
        <w:rPr>
          <w:sz w:val="28"/>
        </w:rPr>
        <w:t>% к общей сумме расходов).</w:t>
      </w:r>
    </w:p>
    <w:p w:rsidR="009C40C7" w:rsidRDefault="009C40C7" w:rsidP="009C40C7">
      <w:pPr>
        <w:spacing w:line="360" w:lineRule="auto"/>
        <w:jc w:val="right"/>
        <w:rPr>
          <w:sz w:val="28"/>
        </w:rPr>
      </w:pPr>
      <w:r w:rsidRPr="00C132EA">
        <w:rPr>
          <w:sz w:val="28"/>
        </w:rPr>
        <w:t xml:space="preserve">Рис. </w:t>
      </w:r>
      <w:r>
        <w:rPr>
          <w:sz w:val="28"/>
        </w:rPr>
        <w:t>6</w:t>
      </w:r>
    </w:p>
    <w:p w:rsidR="009C40C7" w:rsidRDefault="009C40C7" w:rsidP="009C40C7">
      <w:pPr>
        <w:spacing w:line="360" w:lineRule="auto"/>
        <w:jc w:val="right"/>
        <w:rPr>
          <w:sz w:val="28"/>
        </w:rPr>
      </w:pPr>
      <w:r>
        <w:rPr>
          <w:noProof/>
          <w:sz w:val="28"/>
        </w:rPr>
        <w:drawing>
          <wp:inline distT="0" distB="0" distL="0" distR="0" wp14:anchorId="5430FA6B" wp14:editId="7603B66E">
            <wp:extent cx="5886450" cy="3743325"/>
            <wp:effectExtent l="0" t="0" r="0" b="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9C40C7" w:rsidRPr="00700A30" w:rsidRDefault="009C40C7" w:rsidP="009C40C7">
      <w:pPr>
        <w:spacing w:line="360" w:lineRule="auto"/>
        <w:jc w:val="both"/>
        <w:rPr>
          <w:sz w:val="28"/>
        </w:rPr>
      </w:pPr>
    </w:p>
    <w:p w:rsidR="009C40C7" w:rsidRPr="00911C8C" w:rsidRDefault="009C40C7" w:rsidP="009C40C7">
      <w:pPr>
        <w:spacing w:line="360" w:lineRule="auto"/>
        <w:ind w:right="142" w:firstLine="709"/>
        <w:jc w:val="both"/>
        <w:rPr>
          <w:sz w:val="28"/>
          <w:szCs w:val="28"/>
        </w:rPr>
      </w:pPr>
      <w:r w:rsidRPr="00911C8C">
        <w:rPr>
          <w:sz w:val="28"/>
          <w:szCs w:val="28"/>
        </w:rPr>
        <w:t xml:space="preserve">Приоритетное место в структуре бюджета муниципальных программ занимают социально-ориентированные муниципальные программы. Их доля в 2018 году составляет </w:t>
      </w:r>
      <w:r>
        <w:rPr>
          <w:sz w:val="28"/>
          <w:szCs w:val="28"/>
        </w:rPr>
        <w:t>47,8</w:t>
      </w:r>
      <w:r w:rsidRPr="00911C8C">
        <w:rPr>
          <w:sz w:val="28"/>
          <w:szCs w:val="28"/>
        </w:rPr>
        <w:t xml:space="preserve">% от структуры программных расходов бюджета города, или </w:t>
      </w:r>
      <w:r>
        <w:rPr>
          <w:sz w:val="28"/>
          <w:szCs w:val="28"/>
        </w:rPr>
        <w:t>1 874,8</w:t>
      </w:r>
      <w:r w:rsidRPr="00911C8C">
        <w:rPr>
          <w:sz w:val="28"/>
          <w:szCs w:val="28"/>
        </w:rPr>
        <w:t xml:space="preserve"> млн. рублей. По отношению к предыдущему финансовому году расходы на социальную сферу увеличились на </w:t>
      </w:r>
      <w:r>
        <w:rPr>
          <w:sz w:val="28"/>
          <w:szCs w:val="28"/>
        </w:rPr>
        <w:t>189,2</w:t>
      </w:r>
      <w:r w:rsidRPr="00911C8C">
        <w:rPr>
          <w:sz w:val="28"/>
          <w:szCs w:val="28"/>
        </w:rPr>
        <w:t xml:space="preserve"> млн. рублей.</w:t>
      </w:r>
    </w:p>
    <w:p w:rsidR="009C40C7" w:rsidRDefault="009C40C7" w:rsidP="009C40C7">
      <w:pPr>
        <w:spacing w:line="360" w:lineRule="auto"/>
        <w:ind w:right="142" w:firstLine="709"/>
        <w:jc w:val="both"/>
        <w:rPr>
          <w:sz w:val="28"/>
          <w:szCs w:val="28"/>
        </w:rPr>
      </w:pPr>
      <w:r w:rsidRPr="00911C8C">
        <w:rPr>
          <w:sz w:val="28"/>
          <w:szCs w:val="28"/>
        </w:rPr>
        <w:t>На реализацию программ в жилищ</w:t>
      </w:r>
      <w:r>
        <w:rPr>
          <w:sz w:val="28"/>
          <w:szCs w:val="28"/>
        </w:rPr>
        <w:t>но-коммунальной сфере направлено 1 311,0 млн. рублей или 33,4</w:t>
      </w:r>
      <w:r w:rsidRPr="00911C8C">
        <w:rPr>
          <w:sz w:val="28"/>
          <w:szCs w:val="28"/>
        </w:rPr>
        <w:t xml:space="preserve">% в структуре программных расходов. </w:t>
      </w:r>
    </w:p>
    <w:p w:rsidR="009C40C7" w:rsidRPr="00700A30" w:rsidRDefault="009C40C7" w:rsidP="009C40C7">
      <w:pPr>
        <w:spacing w:line="360" w:lineRule="auto"/>
        <w:ind w:firstLine="708"/>
        <w:jc w:val="both"/>
        <w:rPr>
          <w:sz w:val="28"/>
        </w:rPr>
      </w:pPr>
      <w:r w:rsidRPr="00700A30">
        <w:rPr>
          <w:sz w:val="28"/>
        </w:rPr>
        <w:lastRenderedPageBreak/>
        <w:t>Для решения задачи по повышению эффективности муниципальных услуг в городском округе продолжается работа, направленная на рациональное и экономное использование бюджетных средств.</w:t>
      </w:r>
    </w:p>
    <w:p w:rsidR="009C40C7" w:rsidRPr="00C132EA" w:rsidRDefault="009C40C7" w:rsidP="009C40C7">
      <w:pPr>
        <w:spacing w:line="360" w:lineRule="auto"/>
        <w:ind w:firstLine="708"/>
        <w:jc w:val="both"/>
        <w:rPr>
          <w:sz w:val="28"/>
        </w:rPr>
      </w:pPr>
      <w:r w:rsidRPr="00C132EA">
        <w:rPr>
          <w:sz w:val="28"/>
        </w:rPr>
        <w:t>Бюджет города за 201</w:t>
      </w:r>
      <w:r>
        <w:rPr>
          <w:sz w:val="28"/>
        </w:rPr>
        <w:t>8</w:t>
      </w:r>
      <w:r w:rsidRPr="00C132EA">
        <w:rPr>
          <w:sz w:val="28"/>
        </w:rPr>
        <w:t xml:space="preserve"> год исполнен с профицитом в сумме </w:t>
      </w:r>
      <w:r>
        <w:rPr>
          <w:sz w:val="28"/>
        </w:rPr>
        <w:t>1 378,8</w:t>
      </w:r>
      <w:r w:rsidRPr="00C132EA">
        <w:rPr>
          <w:sz w:val="28"/>
        </w:rPr>
        <w:t xml:space="preserve"> млн. рублей</w:t>
      </w:r>
      <w:r>
        <w:rPr>
          <w:sz w:val="28"/>
        </w:rPr>
        <w:t xml:space="preserve">. Профицит бюджета сложился в результате остатков межбюджетных трансфертов. </w:t>
      </w:r>
    </w:p>
    <w:p w:rsidR="009C40C7" w:rsidRDefault="009C40C7" w:rsidP="009C40C7">
      <w:pPr>
        <w:spacing w:line="360" w:lineRule="auto"/>
        <w:ind w:firstLine="708"/>
        <w:jc w:val="both"/>
        <w:rPr>
          <w:sz w:val="28"/>
        </w:rPr>
      </w:pPr>
      <w:r w:rsidRPr="00C132EA">
        <w:rPr>
          <w:sz w:val="28"/>
        </w:rPr>
        <w:t>В 201</w:t>
      </w:r>
      <w:r>
        <w:rPr>
          <w:sz w:val="28"/>
        </w:rPr>
        <w:t>8</w:t>
      </w:r>
      <w:r w:rsidRPr="00C132EA">
        <w:rPr>
          <w:sz w:val="28"/>
        </w:rPr>
        <w:t xml:space="preserve"> году погашение кредита от кредитной организации, привлеченного для финансирования дефицита бюджета, составило </w:t>
      </w:r>
      <w:r>
        <w:rPr>
          <w:sz w:val="28"/>
        </w:rPr>
        <w:t>82</w:t>
      </w:r>
      <w:r w:rsidRPr="00C132EA">
        <w:rPr>
          <w:sz w:val="28"/>
        </w:rPr>
        <w:t xml:space="preserve">,0 млн. руб. Погашение муниципальных гарантий составило </w:t>
      </w:r>
      <w:r>
        <w:rPr>
          <w:sz w:val="28"/>
        </w:rPr>
        <w:t>72,7</w:t>
      </w:r>
      <w:r w:rsidRPr="00C132EA">
        <w:rPr>
          <w:sz w:val="28"/>
        </w:rPr>
        <w:t xml:space="preserve"> млн. руб. По состоянию на 01.01.201</w:t>
      </w:r>
      <w:r>
        <w:rPr>
          <w:sz w:val="28"/>
        </w:rPr>
        <w:t>9</w:t>
      </w:r>
      <w:r w:rsidRPr="00C132EA">
        <w:rPr>
          <w:sz w:val="28"/>
        </w:rPr>
        <w:t xml:space="preserve"> года объем муниципального долга составляет </w:t>
      </w:r>
      <w:r>
        <w:rPr>
          <w:sz w:val="28"/>
        </w:rPr>
        <w:t>176,3</w:t>
      </w:r>
      <w:r w:rsidRPr="00C132EA">
        <w:rPr>
          <w:sz w:val="28"/>
        </w:rPr>
        <w:t xml:space="preserve"> млн. руб. В области долговой политики работа администрации города направлена на минимизацию долговой нагрузки и сокращение расходов на обслуживание муниципального долга. </w:t>
      </w:r>
    </w:p>
    <w:p w:rsidR="009C40C7" w:rsidRDefault="009C40C7" w:rsidP="009C40C7">
      <w:pPr>
        <w:spacing w:line="360" w:lineRule="auto"/>
        <w:ind w:firstLine="708"/>
        <w:jc w:val="both"/>
        <w:rPr>
          <w:sz w:val="28"/>
        </w:rPr>
      </w:pPr>
      <w:r w:rsidRPr="003C38B6">
        <w:rPr>
          <w:sz w:val="28"/>
        </w:rPr>
        <w:t>В целях активизации работы по мобилизации доходов в бюджет муниципального образования городского округа города Пыть-Ях, сокращения размера дефицита бюджета, повышения качества и эффективности управления финансовыми ресурсами, на уровне муниципального образования принят план мероприятий по росту доходов и оптимизации расходов бюджета на 2018 год и на плановый период 2019 и 2020 годов, утвержденный распоряжением администрации города от 27.12.2017 № 2484-ра «О мероприятиях по исполнению решения Думы «О бюджете города Пыть-Яха на 2018 год и плановый период 2019-2020 годов»</w:t>
      </w:r>
      <w:r>
        <w:rPr>
          <w:sz w:val="28"/>
        </w:rPr>
        <w:t>,</w:t>
      </w:r>
      <w:r w:rsidRPr="003C38B6">
        <w:rPr>
          <w:sz w:val="28"/>
        </w:rPr>
        <w:t xml:space="preserve"> предусматривающий достижение бюджетного эффекта в сумме 118</w:t>
      </w:r>
      <w:r>
        <w:rPr>
          <w:sz w:val="28"/>
        </w:rPr>
        <w:t>,3</w:t>
      </w:r>
      <w:r w:rsidRPr="003C38B6">
        <w:rPr>
          <w:sz w:val="28"/>
        </w:rPr>
        <w:t xml:space="preserve"> млн. рублей</w:t>
      </w:r>
    </w:p>
    <w:p w:rsidR="009C40C7" w:rsidRDefault="009C40C7" w:rsidP="009C40C7">
      <w:pPr>
        <w:spacing w:line="360" w:lineRule="auto"/>
        <w:ind w:firstLine="708"/>
        <w:jc w:val="both"/>
        <w:rPr>
          <w:sz w:val="28"/>
        </w:rPr>
      </w:pPr>
      <w:r w:rsidRPr="003C38B6">
        <w:rPr>
          <w:sz w:val="28"/>
        </w:rPr>
        <w:t xml:space="preserve">В течение года выполнен ряд мероприятий по </w:t>
      </w:r>
      <w:r w:rsidRPr="00D83062">
        <w:rPr>
          <w:sz w:val="28"/>
        </w:rPr>
        <w:t xml:space="preserve">оптимизации расходов на текущее содержание </w:t>
      </w:r>
      <w:r>
        <w:rPr>
          <w:sz w:val="28"/>
        </w:rPr>
        <w:t xml:space="preserve">органов местного самоуправления, казенных учреждений, </w:t>
      </w:r>
      <w:r w:rsidRPr="00D83062">
        <w:rPr>
          <w:sz w:val="28"/>
        </w:rPr>
        <w:t>на финансовое обеспечение вы</w:t>
      </w:r>
      <w:r>
        <w:rPr>
          <w:sz w:val="28"/>
        </w:rPr>
        <w:t>полнения муниципального задания,</w:t>
      </w:r>
      <w:r w:rsidRPr="00D83062">
        <w:rPr>
          <w:sz w:val="28"/>
        </w:rPr>
        <w:t xml:space="preserve"> сокращение бюджетных средст</w:t>
      </w:r>
      <w:r>
        <w:rPr>
          <w:sz w:val="28"/>
        </w:rPr>
        <w:t>в по итогам закупочных процедур, по инвентаризации</w:t>
      </w:r>
      <w:r w:rsidRPr="00D83062">
        <w:rPr>
          <w:sz w:val="28"/>
        </w:rPr>
        <w:t xml:space="preserve"> мероприятий муниципальных программ и непрограммных расходов</w:t>
      </w:r>
      <w:r>
        <w:rPr>
          <w:sz w:val="28"/>
        </w:rPr>
        <w:t>, р</w:t>
      </w:r>
      <w:r w:rsidRPr="00D83062">
        <w:rPr>
          <w:sz w:val="28"/>
        </w:rPr>
        <w:t>еорганизаци</w:t>
      </w:r>
      <w:r>
        <w:rPr>
          <w:sz w:val="28"/>
        </w:rPr>
        <w:t>и</w:t>
      </w:r>
      <w:r w:rsidRPr="00D83062">
        <w:rPr>
          <w:sz w:val="28"/>
        </w:rPr>
        <w:t xml:space="preserve"> действующей сети муниципальных учреждений и снижение численности работающих в муниципальных учреждениях</w:t>
      </w:r>
      <w:r>
        <w:rPr>
          <w:sz w:val="28"/>
        </w:rPr>
        <w:t xml:space="preserve">, </w:t>
      </w:r>
      <w:r w:rsidRPr="00D83062">
        <w:rPr>
          <w:sz w:val="28"/>
        </w:rPr>
        <w:t>снижению расходов на оплату топливно-энергетических ресурсов</w:t>
      </w:r>
      <w:r>
        <w:rPr>
          <w:sz w:val="28"/>
        </w:rPr>
        <w:t>, по</w:t>
      </w:r>
      <w:r w:rsidRPr="00D83062">
        <w:rPr>
          <w:sz w:val="28"/>
        </w:rPr>
        <w:t xml:space="preserve"> расширени</w:t>
      </w:r>
      <w:r>
        <w:rPr>
          <w:sz w:val="28"/>
        </w:rPr>
        <w:t>ю</w:t>
      </w:r>
      <w:r w:rsidRPr="00D83062">
        <w:rPr>
          <w:sz w:val="28"/>
        </w:rPr>
        <w:t xml:space="preserve"> перечня и объёма </w:t>
      </w:r>
      <w:r w:rsidRPr="00D83062">
        <w:rPr>
          <w:sz w:val="28"/>
        </w:rPr>
        <w:lastRenderedPageBreak/>
        <w:t>платных услуг, оказываемых бюджетными и автономными учреждениями</w:t>
      </w:r>
      <w:r>
        <w:rPr>
          <w:sz w:val="28"/>
        </w:rPr>
        <w:t xml:space="preserve">, по </w:t>
      </w:r>
      <w:r w:rsidRPr="00D83062">
        <w:rPr>
          <w:sz w:val="28"/>
        </w:rPr>
        <w:t>передач</w:t>
      </w:r>
      <w:r>
        <w:rPr>
          <w:sz w:val="28"/>
        </w:rPr>
        <w:t>е</w:t>
      </w:r>
      <w:r w:rsidRPr="00D83062">
        <w:rPr>
          <w:sz w:val="28"/>
        </w:rPr>
        <w:t xml:space="preserve"> муниципальных услуг на исполнение в многофункционал</w:t>
      </w:r>
      <w:r>
        <w:rPr>
          <w:sz w:val="28"/>
        </w:rPr>
        <w:t xml:space="preserve">ьный центр предоставления услуг, </w:t>
      </w:r>
      <w:r w:rsidRPr="00D83062">
        <w:rPr>
          <w:sz w:val="28"/>
        </w:rPr>
        <w:t>привлечению немуниципальных организаций к оказанию муниципальных услуг</w:t>
      </w:r>
      <w:r>
        <w:rPr>
          <w:sz w:val="28"/>
        </w:rPr>
        <w:t xml:space="preserve">, </w:t>
      </w:r>
      <w:r w:rsidRPr="003C38B6">
        <w:rPr>
          <w:sz w:val="28"/>
        </w:rPr>
        <w:t xml:space="preserve">В результате проведенных мероприятий достигнут бюджетный эффект в сумме </w:t>
      </w:r>
      <w:r>
        <w:rPr>
          <w:sz w:val="28"/>
        </w:rPr>
        <w:t>77,8</w:t>
      </w:r>
      <w:r w:rsidRPr="003C38B6">
        <w:rPr>
          <w:sz w:val="28"/>
        </w:rPr>
        <w:t xml:space="preserve"> млн. рублей, что </w:t>
      </w:r>
      <w:r>
        <w:rPr>
          <w:sz w:val="28"/>
        </w:rPr>
        <w:t>составляет 100,% от</w:t>
      </w:r>
      <w:r w:rsidRPr="003C38B6">
        <w:rPr>
          <w:sz w:val="28"/>
        </w:rPr>
        <w:t xml:space="preserve"> намеченного показателя.</w:t>
      </w:r>
    </w:p>
    <w:p w:rsidR="009C40C7" w:rsidRDefault="009C40C7" w:rsidP="009C40C7">
      <w:pPr>
        <w:spacing w:line="360" w:lineRule="auto"/>
        <w:ind w:firstLine="708"/>
        <w:jc w:val="both"/>
        <w:rPr>
          <w:sz w:val="28"/>
        </w:rPr>
      </w:pPr>
      <w:r>
        <w:rPr>
          <w:sz w:val="28"/>
        </w:rPr>
        <w:t xml:space="preserve">В </w:t>
      </w:r>
      <w:r w:rsidRPr="00D83062">
        <w:rPr>
          <w:sz w:val="28"/>
        </w:rPr>
        <w:t xml:space="preserve">целях активизации работы по мобилизации доходов в бюджет города </w:t>
      </w:r>
      <w:r>
        <w:rPr>
          <w:sz w:val="28"/>
        </w:rPr>
        <w:t>Пыть-Яха</w:t>
      </w:r>
      <w:r w:rsidRPr="00D83062">
        <w:rPr>
          <w:sz w:val="28"/>
        </w:rPr>
        <w:t xml:space="preserve">, изыскания дополнительных резервов поступлений и сокращения размера дефицита бюджета города </w:t>
      </w:r>
      <w:r>
        <w:rPr>
          <w:sz w:val="28"/>
        </w:rPr>
        <w:t>в</w:t>
      </w:r>
      <w:r w:rsidRPr="00C01F49">
        <w:rPr>
          <w:sz w:val="28"/>
        </w:rPr>
        <w:t xml:space="preserve"> 201</w:t>
      </w:r>
      <w:r>
        <w:rPr>
          <w:sz w:val="28"/>
        </w:rPr>
        <w:t>8</w:t>
      </w:r>
      <w:r w:rsidRPr="00C01F49">
        <w:rPr>
          <w:sz w:val="28"/>
        </w:rPr>
        <w:t xml:space="preserve"> год</w:t>
      </w:r>
      <w:r>
        <w:rPr>
          <w:sz w:val="28"/>
        </w:rPr>
        <w:t>у</w:t>
      </w:r>
      <w:r w:rsidRPr="00C01F49">
        <w:rPr>
          <w:sz w:val="28"/>
        </w:rPr>
        <w:t xml:space="preserve"> проведены меры по привлечению дополнительных доходов в бюджет муниципального образования в результате которых сумма </w:t>
      </w:r>
      <w:r w:rsidRPr="003C38B6">
        <w:rPr>
          <w:sz w:val="28"/>
        </w:rPr>
        <w:t xml:space="preserve">дополнительных доходов </w:t>
      </w:r>
      <w:r w:rsidRPr="00C01F49">
        <w:rPr>
          <w:sz w:val="28"/>
        </w:rPr>
        <w:t>составила</w:t>
      </w:r>
      <w:r w:rsidRPr="003C38B6">
        <w:rPr>
          <w:sz w:val="28"/>
        </w:rPr>
        <w:t xml:space="preserve"> 43</w:t>
      </w:r>
      <w:r>
        <w:rPr>
          <w:sz w:val="28"/>
        </w:rPr>
        <w:t>,7 млн.</w:t>
      </w:r>
      <w:r w:rsidRPr="003C38B6">
        <w:rPr>
          <w:sz w:val="28"/>
        </w:rPr>
        <w:t xml:space="preserve"> руб</w:t>
      </w:r>
      <w:r>
        <w:rPr>
          <w:sz w:val="28"/>
        </w:rPr>
        <w:t>лей.</w:t>
      </w:r>
    </w:p>
    <w:p w:rsidR="009C40C7" w:rsidRPr="003C38B6" w:rsidRDefault="009C40C7" w:rsidP="009C40C7">
      <w:pPr>
        <w:spacing w:line="360" w:lineRule="auto"/>
        <w:ind w:firstLine="708"/>
        <w:jc w:val="both"/>
        <w:rPr>
          <w:sz w:val="28"/>
        </w:rPr>
      </w:pPr>
      <w:r>
        <w:rPr>
          <w:sz w:val="28"/>
        </w:rPr>
        <w:t>В целом от реализации плана мероприятий б</w:t>
      </w:r>
      <w:r w:rsidRPr="003C38B6">
        <w:rPr>
          <w:sz w:val="28"/>
        </w:rPr>
        <w:t>юджетный эффект по итогам 2018 года составил 121</w:t>
      </w:r>
      <w:r>
        <w:rPr>
          <w:sz w:val="28"/>
        </w:rPr>
        <w:t>,5 млн.</w:t>
      </w:r>
      <w:r w:rsidRPr="003C38B6">
        <w:rPr>
          <w:sz w:val="28"/>
        </w:rPr>
        <w:t xml:space="preserve"> рублей или 9,5 % к собственны</w:t>
      </w:r>
      <w:r>
        <w:rPr>
          <w:sz w:val="28"/>
        </w:rPr>
        <w:t>м</w:t>
      </w:r>
      <w:r w:rsidRPr="003C38B6">
        <w:rPr>
          <w:sz w:val="28"/>
        </w:rPr>
        <w:t xml:space="preserve"> доход</w:t>
      </w:r>
      <w:r>
        <w:rPr>
          <w:sz w:val="28"/>
        </w:rPr>
        <w:t>ам</w:t>
      </w:r>
      <w:r w:rsidRPr="003C38B6">
        <w:rPr>
          <w:sz w:val="28"/>
        </w:rPr>
        <w:t xml:space="preserve"> муниципального образования</w:t>
      </w:r>
      <w:r>
        <w:rPr>
          <w:sz w:val="28"/>
        </w:rPr>
        <w:t>.</w:t>
      </w:r>
    </w:p>
    <w:p w:rsidR="009C40C7" w:rsidRDefault="009C40C7" w:rsidP="009C40C7">
      <w:pPr>
        <w:spacing w:line="360" w:lineRule="auto"/>
        <w:ind w:firstLine="708"/>
        <w:jc w:val="both"/>
        <w:rPr>
          <w:sz w:val="28"/>
        </w:rPr>
      </w:pPr>
      <w:r w:rsidRPr="00C06B32">
        <w:rPr>
          <w:sz w:val="28"/>
        </w:rPr>
        <w:t>Администрацией города разработан аналогичный план мероприятий по росту доходов, оптимизации расходов местных бюджетов и сокращению муниципального долга на 201</w:t>
      </w:r>
      <w:r>
        <w:rPr>
          <w:sz w:val="28"/>
        </w:rPr>
        <w:t>9</w:t>
      </w:r>
      <w:r w:rsidRPr="00C06B32">
        <w:rPr>
          <w:sz w:val="28"/>
        </w:rPr>
        <w:t>-20</w:t>
      </w:r>
      <w:r>
        <w:rPr>
          <w:sz w:val="28"/>
        </w:rPr>
        <w:t>21</w:t>
      </w:r>
      <w:r w:rsidRPr="00C06B32">
        <w:rPr>
          <w:sz w:val="28"/>
        </w:rPr>
        <w:t xml:space="preserve"> годы.</w:t>
      </w:r>
    </w:p>
    <w:p w:rsidR="009C40C7" w:rsidRDefault="009C40C7" w:rsidP="009C40C7">
      <w:pPr>
        <w:spacing w:line="360" w:lineRule="auto"/>
        <w:ind w:firstLine="708"/>
        <w:jc w:val="both"/>
        <w:rPr>
          <w:sz w:val="28"/>
        </w:rPr>
      </w:pPr>
      <w:r w:rsidRPr="005A553B">
        <w:rPr>
          <w:sz w:val="28"/>
        </w:rPr>
        <w:t xml:space="preserve">В 2018 году продолжена работа по привлечению организаций негосударственного сектора к оказанию муниципальных услуг в соответствии с утвержденным планом мероприятий по поддержке доступа негосударственных организаций (коммерческих, некоммерческих) к предоставлению услуг в социальной сфере на территории города </w:t>
      </w:r>
      <w:r>
        <w:rPr>
          <w:sz w:val="28"/>
        </w:rPr>
        <w:t>Пыть-Яха</w:t>
      </w:r>
      <w:r w:rsidRPr="005A553B">
        <w:rPr>
          <w:sz w:val="28"/>
        </w:rPr>
        <w:t xml:space="preserve">. Общий объем финансирования муниципальных услуг, переданных негосударственным организациям, в 2018 году составил </w:t>
      </w:r>
      <w:r>
        <w:rPr>
          <w:sz w:val="28"/>
        </w:rPr>
        <w:t>4</w:t>
      </w:r>
      <w:r w:rsidRPr="005A553B">
        <w:rPr>
          <w:sz w:val="28"/>
        </w:rPr>
        <w:t xml:space="preserve"> млн. рублей</w:t>
      </w:r>
      <w:r>
        <w:rPr>
          <w:sz w:val="28"/>
        </w:rPr>
        <w:t>.</w:t>
      </w:r>
    </w:p>
    <w:p w:rsidR="009C40C7" w:rsidRDefault="009C40C7" w:rsidP="009C40C7">
      <w:pPr>
        <w:spacing w:line="360" w:lineRule="auto"/>
        <w:ind w:firstLine="708"/>
        <w:jc w:val="both"/>
        <w:rPr>
          <w:sz w:val="28"/>
        </w:rPr>
      </w:pPr>
      <w:r w:rsidRPr="00CB653F">
        <w:rPr>
          <w:sz w:val="28"/>
        </w:rPr>
        <w:t>В 2018 году учитывая обеспечение положительного прироста налоговых доходов и высокое качество планирования доходов бюджета, из бюджета Ханты-Мансийского автономного округа-Югры муниципал</w:t>
      </w:r>
      <w:r>
        <w:rPr>
          <w:sz w:val="28"/>
        </w:rPr>
        <w:t xml:space="preserve">ьному образованию предоставлен грант в виде </w:t>
      </w:r>
      <w:r w:rsidRPr="00CB653F">
        <w:rPr>
          <w:sz w:val="28"/>
        </w:rPr>
        <w:t>дотаци</w:t>
      </w:r>
      <w:r>
        <w:rPr>
          <w:sz w:val="28"/>
        </w:rPr>
        <w:t>и</w:t>
      </w:r>
      <w:r w:rsidRPr="00CB653F">
        <w:rPr>
          <w:sz w:val="28"/>
        </w:rPr>
        <w:t xml:space="preserve"> в сумме 1</w:t>
      </w:r>
      <w:r>
        <w:rPr>
          <w:sz w:val="28"/>
        </w:rPr>
        <w:t>2,8</w:t>
      </w:r>
      <w:r w:rsidRPr="00CB653F">
        <w:rPr>
          <w:sz w:val="28"/>
        </w:rPr>
        <w:t xml:space="preserve"> млн. рублей.</w:t>
      </w:r>
    </w:p>
    <w:p w:rsidR="009C40C7" w:rsidRPr="00FF737D" w:rsidRDefault="009C40C7" w:rsidP="009C40C7">
      <w:pPr>
        <w:spacing w:line="360" w:lineRule="auto"/>
        <w:ind w:firstLine="708"/>
        <w:jc w:val="both"/>
        <w:rPr>
          <w:sz w:val="28"/>
        </w:rPr>
      </w:pPr>
      <w:r w:rsidRPr="00FF737D">
        <w:rPr>
          <w:sz w:val="28"/>
        </w:rPr>
        <w:t xml:space="preserve">Для успешной реализации механизмов общественного участия и контроля, информирования широких кругов населения о формировании и исполнении </w:t>
      </w:r>
      <w:r w:rsidRPr="00FF737D">
        <w:rPr>
          <w:sz w:val="28"/>
        </w:rPr>
        <w:lastRenderedPageBreak/>
        <w:t xml:space="preserve">бюджета города </w:t>
      </w:r>
      <w:r>
        <w:rPr>
          <w:sz w:val="28"/>
        </w:rPr>
        <w:t>Пыть-Яха</w:t>
      </w:r>
      <w:r w:rsidRPr="00FF737D">
        <w:rPr>
          <w:sz w:val="28"/>
        </w:rPr>
        <w:t xml:space="preserve"> в течение года проводилась работа по обеспечению открытости бюджетного процесса. </w:t>
      </w:r>
    </w:p>
    <w:p w:rsidR="009C40C7" w:rsidRDefault="009C40C7" w:rsidP="009C40C7">
      <w:pPr>
        <w:spacing w:line="360" w:lineRule="auto"/>
        <w:ind w:firstLine="708"/>
        <w:jc w:val="both"/>
        <w:rPr>
          <w:sz w:val="28"/>
        </w:rPr>
      </w:pPr>
      <w:r w:rsidRPr="00FF737D">
        <w:rPr>
          <w:sz w:val="28"/>
        </w:rPr>
        <w:t xml:space="preserve">Информация о стадиях бюджетного процесса, о плановых показателях бюджета города и его исполнении размещается на официальном сайте </w:t>
      </w:r>
      <w:r>
        <w:rPr>
          <w:sz w:val="28"/>
        </w:rPr>
        <w:t>администрации</w:t>
      </w:r>
      <w:r w:rsidRPr="00FF737D">
        <w:rPr>
          <w:sz w:val="28"/>
        </w:rPr>
        <w:t xml:space="preserve"> города </w:t>
      </w:r>
      <w:r>
        <w:rPr>
          <w:sz w:val="28"/>
        </w:rPr>
        <w:t>Пыть-Яха в разделе «Открытый бюджет»</w:t>
      </w:r>
      <w:r w:rsidRPr="00FF737D">
        <w:rPr>
          <w:sz w:val="28"/>
        </w:rPr>
        <w:t>. Для горожан, не обладающих специальными знаниями в финансово-бюджетной сфере, информация размещается в доступной форме в виде информационного материала «Бюджет для граждан».</w:t>
      </w:r>
    </w:p>
    <w:p w:rsidR="009C40C7" w:rsidRDefault="009C40C7" w:rsidP="009C40C7">
      <w:pPr>
        <w:spacing w:line="360" w:lineRule="auto"/>
        <w:jc w:val="both"/>
        <w:rPr>
          <w:sz w:val="28"/>
        </w:rPr>
      </w:pPr>
    </w:p>
    <w:p w:rsidR="009C40C7" w:rsidRPr="00C132EA" w:rsidRDefault="009C40C7" w:rsidP="009C40C7">
      <w:pPr>
        <w:spacing w:line="360" w:lineRule="auto"/>
        <w:jc w:val="center"/>
        <w:rPr>
          <w:b/>
          <w:sz w:val="28"/>
        </w:rPr>
      </w:pPr>
      <w:r w:rsidRPr="00C132EA">
        <w:rPr>
          <w:b/>
          <w:sz w:val="28"/>
        </w:rPr>
        <w:t>Участи</w:t>
      </w:r>
      <w:r>
        <w:rPr>
          <w:b/>
          <w:sz w:val="28"/>
        </w:rPr>
        <w:t>е</w:t>
      </w:r>
      <w:r w:rsidRPr="00C132EA">
        <w:rPr>
          <w:b/>
          <w:sz w:val="28"/>
        </w:rPr>
        <w:t xml:space="preserve"> общественности муниципалитета в подготовке и принятии значимых для муниципалитета решений (инициативное бюджетирование)</w:t>
      </w:r>
    </w:p>
    <w:p w:rsidR="009C40C7" w:rsidRPr="00C132EA" w:rsidRDefault="009C40C7" w:rsidP="009C40C7">
      <w:pPr>
        <w:spacing w:line="360" w:lineRule="auto"/>
        <w:jc w:val="both"/>
        <w:rPr>
          <w:sz w:val="28"/>
        </w:rPr>
      </w:pPr>
    </w:p>
    <w:p w:rsidR="009C40C7" w:rsidRDefault="009C40C7" w:rsidP="009C40C7">
      <w:pPr>
        <w:spacing w:line="360" w:lineRule="auto"/>
        <w:ind w:firstLine="709"/>
        <w:jc w:val="both"/>
        <w:rPr>
          <w:sz w:val="28"/>
        </w:rPr>
      </w:pPr>
      <w:r w:rsidRPr="00FF737D">
        <w:rPr>
          <w:sz w:val="28"/>
        </w:rPr>
        <w:t>В соответствии со статьей 28 Федерального закона от 06.10.2003 № 131-ФЗ «Об общих принципах организации местного самоуправления в РФ» в обязательном порядке на публичные слушания выносятся проект местного бюджета и отчет о его исполнении.</w:t>
      </w:r>
    </w:p>
    <w:p w:rsidR="009C40C7" w:rsidRPr="00FF737D" w:rsidRDefault="009C40C7" w:rsidP="009C40C7">
      <w:pPr>
        <w:spacing w:line="360" w:lineRule="auto"/>
        <w:ind w:firstLine="709"/>
        <w:jc w:val="both"/>
        <w:rPr>
          <w:sz w:val="28"/>
        </w:rPr>
      </w:pPr>
      <w:r w:rsidRPr="00FF737D">
        <w:rPr>
          <w:sz w:val="28"/>
        </w:rPr>
        <w:t>Порядок организации и проведения публичных слушаний в муниципальном образовании городской округ город Пыть-Ях регламентируется решением Думы города Пыть-Яха от 03.03.2017 № 71.</w:t>
      </w:r>
    </w:p>
    <w:p w:rsidR="009C40C7" w:rsidRDefault="009C40C7" w:rsidP="009C40C7">
      <w:pPr>
        <w:spacing w:line="360" w:lineRule="auto"/>
        <w:ind w:firstLine="709"/>
        <w:jc w:val="both"/>
        <w:rPr>
          <w:sz w:val="28"/>
        </w:rPr>
      </w:pPr>
      <w:r>
        <w:rPr>
          <w:sz w:val="28"/>
        </w:rPr>
        <w:t xml:space="preserve">Публичные слушания </w:t>
      </w:r>
      <w:r w:rsidRPr="005E2E45">
        <w:rPr>
          <w:sz w:val="28"/>
        </w:rPr>
        <w:t>по проекту Решению Думы города Пыть-Яха «О бюджете города Пыть-Яха на 201</w:t>
      </w:r>
      <w:r>
        <w:rPr>
          <w:sz w:val="28"/>
        </w:rPr>
        <w:t>8</w:t>
      </w:r>
      <w:r w:rsidRPr="005E2E45">
        <w:rPr>
          <w:sz w:val="28"/>
        </w:rPr>
        <w:t xml:space="preserve"> год и плановый период 201</w:t>
      </w:r>
      <w:r>
        <w:rPr>
          <w:sz w:val="28"/>
        </w:rPr>
        <w:t>9</w:t>
      </w:r>
      <w:r w:rsidRPr="005E2E45">
        <w:rPr>
          <w:sz w:val="28"/>
        </w:rPr>
        <w:t xml:space="preserve"> и 20</w:t>
      </w:r>
      <w:r>
        <w:rPr>
          <w:sz w:val="28"/>
        </w:rPr>
        <w:t>20</w:t>
      </w:r>
      <w:r w:rsidRPr="005E2E45">
        <w:rPr>
          <w:sz w:val="28"/>
        </w:rPr>
        <w:t xml:space="preserve"> годов», назначены </w:t>
      </w:r>
      <w:r w:rsidRPr="00DC60A1">
        <w:rPr>
          <w:sz w:val="28"/>
        </w:rPr>
        <w:t>постановлением главы города Пыть-Яха от 15.11.2017 № 55-пг</w:t>
      </w:r>
      <w:r>
        <w:rPr>
          <w:sz w:val="28"/>
        </w:rPr>
        <w:t>.</w:t>
      </w:r>
      <w:r w:rsidRPr="005E2E45">
        <w:rPr>
          <w:sz w:val="28"/>
        </w:rPr>
        <w:t xml:space="preserve"> </w:t>
      </w:r>
      <w:r w:rsidRPr="00DC60A1">
        <w:rPr>
          <w:sz w:val="28"/>
        </w:rPr>
        <w:t>Публичные слушания проведены 4 декабря 2017 года. Зарегистрирован</w:t>
      </w:r>
      <w:r>
        <w:rPr>
          <w:sz w:val="28"/>
        </w:rPr>
        <w:t xml:space="preserve">о </w:t>
      </w:r>
      <w:r w:rsidRPr="00DC60A1">
        <w:rPr>
          <w:sz w:val="28"/>
        </w:rPr>
        <w:t>46 участников публичных слушаний.</w:t>
      </w:r>
      <w:r>
        <w:rPr>
          <w:sz w:val="28"/>
        </w:rPr>
        <w:t xml:space="preserve"> </w:t>
      </w:r>
      <w:r w:rsidRPr="00DC60A1">
        <w:rPr>
          <w:sz w:val="28"/>
        </w:rPr>
        <w:t>Заслушаны доклады по проекту решения Думы города «О бюджете города Пыть-Яха на 2018 год и плановый период 2019 и 2020 годов».</w:t>
      </w:r>
      <w:r>
        <w:rPr>
          <w:sz w:val="28"/>
        </w:rPr>
        <w:t xml:space="preserve"> </w:t>
      </w:r>
    </w:p>
    <w:p w:rsidR="009C40C7" w:rsidRPr="00FF737D" w:rsidRDefault="009C40C7" w:rsidP="009C40C7">
      <w:pPr>
        <w:spacing w:line="360" w:lineRule="auto"/>
        <w:ind w:firstLine="709"/>
        <w:jc w:val="both"/>
        <w:rPr>
          <w:sz w:val="28"/>
        </w:rPr>
      </w:pPr>
      <w:r w:rsidRPr="00DC60A1">
        <w:rPr>
          <w:sz w:val="28"/>
        </w:rPr>
        <w:t xml:space="preserve">Публичные слушания по проекту решения Думы города «Об исполнении бюджета города Пыть-Яха за 2017 год» назначены </w:t>
      </w:r>
      <w:r w:rsidRPr="00DC60A1">
        <w:rPr>
          <w:sz w:val="28"/>
          <w:szCs w:val="28"/>
        </w:rPr>
        <w:t>постановлением главы города от 28.03.2018 года № 12-пг</w:t>
      </w:r>
      <w:r w:rsidRPr="00DC60A1">
        <w:rPr>
          <w:sz w:val="28"/>
        </w:rPr>
        <w:t xml:space="preserve">. Публичные слушания проведены в 18-00 часов 20 </w:t>
      </w:r>
      <w:r w:rsidRPr="00DC60A1">
        <w:rPr>
          <w:sz w:val="28"/>
        </w:rPr>
        <w:lastRenderedPageBreak/>
        <w:t xml:space="preserve">апреля 2018 года, </w:t>
      </w:r>
      <w:r>
        <w:rPr>
          <w:sz w:val="28"/>
        </w:rPr>
        <w:t>24</w:t>
      </w:r>
      <w:r w:rsidRPr="00DC60A1">
        <w:rPr>
          <w:sz w:val="28"/>
        </w:rPr>
        <w:t xml:space="preserve"> горожан приняли участие в</w:t>
      </w:r>
      <w:r>
        <w:rPr>
          <w:sz w:val="28"/>
        </w:rPr>
        <w:t xml:space="preserve"> обсуждении вопросов по исполнению бюджета города за 2017 год.</w:t>
      </w:r>
    </w:p>
    <w:p w:rsidR="009C40C7" w:rsidRDefault="009C40C7" w:rsidP="009C40C7">
      <w:pPr>
        <w:spacing w:line="360" w:lineRule="auto"/>
        <w:ind w:firstLine="709"/>
        <w:jc w:val="both"/>
        <w:rPr>
          <w:sz w:val="28"/>
        </w:rPr>
      </w:pPr>
      <w:r w:rsidRPr="00C132EA">
        <w:rPr>
          <w:sz w:val="28"/>
        </w:rPr>
        <w:t xml:space="preserve">Муниципальное образование городской округ город Пыть-Ях с 2017 года начало применять практику по решению вопросов местного значения при непосредственном участии граждан в определении и выборе объектов расходования бюджетных средств, а также последующем контроле за реализацией отобранных проектов в рамках «Формирования комфортной городской среды». Первый опыт реализации инициативного бюджетирования был реализован в городе в мае 2017 года. </w:t>
      </w:r>
    </w:p>
    <w:p w:rsidR="009C40C7" w:rsidRDefault="009C40C7" w:rsidP="009C40C7">
      <w:pPr>
        <w:spacing w:line="360" w:lineRule="auto"/>
        <w:ind w:firstLine="709"/>
        <w:jc w:val="both"/>
        <w:rPr>
          <w:sz w:val="28"/>
        </w:rPr>
      </w:pPr>
      <w:r>
        <w:rPr>
          <w:sz w:val="28"/>
        </w:rPr>
        <w:t>В 2018 году в рамках реализации п</w:t>
      </w:r>
      <w:r w:rsidRPr="00B16BB9">
        <w:rPr>
          <w:sz w:val="28"/>
        </w:rPr>
        <w:t>риоритетн</w:t>
      </w:r>
      <w:r>
        <w:rPr>
          <w:sz w:val="28"/>
        </w:rPr>
        <w:t>ого</w:t>
      </w:r>
      <w:r w:rsidRPr="00B16BB9">
        <w:rPr>
          <w:sz w:val="28"/>
        </w:rPr>
        <w:t xml:space="preserve"> проект</w:t>
      </w:r>
      <w:r>
        <w:rPr>
          <w:sz w:val="28"/>
        </w:rPr>
        <w:t>а</w:t>
      </w:r>
      <w:r w:rsidRPr="00B16BB9">
        <w:rPr>
          <w:sz w:val="28"/>
        </w:rPr>
        <w:t xml:space="preserve"> </w:t>
      </w:r>
      <w:r>
        <w:rPr>
          <w:sz w:val="28"/>
        </w:rPr>
        <w:t>«</w:t>
      </w:r>
      <w:r w:rsidRPr="00B16BB9">
        <w:rPr>
          <w:sz w:val="28"/>
        </w:rPr>
        <w:t>Формиров</w:t>
      </w:r>
      <w:r>
        <w:rPr>
          <w:sz w:val="28"/>
        </w:rPr>
        <w:t>ание комфортной городской среды» п</w:t>
      </w:r>
      <w:r w:rsidRPr="00B16BB9">
        <w:rPr>
          <w:sz w:val="28"/>
        </w:rPr>
        <w:t>о итогам рейтингового голосования по проектам благоустройства общественных территорий муниципального образования городской округ город Пыть-Ях, подлежащих в первоочередном порядке благоустройству в 2018 году, проведенного 23.03.2018 была определена общественная территория – парк «Сказка» (1213 голосов)</w:t>
      </w:r>
      <w:r>
        <w:rPr>
          <w:sz w:val="28"/>
        </w:rPr>
        <w:t xml:space="preserve"> на эти цели из бюджета выделено 6,3 млн. рублей.</w:t>
      </w:r>
    </w:p>
    <w:p w:rsidR="009C40C7" w:rsidRDefault="009C40C7" w:rsidP="009C40C7">
      <w:pPr>
        <w:spacing w:line="360" w:lineRule="auto"/>
        <w:ind w:firstLine="709"/>
        <w:jc w:val="both"/>
        <w:rPr>
          <w:sz w:val="28"/>
        </w:rPr>
      </w:pPr>
      <w:r w:rsidRPr="00B16BB9">
        <w:rPr>
          <w:sz w:val="28"/>
        </w:rPr>
        <w:t>Перечень дворовых территорий, сформирован исходя из направленных заявок, от жителей города. Заявки были рассмотрены на общественной комиссии, и приняты о включении их в муниципальную программу.</w:t>
      </w:r>
      <w:r>
        <w:rPr>
          <w:sz w:val="28"/>
        </w:rPr>
        <w:t xml:space="preserve"> </w:t>
      </w:r>
      <w:r w:rsidRPr="00411E90">
        <w:rPr>
          <w:sz w:val="28"/>
        </w:rPr>
        <w:t>В 2018 году запланированы мероприятия по благоустрой</w:t>
      </w:r>
      <w:r>
        <w:rPr>
          <w:sz w:val="28"/>
        </w:rPr>
        <w:t>ству трех придомовых территорий на сумму 4,0 млн. рублей.</w:t>
      </w:r>
    </w:p>
    <w:p w:rsidR="009C40C7" w:rsidRPr="00411E90" w:rsidRDefault="009C40C7" w:rsidP="009C40C7">
      <w:pPr>
        <w:spacing w:line="360" w:lineRule="auto"/>
        <w:ind w:firstLine="709"/>
        <w:jc w:val="both"/>
        <w:rPr>
          <w:sz w:val="28"/>
        </w:rPr>
      </w:pPr>
      <w:r w:rsidRPr="00411E90">
        <w:rPr>
          <w:sz w:val="28"/>
        </w:rPr>
        <w:t xml:space="preserve">На территории муниципального образования городской округ город Пыть-Ях </w:t>
      </w:r>
      <w:r>
        <w:rPr>
          <w:sz w:val="28"/>
        </w:rPr>
        <w:t xml:space="preserve">в 2018 году </w:t>
      </w:r>
      <w:r w:rsidRPr="00411E90">
        <w:rPr>
          <w:sz w:val="28"/>
        </w:rPr>
        <w:t>реализован проект инициативного бюджетирования «Твоя инициатива-твой бюджет». Участие в проекте приняли 327 человек</w:t>
      </w:r>
      <w:r>
        <w:rPr>
          <w:sz w:val="28"/>
        </w:rPr>
        <w:t>. Инновации в том, что п</w:t>
      </w:r>
      <w:r w:rsidRPr="00411E90">
        <w:rPr>
          <w:sz w:val="28"/>
        </w:rPr>
        <w:t>оявля</w:t>
      </w:r>
      <w:r>
        <w:rPr>
          <w:sz w:val="28"/>
        </w:rPr>
        <w:t>ются</w:t>
      </w:r>
      <w:r w:rsidRPr="00411E90">
        <w:rPr>
          <w:sz w:val="28"/>
        </w:rPr>
        <w:t xml:space="preserve"> дополнительны</w:t>
      </w:r>
      <w:r>
        <w:rPr>
          <w:sz w:val="28"/>
        </w:rPr>
        <w:t>е</w:t>
      </w:r>
      <w:r w:rsidRPr="00411E90">
        <w:rPr>
          <w:sz w:val="28"/>
        </w:rPr>
        <w:t xml:space="preserve"> источник</w:t>
      </w:r>
      <w:r>
        <w:rPr>
          <w:sz w:val="28"/>
        </w:rPr>
        <w:t>и</w:t>
      </w:r>
      <w:r w:rsidRPr="00411E90">
        <w:rPr>
          <w:sz w:val="28"/>
        </w:rPr>
        <w:t xml:space="preserve"> финансирования для решения вопросов местного значения и альтернатива неработающему институту самообложения граждан</w:t>
      </w:r>
      <w:r>
        <w:rPr>
          <w:sz w:val="28"/>
        </w:rPr>
        <w:t xml:space="preserve">, </w:t>
      </w:r>
      <w:r w:rsidRPr="00411E90">
        <w:rPr>
          <w:sz w:val="28"/>
        </w:rPr>
        <w:t xml:space="preserve">сумма самообложения составила 2,1% от общей стоимости проекта или 100,9 тыс. рублей. </w:t>
      </w:r>
      <w:r>
        <w:rPr>
          <w:sz w:val="28"/>
        </w:rPr>
        <w:t xml:space="preserve">Кроме того, </w:t>
      </w:r>
      <w:r w:rsidRPr="00C132EA">
        <w:rPr>
          <w:sz w:val="28"/>
        </w:rPr>
        <w:t>применён так называемый трудовой ресурс</w:t>
      </w:r>
      <w:r w:rsidRPr="00411E90">
        <w:rPr>
          <w:sz w:val="28"/>
        </w:rPr>
        <w:t xml:space="preserve"> </w:t>
      </w:r>
      <w:r>
        <w:rPr>
          <w:sz w:val="28"/>
        </w:rPr>
        <w:t>(трудовое участи граждан в реализации проекта). В целом на р</w:t>
      </w:r>
      <w:r w:rsidRPr="00C942AD">
        <w:rPr>
          <w:sz w:val="28"/>
        </w:rPr>
        <w:t>еконструкци</w:t>
      </w:r>
      <w:r>
        <w:rPr>
          <w:sz w:val="28"/>
        </w:rPr>
        <w:t>ю</w:t>
      </w:r>
      <w:r w:rsidRPr="00C942AD">
        <w:rPr>
          <w:sz w:val="28"/>
        </w:rPr>
        <w:t xml:space="preserve"> асфальтового покрытия, устройство тротуаров, проездов на общей придомовой </w:t>
      </w:r>
      <w:r w:rsidRPr="00C942AD">
        <w:rPr>
          <w:sz w:val="28"/>
        </w:rPr>
        <w:lastRenderedPageBreak/>
        <w:t>территории МКД №1,2,2а,3,4 в 5 микрорайоне "Солнечный"</w:t>
      </w:r>
      <w:r>
        <w:rPr>
          <w:sz w:val="28"/>
        </w:rPr>
        <w:t xml:space="preserve"> направлено 4,8 млн. рублей, в том числе из бюджета города 4,7 млн. рублей. Достигнутый экономический эффект в том, что г</w:t>
      </w:r>
      <w:r w:rsidRPr="00411E90">
        <w:rPr>
          <w:sz w:val="28"/>
        </w:rPr>
        <w:t>раждане самостоятельно определяют приоритетные проекты, решающих наиболее острые проблемы города, выбранные самими гражданами, как инструмент</w:t>
      </w:r>
      <w:r>
        <w:rPr>
          <w:sz w:val="28"/>
        </w:rPr>
        <w:t xml:space="preserve"> оптимизации бюджетных расходов. С</w:t>
      </w:r>
      <w:r w:rsidRPr="00411E90">
        <w:rPr>
          <w:sz w:val="28"/>
        </w:rPr>
        <w:t>оциальный эффект</w:t>
      </w:r>
      <w:r>
        <w:rPr>
          <w:sz w:val="28"/>
        </w:rPr>
        <w:t xml:space="preserve"> заключается в</w:t>
      </w:r>
      <w:r w:rsidRPr="00411E90">
        <w:rPr>
          <w:sz w:val="28"/>
        </w:rPr>
        <w:t xml:space="preserve"> вовлечение граждан в решение вопросов местного самоуправления совместно </w:t>
      </w:r>
      <w:r>
        <w:rPr>
          <w:sz w:val="28"/>
        </w:rPr>
        <w:t>с органами муниципальной власти.</w:t>
      </w:r>
    </w:p>
    <w:p w:rsidR="009C40C7" w:rsidRPr="00C132EA" w:rsidRDefault="009C40C7" w:rsidP="009C40C7">
      <w:pPr>
        <w:spacing w:line="360" w:lineRule="auto"/>
        <w:ind w:firstLine="709"/>
        <w:jc w:val="both"/>
        <w:rPr>
          <w:sz w:val="28"/>
        </w:rPr>
      </w:pPr>
      <w:r w:rsidRPr="00C132EA">
        <w:rPr>
          <w:sz w:val="28"/>
        </w:rPr>
        <w:t>При разработке проекта бюджета города Пыть-Яха на 201</w:t>
      </w:r>
      <w:r>
        <w:rPr>
          <w:sz w:val="28"/>
        </w:rPr>
        <w:t>9</w:t>
      </w:r>
      <w:r w:rsidRPr="00C132EA">
        <w:rPr>
          <w:sz w:val="28"/>
        </w:rPr>
        <w:t xml:space="preserve"> год и плановый период </w:t>
      </w:r>
      <w:r>
        <w:rPr>
          <w:sz w:val="28"/>
        </w:rPr>
        <w:t>2020 и 2021 годов</w:t>
      </w:r>
      <w:r w:rsidRPr="00C132EA">
        <w:rPr>
          <w:sz w:val="28"/>
        </w:rPr>
        <w:t xml:space="preserve"> годы на внедрение проектов инициативного бюджетирования, в соответствии с принятым постановлением администрации города от 26.09.2017 года № 237-па «О конкурсном отборе проектов инициативного бюджетирования «Твоя инициатива-твой бюджет» в муниципальном образовании городской округ город Пыть-Ях», запланировано по </w:t>
      </w:r>
      <w:r>
        <w:rPr>
          <w:sz w:val="28"/>
        </w:rPr>
        <w:t xml:space="preserve">5,0 млн рублей </w:t>
      </w:r>
      <w:r w:rsidRPr="00C132EA">
        <w:rPr>
          <w:sz w:val="28"/>
        </w:rPr>
        <w:t>ежегодно.</w:t>
      </w:r>
    </w:p>
    <w:p w:rsidR="009C40C7" w:rsidRDefault="009C40C7" w:rsidP="009C40C7">
      <w:pPr>
        <w:spacing w:line="360" w:lineRule="auto"/>
        <w:ind w:firstLine="709"/>
        <w:jc w:val="both"/>
        <w:rPr>
          <w:sz w:val="28"/>
        </w:rPr>
      </w:pPr>
      <w:r w:rsidRPr="00C132EA">
        <w:rPr>
          <w:sz w:val="28"/>
        </w:rPr>
        <w:t>В конкурсном отборе могут быть представлены проекты в различных сферах, но в приоритете остаётся благоустройство территорий, озеленение дворов и площадей, уличное освещение и прочее.</w:t>
      </w:r>
    </w:p>
    <w:p w:rsidR="000429ED" w:rsidRDefault="000429ED" w:rsidP="000429ED">
      <w:pPr>
        <w:ind w:left="360"/>
        <w:rPr>
          <w:b/>
          <w:sz w:val="26"/>
          <w:szCs w:val="26"/>
        </w:rPr>
      </w:pPr>
    </w:p>
    <w:p w:rsidR="003A34B7" w:rsidRPr="009E7FE7" w:rsidRDefault="003A34B7" w:rsidP="000429ED">
      <w:pPr>
        <w:autoSpaceDE w:val="0"/>
        <w:autoSpaceDN w:val="0"/>
        <w:adjustRightInd w:val="0"/>
        <w:spacing w:line="360" w:lineRule="auto"/>
        <w:ind w:firstLine="720"/>
        <w:jc w:val="both"/>
        <w:rPr>
          <w:b/>
          <w:sz w:val="28"/>
          <w:szCs w:val="28"/>
        </w:rPr>
      </w:pPr>
      <w:r w:rsidRPr="009E7FE7">
        <w:rPr>
          <w:b/>
          <w:sz w:val="28"/>
          <w:szCs w:val="28"/>
        </w:rPr>
        <w:t>Задача 3 "Обеспечение своевременного контроля в финансово-бюджетной сфере".</w:t>
      </w:r>
    </w:p>
    <w:p w:rsidR="003A34B7" w:rsidRPr="009E7FE7" w:rsidRDefault="003A34B7" w:rsidP="003A34B7">
      <w:pPr>
        <w:widowControl w:val="0"/>
        <w:autoSpaceDE w:val="0"/>
        <w:autoSpaceDN w:val="0"/>
        <w:adjustRightInd w:val="0"/>
        <w:spacing w:line="360" w:lineRule="auto"/>
        <w:ind w:firstLine="709"/>
        <w:jc w:val="both"/>
        <w:rPr>
          <w:sz w:val="28"/>
          <w:szCs w:val="28"/>
        </w:rPr>
      </w:pPr>
      <w:r w:rsidRPr="009E7FE7">
        <w:rPr>
          <w:sz w:val="28"/>
          <w:szCs w:val="28"/>
        </w:rPr>
        <w:t>Решение задачи реализуется посредством осуществления контроля:</w:t>
      </w:r>
    </w:p>
    <w:p w:rsidR="003A34B7" w:rsidRPr="009E7FE7" w:rsidRDefault="003A34B7" w:rsidP="003A34B7">
      <w:pPr>
        <w:pStyle w:val="1"/>
        <w:widowControl w:val="0"/>
        <w:numPr>
          <w:ilvl w:val="0"/>
          <w:numId w:val="4"/>
        </w:numPr>
        <w:autoSpaceDE w:val="0"/>
        <w:autoSpaceDN w:val="0"/>
        <w:adjustRightInd w:val="0"/>
        <w:spacing w:after="0" w:line="360" w:lineRule="auto"/>
        <w:ind w:left="0" w:firstLine="709"/>
        <w:contextualSpacing/>
        <w:jc w:val="both"/>
        <w:rPr>
          <w:rFonts w:ascii="Times New Roman" w:hAnsi="Times New Roman" w:cs="Times New Roman"/>
          <w:b/>
          <w:i/>
          <w:sz w:val="28"/>
          <w:szCs w:val="28"/>
        </w:rPr>
      </w:pPr>
      <w:r w:rsidRPr="009E7FE7">
        <w:rPr>
          <w:rFonts w:ascii="Times New Roman" w:hAnsi="Times New Roman" w:cs="Times New Roman"/>
          <w:b/>
          <w:i/>
          <w:sz w:val="28"/>
          <w:szCs w:val="28"/>
        </w:rPr>
        <w:t>за операциями с бюджетными средствами получателей средств бюджета городского округа, средствами администраторов источников финансирования дефицита бюджета городского округа.</w:t>
      </w:r>
    </w:p>
    <w:p w:rsidR="003A34B7" w:rsidRPr="009E7FE7" w:rsidRDefault="003A34B7" w:rsidP="003A34B7">
      <w:pPr>
        <w:pStyle w:val="1"/>
        <w:widowControl w:val="0"/>
        <w:spacing w:after="0" w:line="360" w:lineRule="auto"/>
        <w:ind w:left="0" w:firstLine="709"/>
        <w:jc w:val="both"/>
        <w:rPr>
          <w:rFonts w:ascii="Times New Roman" w:hAnsi="Times New Roman" w:cs="Times New Roman"/>
          <w:sz w:val="28"/>
          <w:szCs w:val="28"/>
        </w:rPr>
      </w:pPr>
      <w:r w:rsidRPr="009E7FE7">
        <w:rPr>
          <w:rFonts w:ascii="Times New Roman" w:hAnsi="Times New Roman" w:cs="Times New Roman"/>
          <w:sz w:val="28"/>
          <w:szCs w:val="28"/>
        </w:rPr>
        <w:t xml:space="preserve">В рамках данного мероприятия комитетом по финансам осуществляется проверка расчетных документов, представленных главными распорядителями бюджетных средств и главными администраторами источников финансирования дефицита бюджета в соответствии с Регламентом обмена расчетными документами с клиентами при открытии и ведении лицевых счетов по исполнению бюджета городского округа комитетом по финансам. Расчетные документы проверяются на предмет наличия достаточного остатка лимита бюджетных ассигнований, остатка </w:t>
      </w:r>
      <w:r w:rsidRPr="009E7FE7">
        <w:rPr>
          <w:rFonts w:ascii="Times New Roman" w:hAnsi="Times New Roman" w:cs="Times New Roman"/>
          <w:sz w:val="28"/>
          <w:szCs w:val="28"/>
        </w:rPr>
        <w:lastRenderedPageBreak/>
        <w:t xml:space="preserve">по конкретному бюджетному обязательству, соблюдения установленных правил расчетов, </w:t>
      </w:r>
      <w:r w:rsidR="009E7FE7" w:rsidRPr="009E7FE7">
        <w:rPr>
          <w:rFonts w:ascii="Times New Roman" w:hAnsi="Times New Roman" w:cs="Times New Roman"/>
          <w:sz w:val="28"/>
          <w:szCs w:val="28"/>
        </w:rPr>
        <w:t>правильности,</w:t>
      </w:r>
      <w:r w:rsidRPr="009E7FE7">
        <w:rPr>
          <w:rFonts w:ascii="Times New Roman" w:hAnsi="Times New Roman" w:cs="Times New Roman"/>
          <w:sz w:val="28"/>
          <w:szCs w:val="28"/>
        </w:rPr>
        <w:t xml:space="preserve"> указанных в расчетных документах реквизитов.</w:t>
      </w:r>
    </w:p>
    <w:p w:rsidR="003A34B7" w:rsidRPr="009E7FE7" w:rsidRDefault="003A34B7" w:rsidP="003A34B7">
      <w:pPr>
        <w:pStyle w:val="listparagraphcxsplast"/>
        <w:widowControl w:val="0"/>
        <w:numPr>
          <w:ilvl w:val="0"/>
          <w:numId w:val="4"/>
        </w:numPr>
        <w:autoSpaceDE w:val="0"/>
        <w:autoSpaceDN w:val="0"/>
        <w:adjustRightInd w:val="0"/>
        <w:spacing w:before="0" w:after="0" w:line="360" w:lineRule="auto"/>
        <w:ind w:left="0" w:firstLine="709"/>
        <w:contextualSpacing/>
        <w:jc w:val="both"/>
        <w:rPr>
          <w:rFonts w:ascii="Times New Roman" w:hAnsi="Times New Roman" w:cs="Times New Roman"/>
          <w:b/>
          <w:i/>
          <w:sz w:val="28"/>
          <w:szCs w:val="28"/>
        </w:rPr>
      </w:pPr>
      <w:r w:rsidRPr="009E7FE7">
        <w:rPr>
          <w:rFonts w:ascii="Times New Roman" w:hAnsi="Times New Roman" w:cs="Times New Roman"/>
          <w:sz w:val="28"/>
          <w:szCs w:val="28"/>
        </w:rPr>
        <w:t xml:space="preserve">Осуществляется проверка расчетных документов, представленных главными распорядителями бюджетных средств и главными администраторами источников финансирования дефицита бюджета и санкционирование оплаты денежных обязательств получателей средств бюджета городского округа и главных администраторов источников финансирования дефицита </w:t>
      </w:r>
    </w:p>
    <w:p w:rsidR="003A34B7" w:rsidRPr="009E7FE7" w:rsidRDefault="00676C9C" w:rsidP="003A34B7">
      <w:pPr>
        <w:widowControl w:val="0"/>
        <w:autoSpaceDE w:val="0"/>
        <w:autoSpaceDN w:val="0"/>
        <w:adjustRightInd w:val="0"/>
        <w:spacing w:line="360" w:lineRule="auto"/>
        <w:ind w:firstLine="709"/>
        <w:jc w:val="both"/>
        <w:rPr>
          <w:b/>
          <w:sz w:val="28"/>
          <w:szCs w:val="28"/>
        </w:rPr>
      </w:pPr>
      <w:hyperlink r:id="rId12" w:anchor="Par988#Par988" w:history="1">
        <w:r w:rsidR="003A34B7" w:rsidRPr="009E7FE7">
          <w:rPr>
            <w:rStyle w:val="a5"/>
            <w:b/>
            <w:color w:val="auto"/>
            <w:sz w:val="28"/>
            <w:szCs w:val="28"/>
          </w:rPr>
          <w:t>Подпрограмма II</w:t>
        </w:r>
      </w:hyperlink>
      <w:r w:rsidR="003A34B7" w:rsidRPr="009E7FE7">
        <w:rPr>
          <w:b/>
          <w:sz w:val="28"/>
          <w:szCs w:val="28"/>
        </w:rPr>
        <w:t xml:space="preserve"> "Управление муниципальным долгом ".</w:t>
      </w:r>
    </w:p>
    <w:p w:rsidR="003A34B7" w:rsidRPr="009E7FE7" w:rsidRDefault="003A34B7" w:rsidP="003A34B7">
      <w:pPr>
        <w:widowControl w:val="0"/>
        <w:autoSpaceDE w:val="0"/>
        <w:autoSpaceDN w:val="0"/>
        <w:adjustRightInd w:val="0"/>
        <w:spacing w:line="360" w:lineRule="auto"/>
        <w:ind w:firstLine="709"/>
        <w:jc w:val="both"/>
        <w:rPr>
          <w:sz w:val="28"/>
          <w:szCs w:val="28"/>
        </w:rPr>
      </w:pPr>
      <w:r w:rsidRPr="009E7FE7">
        <w:rPr>
          <w:sz w:val="28"/>
          <w:szCs w:val="28"/>
        </w:rPr>
        <w:t>Данная подпрограмма направлена на эффективное управление муниципальным долгом городского округа, выплате процентных платежей по муниципальному долгу городского округа.</w:t>
      </w:r>
    </w:p>
    <w:p w:rsidR="000429ED" w:rsidRDefault="000429ED" w:rsidP="000429ED">
      <w:pPr>
        <w:spacing w:line="360" w:lineRule="auto"/>
        <w:ind w:firstLine="708"/>
        <w:jc w:val="both"/>
        <w:rPr>
          <w:sz w:val="28"/>
          <w:szCs w:val="28"/>
        </w:rPr>
      </w:pPr>
      <w:r>
        <w:rPr>
          <w:sz w:val="28"/>
          <w:szCs w:val="28"/>
        </w:rPr>
        <w:t>По состоянию на 01.01.201</w:t>
      </w:r>
      <w:r w:rsidR="00F60515">
        <w:rPr>
          <w:sz w:val="28"/>
          <w:szCs w:val="28"/>
        </w:rPr>
        <w:t>9</w:t>
      </w:r>
      <w:r>
        <w:rPr>
          <w:sz w:val="28"/>
          <w:szCs w:val="28"/>
        </w:rPr>
        <w:t xml:space="preserve"> года объем муниципального долга составляет </w:t>
      </w:r>
      <w:r w:rsidR="00F60515">
        <w:rPr>
          <w:sz w:val="28"/>
          <w:szCs w:val="28"/>
        </w:rPr>
        <w:t>176,3</w:t>
      </w:r>
      <w:r>
        <w:rPr>
          <w:sz w:val="28"/>
          <w:szCs w:val="28"/>
        </w:rPr>
        <w:t xml:space="preserve"> млн. руб. В области долговой политики работа администрации города направлена на минимизацию долговой нагрузки и сокращение расходов на обслуживание муниципального долга. Муниципальные правовые акты, устанавливающие порядок предоставления муниципальных гарантий:</w:t>
      </w:r>
    </w:p>
    <w:p w:rsidR="000429ED" w:rsidRDefault="000429ED" w:rsidP="000429ED">
      <w:pPr>
        <w:spacing w:line="360" w:lineRule="auto"/>
        <w:jc w:val="both"/>
        <w:rPr>
          <w:sz w:val="28"/>
          <w:szCs w:val="28"/>
        </w:rPr>
      </w:pPr>
      <w:r>
        <w:rPr>
          <w:sz w:val="28"/>
          <w:szCs w:val="28"/>
        </w:rPr>
        <w:t>-</w:t>
      </w:r>
      <w:r>
        <w:rPr>
          <w:sz w:val="28"/>
          <w:szCs w:val="28"/>
        </w:rPr>
        <w:tab/>
        <w:t>решение Думы города от 26.09.2013 № 225 «Об утверждении порядка предоставления юридическим лицам муниципальных гарантий муниципального образования городской округ город Пыть-Ях»;</w:t>
      </w:r>
    </w:p>
    <w:p w:rsidR="000429ED" w:rsidRDefault="000429ED" w:rsidP="000429ED">
      <w:pPr>
        <w:spacing w:line="360" w:lineRule="auto"/>
        <w:jc w:val="both"/>
        <w:rPr>
          <w:sz w:val="28"/>
          <w:szCs w:val="28"/>
        </w:rPr>
      </w:pPr>
      <w:r>
        <w:rPr>
          <w:sz w:val="28"/>
          <w:szCs w:val="28"/>
        </w:rPr>
        <w:t>-</w:t>
      </w:r>
      <w:r>
        <w:rPr>
          <w:sz w:val="28"/>
          <w:szCs w:val="28"/>
        </w:rPr>
        <w:tab/>
        <w:t xml:space="preserve">постановление администрации города от 27.11.2013 № 326-па «О реализации порядка предоставления юридическим лицам муниципальных гарантий муниципального образования городской округ город Пыть-Ях». </w:t>
      </w:r>
    </w:p>
    <w:p w:rsidR="003A34B7" w:rsidRPr="009E7FE7" w:rsidRDefault="003A34B7" w:rsidP="003A34B7">
      <w:pPr>
        <w:widowControl w:val="0"/>
        <w:autoSpaceDE w:val="0"/>
        <w:autoSpaceDN w:val="0"/>
        <w:adjustRightInd w:val="0"/>
        <w:spacing w:line="360" w:lineRule="auto"/>
        <w:ind w:firstLine="709"/>
        <w:jc w:val="both"/>
        <w:rPr>
          <w:b/>
          <w:sz w:val="28"/>
          <w:szCs w:val="28"/>
        </w:rPr>
      </w:pPr>
      <w:r w:rsidRPr="009E7FE7">
        <w:rPr>
          <w:b/>
          <w:sz w:val="28"/>
          <w:szCs w:val="28"/>
        </w:rPr>
        <w:t>1.</w:t>
      </w:r>
      <w:r w:rsidRPr="009E7FE7">
        <w:rPr>
          <w:sz w:val="28"/>
          <w:szCs w:val="28"/>
        </w:rPr>
        <w:t xml:space="preserve"> </w:t>
      </w:r>
      <w:r w:rsidRPr="009E7FE7">
        <w:rPr>
          <w:b/>
          <w:sz w:val="28"/>
          <w:szCs w:val="28"/>
        </w:rPr>
        <w:t xml:space="preserve">Обслуживание </w:t>
      </w:r>
      <w:r w:rsidR="009E7FE7" w:rsidRPr="009E7FE7">
        <w:rPr>
          <w:b/>
          <w:sz w:val="28"/>
          <w:szCs w:val="28"/>
        </w:rPr>
        <w:t>муниципального долга</w:t>
      </w:r>
      <w:r w:rsidRPr="009E7FE7">
        <w:rPr>
          <w:b/>
          <w:sz w:val="28"/>
          <w:szCs w:val="28"/>
        </w:rPr>
        <w:t xml:space="preserve"> городского округа.</w:t>
      </w:r>
    </w:p>
    <w:p w:rsidR="00F60515" w:rsidRDefault="003A34B7" w:rsidP="003A34B7">
      <w:pPr>
        <w:widowControl w:val="0"/>
        <w:autoSpaceDE w:val="0"/>
        <w:autoSpaceDN w:val="0"/>
        <w:adjustRightInd w:val="0"/>
        <w:spacing w:line="360" w:lineRule="auto"/>
        <w:ind w:firstLine="709"/>
        <w:jc w:val="both"/>
        <w:rPr>
          <w:sz w:val="28"/>
          <w:szCs w:val="28"/>
        </w:rPr>
      </w:pPr>
      <w:r w:rsidRPr="009E7FE7">
        <w:rPr>
          <w:sz w:val="28"/>
          <w:szCs w:val="28"/>
        </w:rPr>
        <w:t>Данное мероприятие предполагает планирование расходов бюджета городского округа в объеме, необходимом для полного и своевременного исполнения обязательств городского округа.</w:t>
      </w:r>
      <w:r w:rsidR="00442CAB" w:rsidRPr="009E7FE7">
        <w:rPr>
          <w:sz w:val="28"/>
          <w:szCs w:val="28"/>
        </w:rPr>
        <w:t xml:space="preserve"> Расходы за 201</w:t>
      </w:r>
      <w:r w:rsidR="00F60515">
        <w:rPr>
          <w:sz w:val="28"/>
          <w:szCs w:val="28"/>
        </w:rPr>
        <w:t>8</w:t>
      </w:r>
      <w:r w:rsidR="00442CAB" w:rsidRPr="009E7FE7">
        <w:rPr>
          <w:sz w:val="28"/>
          <w:szCs w:val="28"/>
        </w:rPr>
        <w:t xml:space="preserve"> год по обслуживанию муниципального долга составили 100% от плановых назначений. </w:t>
      </w:r>
    </w:p>
    <w:p w:rsidR="003A34B7" w:rsidRPr="009E7FE7" w:rsidRDefault="003A34B7" w:rsidP="003A34B7">
      <w:pPr>
        <w:widowControl w:val="0"/>
        <w:autoSpaceDE w:val="0"/>
        <w:autoSpaceDN w:val="0"/>
        <w:adjustRightInd w:val="0"/>
        <w:spacing w:line="360" w:lineRule="auto"/>
        <w:ind w:firstLine="709"/>
        <w:jc w:val="both"/>
        <w:rPr>
          <w:b/>
          <w:sz w:val="28"/>
          <w:szCs w:val="28"/>
        </w:rPr>
      </w:pPr>
      <w:r w:rsidRPr="009E7FE7">
        <w:rPr>
          <w:b/>
          <w:sz w:val="28"/>
          <w:szCs w:val="28"/>
        </w:rPr>
        <w:t>2.</w:t>
      </w:r>
      <w:r w:rsidRPr="009E7FE7">
        <w:rPr>
          <w:sz w:val="28"/>
          <w:szCs w:val="28"/>
        </w:rPr>
        <w:t xml:space="preserve"> </w:t>
      </w:r>
      <w:r w:rsidRPr="009E7FE7">
        <w:rPr>
          <w:b/>
          <w:sz w:val="28"/>
          <w:szCs w:val="28"/>
        </w:rPr>
        <w:t>Планирование ассигнований на погашение долговых обязательств городского округа.</w:t>
      </w:r>
    </w:p>
    <w:p w:rsidR="00442CAB" w:rsidRPr="009E7FE7" w:rsidRDefault="00442CAB" w:rsidP="003A34B7">
      <w:pPr>
        <w:widowControl w:val="0"/>
        <w:autoSpaceDE w:val="0"/>
        <w:autoSpaceDN w:val="0"/>
        <w:adjustRightInd w:val="0"/>
        <w:spacing w:line="360" w:lineRule="auto"/>
        <w:ind w:firstLine="709"/>
        <w:jc w:val="both"/>
        <w:rPr>
          <w:sz w:val="28"/>
          <w:szCs w:val="28"/>
        </w:rPr>
      </w:pPr>
      <w:r w:rsidRPr="009E7FE7">
        <w:rPr>
          <w:sz w:val="28"/>
          <w:szCs w:val="28"/>
        </w:rPr>
        <w:t xml:space="preserve">Данное мероприятие предусматривает планирование бюджетных </w:t>
      </w:r>
      <w:r w:rsidRPr="009E7FE7">
        <w:rPr>
          <w:sz w:val="28"/>
          <w:szCs w:val="28"/>
        </w:rPr>
        <w:lastRenderedPageBreak/>
        <w:t xml:space="preserve">ассигнований в бюджете города на исполнение долговых обязательств муниципального образования в объеме, достаточном для безусловного исполнения долговых обязательств муниципального образования, в полном объеме и в установленный срок. Утверждена методика планирования долговых обязательств муниципального образования городской округ город Пыть-Ях и определения долговой нагрузки на бюджет города (постановление от 02.04.2015 №89-па). В целях обеспечения сбалансированности и устойчивости бюджета города распоряжением </w:t>
      </w:r>
      <w:r w:rsidR="008A4477">
        <w:rPr>
          <w:sz w:val="28"/>
          <w:szCs w:val="28"/>
        </w:rPr>
        <w:t>218</w:t>
      </w:r>
      <w:r w:rsidRPr="009E7FE7">
        <w:rPr>
          <w:sz w:val="28"/>
          <w:szCs w:val="28"/>
        </w:rPr>
        <w:t xml:space="preserve">-ра от </w:t>
      </w:r>
      <w:r w:rsidR="008A4477">
        <w:rPr>
          <w:sz w:val="28"/>
          <w:szCs w:val="28"/>
        </w:rPr>
        <w:t>06</w:t>
      </w:r>
      <w:r w:rsidRPr="009E7FE7">
        <w:rPr>
          <w:sz w:val="28"/>
          <w:szCs w:val="28"/>
        </w:rPr>
        <w:t>.02.201</w:t>
      </w:r>
      <w:r w:rsidR="008A4477">
        <w:rPr>
          <w:sz w:val="28"/>
          <w:szCs w:val="28"/>
        </w:rPr>
        <w:t>7</w:t>
      </w:r>
      <w:r w:rsidRPr="009E7FE7">
        <w:rPr>
          <w:sz w:val="28"/>
          <w:szCs w:val="28"/>
        </w:rPr>
        <w:t xml:space="preserve"> </w:t>
      </w:r>
      <w:r w:rsidR="009E7FE7" w:rsidRPr="009E7FE7">
        <w:rPr>
          <w:sz w:val="28"/>
          <w:szCs w:val="28"/>
        </w:rPr>
        <w:t>года утверждён</w:t>
      </w:r>
      <w:r w:rsidRPr="009E7FE7">
        <w:rPr>
          <w:sz w:val="28"/>
          <w:szCs w:val="28"/>
        </w:rPr>
        <w:t xml:space="preserve"> План мероприятий по </w:t>
      </w:r>
      <w:r w:rsidR="008A4477">
        <w:rPr>
          <w:sz w:val="28"/>
          <w:szCs w:val="28"/>
        </w:rPr>
        <w:t>снижению</w:t>
      </w:r>
      <w:r w:rsidRPr="009E7FE7">
        <w:rPr>
          <w:sz w:val="28"/>
          <w:szCs w:val="28"/>
        </w:rPr>
        <w:t xml:space="preserve"> долговой нагрузки на бюджет муниципального образования городской округ город Пыть-Ях на 201</w:t>
      </w:r>
      <w:r w:rsidR="008A4477">
        <w:rPr>
          <w:sz w:val="28"/>
          <w:szCs w:val="28"/>
        </w:rPr>
        <w:t>7</w:t>
      </w:r>
      <w:r w:rsidRPr="009E7FE7">
        <w:rPr>
          <w:sz w:val="28"/>
          <w:szCs w:val="28"/>
        </w:rPr>
        <w:t>-201</w:t>
      </w:r>
      <w:r w:rsidR="008A4477">
        <w:rPr>
          <w:sz w:val="28"/>
          <w:szCs w:val="28"/>
        </w:rPr>
        <w:t>9</w:t>
      </w:r>
      <w:r w:rsidRPr="009E7FE7">
        <w:rPr>
          <w:sz w:val="28"/>
          <w:szCs w:val="28"/>
        </w:rPr>
        <w:t xml:space="preserve"> годы.</w:t>
      </w:r>
    </w:p>
    <w:p w:rsidR="003A34B7" w:rsidRPr="009E7FE7" w:rsidRDefault="003A34B7" w:rsidP="003A34B7">
      <w:pPr>
        <w:widowControl w:val="0"/>
        <w:autoSpaceDE w:val="0"/>
        <w:autoSpaceDN w:val="0"/>
        <w:adjustRightInd w:val="0"/>
        <w:spacing w:line="360" w:lineRule="auto"/>
        <w:ind w:firstLine="709"/>
        <w:jc w:val="both"/>
        <w:rPr>
          <w:b/>
          <w:sz w:val="28"/>
          <w:szCs w:val="28"/>
        </w:rPr>
      </w:pPr>
      <w:r w:rsidRPr="009E7FE7">
        <w:rPr>
          <w:b/>
          <w:sz w:val="28"/>
          <w:szCs w:val="28"/>
        </w:rPr>
        <w:t>3.</w:t>
      </w:r>
      <w:r w:rsidRPr="009E7FE7">
        <w:rPr>
          <w:sz w:val="28"/>
          <w:szCs w:val="28"/>
        </w:rPr>
        <w:t xml:space="preserve"> </w:t>
      </w:r>
      <w:r w:rsidRPr="009E7FE7">
        <w:rPr>
          <w:b/>
          <w:sz w:val="28"/>
          <w:szCs w:val="28"/>
        </w:rPr>
        <w:t>Планирование ассигнований на исполнение муниципальных гарантий городского округа.</w:t>
      </w:r>
    </w:p>
    <w:p w:rsidR="00442CAB" w:rsidRPr="009E7FE7" w:rsidRDefault="00442CAB" w:rsidP="003A34B7">
      <w:pPr>
        <w:widowControl w:val="0"/>
        <w:autoSpaceDE w:val="0"/>
        <w:autoSpaceDN w:val="0"/>
        <w:adjustRightInd w:val="0"/>
        <w:spacing w:line="360" w:lineRule="auto"/>
        <w:ind w:firstLine="709"/>
        <w:jc w:val="both"/>
        <w:rPr>
          <w:sz w:val="28"/>
          <w:szCs w:val="28"/>
        </w:rPr>
      </w:pPr>
      <w:r w:rsidRPr="009E7FE7">
        <w:rPr>
          <w:sz w:val="28"/>
          <w:szCs w:val="28"/>
        </w:rPr>
        <w:t xml:space="preserve">Данное мероприятие предусматривает планирование бюджетных ассигнований в бюджете города на исполнение муниципальных гарантий в объеме, достаточном для исполнения долговых обязательств муниципального образования, по предоставленным </w:t>
      </w:r>
      <w:r w:rsidR="009E7FE7" w:rsidRPr="009E7FE7">
        <w:rPr>
          <w:sz w:val="28"/>
          <w:szCs w:val="28"/>
        </w:rPr>
        <w:t>муниципальным гарантиям</w:t>
      </w:r>
      <w:r w:rsidRPr="009E7FE7">
        <w:rPr>
          <w:sz w:val="28"/>
          <w:szCs w:val="28"/>
        </w:rPr>
        <w:t xml:space="preserve">. Постановлением 326-па от 27.11.2013 года утверждён порядок предоставления юридическим лицам муниципальных гарантий муниципального образования городской округ город Пыть-Ях. Бюджетные ассигнования на исполнение муниципальных гарантий </w:t>
      </w:r>
      <w:r w:rsidR="008A4477">
        <w:rPr>
          <w:sz w:val="28"/>
          <w:szCs w:val="28"/>
        </w:rPr>
        <w:t>исполнены на 100%</w:t>
      </w:r>
      <w:r w:rsidRPr="009E7FE7">
        <w:rPr>
          <w:sz w:val="28"/>
          <w:szCs w:val="28"/>
        </w:rPr>
        <w:t>.</w:t>
      </w:r>
    </w:p>
    <w:p w:rsidR="003A34B7" w:rsidRPr="009E7FE7" w:rsidRDefault="003A34B7" w:rsidP="003A34B7">
      <w:pPr>
        <w:widowControl w:val="0"/>
        <w:autoSpaceDE w:val="0"/>
        <w:autoSpaceDN w:val="0"/>
        <w:adjustRightInd w:val="0"/>
        <w:spacing w:line="360" w:lineRule="auto"/>
        <w:ind w:firstLine="709"/>
        <w:jc w:val="both"/>
        <w:rPr>
          <w:sz w:val="28"/>
          <w:szCs w:val="28"/>
        </w:rPr>
      </w:pPr>
      <w:r w:rsidRPr="009E7FE7">
        <w:rPr>
          <w:b/>
          <w:sz w:val="28"/>
          <w:szCs w:val="28"/>
        </w:rPr>
        <w:t>4. Мониторинг состояния муниципального долга.</w:t>
      </w:r>
    </w:p>
    <w:p w:rsidR="003A34B7" w:rsidRPr="009E7FE7" w:rsidRDefault="003A34B7" w:rsidP="003A34B7">
      <w:pPr>
        <w:widowControl w:val="0"/>
        <w:autoSpaceDE w:val="0"/>
        <w:autoSpaceDN w:val="0"/>
        <w:adjustRightInd w:val="0"/>
        <w:spacing w:line="360" w:lineRule="auto"/>
        <w:ind w:firstLine="709"/>
        <w:jc w:val="both"/>
        <w:rPr>
          <w:sz w:val="28"/>
          <w:szCs w:val="28"/>
        </w:rPr>
      </w:pPr>
      <w:r w:rsidRPr="009E7FE7">
        <w:rPr>
          <w:sz w:val="28"/>
          <w:szCs w:val="28"/>
        </w:rPr>
        <w:t xml:space="preserve">Комитет по финансам ежемесячно осуществлял мониторинг состояния муниципального долга по плановым и фактическим показателям на предмет соблюдения норм Бюджетного кодекса Российской Федерации. Обзор </w:t>
      </w:r>
      <w:r w:rsidR="009E7FE7" w:rsidRPr="009E7FE7">
        <w:rPr>
          <w:sz w:val="28"/>
          <w:szCs w:val="28"/>
        </w:rPr>
        <w:t>мониторинга требований</w:t>
      </w:r>
      <w:r w:rsidRPr="009E7FE7">
        <w:rPr>
          <w:sz w:val="28"/>
          <w:szCs w:val="28"/>
        </w:rPr>
        <w:t xml:space="preserve"> Бюджетного Кодекса Российской </w:t>
      </w:r>
      <w:r w:rsidR="009E7FE7" w:rsidRPr="009E7FE7">
        <w:rPr>
          <w:sz w:val="28"/>
          <w:szCs w:val="28"/>
        </w:rPr>
        <w:t>Федерации размещается</w:t>
      </w:r>
      <w:r w:rsidRPr="009E7FE7">
        <w:rPr>
          <w:sz w:val="28"/>
          <w:szCs w:val="28"/>
        </w:rPr>
        <w:t xml:space="preserve"> на сайте Администрации </w:t>
      </w:r>
      <w:r w:rsidR="009E7FE7" w:rsidRPr="009E7FE7">
        <w:rPr>
          <w:sz w:val="28"/>
          <w:szCs w:val="28"/>
        </w:rPr>
        <w:t>города.</w:t>
      </w:r>
      <w:r w:rsidRPr="009E7FE7">
        <w:rPr>
          <w:sz w:val="28"/>
          <w:szCs w:val="28"/>
        </w:rPr>
        <w:t xml:space="preserve"> </w:t>
      </w:r>
    </w:p>
    <w:p w:rsidR="003A34B7" w:rsidRPr="009E7FE7" w:rsidRDefault="003A34B7">
      <w:pPr>
        <w:rPr>
          <w:sz w:val="28"/>
          <w:szCs w:val="28"/>
        </w:rPr>
      </w:pPr>
    </w:p>
    <w:sectPr w:rsidR="003A34B7" w:rsidRPr="009E7FE7" w:rsidSect="000A3243">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D27595"/>
    <w:multiLevelType w:val="hybridMultilevel"/>
    <w:tmpl w:val="2D56B42A"/>
    <w:lvl w:ilvl="0" w:tplc="CC1E16EC">
      <w:start w:val="1"/>
      <w:numFmt w:val="bullet"/>
      <w:lvlText w:val=""/>
      <w:lvlJc w:val="left"/>
      <w:pPr>
        <w:tabs>
          <w:tab w:val="num" w:pos="1164"/>
        </w:tabs>
        <w:ind w:left="1164" w:hanging="360"/>
      </w:pPr>
      <w:rPr>
        <w:rFonts w:ascii="Symbol" w:hAnsi="Symbol" w:hint="default"/>
      </w:rPr>
    </w:lvl>
    <w:lvl w:ilvl="1" w:tplc="04190003" w:tentative="1">
      <w:start w:val="1"/>
      <w:numFmt w:val="bullet"/>
      <w:lvlText w:val="o"/>
      <w:lvlJc w:val="left"/>
      <w:pPr>
        <w:tabs>
          <w:tab w:val="num" w:pos="1884"/>
        </w:tabs>
        <w:ind w:left="1884" w:hanging="360"/>
      </w:pPr>
      <w:rPr>
        <w:rFonts w:ascii="Courier New" w:hAnsi="Courier New" w:cs="Courier New" w:hint="default"/>
      </w:rPr>
    </w:lvl>
    <w:lvl w:ilvl="2" w:tplc="04190005" w:tentative="1">
      <w:start w:val="1"/>
      <w:numFmt w:val="bullet"/>
      <w:lvlText w:val=""/>
      <w:lvlJc w:val="left"/>
      <w:pPr>
        <w:tabs>
          <w:tab w:val="num" w:pos="2604"/>
        </w:tabs>
        <w:ind w:left="2604" w:hanging="360"/>
      </w:pPr>
      <w:rPr>
        <w:rFonts w:ascii="Wingdings" w:hAnsi="Wingdings" w:hint="default"/>
      </w:rPr>
    </w:lvl>
    <w:lvl w:ilvl="3" w:tplc="04190001" w:tentative="1">
      <w:start w:val="1"/>
      <w:numFmt w:val="bullet"/>
      <w:lvlText w:val=""/>
      <w:lvlJc w:val="left"/>
      <w:pPr>
        <w:tabs>
          <w:tab w:val="num" w:pos="3324"/>
        </w:tabs>
        <w:ind w:left="3324" w:hanging="360"/>
      </w:pPr>
      <w:rPr>
        <w:rFonts w:ascii="Symbol" w:hAnsi="Symbol" w:hint="default"/>
      </w:rPr>
    </w:lvl>
    <w:lvl w:ilvl="4" w:tplc="04190003" w:tentative="1">
      <w:start w:val="1"/>
      <w:numFmt w:val="bullet"/>
      <w:lvlText w:val="o"/>
      <w:lvlJc w:val="left"/>
      <w:pPr>
        <w:tabs>
          <w:tab w:val="num" w:pos="4044"/>
        </w:tabs>
        <w:ind w:left="4044" w:hanging="360"/>
      </w:pPr>
      <w:rPr>
        <w:rFonts w:ascii="Courier New" w:hAnsi="Courier New" w:cs="Courier New" w:hint="default"/>
      </w:rPr>
    </w:lvl>
    <w:lvl w:ilvl="5" w:tplc="04190005" w:tentative="1">
      <w:start w:val="1"/>
      <w:numFmt w:val="bullet"/>
      <w:lvlText w:val=""/>
      <w:lvlJc w:val="left"/>
      <w:pPr>
        <w:tabs>
          <w:tab w:val="num" w:pos="4764"/>
        </w:tabs>
        <w:ind w:left="4764" w:hanging="360"/>
      </w:pPr>
      <w:rPr>
        <w:rFonts w:ascii="Wingdings" w:hAnsi="Wingdings" w:hint="default"/>
      </w:rPr>
    </w:lvl>
    <w:lvl w:ilvl="6" w:tplc="04190001" w:tentative="1">
      <w:start w:val="1"/>
      <w:numFmt w:val="bullet"/>
      <w:lvlText w:val=""/>
      <w:lvlJc w:val="left"/>
      <w:pPr>
        <w:tabs>
          <w:tab w:val="num" w:pos="5484"/>
        </w:tabs>
        <w:ind w:left="5484" w:hanging="360"/>
      </w:pPr>
      <w:rPr>
        <w:rFonts w:ascii="Symbol" w:hAnsi="Symbol" w:hint="default"/>
      </w:rPr>
    </w:lvl>
    <w:lvl w:ilvl="7" w:tplc="04190003" w:tentative="1">
      <w:start w:val="1"/>
      <w:numFmt w:val="bullet"/>
      <w:lvlText w:val="o"/>
      <w:lvlJc w:val="left"/>
      <w:pPr>
        <w:tabs>
          <w:tab w:val="num" w:pos="6204"/>
        </w:tabs>
        <w:ind w:left="6204" w:hanging="360"/>
      </w:pPr>
      <w:rPr>
        <w:rFonts w:ascii="Courier New" w:hAnsi="Courier New" w:cs="Courier New" w:hint="default"/>
      </w:rPr>
    </w:lvl>
    <w:lvl w:ilvl="8" w:tplc="04190005" w:tentative="1">
      <w:start w:val="1"/>
      <w:numFmt w:val="bullet"/>
      <w:lvlText w:val=""/>
      <w:lvlJc w:val="left"/>
      <w:pPr>
        <w:tabs>
          <w:tab w:val="num" w:pos="6924"/>
        </w:tabs>
        <w:ind w:left="6924" w:hanging="360"/>
      </w:pPr>
      <w:rPr>
        <w:rFonts w:ascii="Wingdings" w:hAnsi="Wingdings" w:hint="default"/>
      </w:rPr>
    </w:lvl>
  </w:abstractNum>
  <w:abstractNum w:abstractNumId="1" w15:restartNumberingAfterBreak="0">
    <w:nsid w:val="27C1421A"/>
    <w:multiLevelType w:val="hybridMultilevel"/>
    <w:tmpl w:val="2C1A38B8"/>
    <w:lvl w:ilvl="0" w:tplc="195067E4">
      <w:start w:val="1"/>
      <w:numFmt w:val="decimal"/>
      <w:lvlText w:val="%1)"/>
      <w:lvlJc w:val="left"/>
      <w:pPr>
        <w:ind w:left="1069"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30D93188"/>
    <w:multiLevelType w:val="hybridMultilevel"/>
    <w:tmpl w:val="ED7A1250"/>
    <w:lvl w:ilvl="0" w:tplc="CC1E16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44A392D"/>
    <w:multiLevelType w:val="hybridMultilevel"/>
    <w:tmpl w:val="77E86F92"/>
    <w:lvl w:ilvl="0" w:tplc="CC1E16EC">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 w15:restartNumberingAfterBreak="0">
    <w:nsid w:val="36081EBC"/>
    <w:multiLevelType w:val="hybridMultilevel"/>
    <w:tmpl w:val="69B4AD78"/>
    <w:lvl w:ilvl="0" w:tplc="173EE652">
      <w:start w:val="1"/>
      <w:numFmt w:val="decimal"/>
      <w:lvlText w:val="%1)"/>
      <w:lvlJc w:val="left"/>
      <w:pPr>
        <w:ind w:left="1069"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48D60C0C"/>
    <w:multiLevelType w:val="hybridMultilevel"/>
    <w:tmpl w:val="CE3ECEA0"/>
    <w:lvl w:ilvl="0" w:tplc="66ECD5C6">
      <w:start w:val="1"/>
      <w:numFmt w:val="decimal"/>
      <w:lvlText w:val="%1."/>
      <w:lvlJc w:val="left"/>
      <w:pPr>
        <w:ind w:left="1728" w:hanging="102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53762D43"/>
    <w:multiLevelType w:val="hybridMultilevel"/>
    <w:tmpl w:val="4A2CF8A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15:restartNumberingAfterBreak="0">
    <w:nsid w:val="57C14259"/>
    <w:multiLevelType w:val="hybridMultilevel"/>
    <w:tmpl w:val="0F08F51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15:restartNumberingAfterBreak="0">
    <w:nsid w:val="64D51A1F"/>
    <w:multiLevelType w:val="hybridMultilevel"/>
    <w:tmpl w:val="B73C10C6"/>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2"/>
  </w:num>
  <w:num w:numId="7">
    <w:abstractNumId w:val="3"/>
  </w:num>
  <w:num w:numId="8">
    <w:abstractNumId w:val="7"/>
  </w:num>
  <w:num w:numId="9">
    <w:abstractNumId w:val="5"/>
  </w:num>
  <w:num w:numId="10">
    <w:abstractNumId w:val="2"/>
  </w:num>
  <w:num w:numId="11">
    <w:abstractNumId w:val="3"/>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4B7"/>
    <w:rsid w:val="000429ED"/>
    <w:rsid w:val="000A3243"/>
    <w:rsid w:val="000B0FB3"/>
    <w:rsid w:val="000E057D"/>
    <w:rsid w:val="000F2134"/>
    <w:rsid w:val="00162DF7"/>
    <w:rsid w:val="00205FA8"/>
    <w:rsid w:val="00262B9B"/>
    <w:rsid w:val="0028213F"/>
    <w:rsid w:val="002959E4"/>
    <w:rsid w:val="003A34B7"/>
    <w:rsid w:val="00406C5F"/>
    <w:rsid w:val="00442CAB"/>
    <w:rsid w:val="00476802"/>
    <w:rsid w:val="005237E8"/>
    <w:rsid w:val="0055324F"/>
    <w:rsid w:val="005F5526"/>
    <w:rsid w:val="00641669"/>
    <w:rsid w:val="00641D3A"/>
    <w:rsid w:val="00642DCC"/>
    <w:rsid w:val="00653157"/>
    <w:rsid w:val="00671F38"/>
    <w:rsid w:val="00675941"/>
    <w:rsid w:val="00676C9C"/>
    <w:rsid w:val="0068349A"/>
    <w:rsid w:val="006B7972"/>
    <w:rsid w:val="00724B05"/>
    <w:rsid w:val="00730674"/>
    <w:rsid w:val="007641B0"/>
    <w:rsid w:val="00854863"/>
    <w:rsid w:val="008A4477"/>
    <w:rsid w:val="00964466"/>
    <w:rsid w:val="009A61A0"/>
    <w:rsid w:val="009C40C7"/>
    <w:rsid w:val="009E7FE7"/>
    <w:rsid w:val="009F7FF0"/>
    <w:rsid w:val="00B65F0C"/>
    <w:rsid w:val="00C65D7F"/>
    <w:rsid w:val="00C828D8"/>
    <w:rsid w:val="00CF0115"/>
    <w:rsid w:val="00CF5AA9"/>
    <w:rsid w:val="00D7582F"/>
    <w:rsid w:val="00D92FE6"/>
    <w:rsid w:val="00DB3A98"/>
    <w:rsid w:val="00E549CB"/>
    <w:rsid w:val="00EC5053"/>
    <w:rsid w:val="00F60515"/>
    <w:rsid w:val="00F83E66"/>
    <w:rsid w:val="00FB179E"/>
    <w:rsid w:val="00FB23A6"/>
    <w:rsid w:val="00FC3E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31841B3-241D-4F4D-87C0-22410F8E4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34B7"/>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3A34B7"/>
    <w:pPr>
      <w:suppressAutoHyphens/>
      <w:spacing w:before="280" w:after="280"/>
    </w:pPr>
    <w:rPr>
      <w:rFonts w:ascii="Calibri" w:hAnsi="Calibri" w:cs="Calibri"/>
      <w:lang w:eastAsia="ar-SA"/>
    </w:rPr>
  </w:style>
  <w:style w:type="character" w:customStyle="1" w:styleId="2">
    <w:name w:val="Основной текст 2 Знак"/>
    <w:link w:val="20"/>
    <w:locked/>
    <w:rsid w:val="003A34B7"/>
    <w:rPr>
      <w:sz w:val="24"/>
      <w:szCs w:val="24"/>
      <w:lang w:val="ru-RU" w:eastAsia="ru-RU" w:bidi="ar-SA"/>
    </w:rPr>
  </w:style>
  <w:style w:type="paragraph" w:styleId="20">
    <w:name w:val="Body Text 2"/>
    <w:basedOn w:val="a"/>
    <w:link w:val="2"/>
    <w:rsid w:val="003A34B7"/>
    <w:pPr>
      <w:spacing w:after="120" w:line="480" w:lineRule="auto"/>
    </w:pPr>
  </w:style>
  <w:style w:type="paragraph" w:styleId="a4">
    <w:name w:val="List Paragraph"/>
    <w:basedOn w:val="a"/>
    <w:qFormat/>
    <w:rsid w:val="003A34B7"/>
    <w:pPr>
      <w:spacing w:after="200" w:line="276" w:lineRule="auto"/>
      <w:ind w:left="720"/>
    </w:pPr>
    <w:rPr>
      <w:rFonts w:ascii="Calibri" w:hAnsi="Calibri" w:cs="Calibri"/>
      <w:sz w:val="22"/>
      <w:szCs w:val="22"/>
    </w:rPr>
  </w:style>
  <w:style w:type="paragraph" w:customStyle="1" w:styleId="ConsPlusNormal">
    <w:name w:val="ConsPlusNormal"/>
    <w:rsid w:val="003A34B7"/>
    <w:pPr>
      <w:widowControl w:val="0"/>
      <w:autoSpaceDE w:val="0"/>
      <w:autoSpaceDN w:val="0"/>
      <w:adjustRightInd w:val="0"/>
      <w:ind w:firstLine="720"/>
    </w:pPr>
    <w:rPr>
      <w:rFonts w:ascii="Arial" w:hAnsi="Arial" w:cs="Arial"/>
    </w:rPr>
  </w:style>
  <w:style w:type="paragraph" w:customStyle="1" w:styleId="1">
    <w:name w:val="Абзац списка1"/>
    <w:basedOn w:val="a"/>
    <w:rsid w:val="003A34B7"/>
    <w:pPr>
      <w:spacing w:after="200" w:line="276" w:lineRule="auto"/>
      <w:ind w:left="720"/>
    </w:pPr>
    <w:rPr>
      <w:rFonts w:ascii="Calibri" w:hAnsi="Calibri" w:cs="Calibri"/>
      <w:sz w:val="22"/>
      <w:szCs w:val="22"/>
      <w:lang w:eastAsia="en-US"/>
    </w:rPr>
  </w:style>
  <w:style w:type="character" w:styleId="a5">
    <w:name w:val="Hyperlink"/>
    <w:rsid w:val="003A34B7"/>
    <w:rPr>
      <w:color w:val="0000FF"/>
      <w:u w:val="single"/>
    </w:rPr>
  </w:style>
  <w:style w:type="paragraph" w:customStyle="1" w:styleId="listparagraphcxsplast">
    <w:name w:val="listparagraphcxsplast"/>
    <w:basedOn w:val="a"/>
    <w:rsid w:val="003A34B7"/>
    <w:pPr>
      <w:suppressAutoHyphens/>
      <w:spacing w:before="280" w:after="280"/>
    </w:pPr>
    <w:rPr>
      <w:rFonts w:ascii="Calibri" w:hAnsi="Calibri" w:cs="Calibri"/>
      <w:lang w:eastAsia="ar-SA"/>
    </w:rPr>
  </w:style>
  <w:style w:type="paragraph" w:styleId="a6">
    <w:name w:val="Body Text Indent"/>
    <w:aliases w:val="Основной текст 1,Нумерованный список !!,Надин стиль"/>
    <w:basedOn w:val="a"/>
    <w:link w:val="a7"/>
    <w:rsid w:val="00DB3A98"/>
    <w:pPr>
      <w:spacing w:after="120"/>
      <w:ind w:left="283"/>
    </w:pPr>
  </w:style>
  <w:style w:type="character" w:customStyle="1" w:styleId="a7">
    <w:name w:val="Основной текст с отступом Знак"/>
    <w:aliases w:val="Основной текст 1 Знак,Нумерованный список !! Знак,Надин стиль Знак"/>
    <w:link w:val="a6"/>
    <w:locked/>
    <w:rsid w:val="00D7582F"/>
    <w:rPr>
      <w:sz w:val="24"/>
      <w:szCs w:val="24"/>
      <w:lang w:val="ru-RU" w:eastAsia="ru-RU" w:bidi="ar-SA"/>
    </w:rPr>
  </w:style>
  <w:style w:type="table" w:styleId="-34">
    <w:name w:val="List Table 3 Accent 4"/>
    <w:basedOn w:val="a1"/>
    <w:uiPriority w:val="48"/>
    <w:rsid w:val="009C40C7"/>
    <w:rPr>
      <w:rFonts w:asciiTheme="minorHAnsi" w:eastAsiaTheme="minorEastAsia" w:hAnsiTheme="minorHAnsi" w:cstheme="minorBidi"/>
      <w:sz w:val="22"/>
      <w:szCs w:val="22"/>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051744">
      <w:bodyDiv w:val="1"/>
      <w:marLeft w:val="0"/>
      <w:marRight w:val="0"/>
      <w:marTop w:val="0"/>
      <w:marBottom w:val="0"/>
      <w:divBdr>
        <w:top w:val="none" w:sz="0" w:space="0" w:color="auto"/>
        <w:left w:val="none" w:sz="0" w:space="0" w:color="auto"/>
        <w:bottom w:val="none" w:sz="0" w:space="0" w:color="auto"/>
        <w:right w:val="none" w:sz="0" w:space="0" w:color="auto"/>
      </w:divBdr>
    </w:div>
    <w:div w:id="417673447">
      <w:bodyDiv w:val="1"/>
      <w:marLeft w:val="0"/>
      <w:marRight w:val="0"/>
      <w:marTop w:val="0"/>
      <w:marBottom w:val="0"/>
      <w:divBdr>
        <w:top w:val="none" w:sz="0" w:space="0" w:color="auto"/>
        <w:left w:val="none" w:sz="0" w:space="0" w:color="auto"/>
        <w:bottom w:val="none" w:sz="0" w:space="0" w:color="auto"/>
        <w:right w:val="none" w:sz="0" w:space="0" w:color="auto"/>
      </w:divBdr>
    </w:div>
    <w:div w:id="429543717">
      <w:bodyDiv w:val="1"/>
      <w:marLeft w:val="0"/>
      <w:marRight w:val="0"/>
      <w:marTop w:val="0"/>
      <w:marBottom w:val="0"/>
      <w:divBdr>
        <w:top w:val="none" w:sz="0" w:space="0" w:color="auto"/>
        <w:left w:val="none" w:sz="0" w:space="0" w:color="auto"/>
        <w:bottom w:val="none" w:sz="0" w:space="0" w:color="auto"/>
        <w:right w:val="none" w:sz="0" w:space="0" w:color="auto"/>
      </w:divBdr>
    </w:div>
    <w:div w:id="450126132">
      <w:bodyDiv w:val="1"/>
      <w:marLeft w:val="0"/>
      <w:marRight w:val="0"/>
      <w:marTop w:val="0"/>
      <w:marBottom w:val="0"/>
      <w:divBdr>
        <w:top w:val="none" w:sz="0" w:space="0" w:color="auto"/>
        <w:left w:val="none" w:sz="0" w:space="0" w:color="auto"/>
        <w:bottom w:val="none" w:sz="0" w:space="0" w:color="auto"/>
        <w:right w:val="none" w:sz="0" w:space="0" w:color="auto"/>
      </w:divBdr>
    </w:div>
    <w:div w:id="514882632">
      <w:bodyDiv w:val="1"/>
      <w:marLeft w:val="0"/>
      <w:marRight w:val="0"/>
      <w:marTop w:val="0"/>
      <w:marBottom w:val="0"/>
      <w:divBdr>
        <w:top w:val="none" w:sz="0" w:space="0" w:color="auto"/>
        <w:left w:val="none" w:sz="0" w:space="0" w:color="auto"/>
        <w:bottom w:val="none" w:sz="0" w:space="0" w:color="auto"/>
        <w:right w:val="none" w:sz="0" w:space="0" w:color="auto"/>
      </w:divBdr>
    </w:div>
    <w:div w:id="573710673">
      <w:bodyDiv w:val="1"/>
      <w:marLeft w:val="0"/>
      <w:marRight w:val="0"/>
      <w:marTop w:val="0"/>
      <w:marBottom w:val="0"/>
      <w:divBdr>
        <w:top w:val="none" w:sz="0" w:space="0" w:color="auto"/>
        <w:left w:val="none" w:sz="0" w:space="0" w:color="auto"/>
        <w:bottom w:val="none" w:sz="0" w:space="0" w:color="auto"/>
        <w:right w:val="none" w:sz="0" w:space="0" w:color="auto"/>
      </w:divBdr>
    </w:div>
    <w:div w:id="634258829">
      <w:bodyDiv w:val="1"/>
      <w:marLeft w:val="0"/>
      <w:marRight w:val="0"/>
      <w:marTop w:val="0"/>
      <w:marBottom w:val="0"/>
      <w:divBdr>
        <w:top w:val="none" w:sz="0" w:space="0" w:color="auto"/>
        <w:left w:val="none" w:sz="0" w:space="0" w:color="auto"/>
        <w:bottom w:val="none" w:sz="0" w:space="0" w:color="auto"/>
        <w:right w:val="none" w:sz="0" w:space="0" w:color="auto"/>
      </w:divBdr>
    </w:div>
    <w:div w:id="673455086">
      <w:bodyDiv w:val="1"/>
      <w:marLeft w:val="0"/>
      <w:marRight w:val="0"/>
      <w:marTop w:val="0"/>
      <w:marBottom w:val="0"/>
      <w:divBdr>
        <w:top w:val="none" w:sz="0" w:space="0" w:color="auto"/>
        <w:left w:val="none" w:sz="0" w:space="0" w:color="auto"/>
        <w:bottom w:val="none" w:sz="0" w:space="0" w:color="auto"/>
        <w:right w:val="none" w:sz="0" w:space="0" w:color="auto"/>
      </w:divBdr>
    </w:div>
    <w:div w:id="1163204452">
      <w:bodyDiv w:val="1"/>
      <w:marLeft w:val="0"/>
      <w:marRight w:val="0"/>
      <w:marTop w:val="0"/>
      <w:marBottom w:val="0"/>
      <w:divBdr>
        <w:top w:val="none" w:sz="0" w:space="0" w:color="auto"/>
        <w:left w:val="none" w:sz="0" w:space="0" w:color="auto"/>
        <w:bottom w:val="none" w:sz="0" w:space="0" w:color="auto"/>
        <w:right w:val="none" w:sz="0" w:space="0" w:color="auto"/>
      </w:divBdr>
    </w:div>
    <w:div w:id="1167329936">
      <w:bodyDiv w:val="1"/>
      <w:marLeft w:val="0"/>
      <w:marRight w:val="0"/>
      <w:marTop w:val="0"/>
      <w:marBottom w:val="0"/>
      <w:divBdr>
        <w:top w:val="none" w:sz="0" w:space="0" w:color="auto"/>
        <w:left w:val="none" w:sz="0" w:space="0" w:color="auto"/>
        <w:bottom w:val="none" w:sz="0" w:space="0" w:color="auto"/>
        <w:right w:val="none" w:sz="0" w:space="0" w:color="auto"/>
      </w:divBdr>
    </w:div>
    <w:div w:id="1492478118">
      <w:bodyDiv w:val="1"/>
      <w:marLeft w:val="0"/>
      <w:marRight w:val="0"/>
      <w:marTop w:val="0"/>
      <w:marBottom w:val="0"/>
      <w:divBdr>
        <w:top w:val="none" w:sz="0" w:space="0" w:color="auto"/>
        <w:left w:val="none" w:sz="0" w:space="0" w:color="auto"/>
        <w:bottom w:val="none" w:sz="0" w:space="0" w:color="auto"/>
        <w:right w:val="none" w:sz="0" w:space="0" w:color="auto"/>
      </w:divBdr>
    </w:div>
    <w:div w:id="1804809037">
      <w:bodyDiv w:val="1"/>
      <w:marLeft w:val="0"/>
      <w:marRight w:val="0"/>
      <w:marTop w:val="0"/>
      <w:marBottom w:val="0"/>
      <w:divBdr>
        <w:top w:val="none" w:sz="0" w:space="0" w:color="auto"/>
        <w:left w:val="none" w:sz="0" w:space="0" w:color="auto"/>
        <w:bottom w:val="none" w:sz="0" w:space="0" w:color="auto"/>
        <w:right w:val="none" w:sz="0" w:space="0" w:color="auto"/>
      </w:divBdr>
    </w:div>
    <w:div w:id="1866017412">
      <w:bodyDiv w:val="1"/>
      <w:marLeft w:val="0"/>
      <w:marRight w:val="0"/>
      <w:marTop w:val="0"/>
      <w:marBottom w:val="0"/>
      <w:divBdr>
        <w:top w:val="none" w:sz="0" w:space="0" w:color="auto"/>
        <w:left w:val="none" w:sz="0" w:space="0" w:color="auto"/>
        <w:bottom w:val="none" w:sz="0" w:space="0" w:color="auto"/>
        <w:right w:val="none" w:sz="0" w:space="0" w:color="auto"/>
      </w:divBdr>
    </w:div>
    <w:div w:id="1875724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2.xml"/><Relationship Id="rId12" Type="http://schemas.openxmlformats.org/officeDocument/2006/relationships/hyperlink" Target="http://adm.gov86.org/files/2016/finkom/2014-otchet-kf.doc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11" Type="http://schemas.openxmlformats.org/officeDocument/2006/relationships/chart" Target="charts/chart6.xml"/><Relationship Id="rId5" Type="http://schemas.openxmlformats.org/officeDocument/2006/relationships/hyperlink" Target="http://adm.gov86.org/files/2016/finkom/2014-otchet-kf.docm" TargetMode="External"/><Relationship Id="rId10" Type="http://schemas.openxmlformats.org/officeDocument/2006/relationships/chart" Target="charts/chart5.xml"/><Relationship Id="rId4" Type="http://schemas.openxmlformats.org/officeDocument/2006/relationships/webSettings" Target="webSettings.xml"/><Relationship Id="rId9" Type="http://schemas.openxmlformats.org/officeDocument/2006/relationships/chart" Target="charts/chart4.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_____Microsoft_Excel2.xlsx"/><Relationship Id="rId2" Type="http://schemas.microsoft.com/office/2011/relationships/chartColorStyle" Target="colors1.xml"/><Relationship Id="rId1" Type="http://schemas.microsoft.com/office/2011/relationships/chartStyle" Target="style1.xml"/></Relationships>
</file>

<file path=word/charts/_rels/chart3.xml.rels><?xml version="1.0" encoding="UTF-8" standalone="yes"?>
<Relationships xmlns="http://schemas.openxmlformats.org/package/2006/relationships"><Relationship Id="rId3" Type="http://schemas.openxmlformats.org/officeDocument/2006/relationships/package" Target="../embeddings/_____Microsoft_Excel3.xlsx"/><Relationship Id="rId2" Type="http://schemas.microsoft.com/office/2011/relationships/chartColorStyle" Target="colors2.xml"/><Relationship Id="rId1" Type="http://schemas.microsoft.com/office/2011/relationships/chartStyle" Target="style2.xml"/></Relationships>
</file>

<file path=word/charts/_rels/chart4.xml.rels><?xml version="1.0" encoding="UTF-8" standalone="yes"?>
<Relationships xmlns="http://schemas.openxmlformats.org/package/2006/relationships"><Relationship Id="rId3" Type="http://schemas.openxmlformats.org/officeDocument/2006/relationships/package" Target="../embeddings/_____Microsoft_Excel4.xlsx"/><Relationship Id="rId2" Type="http://schemas.microsoft.com/office/2011/relationships/chartColorStyle" Target="colors3.xml"/><Relationship Id="rId1" Type="http://schemas.microsoft.com/office/2011/relationships/chartStyle" Target="style3.xml"/></Relationships>
</file>

<file path=word/charts/_rels/chart5.xml.rels><?xml version="1.0" encoding="UTF-8" standalone="yes"?>
<Relationships xmlns="http://schemas.openxmlformats.org/package/2006/relationships"><Relationship Id="rId3" Type="http://schemas.openxmlformats.org/officeDocument/2006/relationships/package" Target="../embeddings/_____Microsoft_Excel5.xlsx"/><Relationship Id="rId2" Type="http://schemas.microsoft.com/office/2011/relationships/chartColorStyle" Target="colors4.xml"/><Relationship Id="rId1" Type="http://schemas.microsoft.com/office/2011/relationships/chartStyle" Target="style4.xml"/></Relationships>
</file>

<file path=word/charts/_rels/chart6.xml.rels><?xml version="1.0" encoding="UTF-8" standalone="yes"?>
<Relationships xmlns="http://schemas.openxmlformats.org/package/2006/relationships"><Relationship Id="rId3" Type="http://schemas.openxmlformats.org/officeDocument/2006/relationships/package" Target="../embeddings/_____Microsoft_Excel6.xlsx"/><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400" b="0" i="0" u="none" strike="noStrike" baseline="0">
                <a:solidFill>
                  <a:srgbClr val="333333"/>
                </a:solidFill>
                <a:latin typeface="Calibri"/>
                <a:ea typeface="Calibri"/>
                <a:cs typeface="Calibri"/>
              </a:defRPr>
            </a:pPr>
            <a:r>
              <a:rPr lang="ru-RU" sz="1400" b="0"/>
              <a:t>Динамика доходов и расходов бюджета города Пыть-Яха, млн. рублей</a:t>
            </a:r>
          </a:p>
        </c:rich>
      </c:tx>
      <c:layout>
        <c:manualLayout>
          <c:xMode val="edge"/>
          <c:yMode val="edge"/>
          <c:x val="0.11934454593175853"/>
          <c:y val="6.1604993676308596E-4"/>
        </c:manualLayout>
      </c:layout>
      <c:overlay val="0"/>
      <c:spPr>
        <a:noFill/>
        <a:ln w="25376">
          <a:noFill/>
        </a:ln>
      </c:spPr>
    </c:title>
    <c:autoTitleDeleted val="0"/>
    <c:plotArea>
      <c:layout>
        <c:manualLayout>
          <c:layoutTarget val="inner"/>
          <c:xMode val="edge"/>
          <c:yMode val="edge"/>
          <c:x val="2.3466666666666667E-2"/>
          <c:y val="0.22888305628463107"/>
          <c:w val="0.95306666666666662"/>
          <c:h val="0.67032978516574315"/>
        </c:manualLayout>
      </c:layout>
      <c:lineChart>
        <c:grouping val="standard"/>
        <c:varyColors val="0"/>
        <c:ser>
          <c:idx val="0"/>
          <c:order val="0"/>
          <c:tx>
            <c:strRef>
              <c:f>Лист1!$B$1</c:f>
              <c:strCache>
                <c:ptCount val="1"/>
                <c:pt idx="0">
                  <c:v>Доходы</c:v>
                </c:pt>
              </c:strCache>
            </c:strRef>
          </c:tx>
          <c:spPr>
            <a:ln w="28548" cap="rnd">
              <a:solidFill>
                <a:schemeClr val="accent1"/>
              </a:solidFill>
              <a:round/>
            </a:ln>
            <a:effectLst>
              <a:softEdge rad="0"/>
            </a:effectLst>
          </c:spPr>
          <c:marker>
            <c:symbol val="triangle"/>
            <c:size val="9"/>
            <c:spPr>
              <a:solidFill>
                <a:schemeClr val="accent1"/>
              </a:solidFill>
              <a:ln w="9516">
                <a:solidFill>
                  <a:schemeClr val="accent1"/>
                </a:solidFill>
              </a:ln>
              <a:effectLst>
                <a:softEdge rad="0"/>
              </a:effectLst>
            </c:spPr>
          </c:marker>
          <c:dLbls>
            <c:dLbl>
              <c:idx val="1"/>
              <c:numFmt formatCode="#,##0.0" sourceLinked="0"/>
              <c:spPr>
                <a:noFill/>
                <a:ln>
                  <a:solidFill>
                    <a:schemeClr val="accent5"/>
                  </a:solidFill>
                </a:ln>
                <a:effectLst>
                  <a:glow rad="63500">
                    <a:schemeClr val="accent1">
                      <a:satMod val="175000"/>
                      <a:alpha val="40000"/>
                    </a:schemeClr>
                  </a:glow>
                </a:effectLst>
              </c:spPr>
              <c:txPr>
                <a:bodyPr/>
                <a:lstStyle/>
                <a:p>
                  <a:pPr>
                    <a:defRPr sz="1194" b="1" i="0" u="none" strike="noStrike" baseline="0">
                      <a:solidFill>
                        <a:srgbClr val="33CCCC"/>
                      </a:solidFill>
                      <a:latin typeface="Calibri"/>
                      <a:ea typeface="Calibri"/>
                      <a:cs typeface="Calibri"/>
                    </a:defRPr>
                  </a:pPr>
                  <a:endParaRPr lang="ru-RU"/>
                </a:p>
              </c:txPr>
              <c:dLblPos val="b"/>
              <c:showLegendKey val="0"/>
              <c:showVal val="1"/>
              <c:showCatName val="0"/>
              <c:showSerName val="0"/>
              <c:showPercent val="0"/>
              <c:showBubbleSize val="0"/>
            </c:dLbl>
            <c:dLbl>
              <c:idx val="2"/>
              <c:layout/>
              <c:numFmt formatCode="#,##0.0" sourceLinked="0"/>
              <c:spPr>
                <a:noFill/>
                <a:ln>
                  <a:solidFill>
                    <a:schemeClr val="accent5"/>
                  </a:solidFill>
                </a:ln>
                <a:effectLst>
                  <a:glow rad="63500">
                    <a:schemeClr val="accent1">
                      <a:satMod val="175000"/>
                      <a:alpha val="40000"/>
                    </a:schemeClr>
                  </a:glow>
                </a:effectLst>
              </c:spPr>
              <c:txPr>
                <a:bodyPr/>
                <a:lstStyle/>
                <a:p>
                  <a:pPr>
                    <a:defRPr sz="1194" b="1" i="0" u="none" strike="noStrike" baseline="0">
                      <a:solidFill>
                        <a:srgbClr val="33CCCC"/>
                      </a:solidFill>
                      <a:latin typeface="Calibri"/>
                      <a:ea typeface="Calibri"/>
                      <a:cs typeface="Calibri"/>
                    </a:defRPr>
                  </a:pPr>
                  <a:endParaRPr lang="ru-RU"/>
                </a:p>
              </c:txPr>
              <c:dLblPos val="t"/>
              <c:showLegendKey val="0"/>
              <c:showVal val="1"/>
              <c:showCatName val="0"/>
              <c:showSerName val="0"/>
              <c:showPercent val="0"/>
              <c:showBubbleSize val="0"/>
              <c:extLst>
                <c:ext xmlns:c15="http://schemas.microsoft.com/office/drawing/2012/chart" uri="{CE6537A1-D6FC-4f65-9D91-7224C49458BB}">
                  <c15:layout/>
                </c:ext>
              </c:extLst>
            </c:dLbl>
            <c:dLbl>
              <c:idx val="7"/>
              <c:layout/>
              <c:numFmt formatCode="#,##0.0" sourceLinked="0"/>
              <c:spPr>
                <a:noFill/>
                <a:ln>
                  <a:solidFill>
                    <a:schemeClr val="accent5"/>
                  </a:solidFill>
                </a:ln>
                <a:effectLst>
                  <a:glow rad="63500">
                    <a:schemeClr val="accent1">
                      <a:satMod val="175000"/>
                      <a:alpha val="40000"/>
                    </a:schemeClr>
                  </a:glow>
                </a:effectLst>
              </c:spPr>
              <c:txPr>
                <a:bodyPr/>
                <a:lstStyle/>
                <a:p>
                  <a:pPr>
                    <a:defRPr sz="1194" b="1" i="0" u="none" strike="noStrike" baseline="0">
                      <a:solidFill>
                        <a:srgbClr val="33CCCC"/>
                      </a:solidFill>
                      <a:latin typeface="Calibri"/>
                      <a:ea typeface="Calibri"/>
                      <a:cs typeface="Calibri"/>
                    </a:defRPr>
                  </a:pPr>
                  <a:endParaRPr lang="ru-RU"/>
                </a:p>
              </c:txPr>
              <c:dLblPos val="t"/>
              <c:showLegendKey val="0"/>
              <c:showVal val="1"/>
              <c:showCatName val="0"/>
              <c:showSerName val="0"/>
              <c:showPercent val="0"/>
              <c:showBubbleSize val="0"/>
              <c:extLst>
                <c:ext xmlns:c15="http://schemas.microsoft.com/office/drawing/2012/chart" uri="{CE6537A1-D6FC-4f65-9D91-7224C49458BB}">
                  <c15:layout/>
                </c:ext>
              </c:extLst>
            </c:dLbl>
            <c:numFmt formatCode="#,##0.0" sourceLinked="0"/>
            <c:spPr>
              <a:noFill/>
              <a:ln>
                <a:solidFill>
                  <a:schemeClr val="accent5"/>
                </a:solidFill>
              </a:ln>
              <a:effectLst>
                <a:glow rad="63500">
                  <a:schemeClr val="accent1">
                    <a:satMod val="175000"/>
                    <a:alpha val="40000"/>
                  </a:schemeClr>
                </a:glow>
              </a:effectLst>
            </c:spPr>
            <c:txPr>
              <a:bodyPr wrap="square" lIns="38100" tIns="19050" rIns="38100" bIns="19050" anchor="ctr">
                <a:spAutoFit/>
              </a:bodyPr>
              <a:lstStyle/>
              <a:p>
                <a:pPr>
                  <a:defRPr sz="1194" b="1" i="0" u="none" strike="noStrike" baseline="0">
                    <a:solidFill>
                      <a:srgbClr val="33CCCC"/>
                    </a:solidFill>
                    <a:latin typeface="Calibri"/>
                    <a:ea typeface="Calibri"/>
                    <a:cs typeface="Calibri"/>
                  </a:defRPr>
                </a:pPr>
                <a:endParaRPr lang="ru-RU"/>
              </a:p>
            </c:txPr>
            <c:dLblPos val="b"/>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Лист1!$A$2:$A$11</c:f>
              <c:numCache>
                <c:formatCode>General</c:formatCode>
                <c:ptCount val="10"/>
                <c:pt idx="0">
                  <c:v>2010</c:v>
                </c:pt>
                <c:pt idx="1">
                  <c:v>2011</c:v>
                </c:pt>
                <c:pt idx="2">
                  <c:v>2012</c:v>
                </c:pt>
                <c:pt idx="3">
                  <c:v>2013</c:v>
                </c:pt>
                <c:pt idx="4">
                  <c:v>2014</c:v>
                </c:pt>
                <c:pt idx="5">
                  <c:v>2015</c:v>
                </c:pt>
                <c:pt idx="6">
                  <c:v>2016</c:v>
                </c:pt>
                <c:pt idx="7">
                  <c:v>2017</c:v>
                </c:pt>
                <c:pt idx="8">
                  <c:v>2018</c:v>
                </c:pt>
                <c:pt idx="9">
                  <c:v>2019</c:v>
                </c:pt>
              </c:numCache>
            </c:numRef>
          </c:cat>
          <c:val>
            <c:numRef>
              <c:f>Лист1!$B$2:$B$11</c:f>
              <c:numCache>
                <c:formatCode>General</c:formatCode>
                <c:ptCount val="10"/>
                <c:pt idx="0">
                  <c:v>2558.8000000000002</c:v>
                </c:pt>
                <c:pt idx="1">
                  <c:v>2751.7</c:v>
                </c:pt>
                <c:pt idx="2" formatCode="#\ ##0.0">
                  <c:v>3599.7</c:v>
                </c:pt>
                <c:pt idx="3" formatCode="#\ ##0.0">
                  <c:v>3393.5</c:v>
                </c:pt>
                <c:pt idx="4" formatCode="#\ ##0.0">
                  <c:v>2811</c:v>
                </c:pt>
                <c:pt idx="5" formatCode="#\ ##0.0">
                  <c:v>3532.9</c:v>
                </c:pt>
                <c:pt idx="6" formatCode="#\ ##0.0">
                  <c:v>3188.4</c:v>
                </c:pt>
                <c:pt idx="7">
                  <c:v>3248.7</c:v>
                </c:pt>
                <c:pt idx="8">
                  <c:v>5342.4</c:v>
                </c:pt>
                <c:pt idx="9">
                  <c:v>3062.4</c:v>
                </c:pt>
              </c:numCache>
            </c:numRef>
          </c:val>
          <c:smooth val="0"/>
        </c:ser>
        <c:ser>
          <c:idx val="1"/>
          <c:order val="1"/>
          <c:tx>
            <c:strRef>
              <c:f>Лист1!$C$1</c:f>
              <c:strCache>
                <c:ptCount val="1"/>
                <c:pt idx="0">
                  <c:v>Расходы</c:v>
                </c:pt>
              </c:strCache>
            </c:strRef>
          </c:tx>
          <c:spPr>
            <a:ln w="28548" cap="rnd">
              <a:solidFill>
                <a:schemeClr val="accent2"/>
              </a:solidFill>
              <a:round/>
            </a:ln>
            <a:effectLst/>
          </c:spPr>
          <c:marker>
            <c:symbol val="diamond"/>
            <c:size val="9"/>
            <c:spPr>
              <a:solidFill>
                <a:schemeClr val="accent2"/>
              </a:solidFill>
              <a:ln w="9516">
                <a:solidFill>
                  <a:schemeClr val="accent2"/>
                </a:solidFill>
              </a:ln>
              <a:effectLst/>
            </c:spPr>
          </c:marker>
          <c:dLbls>
            <c:dLbl>
              <c:idx val="1"/>
              <c:spPr>
                <a:solidFill>
                  <a:schemeClr val="lt1"/>
                </a:solidFill>
                <a:ln w="12688" cap="flat" cmpd="sng" algn="ctr">
                  <a:solidFill>
                    <a:schemeClr val="accent2"/>
                  </a:solidFill>
                  <a:prstDash val="solid"/>
                  <a:miter lim="800000"/>
                </a:ln>
                <a:effectLst>
                  <a:glow rad="63500">
                    <a:schemeClr val="accent1">
                      <a:satMod val="175000"/>
                      <a:alpha val="40000"/>
                    </a:schemeClr>
                  </a:glow>
                </a:effectLst>
              </c:spPr>
              <c:txPr>
                <a:bodyPr/>
                <a:lstStyle/>
                <a:p>
                  <a:pPr>
                    <a:defRPr sz="1194" b="1" i="0" u="none" strike="noStrike" baseline="0">
                      <a:solidFill>
                        <a:srgbClr val="C00000"/>
                      </a:solidFill>
                      <a:latin typeface="Calibri"/>
                      <a:ea typeface="Calibri"/>
                      <a:cs typeface="Calibri"/>
                    </a:defRPr>
                  </a:pPr>
                  <a:endParaRPr lang="ru-RU"/>
                </a:p>
              </c:txPr>
              <c:dLblPos val="t"/>
              <c:showLegendKey val="0"/>
              <c:showVal val="1"/>
              <c:showCatName val="0"/>
              <c:showSerName val="0"/>
              <c:showPercent val="0"/>
              <c:showBubbleSize val="0"/>
            </c:dLbl>
            <c:dLbl>
              <c:idx val="2"/>
              <c:layout/>
              <c:spPr>
                <a:solidFill>
                  <a:schemeClr val="lt1"/>
                </a:solidFill>
                <a:ln w="12688" cap="flat" cmpd="sng" algn="ctr">
                  <a:solidFill>
                    <a:schemeClr val="accent2"/>
                  </a:solidFill>
                  <a:prstDash val="solid"/>
                  <a:miter lim="800000"/>
                </a:ln>
                <a:effectLst>
                  <a:glow rad="63500">
                    <a:schemeClr val="accent1">
                      <a:satMod val="175000"/>
                      <a:alpha val="40000"/>
                    </a:schemeClr>
                  </a:glow>
                </a:effectLst>
              </c:spPr>
              <c:txPr>
                <a:bodyPr/>
                <a:lstStyle/>
                <a:p>
                  <a:pPr>
                    <a:defRPr sz="1194" b="1" i="0" u="none" strike="noStrike" baseline="0">
                      <a:solidFill>
                        <a:srgbClr val="C00000"/>
                      </a:solidFill>
                      <a:latin typeface="Calibri"/>
                      <a:ea typeface="Calibri"/>
                      <a:cs typeface="Calibri"/>
                    </a:defRPr>
                  </a:pPr>
                  <a:endParaRPr lang="ru-RU"/>
                </a:p>
              </c:txPr>
              <c:dLblPos val="b"/>
              <c:showLegendKey val="0"/>
              <c:showVal val="1"/>
              <c:showCatName val="0"/>
              <c:showSerName val="0"/>
              <c:showPercent val="0"/>
              <c:showBubbleSize val="0"/>
              <c:extLst>
                <c:ext xmlns:c15="http://schemas.microsoft.com/office/drawing/2012/chart" uri="{CE6537A1-D6FC-4f65-9D91-7224C49458BB}">
                  <c15:layout/>
                </c:ext>
              </c:extLst>
            </c:dLbl>
            <c:dLbl>
              <c:idx val="7"/>
              <c:layout/>
              <c:spPr>
                <a:solidFill>
                  <a:schemeClr val="lt1"/>
                </a:solidFill>
                <a:ln w="12688" cap="flat" cmpd="sng" algn="ctr">
                  <a:solidFill>
                    <a:schemeClr val="accent2"/>
                  </a:solidFill>
                  <a:prstDash val="solid"/>
                  <a:miter lim="800000"/>
                </a:ln>
                <a:effectLst>
                  <a:glow rad="63500">
                    <a:schemeClr val="accent1">
                      <a:satMod val="175000"/>
                      <a:alpha val="40000"/>
                    </a:schemeClr>
                  </a:glow>
                </a:effectLst>
              </c:spPr>
              <c:txPr>
                <a:bodyPr/>
                <a:lstStyle/>
                <a:p>
                  <a:pPr>
                    <a:defRPr sz="1194" b="1" i="0" u="none" strike="noStrike" baseline="0">
                      <a:solidFill>
                        <a:srgbClr val="C00000"/>
                      </a:solidFill>
                      <a:latin typeface="Calibri"/>
                      <a:ea typeface="Calibri"/>
                      <a:cs typeface="Calibri"/>
                    </a:defRPr>
                  </a:pPr>
                  <a:endParaRPr lang="ru-RU"/>
                </a:p>
              </c:txPr>
              <c:dLblPos val="b"/>
              <c:showLegendKey val="0"/>
              <c:showVal val="1"/>
              <c:showCatName val="0"/>
              <c:showSerName val="0"/>
              <c:showPercent val="0"/>
              <c:showBubbleSize val="0"/>
              <c:extLst>
                <c:ext xmlns:c15="http://schemas.microsoft.com/office/drawing/2012/chart" uri="{CE6537A1-D6FC-4f65-9D91-7224C49458BB}">
                  <c15:layout/>
                </c:ext>
              </c:extLst>
            </c:dLbl>
            <c:spPr>
              <a:solidFill>
                <a:schemeClr val="lt1"/>
              </a:solidFill>
              <a:ln w="12688" cap="flat" cmpd="sng" algn="ctr">
                <a:solidFill>
                  <a:schemeClr val="accent2"/>
                </a:solidFill>
                <a:prstDash val="solid"/>
                <a:miter lim="800000"/>
              </a:ln>
              <a:effectLst>
                <a:glow rad="63500">
                  <a:schemeClr val="accent1">
                    <a:satMod val="175000"/>
                    <a:alpha val="40000"/>
                  </a:schemeClr>
                </a:glow>
              </a:effectLst>
            </c:spPr>
            <c:txPr>
              <a:bodyPr wrap="square" lIns="38100" tIns="19050" rIns="38100" bIns="19050" anchor="ctr">
                <a:spAutoFit/>
              </a:bodyPr>
              <a:lstStyle/>
              <a:p>
                <a:pPr>
                  <a:defRPr sz="1194" b="1" i="0" u="none" strike="noStrike" baseline="0">
                    <a:solidFill>
                      <a:srgbClr val="C00000"/>
                    </a:solidFill>
                    <a:latin typeface="Calibri"/>
                    <a:ea typeface="Calibri"/>
                    <a:cs typeface="Calibri"/>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Лист1!$A$2:$A$11</c:f>
              <c:numCache>
                <c:formatCode>General</c:formatCode>
                <c:ptCount val="10"/>
                <c:pt idx="0">
                  <c:v>2010</c:v>
                </c:pt>
                <c:pt idx="1">
                  <c:v>2011</c:v>
                </c:pt>
                <c:pt idx="2">
                  <c:v>2012</c:v>
                </c:pt>
                <c:pt idx="3">
                  <c:v>2013</c:v>
                </c:pt>
                <c:pt idx="4">
                  <c:v>2014</c:v>
                </c:pt>
                <c:pt idx="5">
                  <c:v>2015</c:v>
                </c:pt>
                <c:pt idx="6">
                  <c:v>2016</c:v>
                </c:pt>
                <c:pt idx="7">
                  <c:v>2017</c:v>
                </c:pt>
                <c:pt idx="8">
                  <c:v>2018</c:v>
                </c:pt>
                <c:pt idx="9">
                  <c:v>2019</c:v>
                </c:pt>
              </c:numCache>
            </c:numRef>
          </c:cat>
          <c:val>
            <c:numRef>
              <c:f>Лист1!$C$2:$C$11</c:f>
              <c:numCache>
                <c:formatCode>General</c:formatCode>
                <c:ptCount val="10"/>
                <c:pt idx="0">
                  <c:v>2734.1</c:v>
                </c:pt>
                <c:pt idx="1">
                  <c:v>2682.6</c:v>
                </c:pt>
                <c:pt idx="2" formatCode="#\ ##0.0">
                  <c:v>2863.7</c:v>
                </c:pt>
                <c:pt idx="3" formatCode="#\ ##0.0">
                  <c:v>3755.4</c:v>
                </c:pt>
                <c:pt idx="4" formatCode="#\ ##0.0">
                  <c:v>3334.3</c:v>
                </c:pt>
                <c:pt idx="5" formatCode="#\ ##0.0">
                  <c:v>3637.8</c:v>
                </c:pt>
                <c:pt idx="6" formatCode="#\ ##0.0">
                  <c:v>3209.1</c:v>
                </c:pt>
                <c:pt idx="7" formatCode="#\ ##0.0">
                  <c:v>3078.1</c:v>
                </c:pt>
                <c:pt idx="8" formatCode="#\ ##0.0">
                  <c:v>3963.6</c:v>
                </c:pt>
                <c:pt idx="9" formatCode="#\ ##0.0">
                  <c:v>3112.2</c:v>
                </c:pt>
              </c:numCache>
            </c:numRef>
          </c:val>
          <c:smooth val="0"/>
        </c:ser>
        <c:dLbls>
          <c:showLegendKey val="0"/>
          <c:showVal val="0"/>
          <c:showCatName val="0"/>
          <c:showSerName val="0"/>
          <c:showPercent val="0"/>
          <c:showBubbleSize val="0"/>
        </c:dLbls>
        <c:marker val="1"/>
        <c:smooth val="0"/>
        <c:axId val="412656656"/>
        <c:axId val="412643216"/>
      </c:lineChart>
      <c:catAx>
        <c:axId val="412656656"/>
        <c:scaling>
          <c:orientation val="minMax"/>
        </c:scaling>
        <c:delete val="0"/>
        <c:axPos val="b"/>
        <c:numFmt formatCode="General" sourceLinked="1"/>
        <c:majorTickMark val="none"/>
        <c:minorTickMark val="none"/>
        <c:tickLblPos val="nextTo"/>
        <c:spPr>
          <a:noFill/>
          <a:ln w="9516" cap="flat" cmpd="sng" algn="ctr">
            <a:solidFill>
              <a:schemeClr val="tx1">
                <a:lumMod val="15000"/>
                <a:lumOff val="85000"/>
              </a:schemeClr>
            </a:solidFill>
            <a:round/>
          </a:ln>
          <a:effectLst/>
        </c:spPr>
        <c:txPr>
          <a:bodyPr rot="0" vert="horz"/>
          <a:lstStyle/>
          <a:p>
            <a:pPr>
              <a:defRPr sz="1194" b="0" i="0" u="none" strike="noStrike" baseline="0">
                <a:solidFill>
                  <a:srgbClr val="333333"/>
                </a:solidFill>
                <a:latin typeface="Calibri"/>
                <a:ea typeface="Calibri"/>
                <a:cs typeface="Calibri"/>
              </a:defRPr>
            </a:pPr>
            <a:endParaRPr lang="ru-RU"/>
          </a:p>
        </c:txPr>
        <c:crossAx val="412643216"/>
        <c:crosses val="autoZero"/>
        <c:auto val="1"/>
        <c:lblAlgn val="ctr"/>
        <c:lblOffset val="100"/>
        <c:noMultiLvlLbl val="0"/>
      </c:catAx>
      <c:valAx>
        <c:axId val="412643216"/>
        <c:scaling>
          <c:orientation val="minMax"/>
          <c:min val="2400"/>
        </c:scaling>
        <c:delete val="1"/>
        <c:axPos val="l"/>
        <c:numFmt formatCode="General" sourceLinked="1"/>
        <c:majorTickMark val="out"/>
        <c:minorTickMark val="none"/>
        <c:tickLblPos val="nextTo"/>
        <c:crossAx val="412656656"/>
        <c:crosses val="autoZero"/>
        <c:crossBetween val="between"/>
      </c:valAx>
      <c:spPr>
        <a:noFill/>
        <a:ln w="25376">
          <a:noFill/>
        </a:ln>
      </c:spPr>
    </c:plotArea>
    <c:legend>
      <c:legendPos val="t"/>
      <c:layout/>
      <c:overlay val="0"/>
      <c:spPr>
        <a:noFill/>
        <a:ln w="25376">
          <a:noFill/>
        </a:ln>
      </c:spPr>
      <c:txPr>
        <a:bodyPr/>
        <a:lstStyle/>
        <a:p>
          <a:pPr>
            <a:defRPr sz="1653" b="0" i="0" u="none" strike="noStrike" baseline="0">
              <a:solidFill>
                <a:srgbClr val="333333"/>
              </a:solidFill>
              <a:latin typeface="Calibri"/>
              <a:ea typeface="Calibri"/>
              <a:cs typeface="Calibri"/>
            </a:defRPr>
          </a:pPr>
          <a:endParaRPr lang="ru-RU"/>
        </a:p>
      </c:txPr>
    </c:legend>
    <c:plotVisOnly val="1"/>
    <c:dispBlanksAs val="gap"/>
    <c:showDLblsOverMax val="0"/>
  </c:chart>
  <c:spPr>
    <a:solidFill>
      <a:schemeClr val="bg1"/>
    </a:solidFill>
    <a:ln>
      <a:noFill/>
    </a:ln>
    <a:effectLst/>
  </c:spPr>
  <c:txPr>
    <a:bodyPr/>
    <a:lstStyle/>
    <a:p>
      <a:pPr>
        <a:defRPr sz="1329" b="0" i="0" u="none" strike="noStrike" baseline="0">
          <a:solidFill>
            <a:srgbClr val="000000"/>
          </a:solidFill>
          <a:latin typeface="Calibri"/>
          <a:ea typeface="Calibri"/>
          <a:cs typeface="Calibri"/>
        </a:defRPr>
      </a:pPr>
      <a:endParaRPr lang="ru-RU"/>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8084637568452094E-2"/>
          <c:y val="5.146198830409357E-2"/>
          <c:w val="0.89170960111467545"/>
          <c:h val="0.73299000782796886"/>
        </c:manualLayout>
      </c:layout>
      <c:barChart>
        <c:barDir val="bar"/>
        <c:grouping val="stacked"/>
        <c:varyColors val="0"/>
        <c:ser>
          <c:idx val="0"/>
          <c:order val="0"/>
          <c:tx>
            <c:strRef>
              <c:f>Лист1!$B$1</c:f>
              <c:strCache>
                <c:ptCount val="1"/>
                <c:pt idx="0">
                  <c:v>Налоговые доходы</c:v>
                </c:pt>
              </c:strCache>
            </c:strRef>
          </c:tx>
          <c:spPr>
            <a:solidFill>
              <a:schemeClr val="accent1">
                <a:alpha val="70000"/>
              </a:schemeClr>
            </a:solidFill>
            <a:ln>
              <a:noFill/>
            </a:ln>
            <a:effectLst/>
          </c:spPr>
          <c:invertIfNegative val="0"/>
          <c:dLbls>
            <c:dLbl>
              <c:idx val="0"/>
              <c:layout/>
              <c:tx>
                <c:rich>
                  <a:bodyPr/>
                  <a:lstStyle/>
                  <a:p>
                    <a:fld id="{5C2F0DAA-7081-4DE4-B209-B43430628342}" type="CELLRANGE">
                      <a:rPr lang="en-US"/>
                      <a:pPr/>
                      <a:t>[ДИАПАЗОН ЯЧЕЕК]</a:t>
                    </a:fld>
                    <a:r>
                      <a:rPr lang="en-US" baseline="0"/>
                      <a:t>; </a:t>
                    </a:r>
                    <a:fld id="{973DFF29-6DF7-40A5-8429-15024DA802E9}" type="VALUE">
                      <a:rPr lang="en-US" baseline="0"/>
                      <a:pPr/>
                      <a:t>[ЗНАЧЕНИЕ]</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layout/>
                  <c15:dlblFieldTable/>
                  <c15:xForSave val="1"/>
                  <c15:showDataLabelsRange val="1"/>
                </c:ext>
              </c:extLst>
            </c:dLbl>
            <c:dLbl>
              <c:idx val="1"/>
              <c:layout/>
              <c:tx>
                <c:rich>
                  <a:bodyPr/>
                  <a:lstStyle/>
                  <a:p>
                    <a:fld id="{1EC0BC43-4E2B-47DE-9C3F-D35AA95062F8}" type="CELLRANGE">
                      <a:rPr lang="en-US"/>
                      <a:pPr/>
                      <a:t>[ДИАПАЗОН ЯЧЕЕК]</a:t>
                    </a:fld>
                    <a:r>
                      <a:rPr lang="en-US" baseline="0"/>
                      <a:t>; </a:t>
                    </a:r>
                    <a:fld id="{73DA99B6-0AA1-4039-9525-5236B095BDCA}" type="VALUE">
                      <a:rPr lang="en-US" baseline="0"/>
                      <a:pPr/>
                      <a:t>[ЗНАЧЕНИЕ]</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layout/>
                  <c15:dlblFieldTable/>
                  <c15:xForSave val="1"/>
                  <c15:showDataLabelsRange val="1"/>
                </c:ext>
              </c:extLst>
            </c:dLbl>
            <c:dLbl>
              <c:idx val="2"/>
              <c:layout/>
              <c:tx>
                <c:rich>
                  <a:bodyPr/>
                  <a:lstStyle/>
                  <a:p>
                    <a:fld id="{B57726AA-FCA7-4473-9BEB-2F8AD5FC14BF}" type="CELLRANGE">
                      <a:rPr lang="en-US"/>
                      <a:pPr/>
                      <a:t>[ДИАПАЗОН ЯЧЕЕК]</a:t>
                    </a:fld>
                    <a:r>
                      <a:rPr lang="en-US" baseline="0"/>
                      <a:t>; </a:t>
                    </a:r>
                    <a:fld id="{B287D145-2113-418D-95BC-16BB2A683259}" type="VALUE">
                      <a:rPr lang="en-US" baseline="0"/>
                      <a:pPr/>
                      <a:t>[ЗНАЧЕНИЕ]</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layout/>
                  <c15:dlblFieldTable/>
                  <c15:xForSave val="1"/>
                  <c15:showDataLabelsRange val="1"/>
                </c:ext>
              </c:extLst>
            </c:dLbl>
            <c:dLbl>
              <c:idx val="3"/>
              <c:layout/>
              <c:tx>
                <c:rich>
                  <a:bodyPr/>
                  <a:lstStyle/>
                  <a:p>
                    <a:fld id="{C97A7F93-D35D-4517-BE80-FFC198AF7804}" type="CELLRANGE">
                      <a:rPr lang="en-US"/>
                      <a:pPr/>
                      <a:t>[ДИАПАЗОН ЯЧЕЕК]</a:t>
                    </a:fld>
                    <a:r>
                      <a:rPr lang="en-US" baseline="0"/>
                      <a:t>; </a:t>
                    </a:r>
                    <a:fld id="{CB82E234-2B26-4318-A6F7-FAF389341355}" type="VALUE">
                      <a:rPr lang="en-US" baseline="0"/>
                      <a:pPr/>
                      <a:t>[ЗНАЧЕНИЕ]</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layout/>
                  <c15:dlblFieldTable/>
                  <c15:xForSave val="1"/>
                  <c15:showDataLabelsRange val="1"/>
                </c:ext>
              </c:extLst>
            </c:dLbl>
            <c:dLbl>
              <c:idx val="4"/>
              <c:layout/>
              <c:tx>
                <c:rich>
                  <a:bodyPr/>
                  <a:lstStyle/>
                  <a:p>
                    <a:fld id="{F3A0E344-3EFC-4823-8514-6C74769EA012}" type="CELLRANGE">
                      <a:rPr lang="en-US"/>
                      <a:pPr/>
                      <a:t>[ДИАПАЗОН ЯЧЕЕК]</a:t>
                    </a:fld>
                    <a:r>
                      <a:rPr lang="en-US" baseline="0"/>
                      <a:t>; </a:t>
                    </a:r>
                    <a:fld id="{463D8B01-6D0E-4BC3-846C-AE3178497B59}" type="VALUE">
                      <a:rPr lang="en-US" baseline="0"/>
                      <a:pPr/>
                      <a:t>[ЗНАЧЕНИЕ]</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layout/>
                  <c15:dlblFieldTable/>
                  <c15:xForSave val="1"/>
                  <c15:showDataLabelsRange val="1"/>
                </c:ext>
              </c:extLst>
            </c:dLbl>
            <c:dLbl>
              <c:idx val="5"/>
              <c:layout/>
              <c:tx>
                <c:rich>
                  <a:bodyPr/>
                  <a:lstStyle/>
                  <a:p>
                    <a:fld id="{5A19C246-3E0C-4F87-A69A-1053DED51EC8}" type="CELLRANGE">
                      <a:rPr lang="en-US"/>
                      <a:pPr/>
                      <a:t>[ДИАПАЗОН ЯЧЕЕК]</a:t>
                    </a:fld>
                    <a:r>
                      <a:rPr lang="en-US" baseline="0"/>
                      <a:t>; </a:t>
                    </a:r>
                    <a:fld id="{5CC434EC-6536-4D08-B892-ED8E70E96ACF}" type="VALUE">
                      <a:rPr lang="en-US" baseline="0"/>
                      <a:pPr/>
                      <a:t>[ЗНАЧЕНИЕ]</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layout/>
                  <c15:dlblFieldTable/>
                  <c15:xForSave val="1"/>
                  <c15:showDataLabelsRange val="1"/>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inBase"/>
            <c:showLegendKey val="0"/>
            <c:showVal val="1"/>
            <c:showCatName val="0"/>
            <c:showSerName val="0"/>
            <c:showPercent val="0"/>
            <c:showBubbleSize val="0"/>
            <c:showLeaderLines val="0"/>
            <c:extLst>
              <c:ext xmlns:c15="http://schemas.microsoft.com/office/drawing/2012/chart" uri="{CE6537A1-D6FC-4f65-9D91-7224C49458BB}">
                <c15:layout/>
                <c15:showDataLabelsRange val="1"/>
                <c15:showLeaderLines val="1"/>
                <c15:leaderLines>
                  <c:spPr>
                    <a:ln w="9525">
                      <a:solidFill>
                        <a:schemeClr val="tx1">
                          <a:lumMod val="35000"/>
                          <a:lumOff val="65000"/>
                        </a:schemeClr>
                      </a:solidFill>
                    </a:ln>
                    <a:effectLst/>
                  </c:spPr>
                </c15:leaderLines>
              </c:ext>
            </c:extLst>
          </c:dLbls>
          <c:cat>
            <c:numRef>
              <c:f>Лист1!$A$2:$A$7</c:f>
              <c:numCache>
                <c:formatCode>General</c:formatCode>
                <c:ptCount val="6"/>
                <c:pt idx="0">
                  <c:v>2019</c:v>
                </c:pt>
                <c:pt idx="1">
                  <c:v>2018</c:v>
                </c:pt>
                <c:pt idx="2">
                  <c:v>2017</c:v>
                </c:pt>
                <c:pt idx="3">
                  <c:v>2016</c:v>
                </c:pt>
                <c:pt idx="4">
                  <c:v>2015</c:v>
                </c:pt>
                <c:pt idx="5">
                  <c:v>2014</c:v>
                </c:pt>
              </c:numCache>
            </c:numRef>
          </c:cat>
          <c:val>
            <c:numRef>
              <c:f>Лист1!$B$2:$B$7</c:f>
              <c:numCache>
                <c:formatCode>General</c:formatCode>
                <c:ptCount val="6"/>
                <c:pt idx="0">
                  <c:v>963</c:v>
                </c:pt>
                <c:pt idx="1">
                  <c:v>843</c:v>
                </c:pt>
                <c:pt idx="2">
                  <c:v>813.4</c:v>
                </c:pt>
                <c:pt idx="3">
                  <c:v>675.1</c:v>
                </c:pt>
                <c:pt idx="4">
                  <c:v>833.8</c:v>
                </c:pt>
                <c:pt idx="5">
                  <c:v>891.7</c:v>
                </c:pt>
              </c:numCache>
            </c:numRef>
          </c:val>
          <c:extLst>
            <c:ext xmlns:c15="http://schemas.microsoft.com/office/drawing/2012/chart" uri="{02D57815-91ED-43cb-92C2-25804820EDAC}">
              <c15:datalabelsRange>
                <c15:f>Лист1!$B$9:$B$14</c15:f>
                <c15:dlblRangeCache>
                  <c:ptCount val="6"/>
                  <c:pt idx="0">
                    <c:v>31,4%</c:v>
                  </c:pt>
                  <c:pt idx="1">
                    <c:v>15,8%</c:v>
                  </c:pt>
                  <c:pt idx="2">
                    <c:v>25,0%</c:v>
                  </c:pt>
                  <c:pt idx="3">
                    <c:v>21,2%</c:v>
                  </c:pt>
                  <c:pt idx="4">
                    <c:v>23,6%</c:v>
                  </c:pt>
                  <c:pt idx="5">
                    <c:v>31,7%</c:v>
                  </c:pt>
                </c15:dlblRangeCache>
              </c15:datalabelsRange>
            </c:ext>
          </c:extLst>
        </c:ser>
        <c:ser>
          <c:idx val="1"/>
          <c:order val="1"/>
          <c:tx>
            <c:strRef>
              <c:f>Лист1!$C$1</c:f>
              <c:strCache>
                <c:ptCount val="1"/>
                <c:pt idx="0">
                  <c:v>Неналоговые доходы</c:v>
                </c:pt>
              </c:strCache>
            </c:strRef>
          </c:tx>
          <c:spPr>
            <a:solidFill>
              <a:schemeClr val="accent2">
                <a:alpha val="70000"/>
              </a:schemeClr>
            </a:solidFill>
            <a:ln>
              <a:noFill/>
            </a:ln>
            <a:effectLst/>
          </c:spPr>
          <c:invertIfNegative val="0"/>
          <c:dLbls>
            <c:dLbl>
              <c:idx val="0"/>
              <c:layout/>
              <c:tx>
                <c:rich>
                  <a:bodyPr/>
                  <a:lstStyle/>
                  <a:p>
                    <a:fld id="{8227B472-F7B1-4DCE-AB80-D31764C0FF92}" type="CELLRANGE">
                      <a:rPr lang="en-US"/>
                      <a:pPr/>
                      <a:t>[ДИАПАЗОН ЯЧЕЕК]</a:t>
                    </a:fld>
                    <a:r>
                      <a:rPr lang="en-US" baseline="0"/>
                      <a:t>; </a:t>
                    </a:r>
                    <a:fld id="{379B9409-E261-4E40-A5E2-7700D5EAA3FC}" type="VALUE">
                      <a:rPr lang="en-US" baseline="0"/>
                      <a:pPr/>
                      <a:t>[ЗНАЧЕНИЕ]</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layout/>
                  <c15:dlblFieldTable/>
                  <c15:xForSave val="1"/>
                  <c15:showDataLabelsRange val="1"/>
                </c:ext>
              </c:extLst>
            </c:dLbl>
            <c:dLbl>
              <c:idx val="1"/>
              <c:layout/>
              <c:tx>
                <c:rich>
                  <a:bodyPr/>
                  <a:lstStyle/>
                  <a:p>
                    <a:fld id="{D382418D-95DC-44C9-823B-65A58C898069}" type="CELLRANGE">
                      <a:rPr lang="en-US"/>
                      <a:pPr/>
                      <a:t>[ДИАПАЗОН ЯЧЕЕК]</a:t>
                    </a:fld>
                    <a:r>
                      <a:rPr lang="en-US" baseline="0"/>
                      <a:t>; </a:t>
                    </a:r>
                    <a:fld id="{CEA53138-E0C2-4EF9-904C-2D547EAE138E}" type="VALUE">
                      <a:rPr lang="en-US" baseline="0"/>
                      <a:pPr/>
                      <a:t>[ЗНАЧЕНИЕ]</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layout/>
                  <c15:dlblFieldTable/>
                  <c15:xForSave val="1"/>
                  <c15:showDataLabelsRange val="1"/>
                </c:ext>
              </c:extLst>
            </c:dLbl>
            <c:dLbl>
              <c:idx val="2"/>
              <c:layout/>
              <c:tx>
                <c:rich>
                  <a:bodyPr/>
                  <a:lstStyle/>
                  <a:p>
                    <a:fld id="{FCB4A884-F138-46B9-80B2-18D55A19DE83}" type="CELLRANGE">
                      <a:rPr lang="en-US"/>
                      <a:pPr/>
                      <a:t>[ДИАПАЗОН ЯЧЕЕК]</a:t>
                    </a:fld>
                    <a:r>
                      <a:rPr lang="en-US" baseline="0"/>
                      <a:t>; </a:t>
                    </a:r>
                    <a:fld id="{5F618023-7C8B-4070-A9D5-9A0F547ADF19}" type="VALUE">
                      <a:rPr lang="en-US" baseline="0"/>
                      <a:pPr/>
                      <a:t>[ЗНАЧЕНИЕ]</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layout/>
                  <c15:dlblFieldTable/>
                  <c15:xForSave val="1"/>
                  <c15:showDataLabelsRange val="1"/>
                </c:ext>
              </c:extLst>
            </c:dLbl>
            <c:dLbl>
              <c:idx val="3"/>
              <c:layout/>
              <c:tx>
                <c:rich>
                  <a:bodyPr/>
                  <a:lstStyle/>
                  <a:p>
                    <a:fld id="{54AD9602-37E1-45AE-A201-548B98768E1C}" type="CELLRANGE">
                      <a:rPr lang="en-US"/>
                      <a:pPr/>
                      <a:t>[ДИАПАЗОН ЯЧЕЕК]</a:t>
                    </a:fld>
                    <a:r>
                      <a:rPr lang="en-US" baseline="0"/>
                      <a:t>; </a:t>
                    </a:r>
                    <a:fld id="{629213AE-01E8-4265-977C-15301265C7B7}" type="VALUE">
                      <a:rPr lang="en-US" baseline="0"/>
                      <a:pPr/>
                      <a:t>[ЗНАЧЕНИЕ]</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layout/>
                  <c15:dlblFieldTable/>
                  <c15:xForSave val="1"/>
                  <c15:showDataLabelsRange val="1"/>
                </c:ext>
              </c:extLst>
            </c:dLbl>
            <c:dLbl>
              <c:idx val="4"/>
              <c:layout/>
              <c:tx>
                <c:rich>
                  <a:bodyPr/>
                  <a:lstStyle/>
                  <a:p>
                    <a:fld id="{5B79756E-FB34-4DCB-BAF0-788BFF93A64D}" type="CELLRANGE">
                      <a:rPr lang="en-US"/>
                      <a:pPr/>
                      <a:t>[ДИАПАЗОН ЯЧЕЕК]</a:t>
                    </a:fld>
                    <a:r>
                      <a:rPr lang="en-US" baseline="0"/>
                      <a:t>; </a:t>
                    </a:r>
                    <a:fld id="{5130770F-EF89-48B0-899F-56BAD22DFE89}" type="VALUE">
                      <a:rPr lang="en-US" baseline="0"/>
                      <a:pPr/>
                      <a:t>[ЗНАЧЕНИЕ]</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layout/>
                  <c15:dlblFieldTable/>
                  <c15:xForSave val="1"/>
                  <c15:showDataLabelsRange val="1"/>
                </c:ext>
              </c:extLst>
            </c:dLbl>
            <c:dLbl>
              <c:idx val="5"/>
              <c:layout/>
              <c:tx>
                <c:rich>
                  <a:bodyPr/>
                  <a:lstStyle/>
                  <a:p>
                    <a:fld id="{18B5400A-369A-4CFC-A500-95C45997D1AB}" type="CELLRANGE">
                      <a:rPr lang="en-US"/>
                      <a:pPr/>
                      <a:t>[ДИАПАЗОН ЯЧЕЕК]</a:t>
                    </a:fld>
                    <a:r>
                      <a:rPr lang="en-US" baseline="0"/>
                      <a:t>; </a:t>
                    </a:r>
                    <a:fld id="{9CD7C23E-3AFA-4BE1-B061-26787D85B996}" type="VALUE">
                      <a:rPr lang="en-US" baseline="0"/>
                      <a:pPr/>
                      <a:t>[ЗНАЧЕНИЕ]</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layout/>
                  <c15:dlblFieldTable/>
                  <c15:xForSave val="1"/>
                  <c15:showDataLabelsRange val="1"/>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inBase"/>
            <c:showLegendKey val="0"/>
            <c:showVal val="1"/>
            <c:showCatName val="0"/>
            <c:showSerName val="0"/>
            <c:showPercent val="0"/>
            <c:showBubbleSize val="0"/>
            <c:showLeaderLines val="0"/>
            <c:extLst>
              <c:ext xmlns:c15="http://schemas.microsoft.com/office/drawing/2012/chart" uri="{CE6537A1-D6FC-4f65-9D91-7224C49458BB}">
                <c15:layout/>
                <c15:showDataLabelsRange val="1"/>
                <c15:showLeaderLines val="1"/>
                <c15:leaderLines>
                  <c:spPr>
                    <a:ln w="9525">
                      <a:solidFill>
                        <a:schemeClr val="tx1">
                          <a:lumMod val="35000"/>
                          <a:lumOff val="65000"/>
                        </a:schemeClr>
                      </a:solidFill>
                    </a:ln>
                    <a:effectLst/>
                  </c:spPr>
                </c15:leaderLines>
              </c:ext>
            </c:extLst>
          </c:dLbls>
          <c:cat>
            <c:numRef>
              <c:f>Лист1!$A$2:$A$7</c:f>
              <c:numCache>
                <c:formatCode>General</c:formatCode>
                <c:ptCount val="6"/>
                <c:pt idx="0">
                  <c:v>2019</c:v>
                </c:pt>
                <c:pt idx="1">
                  <c:v>2018</c:v>
                </c:pt>
                <c:pt idx="2">
                  <c:v>2017</c:v>
                </c:pt>
                <c:pt idx="3">
                  <c:v>2016</c:v>
                </c:pt>
                <c:pt idx="4">
                  <c:v>2015</c:v>
                </c:pt>
                <c:pt idx="5">
                  <c:v>2014</c:v>
                </c:pt>
              </c:numCache>
            </c:numRef>
          </c:cat>
          <c:val>
            <c:numRef>
              <c:f>Лист1!$C$2:$C$7</c:f>
              <c:numCache>
                <c:formatCode>General</c:formatCode>
                <c:ptCount val="6"/>
                <c:pt idx="0">
                  <c:v>226.29999999999998</c:v>
                </c:pt>
                <c:pt idx="1">
                  <c:v>442.3</c:v>
                </c:pt>
                <c:pt idx="2">
                  <c:v>256.2</c:v>
                </c:pt>
                <c:pt idx="3">
                  <c:v>236.9</c:v>
                </c:pt>
                <c:pt idx="4">
                  <c:v>236</c:v>
                </c:pt>
                <c:pt idx="5">
                  <c:v>248.1</c:v>
                </c:pt>
              </c:numCache>
            </c:numRef>
          </c:val>
          <c:extLst>
            <c:ext xmlns:c15="http://schemas.microsoft.com/office/drawing/2012/chart" uri="{02D57815-91ED-43cb-92C2-25804820EDAC}">
              <c15:datalabelsRange>
                <c15:f>Лист1!$C$9:$C$14</c15:f>
                <c15:dlblRangeCache>
                  <c:ptCount val="6"/>
                  <c:pt idx="0">
                    <c:v>7,4%</c:v>
                  </c:pt>
                  <c:pt idx="1">
                    <c:v>8,3%</c:v>
                  </c:pt>
                  <c:pt idx="2">
                    <c:v>7,9%</c:v>
                  </c:pt>
                  <c:pt idx="3">
                    <c:v>7,4%</c:v>
                  </c:pt>
                  <c:pt idx="4">
                    <c:v>6,7%</c:v>
                  </c:pt>
                  <c:pt idx="5">
                    <c:v>8,8%</c:v>
                  </c:pt>
                </c15:dlblRangeCache>
              </c15:datalabelsRange>
            </c:ext>
          </c:extLst>
        </c:ser>
        <c:ser>
          <c:idx val="2"/>
          <c:order val="2"/>
          <c:tx>
            <c:strRef>
              <c:f>Лист1!$D$1</c:f>
              <c:strCache>
                <c:ptCount val="1"/>
                <c:pt idx="0">
                  <c:v>Безвозмездные поступления</c:v>
                </c:pt>
              </c:strCache>
            </c:strRef>
          </c:tx>
          <c:spPr>
            <a:solidFill>
              <a:schemeClr val="accent3">
                <a:alpha val="70000"/>
              </a:schemeClr>
            </a:solidFill>
            <a:ln>
              <a:noFill/>
            </a:ln>
            <a:effectLst/>
          </c:spPr>
          <c:invertIfNegative val="0"/>
          <c:dLbls>
            <c:dLbl>
              <c:idx val="0"/>
              <c:layout/>
              <c:tx>
                <c:rich>
                  <a:bodyPr/>
                  <a:lstStyle/>
                  <a:p>
                    <a:fld id="{4254E865-3ADC-40D0-8543-A3EC7E0BA9F3}" type="CELLRANGE">
                      <a:rPr lang="en-US"/>
                      <a:pPr/>
                      <a:t>[ДИАПАЗОН ЯЧЕЕК]</a:t>
                    </a:fld>
                    <a:r>
                      <a:rPr lang="en-US" baseline="0"/>
                      <a:t>; </a:t>
                    </a:r>
                    <a:fld id="{205E942E-C7EA-4780-A090-F20DED9FEDFF}" type="VALUE">
                      <a:rPr lang="en-US" baseline="0"/>
                      <a:pPr/>
                      <a:t>[ЗНАЧЕНИЕ]</a:t>
                    </a:fld>
                    <a:endParaRPr lang="en-US" baseline="0"/>
                  </a:p>
                </c:rich>
              </c:tx>
              <c:dLblPos val="inEnd"/>
              <c:showLegendKey val="0"/>
              <c:showVal val="1"/>
              <c:showCatName val="0"/>
              <c:showSerName val="0"/>
              <c:showPercent val="0"/>
              <c:showBubbleSize val="0"/>
              <c:extLst>
                <c:ext xmlns:c15="http://schemas.microsoft.com/office/drawing/2012/chart" uri="{CE6537A1-D6FC-4f65-9D91-7224C49458BB}">
                  <c15:layout/>
                  <c15:dlblFieldTable/>
                  <c15:xForSave val="1"/>
                  <c15:showDataLabelsRange val="1"/>
                </c:ext>
              </c:extLst>
            </c:dLbl>
            <c:dLbl>
              <c:idx val="1"/>
              <c:layout/>
              <c:tx>
                <c:rich>
                  <a:bodyPr/>
                  <a:lstStyle/>
                  <a:p>
                    <a:fld id="{1A906C3A-BE08-41E0-B594-1D4CC27EB3B1}" type="CELLRANGE">
                      <a:rPr lang="en-US"/>
                      <a:pPr/>
                      <a:t>[ДИАПАЗОН ЯЧЕЕК]</a:t>
                    </a:fld>
                    <a:r>
                      <a:rPr lang="en-US" baseline="0"/>
                      <a:t>; </a:t>
                    </a:r>
                    <a:fld id="{C96A4FC0-9C85-47DE-B84C-3E7B13468787}" type="VALUE">
                      <a:rPr lang="en-US" baseline="0"/>
                      <a:pPr/>
                      <a:t>[ЗНАЧЕНИЕ]</a:t>
                    </a:fld>
                    <a:endParaRPr lang="en-US" baseline="0"/>
                  </a:p>
                </c:rich>
              </c:tx>
              <c:dLblPos val="inEnd"/>
              <c:showLegendKey val="0"/>
              <c:showVal val="1"/>
              <c:showCatName val="0"/>
              <c:showSerName val="0"/>
              <c:showPercent val="0"/>
              <c:showBubbleSize val="0"/>
              <c:extLst>
                <c:ext xmlns:c15="http://schemas.microsoft.com/office/drawing/2012/chart" uri="{CE6537A1-D6FC-4f65-9D91-7224C49458BB}">
                  <c15:layout/>
                  <c15:dlblFieldTable/>
                  <c15:xForSave val="1"/>
                  <c15:showDataLabelsRange val="1"/>
                </c:ext>
              </c:extLst>
            </c:dLbl>
            <c:dLbl>
              <c:idx val="2"/>
              <c:layout/>
              <c:tx>
                <c:rich>
                  <a:bodyPr/>
                  <a:lstStyle/>
                  <a:p>
                    <a:fld id="{F7738CA0-3DCD-4A76-BB9B-373CAF08FC48}" type="CELLRANGE">
                      <a:rPr lang="en-US"/>
                      <a:pPr/>
                      <a:t>[ДИАПАЗОН ЯЧЕЕК]</a:t>
                    </a:fld>
                    <a:r>
                      <a:rPr lang="en-US" baseline="0"/>
                      <a:t>; </a:t>
                    </a:r>
                    <a:fld id="{D3D8542D-07D8-4828-8FEA-598EAB13C444}" type="VALUE">
                      <a:rPr lang="en-US" baseline="0"/>
                      <a:pPr/>
                      <a:t>[ЗНАЧЕНИЕ]</a:t>
                    </a:fld>
                    <a:endParaRPr lang="en-US" baseline="0"/>
                  </a:p>
                </c:rich>
              </c:tx>
              <c:dLblPos val="inEnd"/>
              <c:showLegendKey val="0"/>
              <c:showVal val="1"/>
              <c:showCatName val="0"/>
              <c:showSerName val="0"/>
              <c:showPercent val="0"/>
              <c:showBubbleSize val="0"/>
              <c:extLst>
                <c:ext xmlns:c15="http://schemas.microsoft.com/office/drawing/2012/chart" uri="{CE6537A1-D6FC-4f65-9D91-7224C49458BB}">
                  <c15:layout/>
                  <c15:dlblFieldTable/>
                  <c15:xForSave val="1"/>
                  <c15:showDataLabelsRange val="1"/>
                </c:ext>
              </c:extLst>
            </c:dLbl>
            <c:dLbl>
              <c:idx val="3"/>
              <c:layout/>
              <c:tx>
                <c:rich>
                  <a:bodyPr/>
                  <a:lstStyle/>
                  <a:p>
                    <a:fld id="{FCB98312-A8BE-441F-9248-B1D44DEAF22C}" type="CELLRANGE">
                      <a:rPr lang="en-US"/>
                      <a:pPr/>
                      <a:t>[ДИАПАЗОН ЯЧЕЕК]</a:t>
                    </a:fld>
                    <a:r>
                      <a:rPr lang="en-US" baseline="0"/>
                      <a:t>; </a:t>
                    </a:r>
                    <a:fld id="{76DC4113-431E-457A-8CF3-D3CC9E197762}" type="VALUE">
                      <a:rPr lang="en-US" baseline="0"/>
                      <a:pPr/>
                      <a:t>[ЗНАЧЕНИЕ]</a:t>
                    </a:fld>
                    <a:endParaRPr lang="en-US" baseline="0"/>
                  </a:p>
                </c:rich>
              </c:tx>
              <c:dLblPos val="inEnd"/>
              <c:showLegendKey val="0"/>
              <c:showVal val="1"/>
              <c:showCatName val="0"/>
              <c:showSerName val="0"/>
              <c:showPercent val="0"/>
              <c:showBubbleSize val="0"/>
              <c:extLst>
                <c:ext xmlns:c15="http://schemas.microsoft.com/office/drawing/2012/chart" uri="{CE6537A1-D6FC-4f65-9D91-7224C49458BB}">
                  <c15:layout/>
                  <c15:dlblFieldTable/>
                  <c15:xForSave val="1"/>
                  <c15:showDataLabelsRange val="1"/>
                </c:ext>
              </c:extLst>
            </c:dLbl>
            <c:dLbl>
              <c:idx val="4"/>
              <c:layout/>
              <c:tx>
                <c:rich>
                  <a:bodyPr/>
                  <a:lstStyle/>
                  <a:p>
                    <a:fld id="{6792FE54-E147-4BAD-BF83-A203E654B568}" type="CELLRANGE">
                      <a:rPr lang="en-US"/>
                      <a:pPr/>
                      <a:t>[ДИАПАЗОН ЯЧЕЕК]</a:t>
                    </a:fld>
                    <a:r>
                      <a:rPr lang="en-US" baseline="0"/>
                      <a:t>; </a:t>
                    </a:r>
                    <a:fld id="{F1C54EC3-2468-4B6C-AB21-723BA9305CBC}" type="VALUE">
                      <a:rPr lang="en-US" baseline="0"/>
                      <a:pPr/>
                      <a:t>[ЗНАЧЕНИЕ]</a:t>
                    </a:fld>
                    <a:endParaRPr lang="en-US" baseline="0"/>
                  </a:p>
                </c:rich>
              </c:tx>
              <c:dLblPos val="inEnd"/>
              <c:showLegendKey val="0"/>
              <c:showVal val="1"/>
              <c:showCatName val="0"/>
              <c:showSerName val="0"/>
              <c:showPercent val="0"/>
              <c:showBubbleSize val="0"/>
              <c:extLst>
                <c:ext xmlns:c15="http://schemas.microsoft.com/office/drawing/2012/chart" uri="{CE6537A1-D6FC-4f65-9D91-7224C49458BB}">
                  <c15:layout/>
                  <c15:dlblFieldTable/>
                  <c15:xForSave val="1"/>
                  <c15:showDataLabelsRange val="1"/>
                </c:ext>
              </c:extLst>
            </c:dLbl>
            <c:dLbl>
              <c:idx val="5"/>
              <c:layout/>
              <c:tx>
                <c:rich>
                  <a:bodyPr/>
                  <a:lstStyle/>
                  <a:p>
                    <a:fld id="{ECE1FCE0-5269-4435-94D1-0E9F4ACB5E45}" type="CELLRANGE">
                      <a:rPr lang="en-US"/>
                      <a:pPr/>
                      <a:t>[ДИАПАЗОН ЯЧЕЕК]</a:t>
                    </a:fld>
                    <a:r>
                      <a:rPr lang="en-US" baseline="0"/>
                      <a:t>; </a:t>
                    </a:r>
                    <a:fld id="{B15A944D-2A79-47E8-B3B3-2F8566729EF4}" type="VALUE">
                      <a:rPr lang="en-US" baseline="0"/>
                      <a:pPr/>
                      <a:t>[ЗНАЧЕНИЕ]</a:t>
                    </a:fld>
                    <a:endParaRPr lang="en-US" baseline="0"/>
                  </a:p>
                </c:rich>
              </c:tx>
              <c:dLblPos val="inEnd"/>
              <c:showLegendKey val="0"/>
              <c:showVal val="1"/>
              <c:showCatName val="0"/>
              <c:showSerName val="0"/>
              <c:showPercent val="0"/>
              <c:showBubbleSize val="0"/>
              <c:extLst>
                <c:ext xmlns:c15="http://schemas.microsoft.com/office/drawing/2012/chart" uri="{CE6537A1-D6FC-4f65-9D91-7224C49458BB}">
                  <c15:layout/>
                  <c15:dlblFieldTable/>
                  <c15:xForSave val="1"/>
                  <c15:showDataLabelsRange val="1"/>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layout/>
                <c15:showDataLabelsRange val="1"/>
                <c15:showLeaderLines val="1"/>
                <c15:leaderLines>
                  <c:spPr>
                    <a:ln w="9525">
                      <a:solidFill>
                        <a:schemeClr val="tx1">
                          <a:lumMod val="35000"/>
                          <a:lumOff val="65000"/>
                        </a:schemeClr>
                      </a:solidFill>
                    </a:ln>
                    <a:effectLst/>
                  </c:spPr>
                </c15:leaderLines>
              </c:ext>
            </c:extLst>
          </c:dLbls>
          <c:cat>
            <c:numRef>
              <c:f>Лист1!$A$2:$A$7</c:f>
              <c:numCache>
                <c:formatCode>General</c:formatCode>
                <c:ptCount val="6"/>
                <c:pt idx="0">
                  <c:v>2019</c:v>
                </c:pt>
                <c:pt idx="1">
                  <c:v>2018</c:v>
                </c:pt>
                <c:pt idx="2">
                  <c:v>2017</c:v>
                </c:pt>
                <c:pt idx="3">
                  <c:v>2016</c:v>
                </c:pt>
                <c:pt idx="4">
                  <c:v>2015</c:v>
                </c:pt>
                <c:pt idx="5">
                  <c:v>2014</c:v>
                </c:pt>
              </c:numCache>
            </c:numRef>
          </c:cat>
          <c:val>
            <c:numRef>
              <c:f>Лист1!$D$2:$D$7</c:f>
              <c:numCache>
                <c:formatCode>General</c:formatCode>
                <c:ptCount val="6"/>
                <c:pt idx="0">
                  <c:v>1873.1</c:v>
                </c:pt>
                <c:pt idx="1">
                  <c:v>4057.1</c:v>
                </c:pt>
                <c:pt idx="2">
                  <c:v>2179.1</c:v>
                </c:pt>
                <c:pt idx="3">
                  <c:v>2276.4</c:v>
                </c:pt>
                <c:pt idx="4">
                  <c:v>2463.1</c:v>
                </c:pt>
                <c:pt idx="5">
                  <c:v>1671.2</c:v>
                </c:pt>
              </c:numCache>
            </c:numRef>
          </c:val>
          <c:extLst>
            <c:ext xmlns:c15="http://schemas.microsoft.com/office/drawing/2012/chart" uri="{02D57815-91ED-43cb-92C2-25804820EDAC}">
              <c15:datalabelsRange>
                <c15:f>Лист1!$D$9:$D$14</c15:f>
                <c15:dlblRangeCache>
                  <c:ptCount val="6"/>
                  <c:pt idx="0">
                    <c:v>61,2%</c:v>
                  </c:pt>
                  <c:pt idx="1">
                    <c:v>75,9%</c:v>
                  </c:pt>
                  <c:pt idx="2">
                    <c:v>67,1%</c:v>
                  </c:pt>
                  <c:pt idx="3">
                    <c:v>71,4%</c:v>
                  </c:pt>
                  <c:pt idx="4">
                    <c:v>69,7%</c:v>
                  </c:pt>
                  <c:pt idx="5">
                    <c:v>59,5%</c:v>
                  </c:pt>
                </c15:dlblRangeCache>
              </c15:datalabelsRange>
            </c:ext>
          </c:extLst>
        </c:ser>
        <c:dLbls>
          <c:dLblPos val="ctr"/>
          <c:showLegendKey val="0"/>
          <c:showVal val="1"/>
          <c:showCatName val="0"/>
          <c:showSerName val="0"/>
          <c:showPercent val="0"/>
          <c:showBubbleSize val="0"/>
        </c:dLbls>
        <c:gapWidth val="50"/>
        <c:overlap val="100"/>
        <c:serLines>
          <c:spPr>
            <a:ln w="9525">
              <a:solidFill>
                <a:schemeClr val="tx1">
                  <a:lumMod val="35000"/>
                  <a:lumOff val="65000"/>
                </a:schemeClr>
              </a:solidFill>
              <a:round/>
            </a:ln>
            <a:effectLst/>
          </c:spPr>
        </c:serLines>
        <c:axId val="412653296"/>
        <c:axId val="412655536"/>
      </c:barChart>
      <c:catAx>
        <c:axId val="412653296"/>
        <c:scaling>
          <c:orientation val="minMax"/>
        </c:scaling>
        <c:delete val="0"/>
        <c:axPos val="l"/>
        <c:numFmt formatCode="General" sourceLinked="1"/>
        <c:majorTickMark val="none"/>
        <c:minorTickMark val="none"/>
        <c:tickLblPos val="nextTo"/>
        <c:spPr>
          <a:noFill/>
          <a:ln w="9525" cap="flat" cmpd="sng" algn="ctr">
            <a:solidFill>
              <a:schemeClr val="tx1">
                <a:lumMod val="25000"/>
                <a:lumOff val="75000"/>
              </a:schemeClr>
            </a:solidFill>
            <a:round/>
            <a:headEnd type="none" w="sm" len="sm"/>
            <a:tailEnd type="none" w="sm" len="sm"/>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12655536"/>
        <c:crosses val="autoZero"/>
        <c:auto val="1"/>
        <c:lblAlgn val="ctr"/>
        <c:lblOffset val="100"/>
        <c:noMultiLvlLbl val="0"/>
      </c:catAx>
      <c:valAx>
        <c:axId val="412655536"/>
        <c:scaling>
          <c:orientation val="minMax"/>
          <c:max val="5500"/>
          <c:min val="0"/>
        </c:scaling>
        <c:delete val="0"/>
        <c:axPos val="b"/>
        <c:numFmt formatCode="#,##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1265329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noFill/>
      <a:round/>
    </a:ln>
    <a:effectLst/>
  </c:spPr>
  <c:txPr>
    <a:bodyPr/>
    <a:lstStyle/>
    <a:p>
      <a:pPr>
        <a:defRPr/>
      </a:pPr>
      <a:endParaRPr lang="ru-R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400" b="0" i="0" u="none" strike="noStrike" baseline="0">
                <a:effectLst/>
              </a:rPr>
              <a:t>Структура расходов бюджета города Пыть-Яха за 2014-2019 годы, (млн. рублей)</a:t>
            </a:r>
            <a:endParaRPr lang="ru-RU"/>
          </a:p>
        </c:rich>
      </c:tx>
      <c:layout>
        <c:manualLayout>
          <c:xMode val="edge"/>
          <c:yMode val="edge"/>
          <c:x val="0.11704284182283256"/>
          <c:y val="0"/>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manualLayout>
          <c:layoutTarget val="inner"/>
          <c:xMode val="edge"/>
          <c:yMode val="edge"/>
          <c:x val="7.0141248242220913E-2"/>
          <c:y val="0.12614079728583547"/>
          <c:w val="0.8978078773539635"/>
          <c:h val="0.66538251420862471"/>
        </c:manualLayout>
      </c:layout>
      <c:barChart>
        <c:barDir val="bar"/>
        <c:grouping val="stacked"/>
        <c:varyColors val="0"/>
        <c:ser>
          <c:idx val="0"/>
          <c:order val="0"/>
          <c:tx>
            <c:strRef>
              <c:f>Лист1!$A$2</c:f>
              <c:strCache>
                <c:ptCount val="1"/>
                <c:pt idx="0">
                  <c:v>Социальная сфера</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Лист1!$B$1:$G$1</c:f>
              <c:strCache>
                <c:ptCount val="6"/>
                <c:pt idx="0">
                  <c:v>2014</c:v>
                </c:pt>
                <c:pt idx="1">
                  <c:v>2015</c:v>
                </c:pt>
                <c:pt idx="2">
                  <c:v>2016</c:v>
                </c:pt>
                <c:pt idx="3">
                  <c:v>2017</c:v>
                </c:pt>
                <c:pt idx="4">
                  <c:v>2018</c:v>
                </c:pt>
                <c:pt idx="5">
                  <c:v>2019</c:v>
                </c:pt>
              </c:strCache>
            </c:strRef>
          </c:cat>
          <c:val>
            <c:numRef>
              <c:f>Лист1!$B$2:$G$2</c:f>
              <c:numCache>
                <c:formatCode>General</c:formatCode>
                <c:ptCount val="6"/>
                <c:pt idx="0">
                  <c:v>1686.7</c:v>
                </c:pt>
                <c:pt idx="1">
                  <c:v>1852</c:v>
                </c:pt>
                <c:pt idx="2">
                  <c:v>1949.3</c:v>
                </c:pt>
                <c:pt idx="3">
                  <c:v>1662.8</c:v>
                </c:pt>
                <c:pt idx="4">
                  <c:v>1952.1</c:v>
                </c:pt>
                <c:pt idx="5">
                  <c:v>2067.6999999999998</c:v>
                </c:pt>
              </c:numCache>
            </c:numRef>
          </c:val>
        </c:ser>
        <c:ser>
          <c:idx val="1"/>
          <c:order val="1"/>
          <c:tx>
            <c:strRef>
              <c:f>Лист1!$A$3</c:f>
              <c:strCache>
                <c:ptCount val="1"/>
                <c:pt idx="0">
                  <c:v>Развитие отраслей экономики</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Лист1!$B$1:$G$1</c:f>
              <c:strCache>
                <c:ptCount val="6"/>
                <c:pt idx="0">
                  <c:v>2014</c:v>
                </c:pt>
                <c:pt idx="1">
                  <c:v>2015</c:v>
                </c:pt>
                <c:pt idx="2">
                  <c:v>2016</c:v>
                </c:pt>
                <c:pt idx="3">
                  <c:v>2017</c:v>
                </c:pt>
                <c:pt idx="4">
                  <c:v>2018</c:v>
                </c:pt>
                <c:pt idx="5">
                  <c:v>2019</c:v>
                </c:pt>
              </c:strCache>
            </c:strRef>
          </c:cat>
          <c:val>
            <c:numRef>
              <c:f>Лист1!$B$3:$G$3</c:f>
              <c:numCache>
                <c:formatCode>General</c:formatCode>
                <c:ptCount val="6"/>
                <c:pt idx="0">
                  <c:v>282.2</c:v>
                </c:pt>
                <c:pt idx="1">
                  <c:v>286.8</c:v>
                </c:pt>
                <c:pt idx="2">
                  <c:v>302.3</c:v>
                </c:pt>
                <c:pt idx="3">
                  <c:v>288.7</c:v>
                </c:pt>
                <c:pt idx="4">
                  <c:v>216.5</c:v>
                </c:pt>
                <c:pt idx="5">
                  <c:v>261.5</c:v>
                </c:pt>
              </c:numCache>
            </c:numRef>
          </c:val>
        </c:ser>
        <c:ser>
          <c:idx val="2"/>
          <c:order val="2"/>
          <c:tx>
            <c:strRef>
              <c:f>Лист1!$A$4</c:f>
              <c:strCache>
                <c:ptCount val="1"/>
                <c:pt idx="0">
                  <c:v>Жилищно-коммунальное хозяйство</c:v>
                </c:pt>
              </c:strCache>
            </c:strRef>
          </c:tx>
          <c:spPr>
            <a:solidFill>
              <a:schemeClr val="accent3"/>
            </a:solidFill>
            <a:ln>
              <a:noFill/>
            </a:ln>
            <a:effectLst/>
          </c:spPr>
          <c:invertIfNegative val="0"/>
          <c:dLbls>
            <c:dLbl>
              <c:idx val="1"/>
              <c:layout>
                <c:manualLayout>
                  <c:x val="-5.040955451038419E-3"/>
                  <c:y val="-9.6517600371723872E-3"/>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
                  <c:y val="-7.4244307978250587E-4"/>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Лист1!$B$1:$G$1</c:f>
              <c:strCache>
                <c:ptCount val="6"/>
                <c:pt idx="0">
                  <c:v>2014</c:v>
                </c:pt>
                <c:pt idx="1">
                  <c:v>2015</c:v>
                </c:pt>
                <c:pt idx="2">
                  <c:v>2016</c:v>
                </c:pt>
                <c:pt idx="3">
                  <c:v>2017</c:v>
                </c:pt>
                <c:pt idx="4">
                  <c:v>2018</c:v>
                </c:pt>
                <c:pt idx="5">
                  <c:v>2019</c:v>
                </c:pt>
              </c:strCache>
            </c:strRef>
          </c:cat>
          <c:val>
            <c:numRef>
              <c:f>Лист1!$B$4:$G$4</c:f>
              <c:numCache>
                <c:formatCode>General</c:formatCode>
                <c:ptCount val="6"/>
                <c:pt idx="0">
                  <c:v>987.3</c:v>
                </c:pt>
                <c:pt idx="1">
                  <c:v>1120.8</c:v>
                </c:pt>
                <c:pt idx="2">
                  <c:v>536.1</c:v>
                </c:pt>
                <c:pt idx="3">
                  <c:v>627.30000000000007</c:v>
                </c:pt>
                <c:pt idx="4">
                  <c:v>1263.4000000000001</c:v>
                </c:pt>
                <c:pt idx="5">
                  <c:v>249.5</c:v>
                </c:pt>
              </c:numCache>
            </c:numRef>
          </c:val>
        </c:ser>
        <c:ser>
          <c:idx val="3"/>
          <c:order val="3"/>
          <c:tx>
            <c:strRef>
              <c:f>Лист1!$A$5</c:f>
              <c:strCache>
                <c:ptCount val="1"/>
                <c:pt idx="0">
                  <c:v>Остальные расходы</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Лист1!$B$1:$G$1</c:f>
              <c:strCache>
                <c:ptCount val="6"/>
                <c:pt idx="0">
                  <c:v>2014</c:v>
                </c:pt>
                <c:pt idx="1">
                  <c:v>2015</c:v>
                </c:pt>
                <c:pt idx="2">
                  <c:v>2016</c:v>
                </c:pt>
                <c:pt idx="3">
                  <c:v>2017</c:v>
                </c:pt>
                <c:pt idx="4">
                  <c:v>2018</c:v>
                </c:pt>
                <c:pt idx="5">
                  <c:v>2019</c:v>
                </c:pt>
              </c:strCache>
            </c:strRef>
          </c:cat>
          <c:val>
            <c:numRef>
              <c:f>Лист1!$B$5:$G$5</c:f>
              <c:numCache>
                <c:formatCode>General</c:formatCode>
                <c:ptCount val="6"/>
                <c:pt idx="0">
                  <c:v>378.1</c:v>
                </c:pt>
                <c:pt idx="1">
                  <c:v>378.2</c:v>
                </c:pt>
                <c:pt idx="2">
                  <c:v>421.4</c:v>
                </c:pt>
                <c:pt idx="3">
                  <c:v>499.3</c:v>
                </c:pt>
                <c:pt idx="4">
                  <c:v>531.6</c:v>
                </c:pt>
                <c:pt idx="5">
                  <c:v>533.5</c:v>
                </c:pt>
              </c:numCache>
            </c:numRef>
          </c:val>
        </c:ser>
        <c:dLbls>
          <c:dLblPos val="ctr"/>
          <c:showLegendKey val="0"/>
          <c:showVal val="1"/>
          <c:showCatName val="0"/>
          <c:showSerName val="0"/>
          <c:showPercent val="0"/>
          <c:showBubbleSize val="0"/>
        </c:dLbls>
        <c:gapWidth val="100"/>
        <c:overlap val="100"/>
        <c:serLines>
          <c:spPr>
            <a:ln w="9525" cap="flat" cmpd="sng" algn="ctr">
              <a:solidFill>
                <a:schemeClr val="tx1">
                  <a:lumMod val="35000"/>
                  <a:lumOff val="65000"/>
                </a:schemeClr>
              </a:solidFill>
              <a:round/>
            </a:ln>
            <a:effectLst/>
          </c:spPr>
        </c:serLines>
        <c:axId val="412640976"/>
        <c:axId val="412647136"/>
      </c:barChart>
      <c:catAx>
        <c:axId val="412640976"/>
        <c:scaling>
          <c:orientation val="minMax"/>
        </c:scaling>
        <c:delete val="0"/>
        <c:axPos val="l"/>
        <c:numFmt formatCode="General" sourceLinked="1"/>
        <c:majorTickMark val="out"/>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ru-RU"/>
          </a:p>
        </c:txPr>
        <c:crossAx val="412647136"/>
        <c:crosses val="autoZero"/>
        <c:auto val="1"/>
        <c:lblAlgn val="ctr"/>
        <c:lblOffset val="100"/>
        <c:noMultiLvlLbl val="0"/>
      </c:catAx>
      <c:valAx>
        <c:axId val="412647136"/>
        <c:scaling>
          <c:orientation val="minMax"/>
        </c:scaling>
        <c:delete val="0"/>
        <c:axPos val="b"/>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1264097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noFill/>
      <a:round/>
    </a:ln>
    <a:effectLst/>
  </c:spPr>
  <c:txPr>
    <a:bodyPr/>
    <a:lstStyle/>
    <a:p>
      <a:pPr>
        <a:defRPr/>
      </a:pPr>
      <a:endParaRPr lang="ru-RU"/>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025217006471853"/>
          <c:y val="0.12087679285807815"/>
          <c:w val="0.85128197038809217"/>
          <c:h val="0.49320575963861091"/>
        </c:manualLayout>
      </c:layout>
      <c:barChart>
        <c:barDir val="col"/>
        <c:grouping val="clustered"/>
        <c:varyColors val="0"/>
        <c:ser>
          <c:idx val="0"/>
          <c:order val="0"/>
          <c:tx>
            <c:strRef>
              <c:f>Лист1!$B$1</c:f>
              <c:strCache>
                <c:ptCount val="1"/>
                <c:pt idx="0">
                  <c:v>Расходы всего, млн. руб.</c:v>
                </c:pt>
              </c:strCache>
            </c:strRef>
          </c:tx>
          <c:spPr>
            <a:solidFill>
              <a:schemeClr val="accent1"/>
            </a:solidFill>
            <a:ln>
              <a:noFill/>
            </a:ln>
            <a:effectLst/>
          </c:spPr>
          <c:invertIfNegative val="0"/>
          <c:dLbls>
            <c:dLbl>
              <c:idx val="0"/>
              <c:layout>
                <c:manualLayout>
                  <c:x val="-1.9169329073482427E-2"/>
                  <c:y val="0.32292033002601134"/>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1.4909478168264111E-2"/>
                  <c:y val="0.30502501088709211"/>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1.9169329073482507E-2"/>
                  <c:y val="0.28067464661087765"/>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1.9169329073482427E-2"/>
                  <c:y val="0.2856900062380095"/>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1.4909478168264189E-2"/>
                  <c:y val="0.32520414768781702"/>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1.9169329073482427E-2"/>
                  <c:y val="0.24720031072349136"/>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1">
                        <a:lumMod val="75000"/>
                        <a:lumOff val="25000"/>
                      </a:schemeClr>
                    </a:solidFill>
                    <a:latin typeface="+mn-lt"/>
                    <a:ea typeface="+mn-ea"/>
                    <a:cs typeface="+mn-cs"/>
                  </a:defRPr>
                </a:pPr>
                <a:endParaRPr lang="ru-RU"/>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Лист1!$A$2:$A$7</c:f>
              <c:numCache>
                <c:formatCode>General</c:formatCode>
                <c:ptCount val="6"/>
                <c:pt idx="0">
                  <c:v>2014</c:v>
                </c:pt>
                <c:pt idx="1">
                  <c:v>2015</c:v>
                </c:pt>
                <c:pt idx="2">
                  <c:v>2016</c:v>
                </c:pt>
                <c:pt idx="3">
                  <c:v>2017</c:v>
                </c:pt>
                <c:pt idx="4">
                  <c:v>2018</c:v>
                </c:pt>
                <c:pt idx="5">
                  <c:v>2019</c:v>
                </c:pt>
              </c:numCache>
            </c:numRef>
          </c:cat>
          <c:val>
            <c:numRef>
              <c:f>Лист1!$B$2:$B$7</c:f>
              <c:numCache>
                <c:formatCode>General</c:formatCode>
                <c:ptCount val="6"/>
                <c:pt idx="0">
                  <c:v>3334.3</c:v>
                </c:pt>
                <c:pt idx="1">
                  <c:v>3637.8</c:v>
                </c:pt>
                <c:pt idx="2">
                  <c:v>3209.1</c:v>
                </c:pt>
                <c:pt idx="3">
                  <c:v>3078.1</c:v>
                </c:pt>
                <c:pt idx="4">
                  <c:v>3963.6</c:v>
                </c:pt>
                <c:pt idx="5">
                  <c:v>3112.2</c:v>
                </c:pt>
              </c:numCache>
            </c:numRef>
          </c:val>
        </c:ser>
        <c:ser>
          <c:idx val="1"/>
          <c:order val="1"/>
          <c:tx>
            <c:strRef>
              <c:f>Лист1!$C$1</c:f>
              <c:strCache>
                <c:ptCount val="1"/>
                <c:pt idx="0">
                  <c:v>в том числе расходы на социальную сферу, млн. руб.</c:v>
                </c:pt>
              </c:strCache>
            </c:strRef>
          </c:tx>
          <c:spPr>
            <a:solidFill>
              <a:schemeClr val="accent2"/>
            </a:solidFill>
            <a:ln>
              <a:noFill/>
            </a:ln>
            <a:effectLst/>
          </c:spPr>
          <c:invertIfNegative val="0"/>
          <c:dLbls>
            <c:dLbl>
              <c:idx val="0"/>
              <c:layout>
                <c:manualLayout>
                  <c:x val="1.0649627263045794E-2"/>
                  <c:y val="0.16647670162305944"/>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1.2779552715654873E-2"/>
                  <c:y val="0.19464143215281945"/>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1.2779552715654952E-2"/>
                  <c:y val="0.19826041924131682"/>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1.2779552715654952E-2"/>
                  <c:y val="0.18195779339241788"/>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1.2779552715654952E-2"/>
                  <c:y val="0.19853630403822842"/>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1.2779552715654952E-2"/>
                  <c:y val="0.20993938537951815"/>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1">
                        <a:lumMod val="75000"/>
                        <a:lumOff val="25000"/>
                      </a:schemeClr>
                    </a:solidFill>
                    <a:latin typeface="+mn-lt"/>
                    <a:ea typeface="+mn-ea"/>
                    <a:cs typeface="+mn-cs"/>
                  </a:defRPr>
                </a:pPr>
                <a:endParaRPr lang="ru-RU"/>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Лист1!$A$2:$A$7</c:f>
              <c:numCache>
                <c:formatCode>General</c:formatCode>
                <c:ptCount val="6"/>
                <c:pt idx="0">
                  <c:v>2014</c:v>
                </c:pt>
                <c:pt idx="1">
                  <c:v>2015</c:v>
                </c:pt>
                <c:pt idx="2">
                  <c:v>2016</c:v>
                </c:pt>
                <c:pt idx="3">
                  <c:v>2017</c:v>
                </c:pt>
                <c:pt idx="4">
                  <c:v>2018</c:v>
                </c:pt>
                <c:pt idx="5">
                  <c:v>2019</c:v>
                </c:pt>
              </c:numCache>
            </c:numRef>
          </c:cat>
          <c:val>
            <c:numRef>
              <c:f>Лист1!$C$2:$C$7</c:f>
              <c:numCache>
                <c:formatCode>General</c:formatCode>
                <c:ptCount val="6"/>
                <c:pt idx="0">
                  <c:v>1687.7</c:v>
                </c:pt>
                <c:pt idx="1">
                  <c:v>1852</c:v>
                </c:pt>
                <c:pt idx="2">
                  <c:v>1949.3</c:v>
                </c:pt>
                <c:pt idx="3">
                  <c:v>1662.8</c:v>
                </c:pt>
                <c:pt idx="4">
                  <c:v>1952.1</c:v>
                </c:pt>
                <c:pt idx="5">
                  <c:v>2067.6999999999998</c:v>
                </c:pt>
              </c:numCache>
            </c:numRef>
          </c:val>
        </c:ser>
        <c:dLbls>
          <c:dLblPos val="ctr"/>
          <c:showLegendKey val="0"/>
          <c:showVal val="1"/>
          <c:showCatName val="0"/>
          <c:showSerName val="0"/>
          <c:showPercent val="0"/>
          <c:showBubbleSize val="0"/>
        </c:dLbls>
        <c:gapWidth val="219"/>
        <c:axId val="475819936"/>
        <c:axId val="475820496"/>
      </c:barChart>
      <c:lineChart>
        <c:grouping val="standard"/>
        <c:varyColors val="0"/>
        <c:ser>
          <c:idx val="2"/>
          <c:order val="2"/>
          <c:tx>
            <c:strRef>
              <c:f>Лист1!$D$1</c:f>
              <c:strCache>
                <c:ptCount val="1"/>
                <c:pt idx="0">
                  <c:v>Удельный вес расходов на социальную сферу в общем объме расходов, %</c:v>
                </c:pt>
              </c:strCache>
            </c:strRef>
          </c:tx>
          <c:spPr>
            <a:ln w="28575" cap="rnd">
              <a:solidFill>
                <a:schemeClr val="accent3"/>
              </a:solidFill>
              <a:round/>
            </a:ln>
            <a:effectLst/>
          </c:spPr>
          <c:marker>
            <c:symbol val="square"/>
            <c:size val="7"/>
            <c:spPr>
              <a:solidFill>
                <a:schemeClr val="accent3"/>
              </a:solidFill>
              <a:ln w="9525">
                <a:solidFill>
                  <a:schemeClr val="accent3"/>
                </a:solidFill>
              </a:ln>
              <a:effectLst/>
            </c:spPr>
          </c:marker>
          <c:dLbls>
            <c:numFmt formatCode="#,##0.0" sourceLinked="0"/>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1">
                        <a:lumMod val="75000"/>
                        <a:lumOff val="25000"/>
                      </a:schemeClr>
                    </a:solidFill>
                    <a:latin typeface="+mn-lt"/>
                    <a:ea typeface="+mn-ea"/>
                    <a:cs typeface="+mn-cs"/>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Лист1!$A$2:$A$7</c:f>
              <c:numCache>
                <c:formatCode>General</c:formatCode>
                <c:ptCount val="6"/>
                <c:pt idx="0">
                  <c:v>2014</c:v>
                </c:pt>
                <c:pt idx="1">
                  <c:v>2015</c:v>
                </c:pt>
                <c:pt idx="2">
                  <c:v>2016</c:v>
                </c:pt>
                <c:pt idx="3">
                  <c:v>2017</c:v>
                </c:pt>
                <c:pt idx="4">
                  <c:v>2018</c:v>
                </c:pt>
                <c:pt idx="5">
                  <c:v>2019</c:v>
                </c:pt>
              </c:numCache>
            </c:numRef>
          </c:cat>
          <c:val>
            <c:numRef>
              <c:f>Лист1!$D$2:$D$7</c:f>
              <c:numCache>
                <c:formatCode>General</c:formatCode>
                <c:ptCount val="6"/>
                <c:pt idx="0">
                  <c:v>50.616</c:v>
                </c:pt>
                <c:pt idx="1">
                  <c:v>50.91</c:v>
                </c:pt>
                <c:pt idx="2">
                  <c:v>60.743000000000002</c:v>
                </c:pt>
                <c:pt idx="3">
                  <c:v>54.02</c:v>
                </c:pt>
                <c:pt idx="4">
                  <c:v>49.250999999999998</c:v>
                </c:pt>
                <c:pt idx="5">
                  <c:v>66.438999999999993</c:v>
                </c:pt>
              </c:numCache>
            </c:numRef>
          </c:val>
          <c:smooth val="0"/>
        </c:ser>
        <c:ser>
          <c:idx val="3"/>
          <c:order val="3"/>
          <c:tx>
            <c:strRef>
              <c:f>Лист1!$E$1</c:f>
              <c:strCache>
                <c:ptCount val="1"/>
                <c:pt idx="0">
                  <c:v>Расходы бюджета на соц. сферу в расчете на 1 жителя, тыс. руб.</c:v>
                </c:pt>
              </c:strCache>
            </c:strRef>
          </c:tx>
          <c:spPr>
            <a:ln w="28575" cap="rnd">
              <a:solidFill>
                <a:schemeClr val="accent4"/>
              </a:solidFill>
              <a:round/>
            </a:ln>
            <a:effectLst/>
          </c:spPr>
          <c:marker>
            <c:symbol val="triangle"/>
            <c:size val="10"/>
            <c:spPr>
              <a:solidFill>
                <a:schemeClr val="accent4"/>
              </a:solidFill>
              <a:ln w="9525">
                <a:solidFill>
                  <a:schemeClr val="accent4"/>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1">
                        <a:lumMod val="75000"/>
                        <a:lumOff val="25000"/>
                      </a:schemeClr>
                    </a:solidFill>
                    <a:latin typeface="+mn-lt"/>
                    <a:ea typeface="+mn-ea"/>
                    <a:cs typeface="+mn-cs"/>
                  </a:defRPr>
                </a:pPr>
                <a:endParaRPr lang="ru-RU"/>
              </a:p>
            </c:txPr>
            <c:dLblPos val="b"/>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Лист1!$A$2:$A$7</c:f>
              <c:numCache>
                <c:formatCode>General</c:formatCode>
                <c:ptCount val="6"/>
                <c:pt idx="0">
                  <c:v>2014</c:v>
                </c:pt>
                <c:pt idx="1">
                  <c:v>2015</c:v>
                </c:pt>
                <c:pt idx="2">
                  <c:v>2016</c:v>
                </c:pt>
                <c:pt idx="3">
                  <c:v>2017</c:v>
                </c:pt>
                <c:pt idx="4">
                  <c:v>2018</c:v>
                </c:pt>
                <c:pt idx="5">
                  <c:v>2019</c:v>
                </c:pt>
              </c:numCache>
            </c:numRef>
          </c:cat>
          <c:val>
            <c:numRef>
              <c:f>Лист1!$E$2:$E$7</c:f>
              <c:numCache>
                <c:formatCode>0.0</c:formatCode>
                <c:ptCount val="6"/>
                <c:pt idx="0">
                  <c:v>41.163414634146342</c:v>
                </c:pt>
                <c:pt idx="1">
                  <c:v>45.270105108775361</c:v>
                </c:pt>
                <c:pt idx="2">
                  <c:v>47.718482252141982</c:v>
                </c:pt>
                <c:pt idx="3">
                  <c:v>40.804907975460118</c:v>
                </c:pt>
                <c:pt idx="4">
                  <c:v>48.826913456728363</c:v>
                </c:pt>
                <c:pt idx="5">
                  <c:v>51.0417180942977</c:v>
                </c:pt>
              </c:numCache>
            </c:numRef>
          </c:val>
          <c:smooth val="0"/>
        </c:ser>
        <c:dLbls>
          <c:showLegendKey val="0"/>
          <c:showVal val="0"/>
          <c:showCatName val="0"/>
          <c:showSerName val="0"/>
          <c:showPercent val="0"/>
          <c:showBubbleSize val="0"/>
        </c:dLbls>
        <c:marker val="1"/>
        <c:smooth val="0"/>
        <c:axId val="475826656"/>
        <c:axId val="475822736"/>
      </c:lineChart>
      <c:catAx>
        <c:axId val="475819936"/>
        <c:scaling>
          <c:orientation val="minMax"/>
        </c:scaling>
        <c:delete val="0"/>
        <c:axPos val="b"/>
        <c:numFmt formatCode="General" sourceLinked="1"/>
        <c:majorTickMark val="out"/>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800" b="0" i="0" u="none" strike="noStrike" kern="1200" baseline="0">
                <a:solidFill>
                  <a:schemeClr val="tx1"/>
                </a:solidFill>
                <a:latin typeface="+mn-lt"/>
                <a:ea typeface="+mn-ea"/>
                <a:cs typeface="+mn-cs"/>
              </a:defRPr>
            </a:pPr>
            <a:endParaRPr lang="ru-RU"/>
          </a:p>
        </c:txPr>
        <c:crossAx val="475820496"/>
        <c:crosses val="autoZero"/>
        <c:auto val="1"/>
        <c:lblAlgn val="ctr"/>
        <c:lblOffset val="100"/>
        <c:noMultiLvlLbl val="0"/>
      </c:catAx>
      <c:valAx>
        <c:axId val="4758204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ru-RU"/>
          </a:p>
        </c:txPr>
        <c:crossAx val="475819936"/>
        <c:crosses val="autoZero"/>
        <c:crossBetween val="between"/>
      </c:valAx>
      <c:valAx>
        <c:axId val="475822736"/>
        <c:scaling>
          <c:orientation val="minMax"/>
          <c:max val="70"/>
          <c:min val="15"/>
        </c:scaling>
        <c:delete val="0"/>
        <c:axPos val="r"/>
        <c:numFmt formatCode="General" sourceLinked="1"/>
        <c:majorTickMark val="out"/>
        <c:minorTickMark val="none"/>
        <c:tickLblPos val="nextTo"/>
        <c:spPr>
          <a:noFill/>
          <a:ln>
            <a:noFill/>
          </a:ln>
          <a:effectLst/>
        </c:spPr>
        <c:txPr>
          <a:bodyPr rot="0" spcFirstLastPara="1" vertOverflow="ellipsis" wrap="square" anchor="ctr" anchorCtr="1"/>
          <a:lstStyle/>
          <a:p>
            <a:pPr>
              <a:defRPr sz="800" b="0" i="0" u="none" strike="noStrike" kern="1200" baseline="0">
                <a:solidFill>
                  <a:schemeClr val="bg1"/>
                </a:solidFill>
                <a:latin typeface="+mn-lt"/>
                <a:ea typeface="+mn-ea"/>
                <a:cs typeface="+mn-cs"/>
              </a:defRPr>
            </a:pPr>
            <a:endParaRPr lang="ru-RU"/>
          </a:p>
        </c:txPr>
        <c:crossAx val="475826656"/>
        <c:crosses val="max"/>
        <c:crossBetween val="between"/>
      </c:valAx>
      <c:catAx>
        <c:axId val="475826656"/>
        <c:scaling>
          <c:orientation val="minMax"/>
        </c:scaling>
        <c:delete val="1"/>
        <c:axPos val="b"/>
        <c:numFmt formatCode="General" sourceLinked="1"/>
        <c:majorTickMark val="out"/>
        <c:minorTickMark val="none"/>
        <c:tickLblPos val="nextTo"/>
        <c:crossAx val="475822736"/>
        <c:crosses val="autoZero"/>
        <c:auto val="1"/>
        <c:lblAlgn val="ctr"/>
        <c:lblOffset val="100"/>
        <c:noMultiLvlLbl val="0"/>
      </c:catAx>
      <c:spPr>
        <a:noFill/>
        <a:ln>
          <a:noFill/>
        </a:ln>
        <a:effectLst/>
      </c:spPr>
    </c:plotArea>
    <c:legend>
      <c:legendPos val="b"/>
      <c:layout>
        <c:manualLayout>
          <c:xMode val="edge"/>
          <c:yMode val="edge"/>
          <c:x val="0"/>
          <c:y val="0.68642694793456105"/>
          <c:w val="0.99815247634947135"/>
          <c:h val="0.27386096469884674"/>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noFill/>
      <a:round/>
    </a:ln>
    <a:effectLst/>
  </c:spPr>
  <c:txPr>
    <a:bodyPr/>
    <a:lstStyle/>
    <a:p>
      <a:pPr>
        <a:defRPr sz="800"/>
      </a:pPr>
      <a:endParaRPr lang="ru-RU"/>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400" b="0" i="0" u="none" strike="noStrike" baseline="0"/>
              <a:t>Структура программных направлений расходов бюджета города Пыть-Яха в 2014-2019 годах</a:t>
            </a:r>
            <a:endParaRPr lang="ru-RU"/>
          </a:p>
        </c:rich>
      </c:tx>
      <c:layout>
        <c:manualLayout>
          <c:xMode val="edge"/>
          <c:yMode val="edge"/>
          <c:x val="0.14951145599553681"/>
          <c:y val="3.968253968253968E-3"/>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manualLayout>
          <c:layoutTarget val="inner"/>
          <c:xMode val="edge"/>
          <c:yMode val="edge"/>
          <c:x val="0.11939712849903424"/>
          <c:y val="0.16808362369337976"/>
          <c:w val="0.85698505078169573"/>
          <c:h val="0.64453711286089244"/>
        </c:manualLayout>
      </c:layout>
      <c:barChart>
        <c:barDir val="col"/>
        <c:grouping val="stacked"/>
        <c:varyColors val="0"/>
        <c:ser>
          <c:idx val="0"/>
          <c:order val="0"/>
          <c:tx>
            <c:strRef>
              <c:f>Лист1!$B$1</c:f>
              <c:strCache>
                <c:ptCount val="1"/>
                <c:pt idx="0">
                  <c:v>программные расходы</c:v>
                </c:pt>
              </c:strCache>
            </c:strRef>
          </c:tx>
          <c:spPr>
            <a:solidFill>
              <a:schemeClr val="accent2"/>
            </a:solidFill>
            <a:ln>
              <a:noFill/>
            </a:ln>
            <a:effectLst/>
          </c:spPr>
          <c:invertIfNegative val="0"/>
          <c:dLbls>
            <c:dLbl>
              <c:idx val="0"/>
              <c:layout/>
              <c:tx>
                <c:rich>
                  <a:bodyPr/>
                  <a:lstStyle/>
                  <a:p>
                    <a:fld id="{6D6AA85A-A3D0-4262-ACAE-6944799CEE81}" type="CELLRANGE">
                      <a:rPr lang="en-US"/>
                      <a:pPr/>
                      <a:t>[ДИАПАЗОН ЯЧЕЕК]</a:t>
                    </a:fld>
                    <a:endParaRPr lang="ru-RU"/>
                  </a:p>
                </c:rich>
              </c:tx>
              <c:showLegendKey val="0"/>
              <c:showVal val="0"/>
              <c:showCatName val="0"/>
              <c:showSerName val="0"/>
              <c:showPercent val="0"/>
              <c:showBubbleSize val="0"/>
              <c:extLst>
                <c:ext xmlns:c15="http://schemas.microsoft.com/office/drawing/2012/chart" uri="{CE6537A1-D6FC-4f65-9D91-7224C49458BB}">
                  <c15:layout/>
                  <c15:dlblFieldTable/>
                  <c15:showDataLabelsRange val="1"/>
                </c:ext>
              </c:extLst>
            </c:dLbl>
            <c:dLbl>
              <c:idx val="1"/>
              <c:layout/>
              <c:tx>
                <c:rich>
                  <a:bodyPr/>
                  <a:lstStyle/>
                  <a:p>
                    <a:fld id="{3B66A86E-396E-4F58-800E-8317A85497A4}" type="CELLRANGE">
                      <a:rPr lang="ru-RU"/>
                      <a:pPr/>
                      <a:t>[ДИАПАЗОН ЯЧЕЕК]</a:t>
                    </a:fld>
                    <a:endParaRPr lang="ru-RU"/>
                  </a:p>
                </c:rich>
              </c:tx>
              <c:showLegendKey val="0"/>
              <c:showVal val="0"/>
              <c:showCatName val="0"/>
              <c:showSerName val="0"/>
              <c:showPercent val="0"/>
              <c:showBubbleSize val="0"/>
              <c:extLst>
                <c:ext xmlns:c15="http://schemas.microsoft.com/office/drawing/2012/chart" uri="{CE6537A1-D6FC-4f65-9D91-7224C49458BB}">
                  <c15:layout/>
                  <c15:dlblFieldTable/>
                  <c15:xForSave val="1"/>
                  <c15:showDataLabelsRange val="1"/>
                </c:ext>
              </c:extLst>
            </c:dLbl>
            <c:dLbl>
              <c:idx val="2"/>
              <c:layout/>
              <c:tx>
                <c:rich>
                  <a:bodyPr/>
                  <a:lstStyle/>
                  <a:p>
                    <a:fld id="{196D6DD0-590E-473D-9CB5-D1B7F733DC0C}" type="CELLRANGE">
                      <a:rPr lang="ru-RU"/>
                      <a:pPr/>
                      <a:t>[ДИАПАЗОН ЯЧЕЕК]</a:t>
                    </a:fld>
                    <a:endParaRPr lang="ru-RU"/>
                  </a:p>
                </c:rich>
              </c:tx>
              <c:showLegendKey val="0"/>
              <c:showVal val="0"/>
              <c:showCatName val="0"/>
              <c:showSerName val="0"/>
              <c:showPercent val="0"/>
              <c:showBubbleSize val="0"/>
              <c:extLst>
                <c:ext xmlns:c15="http://schemas.microsoft.com/office/drawing/2012/chart" uri="{CE6537A1-D6FC-4f65-9D91-7224C49458BB}">
                  <c15:layout/>
                  <c15:dlblFieldTable/>
                  <c15:xForSave val="1"/>
                  <c15:showDataLabelsRange val="1"/>
                </c:ext>
              </c:extLst>
            </c:dLbl>
            <c:dLbl>
              <c:idx val="3"/>
              <c:layout/>
              <c:tx>
                <c:rich>
                  <a:bodyPr/>
                  <a:lstStyle/>
                  <a:p>
                    <a:fld id="{1C944764-9C70-4163-AFD3-DAAB1F393662}" type="CELLRANGE">
                      <a:rPr lang="ru-RU"/>
                      <a:pPr/>
                      <a:t>[ДИАПАЗОН ЯЧЕЕК]</a:t>
                    </a:fld>
                    <a:endParaRPr lang="ru-RU"/>
                  </a:p>
                </c:rich>
              </c:tx>
              <c:showLegendKey val="0"/>
              <c:showVal val="0"/>
              <c:showCatName val="0"/>
              <c:showSerName val="0"/>
              <c:showPercent val="0"/>
              <c:showBubbleSize val="0"/>
              <c:extLst>
                <c:ext xmlns:c15="http://schemas.microsoft.com/office/drawing/2012/chart" uri="{CE6537A1-D6FC-4f65-9D91-7224C49458BB}">
                  <c15:layout/>
                  <c15:dlblFieldTable/>
                  <c15:xForSave val="1"/>
                  <c15:showDataLabelsRange val="1"/>
                </c:ext>
              </c:extLst>
            </c:dLbl>
            <c:dLbl>
              <c:idx val="4"/>
              <c:layout/>
              <c:tx>
                <c:rich>
                  <a:bodyPr/>
                  <a:lstStyle/>
                  <a:p>
                    <a:fld id="{C9F5684E-A0AC-4ECE-9182-EA34FA8C1FDF}" type="CELLRANGE">
                      <a:rPr lang="ru-RU"/>
                      <a:pPr/>
                      <a:t>[ДИАПАЗОН ЯЧЕЕК]</a:t>
                    </a:fld>
                    <a:endParaRPr lang="ru-RU"/>
                  </a:p>
                </c:rich>
              </c:tx>
              <c:showLegendKey val="0"/>
              <c:showVal val="0"/>
              <c:showCatName val="0"/>
              <c:showSerName val="0"/>
              <c:showPercent val="0"/>
              <c:showBubbleSize val="0"/>
              <c:extLst>
                <c:ext xmlns:c15="http://schemas.microsoft.com/office/drawing/2012/chart" uri="{CE6537A1-D6FC-4f65-9D91-7224C49458BB}">
                  <c15:layout/>
                  <c15:dlblFieldTable/>
                  <c15:xForSave val="1"/>
                  <c15:showDataLabelsRange val="1"/>
                </c:ext>
              </c:extLst>
            </c:dLbl>
            <c:dLbl>
              <c:idx val="5"/>
              <c:layout/>
              <c:tx>
                <c:rich>
                  <a:bodyPr/>
                  <a:lstStyle/>
                  <a:p>
                    <a:fld id="{D4BABA8C-AF02-432C-9F7C-F57B1097C9C7}" type="CELLRANGE">
                      <a:rPr lang="ru-RU"/>
                      <a:pPr/>
                      <a:t>[ДИАПАЗОН ЯЧЕЕК]</a:t>
                    </a:fld>
                    <a:endParaRPr lang="ru-RU"/>
                  </a:p>
                </c:rich>
              </c:tx>
              <c:showLegendKey val="0"/>
              <c:showVal val="0"/>
              <c:showCatName val="0"/>
              <c:showSerName val="0"/>
              <c:showPercent val="0"/>
              <c:showBubbleSize val="0"/>
              <c:extLst>
                <c:ext xmlns:c15="http://schemas.microsoft.com/office/drawing/2012/chart" uri="{CE6537A1-D6FC-4f65-9D91-7224C49458BB}">
                  <c15:layout/>
                  <c15:dlblFieldTable/>
                  <c15:xForSave val="1"/>
                  <c15:showDataLabelsRange val="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0"/>
            <c:showCatName val="0"/>
            <c:showSerName val="0"/>
            <c:showPercent val="0"/>
            <c:showBubbleSize val="0"/>
            <c:showLeaderLines val="0"/>
            <c:extLst>
              <c:ext xmlns:c15="http://schemas.microsoft.com/office/drawing/2012/chart" uri="{CE6537A1-D6FC-4f65-9D91-7224C49458BB}">
                <c15:layout/>
                <c15:showDataLabelsRange val="1"/>
                <c15:showLeaderLines val="1"/>
                <c15:leaderLines>
                  <c:spPr>
                    <a:ln w="9525" cap="flat" cmpd="sng" algn="ctr">
                      <a:solidFill>
                        <a:schemeClr val="tx1">
                          <a:lumMod val="35000"/>
                          <a:lumOff val="65000"/>
                        </a:schemeClr>
                      </a:solidFill>
                      <a:round/>
                    </a:ln>
                    <a:effectLst/>
                  </c:spPr>
                </c15:leaderLines>
              </c:ext>
            </c:extLst>
          </c:dLbls>
          <c:cat>
            <c:numRef>
              <c:f>Лист1!$A$2:$A$7</c:f>
              <c:numCache>
                <c:formatCode>General</c:formatCode>
                <c:ptCount val="6"/>
                <c:pt idx="0">
                  <c:v>2014</c:v>
                </c:pt>
                <c:pt idx="1">
                  <c:v>2015</c:v>
                </c:pt>
                <c:pt idx="2">
                  <c:v>2016</c:v>
                </c:pt>
                <c:pt idx="3">
                  <c:v>2017</c:v>
                </c:pt>
                <c:pt idx="4">
                  <c:v>2018</c:v>
                </c:pt>
                <c:pt idx="5">
                  <c:v>2019</c:v>
                </c:pt>
              </c:numCache>
            </c:numRef>
          </c:cat>
          <c:val>
            <c:numRef>
              <c:f>Лист1!$B$2:$B$7</c:f>
              <c:numCache>
                <c:formatCode>#\ ##0.0</c:formatCode>
                <c:ptCount val="6"/>
                <c:pt idx="0">
                  <c:v>2706058.8</c:v>
                </c:pt>
                <c:pt idx="1">
                  <c:v>3486196.2</c:v>
                </c:pt>
                <c:pt idx="2">
                  <c:v>3154881</c:v>
                </c:pt>
                <c:pt idx="3">
                  <c:v>3036626.7</c:v>
                </c:pt>
                <c:pt idx="4">
                  <c:v>3924287.6</c:v>
                </c:pt>
                <c:pt idx="5">
                  <c:v>3070363.6</c:v>
                </c:pt>
              </c:numCache>
            </c:numRef>
          </c:val>
          <c:extLst>
            <c:ext xmlns:c15="http://schemas.microsoft.com/office/drawing/2012/chart" uri="{02D57815-91ED-43cb-92C2-25804820EDAC}">
              <c15:datalabelsRange>
                <c15:f>Лист1!$G$2:$G$7</c15:f>
                <c15:dlblRangeCache>
                  <c:ptCount val="6"/>
                  <c:pt idx="0">
                    <c:v>81,2%</c:v>
                  </c:pt>
                  <c:pt idx="1">
                    <c:v>95,8%</c:v>
                  </c:pt>
                  <c:pt idx="2">
                    <c:v>98,3%</c:v>
                  </c:pt>
                  <c:pt idx="3">
                    <c:v>98,7%</c:v>
                  </c:pt>
                  <c:pt idx="4">
                    <c:v>99,0%</c:v>
                  </c:pt>
                  <c:pt idx="5">
                    <c:v>98,7%</c:v>
                  </c:pt>
                </c15:dlblRangeCache>
              </c15:datalabelsRange>
            </c:ext>
          </c:extLst>
        </c:ser>
        <c:ser>
          <c:idx val="1"/>
          <c:order val="1"/>
          <c:tx>
            <c:strRef>
              <c:f>Лист1!$C$1</c:f>
              <c:strCache>
                <c:ptCount val="1"/>
                <c:pt idx="0">
                  <c:v>непрограммные расходы</c:v>
                </c:pt>
              </c:strCache>
            </c:strRef>
          </c:tx>
          <c:spPr>
            <a:solidFill>
              <a:schemeClr val="accent4"/>
            </a:solidFill>
            <a:ln>
              <a:noFill/>
            </a:ln>
            <a:effectLst/>
          </c:spPr>
          <c:invertIfNegative val="0"/>
          <c:dLbls>
            <c:dLbl>
              <c:idx val="0"/>
              <c:layout/>
              <c:tx>
                <c:rich>
                  <a:bodyPr/>
                  <a:lstStyle/>
                  <a:p>
                    <a:fld id="{578E2F20-0F49-4996-8CAC-EDA6212425E7}" type="CELLRANGE">
                      <a:rPr lang="en-US"/>
                      <a:pPr/>
                      <a:t>[ДИАПАЗОН ЯЧЕЕК]</a:t>
                    </a:fld>
                    <a:endParaRPr lang="ru-RU"/>
                  </a:p>
                </c:rich>
              </c:tx>
              <c:dLblPos val="inBase"/>
              <c:showLegendKey val="0"/>
              <c:showVal val="0"/>
              <c:showCatName val="0"/>
              <c:showSerName val="0"/>
              <c:showPercent val="0"/>
              <c:showBubbleSize val="0"/>
              <c:extLst>
                <c:ext xmlns:c15="http://schemas.microsoft.com/office/drawing/2012/chart" uri="{CE6537A1-D6FC-4f65-9D91-7224C49458BB}">
                  <c15:layout/>
                  <c15:dlblFieldTable/>
                  <c15:showDataLabelsRange val="1"/>
                </c:ext>
              </c:extLst>
            </c:dLbl>
            <c:dLbl>
              <c:idx val="1"/>
              <c:layout/>
              <c:tx>
                <c:rich>
                  <a:bodyPr/>
                  <a:lstStyle/>
                  <a:p>
                    <a:fld id="{91C16A42-64C2-473D-A75D-EC98867329B4}" type="CELLRANGE">
                      <a:rPr lang="ru-RU"/>
                      <a:pPr/>
                      <a:t>[ДИАПАЗОН ЯЧЕЕК]</a:t>
                    </a:fld>
                    <a:endParaRPr lang="ru-RU"/>
                  </a:p>
                </c:rich>
              </c:tx>
              <c:dLblPos val="inBase"/>
              <c:showLegendKey val="0"/>
              <c:showVal val="0"/>
              <c:showCatName val="0"/>
              <c:showSerName val="0"/>
              <c:showPercent val="0"/>
              <c:showBubbleSize val="0"/>
              <c:extLst>
                <c:ext xmlns:c15="http://schemas.microsoft.com/office/drawing/2012/chart" uri="{CE6537A1-D6FC-4f65-9D91-7224C49458BB}">
                  <c15:layout/>
                  <c15:dlblFieldTable/>
                  <c15:xForSave val="1"/>
                  <c15:showDataLabelsRange val="1"/>
                </c:ext>
              </c:extLst>
            </c:dLbl>
            <c:dLbl>
              <c:idx val="2"/>
              <c:layout/>
              <c:tx>
                <c:rich>
                  <a:bodyPr/>
                  <a:lstStyle/>
                  <a:p>
                    <a:fld id="{94066FAD-785E-4E57-BAE2-C6787590C05C}" type="CELLRANGE">
                      <a:rPr lang="ru-RU"/>
                      <a:pPr/>
                      <a:t>[ДИАПАЗОН ЯЧЕЕК]</a:t>
                    </a:fld>
                    <a:endParaRPr lang="ru-RU"/>
                  </a:p>
                </c:rich>
              </c:tx>
              <c:dLblPos val="inBase"/>
              <c:showLegendKey val="0"/>
              <c:showVal val="0"/>
              <c:showCatName val="0"/>
              <c:showSerName val="0"/>
              <c:showPercent val="0"/>
              <c:showBubbleSize val="0"/>
              <c:extLst>
                <c:ext xmlns:c15="http://schemas.microsoft.com/office/drawing/2012/chart" uri="{CE6537A1-D6FC-4f65-9D91-7224C49458BB}">
                  <c15:layout/>
                  <c15:dlblFieldTable/>
                  <c15:xForSave val="1"/>
                  <c15:showDataLabelsRange val="1"/>
                </c:ext>
              </c:extLst>
            </c:dLbl>
            <c:dLbl>
              <c:idx val="3"/>
              <c:layout/>
              <c:tx>
                <c:rich>
                  <a:bodyPr/>
                  <a:lstStyle/>
                  <a:p>
                    <a:fld id="{E7BC613C-08AC-48AF-9B54-B482DD5AB078}" type="CELLRANGE">
                      <a:rPr lang="ru-RU"/>
                      <a:pPr/>
                      <a:t>[ДИАПАЗОН ЯЧЕЕК]</a:t>
                    </a:fld>
                    <a:endParaRPr lang="ru-RU"/>
                  </a:p>
                </c:rich>
              </c:tx>
              <c:dLblPos val="inBase"/>
              <c:showLegendKey val="0"/>
              <c:showVal val="0"/>
              <c:showCatName val="0"/>
              <c:showSerName val="0"/>
              <c:showPercent val="0"/>
              <c:showBubbleSize val="0"/>
              <c:extLst>
                <c:ext xmlns:c15="http://schemas.microsoft.com/office/drawing/2012/chart" uri="{CE6537A1-D6FC-4f65-9D91-7224C49458BB}">
                  <c15:layout/>
                  <c15:dlblFieldTable/>
                  <c15:xForSave val="1"/>
                  <c15:showDataLabelsRange val="1"/>
                </c:ext>
              </c:extLst>
            </c:dLbl>
            <c:dLbl>
              <c:idx val="4"/>
              <c:layout/>
              <c:tx>
                <c:rich>
                  <a:bodyPr/>
                  <a:lstStyle/>
                  <a:p>
                    <a:fld id="{58889234-98F6-45A3-BCBA-8965CCD93000}" type="CELLRANGE">
                      <a:rPr lang="ru-RU"/>
                      <a:pPr/>
                      <a:t>[ДИАПАЗОН ЯЧЕЕК]</a:t>
                    </a:fld>
                    <a:endParaRPr lang="ru-RU"/>
                  </a:p>
                </c:rich>
              </c:tx>
              <c:dLblPos val="inBase"/>
              <c:showLegendKey val="0"/>
              <c:showVal val="0"/>
              <c:showCatName val="0"/>
              <c:showSerName val="0"/>
              <c:showPercent val="0"/>
              <c:showBubbleSize val="0"/>
              <c:extLst>
                <c:ext xmlns:c15="http://schemas.microsoft.com/office/drawing/2012/chart" uri="{CE6537A1-D6FC-4f65-9D91-7224C49458BB}">
                  <c15:layout/>
                  <c15:dlblFieldTable/>
                  <c15:xForSave val="1"/>
                  <c15:showDataLabelsRange val="1"/>
                </c:ext>
              </c:extLst>
            </c:dLbl>
            <c:dLbl>
              <c:idx val="5"/>
              <c:layout/>
              <c:tx>
                <c:rich>
                  <a:bodyPr/>
                  <a:lstStyle/>
                  <a:p>
                    <a:fld id="{3E034F27-66B3-4A5A-B878-87E83A47D30C}" type="CELLRANGE">
                      <a:rPr lang="ru-RU"/>
                      <a:pPr/>
                      <a:t>[ДИАПАЗОН ЯЧЕЕК]</a:t>
                    </a:fld>
                    <a:endParaRPr lang="ru-RU"/>
                  </a:p>
                </c:rich>
              </c:tx>
              <c:dLblPos val="inBase"/>
              <c:showLegendKey val="0"/>
              <c:showVal val="0"/>
              <c:showCatName val="0"/>
              <c:showSerName val="0"/>
              <c:showPercent val="0"/>
              <c:showBubbleSize val="0"/>
              <c:extLst>
                <c:ext xmlns:c15="http://schemas.microsoft.com/office/drawing/2012/chart" uri="{CE6537A1-D6FC-4f65-9D91-7224C49458BB}">
                  <c15:layout/>
                  <c15:dlblFieldTable/>
                  <c15:xForSave val="1"/>
                  <c15:showDataLabelsRange val="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inBase"/>
            <c:showLegendKey val="0"/>
            <c:showVal val="0"/>
            <c:showCatName val="0"/>
            <c:showSerName val="0"/>
            <c:showPercent val="0"/>
            <c:showBubbleSize val="0"/>
            <c:showLeaderLines val="0"/>
            <c:extLst>
              <c:ext xmlns:c15="http://schemas.microsoft.com/office/drawing/2012/chart" uri="{CE6537A1-D6FC-4f65-9D91-7224C49458BB}">
                <c15:layout/>
                <c15:showDataLabelsRange val="1"/>
                <c15:showLeaderLines val="1"/>
                <c15:leaderLines>
                  <c:spPr>
                    <a:ln w="9525" cap="flat" cmpd="sng" algn="ctr">
                      <a:solidFill>
                        <a:schemeClr val="tx1">
                          <a:lumMod val="35000"/>
                          <a:lumOff val="65000"/>
                        </a:schemeClr>
                      </a:solidFill>
                      <a:round/>
                    </a:ln>
                    <a:effectLst/>
                  </c:spPr>
                </c15:leaderLines>
              </c:ext>
            </c:extLst>
          </c:dLbls>
          <c:cat>
            <c:numRef>
              <c:f>Лист1!$A$2:$A$7</c:f>
              <c:numCache>
                <c:formatCode>General</c:formatCode>
                <c:ptCount val="6"/>
                <c:pt idx="0">
                  <c:v>2014</c:v>
                </c:pt>
                <c:pt idx="1">
                  <c:v>2015</c:v>
                </c:pt>
                <c:pt idx="2">
                  <c:v>2016</c:v>
                </c:pt>
                <c:pt idx="3">
                  <c:v>2017</c:v>
                </c:pt>
                <c:pt idx="4">
                  <c:v>2018</c:v>
                </c:pt>
                <c:pt idx="5">
                  <c:v>2019</c:v>
                </c:pt>
              </c:numCache>
            </c:numRef>
          </c:cat>
          <c:val>
            <c:numRef>
              <c:f>Лист1!$C$2:$C$7</c:f>
              <c:numCache>
                <c:formatCode>#\ ##0.0</c:formatCode>
                <c:ptCount val="6"/>
                <c:pt idx="0">
                  <c:v>628246.4</c:v>
                </c:pt>
                <c:pt idx="1">
                  <c:v>151625.70000000001</c:v>
                </c:pt>
                <c:pt idx="2">
                  <c:v>54226.400000000001</c:v>
                </c:pt>
                <c:pt idx="3">
                  <c:v>41430</c:v>
                </c:pt>
                <c:pt idx="4">
                  <c:v>39343.300000000003</c:v>
                </c:pt>
                <c:pt idx="5">
                  <c:v>41832.800000000003</c:v>
                </c:pt>
              </c:numCache>
            </c:numRef>
          </c:val>
          <c:extLst>
            <c:ext xmlns:c15="http://schemas.microsoft.com/office/drawing/2012/chart" uri="{02D57815-91ED-43cb-92C2-25804820EDAC}">
              <c15:datalabelsRange>
                <c15:f>Лист1!$H$2:$H$7</c15:f>
                <c15:dlblRangeCache>
                  <c:ptCount val="6"/>
                  <c:pt idx="0">
                    <c:v>18,8%</c:v>
                  </c:pt>
                  <c:pt idx="1">
                    <c:v>4,2%</c:v>
                  </c:pt>
                  <c:pt idx="2">
                    <c:v>1,7%</c:v>
                  </c:pt>
                  <c:pt idx="3">
                    <c:v>1,3%</c:v>
                  </c:pt>
                  <c:pt idx="4">
                    <c:v>1,0%</c:v>
                  </c:pt>
                  <c:pt idx="5">
                    <c:v>1,3%</c:v>
                  </c:pt>
                </c15:dlblRangeCache>
              </c15:datalabelsRange>
            </c:ext>
          </c:extLst>
        </c:ser>
        <c:dLbls>
          <c:showLegendKey val="0"/>
          <c:showVal val="0"/>
          <c:showCatName val="0"/>
          <c:showSerName val="0"/>
          <c:showPercent val="0"/>
          <c:showBubbleSize val="0"/>
        </c:dLbls>
        <c:gapWidth val="96"/>
        <c:axId val="475818256"/>
        <c:axId val="475828336"/>
      </c:barChart>
      <c:catAx>
        <c:axId val="4758182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75828336"/>
        <c:crosses val="autoZero"/>
        <c:auto val="1"/>
        <c:lblAlgn val="ctr"/>
        <c:lblOffset val="100"/>
        <c:noMultiLvlLbl val="0"/>
      </c:catAx>
      <c:valAx>
        <c:axId val="475828336"/>
        <c:scaling>
          <c:orientation val="minMax"/>
        </c:scaling>
        <c:delete val="0"/>
        <c:axPos val="l"/>
        <c:numFmt formatCode="#\ ##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75818256"/>
        <c:crosses val="autoZero"/>
        <c:crossBetween val="between"/>
      </c:valAx>
      <c:spPr>
        <a:noFill/>
        <a:ln>
          <a:noFill/>
        </a:ln>
        <a:effectLst/>
      </c:spPr>
    </c:plotArea>
    <c:legend>
      <c:legendPos val="b"/>
      <c:layout>
        <c:manualLayout>
          <c:xMode val="edge"/>
          <c:yMode val="edge"/>
          <c:x val="0.23502977586738855"/>
          <c:y val="0.90999937007874021"/>
          <c:w val="0.52994027920422992"/>
          <c:h val="9.0000874890638669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noFill/>
      <a:round/>
    </a:ln>
    <a:effectLst/>
  </c:spPr>
  <c:txPr>
    <a:bodyPr/>
    <a:lstStyle/>
    <a:p>
      <a:pPr>
        <a:defRPr/>
      </a:pPr>
      <a:endParaRPr lang="ru-RU"/>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cap="all" baseline="0">
                <a:solidFill>
                  <a:schemeClr val="tx1">
                    <a:lumMod val="65000"/>
                    <a:lumOff val="35000"/>
                  </a:schemeClr>
                </a:solidFill>
                <a:latin typeface="+mn-lt"/>
                <a:ea typeface="+mn-ea"/>
                <a:cs typeface="+mn-cs"/>
              </a:defRPr>
            </a:pPr>
            <a:r>
              <a:rPr lang="ru-RU" sz="1400" b="0" i="0" u="none" strike="noStrike" cap="none" baseline="0">
                <a:effectLst/>
              </a:rPr>
              <a:t>Структура программных направлений расходов бюджета города Пыть-Яха в 2018 году по отраслевым направлениям</a:t>
            </a:r>
            <a:endParaRPr lang="ru-RU" sz="1400" cap="none"/>
          </a:p>
        </c:rich>
      </c:tx>
      <c:layout>
        <c:manualLayout>
          <c:xMode val="edge"/>
          <c:yMode val="edge"/>
          <c:x val="0.13774533037739214"/>
          <c:y val="0"/>
        </c:manualLayout>
      </c:layout>
      <c:overlay val="0"/>
      <c:spPr>
        <a:noFill/>
        <a:ln>
          <a:noFill/>
        </a:ln>
        <a:effectLst/>
      </c:spPr>
      <c:txPr>
        <a:bodyPr rot="0" spcFirstLastPara="1" vertOverflow="ellipsis" vert="horz" wrap="square" anchor="ctr" anchorCtr="1"/>
        <a:lstStyle/>
        <a:p>
          <a:pPr>
            <a:defRPr sz="1800" b="1" i="0" u="none" strike="noStrike" kern="1200" cap="all" baseline="0">
              <a:solidFill>
                <a:schemeClr val="tx1">
                  <a:lumMod val="65000"/>
                  <a:lumOff val="35000"/>
                </a:schemeClr>
              </a:solidFill>
              <a:latin typeface="+mn-lt"/>
              <a:ea typeface="+mn-ea"/>
              <a:cs typeface="+mn-cs"/>
            </a:defRPr>
          </a:pPr>
          <a:endParaRPr lang="ru-RU"/>
        </a:p>
      </c:txPr>
    </c:title>
    <c:autoTitleDeleted val="0"/>
    <c:view3D>
      <c:rotX val="50"/>
      <c:rotY val="208"/>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4.3352275140364729E-2"/>
          <c:y val="0.16996039617185257"/>
          <c:w val="0.90271029228142596"/>
          <c:h val="0.77621072175138417"/>
        </c:manualLayout>
      </c:layout>
      <c:pie3DChart>
        <c:varyColors val="1"/>
        <c:ser>
          <c:idx val="1"/>
          <c:order val="1"/>
          <c:tx>
            <c:strRef>
              <c:f>Лист1!$C$1</c:f>
              <c:strCache>
                <c:ptCount val="1"/>
                <c:pt idx="0">
                  <c:v>2018</c:v>
                </c:pt>
              </c:strCache>
            </c:strRef>
          </c:tx>
          <c:dPt>
            <c:idx val="0"/>
            <c:bubble3D val="0"/>
            <c:spPr>
              <a:solidFill>
                <a:schemeClr val="accent1">
                  <a:alpha val="90000"/>
                </a:schemeClr>
              </a:solidFill>
              <a:ln w="19050">
                <a:solidFill>
                  <a:schemeClr val="accent1">
                    <a:lumMod val="75000"/>
                  </a:schemeClr>
                </a:solidFill>
              </a:ln>
              <a:effectLst>
                <a:innerShdw blurRad="114300">
                  <a:schemeClr val="accent1">
                    <a:lumMod val="75000"/>
                  </a:schemeClr>
                </a:innerShdw>
              </a:effectLst>
              <a:scene3d>
                <a:camera prst="orthographicFront"/>
                <a:lightRig rig="threePt" dir="t"/>
              </a:scene3d>
              <a:sp3d contourW="19050" prstMaterial="flat">
                <a:contourClr>
                  <a:schemeClr val="accent1">
                    <a:lumMod val="75000"/>
                  </a:schemeClr>
                </a:contourClr>
              </a:sp3d>
            </c:spPr>
          </c:dPt>
          <c:dPt>
            <c:idx val="1"/>
            <c:bubble3D val="0"/>
            <c:spPr>
              <a:solidFill>
                <a:schemeClr val="accent2">
                  <a:alpha val="90000"/>
                </a:schemeClr>
              </a:solidFill>
              <a:ln w="19050">
                <a:solidFill>
                  <a:schemeClr val="accent2">
                    <a:lumMod val="75000"/>
                  </a:schemeClr>
                </a:solidFill>
              </a:ln>
              <a:effectLst>
                <a:innerShdw blurRad="114300">
                  <a:schemeClr val="accent2">
                    <a:lumMod val="75000"/>
                  </a:schemeClr>
                </a:innerShdw>
              </a:effectLst>
              <a:scene3d>
                <a:camera prst="orthographicFront"/>
                <a:lightRig rig="threePt" dir="t"/>
              </a:scene3d>
              <a:sp3d contourW="19050" prstMaterial="flat">
                <a:contourClr>
                  <a:schemeClr val="accent2">
                    <a:lumMod val="75000"/>
                  </a:schemeClr>
                </a:contourClr>
              </a:sp3d>
            </c:spPr>
          </c:dPt>
          <c:dPt>
            <c:idx val="2"/>
            <c:bubble3D val="0"/>
            <c:spPr>
              <a:solidFill>
                <a:schemeClr val="accent3">
                  <a:alpha val="90000"/>
                </a:schemeClr>
              </a:solidFill>
              <a:ln w="19050">
                <a:solidFill>
                  <a:schemeClr val="accent3">
                    <a:lumMod val="75000"/>
                  </a:schemeClr>
                </a:solidFill>
              </a:ln>
              <a:effectLst>
                <a:innerShdw blurRad="114300">
                  <a:schemeClr val="accent3">
                    <a:lumMod val="75000"/>
                  </a:schemeClr>
                </a:innerShdw>
              </a:effectLst>
              <a:scene3d>
                <a:camera prst="orthographicFront"/>
                <a:lightRig rig="threePt" dir="t"/>
              </a:scene3d>
              <a:sp3d contourW="19050" prstMaterial="flat">
                <a:contourClr>
                  <a:schemeClr val="accent3">
                    <a:lumMod val="75000"/>
                  </a:schemeClr>
                </a:contourClr>
              </a:sp3d>
            </c:spPr>
          </c:dPt>
          <c:dPt>
            <c:idx val="3"/>
            <c:bubble3D val="0"/>
            <c:spPr>
              <a:solidFill>
                <a:schemeClr val="accent4">
                  <a:alpha val="90000"/>
                </a:schemeClr>
              </a:solidFill>
              <a:ln w="19050">
                <a:solidFill>
                  <a:schemeClr val="accent4">
                    <a:lumMod val="75000"/>
                  </a:schemeClr>
                </a:solidFill>
              </a:ln>
              <a:effectLst>
                <a:innerShdw blurRad="114300">
                  <a:schemeClr val="accent4">
                    <a:lumMod val="75000"/>
                  </a:schemeClr>
                </a:innerShdw>
              </a:effectLst>
              <a:scene3d>
                <a:camera prst="orthographicFront"/>
                <a:lightRig rig="threePt" dir="t"/>
              </a:scene3d>
              <a:sp3d contourW="19050" prstMaterial="flat">
                <a:contourClr>
                  <a:schemeClr val="accent4">
                    <a:lumMod val="75000"/>
                  </a:schemeClr>
                </a:contourClr>
              </a:sp3d>
            </c:spPr>
          </c:dPt>
          <c:dLbls>
            <c:dLbl>
              <c:idx val="0"/>
              <c:numFmt formatCode="0.0%" sourceLinked="0"/>
              <c:spPr>
                <a:solidFill>
                  <a:schemeClr val="lt1">
                    <a:alpha val="90000"/>
                  </a:schemeClr>
                </a:solidFill>
                <a:ln w="12700" cap="flat" cmpd="sng" algn="ctr">
                  <a:solidFill>
                    <a:schemeClr val="accent1"/>
                  </a:solidFill>
                  <a:round/>
                </a:ln>
                <a:effectLst>
                  <a:outerShdw blurRad="50800" dist="38100" dir="2700000" algn="tl" rotWithShape="0">
                    <a:schemeClr val="accent1">
                      <a:lumMod val="75000"/>
                      <a:alpha val="40000"/>
                    </a:schemeClr>
                  </a:outerShdw>
                </a:effectLst>
              </c:spPr>
              <c:txPr>
                <a:bodyPr rot="0" spcFirstLastPara="1" vertOverflow="clip" horzOverflow="clip" vert="horz" wrap="square" lIns="38100" tIns="19050" rIns="38100" bIns="19050" anchor="ctr" anchorCtr="1">
                  <a:spAutoFit/>
                </a:bodyPr>
                <a:lstStyle/>
                <a:p>
                  <a:pPr>
                    <a:defRPr sz="1400" b="0" i="0" u="none" strike="noStrike" kern="1200" baseline="0">
                      <a:solidFill>
                        <a:schemeClr val="accent1"/>
                      </a:solidFill>
                      <a:effectLst/>
                      <a:latin typeface="+mn-lt"/>
                      <a:ea typeface="+mn-ea"/>
                      <a:cs typeface="+mn-cs"/>
                    </a:defRPr>
                  </a:pPr>
                  <a:endParaRPr lang="ru-RU"/>
                </a:p>
              </c:txPr>
              <c:dLblPos val="bestFit"/>
              <c:showLegendKey val="0"/>
              <c:showVal val="0"/>
              <c:showCatName val="1"/>
              <c:showSerName val="0"/>
              <c:showPercent val="1"/>
              <c:showBubbleSize val="0"/>
            </c:dLbl>
            <c:dLbl>
              <c:idx val="1"/>
              <c:numFmt formatCode="0.0%" sourceLinked="0"/>
              <c:spPr>
                <a:solidFill>
                  <a:schemeClr val="lt1">
                    <a:alpha val="90000"/>
                  </a:schemeClr>
                </a:solidFill>
                <a:ln w="12700" cap="flat" cmpd="sng" algn="ctr">
                  <a:solidFill>
                    <a:schemeClr val="accent2"/>
                  </a:solidFill>
                  <a:round/>
                </a:ln>
                <a:effectLst>
                  <a:outerShdw blurRad="50800" dist="38100" dir="2700000" algn="tl" rotWithShape="0">
                    <a:schemeClr val="accent2">
                      <a:lumMod val="75000"/>
                      <a:alpha val="40000"/>
                    </a:schemeClr>
                  </a:outerShdw>
                </a:effectLst>
              </c:spPr>
              <c:txPr>
                <a:bodyPr rot="0" spcFirstLastPara="1" vertOverflow="clip" horzOverflow="clip" vert="horz" wrap="square" lIns="38100" tIns="19050" rIns="38100" bIns="19050" anchor="ctr" anchorCtr="1">
                  <a:spAutoFit/>
                </a:bodyPr>
                <a:lstStyle/>
                <a:p>
                  <a:pPr>
                    <a:defRPr sz="1400" b="0" i="0" u="none" strike="noStrike" kern="1200" baseline="0">
                      <a:solidFill>
                        <a:schemeClr val="accent2"/>
                      </a:solidFill>
                      <a:effectLst/>
                      <a:latin typeface="+mn-lt"/>
                      <a:ea typeface="+mn-ea"/>
                      <a:cs typeface="+mn-cs"/>
                    </a:defRPr>
                  </a:pPr>
                  <a:endParaRPr lang="ru-RU"/>
                </a:p>
              </c:txPr>
              <c:dLblPos val="bestFit"/>
              <c:showLegendKey val="0"/>
              <c:showVal val="0"/>
              <c:showCatName val="1"/>
              <c:showSerName val="0"/>
              <c:showPercent val="1"/>
              <c:showBubbleSize val="0"/>
            </c:dLbl>
            <c:dLbl>
              <c:idx val="2"/>
              <c:numFmt formatCode="0.0%" sourceLinked="0"/>
              <c:spPr>
                <a:solidFill>
                  <a:schemeClr val="lt1">
                    <a:alpha val="90000"/>
                  </a:schemeClr>
                </a:solidFill>
                <a:ln w="12700" cap="flat" cmpd="sng" algn="ctr">
                  <a:solidFill>
                    <a:schemeClr val="accent3"/>
                  </a:solidFill>
                  <a:round/>
                </a:ln>
                <a:effectLst>
                  <a:outerShdw blurRad="50800" dist="38100" dir="2700000" algn="tl" rotWithShape="0">
                    <a:schemeClr val="accent3">
                      <a:lumMod val="75000"/>
                      <a:alpha val="40000"/>
                    </a:schemeClr>
                  </a:outerShdw>
                </a:effectLst>
              </c:spPr>
              <c:txPr>
                <a:bodyPr rot="0" spcFirstLastPara="1" vertOverflow="clip" horzOverflow="clip" vert="horz" wrap="square" lIns="38100" tIns="19050" rIns="38100" bIns="19050" anchor="ctr" anchorCtr="1">
                  <a:spAutoFit/>
                </a:bodyPr>
                <a:lstStyle/>
                <a:p>
                  <a:pPr>
                    <a:defRPr sz="1400" b="0" i="0" u="none" strike="noStrike" kern="1200" baseline="0">
                      <a:solidFill>
                        <a:schemeClr val="accent3"/>
                      </a:solidFill>
                      <a:effectLst/>
                      <a:latin typeface="+mn-lt"/>
                      <a:ea typeface="+mn-ea"/>
                      <a:cs typeface="+mn-cs"/>
                    </a:defRPr>
                  </a:pPr>
                  <a:endParaRPr lang="ru-RU"/>
                </a:p>
              </c:txPr>
              <c:dLblPos val="bestFit"/>
              <c:showLegendKey val="0"/>
              <c:showVal val="0"/>
              <c:showCatName val="1"/>
              <c:showSerName val="0"/>
              <c:showPercent val="1"/>
              <c:showBubbleSize val="0"/>
            </c:dLbl>
            <c:dLbl>
              <c:idx val="3"/>
              <c:numFmt formatCode="0.0%" sourceLinked="0"/>
              <c:spPr>
                <a:solidFill>
                  <a:schemeClr val="lt1">
                    <a:alpha val="90000"/>
                  </a:schemeClr>
                </a:solidFill>
                <a:ln w="12700" cap="flat" cmpd="sng" algn="ctr">
                  <a:solidFill>
                    <a:schemeClr val="accent4"/>
                  </a:solidFill>
                  <a:round/>
                </a:ln>
                <a:effectLst>
                  <a:outerShdw blurRad="50800" dist="38100" dir="2700000" algn="tl" rotWithShape="0">
                    <a:schemeClr val="accent4">
                      <a:lumMod val="75000"/>
                      <a:alpha val="40000"/>
                    </a:schemeClr>
                  </a:outerShdw>
                </a:effectLst>
              </c:spPr>
              <c:txPr>
                <a:bodyPr rot="0" spcFirstLastPara="1" vertOverflow="clip" horzOverflow="clip" vert="horz" wrap="square" lIns="38100" tIns="19050" rIns="38100" bIns="19050" anchor="ctr" anchorCtr="1">
                  <a:spAutoFit/>
                </a:bodyPr>
                <a:lstStyle/>
                <a:p>
                  <a:pPr>
                    <a:defRPr sz="1400" b="0" i="0" u="none" strike="noStrike" kern="1200" baseline="0">
                      <a:solidFill>
                        <a:schemeClr val="accent4"/>
                      </a:solidFill>
                      <a:effectLst/>
                      <a:latin typeface="+mn-lt"/>
                      <a:ea typeface="+mn-ea"/>
                      <a:cs typeface="+mn-cs"/>
                    </a:defRPr>
                  </a:pPr>
                  <a:endParaRPr lang="ru-RU"/>
                </a:p>
              </c:txPr>
              <c:dLblPos val="bestFit"/>
              <c:showLegendKey val="0"/>
              <c:showVal val="0"/>
              <c:showCatName val="1"/>
              <c:showSerName val="0"/>
              <c:showPercent val="1"/>
              <c:showBubbleSize val="0"/>
            </c:dLbl>
            <c:numFmt formatCode="0.0%" sourceLinked="0"/>
            <c:spPr>
              <a:solidFill>
                <a:sysClr val="window" lastClr="FFFFFF">
                  <a:alpha val="90000"/>
                </a:sysClr>
              </a:solidFill>
              <a:ln w="12700" cap="flat" cmpd="sng" algn="ctr">
                <a:solidFill>
                  <a:srgbClr val="ED7D31"/>
                </a:solidFill>
                <a:round/>
              </a:ln>
              <a:effectLst>
                <a:outerShdw blurRad="50800" dist="38100" dir="2700000" algn="tl" rotWithShape="0">
                  <a:srgbClr val="ED7D31">
                    <a:lumMod val="75000"/>
                    <a:alpha val="40000"/>
                  </a:srgbClr>
                </a:outerShdw>
              </a:effectLst>
            </c:spPr>
            <c:txPr>
              <a:bodyPr rot="0" spcFirstLastPara="1" vertOverflow="clip" horzOverflow="clip" vert="horz" wrap="square" lIns="38100" tIns="19050" rIns="38100" bIns="19050" anchor="ctr" anchorCtr="1">
                <a:spAutoFit/>
              </a:bodyPr>
              <a:lstStyle/>
              <a:p>
                <a:pPr>
                  <a:defRPr sz="1400" b="0" i="0" u="none" strike="noStrike" kern="1200" baseline="0">
                    <a:solidFill>
                      <a:schemeClr val="accent2"/>
                    </a:solidFill>
                    <a:effectLst/>
                    <a:latin typeface="+mn-lt"/>
                    <a:ea typeface="+mn-ea"/>
                    <a:cs typeface="+mn-cs"/>
                  </a:defRPr>
                </a:pPr>
                <a:endParaRPr lang="ru-RU"/>
              </a:p>
            </c:txPr>
            <c:dLblPos val="bestFit"/>
            <c:showLegendKey val="0"/>
            <c:showVal val="0"/>
            <c:showCatName val="1"/>
            <c:showSerName val="0"/>
            <c:showPercent val="1"/>
            <c:showBubbleSize val="0"/>
            <c:showLeaderLines val="1"/>
            <c:leaderLines>
              <c:spPr>
                <a:ln w="9525">
                  <a:solidFill>
                    <a:schemeClr val="tx1">
                      <a:lumMod val="35000"/>
                      <a:lumOff val="65000"/>
                    </a:schemeClr>
                  </a:solidFill>
                </a:ln>
                <a:effectLst/>
              </c:spPr>
            </c:leaderLines>
            <c:extLst>
              <c:ext xmlns:c15="http://schemas.microsoft.com/office/drawing/2012/chart" uri="{CE6537A1-D6FC-4f65-9D91-7224C49458BB}"/>
            </c:extLst>
          </c:dLbls>
          <c:cat>
            <c:strRef>
              <c:f>Лист1!$A$2:$A$5</c:f>
              <c:strCache>
                <c:ptCount val="4"/>
                <c:pt idx="0">
                  <c:v>I. Социально-культурная сфера (5 программ)</c:v>
                </c:pt>
                <c:pt idx="1">
                  <c:v>II. Жилищно-коммунальная сфера (3 программы)</c:v>
                </c:pt>
                <c:pt idx="2">
                  <c:v>III. Развитие отраслей экономики (5 программ)</c:v>
                </c:pt>
                <c:pt idx="3">
                  <c:v>IV. Иные направления (8 программ)</c:v>
                </c:pt>
              </c:strCache>
            </c:strRef>
          </c:cat>
          <c:val>
            <c:numRef>
              <c:f>Лист1!$C$2:$C$5</c:f>
              <c:numCache>
                <c:formatCode>#\ ##0.0</c:formatCode>
                <c:ptCount val="4"/>
                <c:pt idx="0">
                  <c:v>1874823.0999999999</c:v>
                </c:pt>
                <c:pt idx="1">
                  <c:v>1311008.3</c:v>
                </c:pt>
                <c:pt idx="2">
                  <c:v>217220.9</c:v>
                </c:pt>
                <c:pt idx="3">
                  <c:v>521235.3</c:v>
                </c:pt>
              </c:numCache>
            </c:numRef>
          </c:val>
        </c:ser>
        <c:dLbls>
          <c:dLblPos val="inEnd"/>
          <c:showLegendKey val="0"/>
          <c:showVal val="0"/>
          <c:showCatName val="1"/>
          <c:showSerName val="0"/>
          <c:showPercent val="0"/>
          <c:showBubbleSize val="0"/>
          <c:showLeaderLines val="1"/>
        </c:dLbls>
        <c:extLst>
          <c:ext xmlns:c15="http://schemas.microsoft.com/office/drawing/2012/chart" uri="{02D57815-91ED-43cb-92C2-25804820EDAC}">
            <c15:filteredPieSeries>
              <c15:ser>
                <c:idx val="0"/>
                <c:order val="0"/>
                <c:tx>
                  <c:strRef>
                    <c:extLst>
                      <c:ext uri="{02D57815-91ED-43cb-92C2-25804820EDAC}">
                        <c15:formulaRef>
                          <c15:sqref>Лист1!$B$1</c15:sqref>
                        </c15:formulaRef>
                      </c:ext>
                    </c:extLst>
                    <c:strCache>
                      <c:ptCount val="1"/>
                      <c:pt idx="0">
                        <c:v>2017</c:v>
                      </c:pt>
                    </c:strCache>
                  </c:strRef>
                </c:tx>
                <c:dPt>
                  <c:idx val="0"/>
                  <c:bubble3D val="0"/>
                  <c:spPr>
                    <a:solidFill>
                      <a:schemeClr val="accent1">
                        <a:alpha val="90000"/>
                      </a:schemeClr>
                    </a:solidFill>
                    <a:ln w="19050">
                      <a:solidFill>
                        <a:schemeClr val="accent1">
                          <a:lumMod val="75000"/>
                        </a:schemeClr>
                      </a:solidFill>
                    </a:ln>
                    <a:effectLst>
                      <a:innerShdw blurRad="114300">
                        <a:schemeClr val="accent1">
                          <a:lumMod val="75000"/>
                        </a:schemeClr>
                      </a:innerShdw>
                    </a:effectLst>
                    <a:scene3d>
                      <a:camera prst="orthographicFront"/>
                      <a:lightRig rig="threePt" dir="t"/>
                    </a:scene3d>
                    <a:sp3d contourW="19050" prstMaterial="flat">
                      <a:contourClr>
                        <a:schemeClr val="accent1">
                          <a:lumMod val="75000"/>
                        </a:schemeClr>
                      </a:contourClr>
                    </a:sp3d>
                  </c:spPr>
                </c:dPt>
                <c:dPt>
                  <c:idx val="1"/>
                  <c:bubble3D val="0"/>
                  <c:spPr>
                    <a:solidFill>
                      <a:schemeClr val="accent2">
                        <a:alpha val="90000"/>
                      </a:schemeClr>
                    </a:solidFill>
                    <a:ln w="19050">
                      <a:solidFill>
                        <a:schemeClr val="accent2">
                          <a:lumMod val="75000"/>
                        </a:schemeClr>
                      </a:solidFill>
                    </a:ln>
                    <a:effectLst>
                      <a:innerShdw blurRad="114300">
                        <a:schemeClr val="accent2">
                          <a:lumMod val="75000"/>
                        </a:schemeClr>
                      </a:innerShdw>
                    </a:effectLst>
                    <a:scene3d>
                      <a:camera prst="orthographicFront"/>
                      <a:lightRig rig="threePt" dir="t"/>
                    </a:scene3d>
                    <a:sp3d contourW="19050" prstMaterial="flat">
                      <a:contourClr>
                        <a:schemeClr val="accent2">
                          <a:lumMod val="75000"/>
                        </a:schemeClr>
                      </a:contourClr>
                    </a:sp3d>
                  </c:spPr>
                </c:dPt>
                <c:dPt>
                  <c:idx val="2"/>
                  <c:bubble3D val="0"/>
                  <c:spPr>
                    <a:solidFill>
                      <a:schemeClr val="accent3">
                        <a:alpha val="90000"/>
                      </a:schemeClr>
                    </a:solidFill>
                    <a:ln w="19050">
                      <a:solidFill>
                        <a:schemeClr val="accent3">
                          <a:lumMod val="75000"/>
                        </a:schemeClr>
                      </a:solidFill>
                    </a:ln>
                    <a:effectLst>
                      <a:innerShdw blurRad="114300">
                        <a:schemeClr val="accent3">
                          <a:lumMod val="75000"/>
                        </a:schemeClr>
                      </a:innerShdw>
                    </a:effectLst>
                    <a:scene3d>
                      <a:camera prst="orthographicFront"/>
                      <a:lightRig rig="threePt" dir="t"/>
                    </a:scene3d>
                    <a:sp3d contourW="19050" prstMaterial="flat">
                      <a:contourClr>
                        <a:schemeClr val="accent3">
                          <a:lumMod val="75000"/>
                        </a:schemeClr>
                      </a:contourClr>
                    </a:sp3d>
                  </c:spPr>
                </c:dPt>
                <c:dPt>
                  <c:idx val="3"/>
                  <c:bubble3D val="0"/>
                  <c:spPr>
                    <a:solidFill>
                      <a:schemeClr val="accent4">
                        <a:alpha val="90000"/>
                      </a:schemeClr>
                    </a:solidFill>
                    <a:ln w="19050">
                      <a:solidFill>
                        <a:schemeClr val="accent4">
                          <a:lumMod val="75000"/>
                        </a:schemeClr>
                      </a:solidFill>
                    </a:ln>
                    <a:effectLst>
                      <a:innerShdw blurRad="114300">
                        <a:schemeClr val="accent4">
                          <a:lumMod val="75000"/>
                        </a:schemeClr>
                      </a:innerShdw>
                    </a:effectLst>
                    <a:scene3d>
                      <a:camera prst="orthographicFront"/>
                      <a:lightRig rig="threePt" dir="t"/>
                    </a:scene3d>
                    <a:sp3d contourW="19050" prstMaterial="flat">
                      <a:contourClr>
                        <a:schemeClr val="accent4">
                          <a:lumMod val="75000"/>
                        </a:schemeClr>
                      </a:contourClr>
                    </a:sp3d>
                  </c:spPr>
                </c:dPt>
                <c:dLbls>
                  <c:dLbl>
                    <c:idx val="0"/>
                    <c:numFmt formatCode="0.0%" sourceLinked="0"/>
                    <c:spPr>
                      <a:solidFill>
                        <a:schemeClr val="lt1">
                          <a:alpha val="90000"/>
                        </a:schemeClr>
                      </a:solidFill>
                      <a:ln w="12700" cap="flat" cmpd="sng" algn="ctr">
                        <a:solidFill>
                          <a:schemeClr val="accent1"/>
                        </a:solidFill>
                        <a:round/>
                      </a:ln>
                      <a:effectLst>
                        <a:outerShdw blurRad="50800" dist="38100" dir="2700000" algn="tl" rotWithShape="0">
                          <a:schemeClr val="accent1">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1"/>
                            </a:solidFill>
                            <a:effectLst/>
                            <a:latin typeface="+mn-lt"/>
                            <a:ea typeface="+mn-ea"/>
                            <a:cs typeface="+mn-cs"/>
                          </a:defRPr>
                        </a:pPr>
                        <a:endParaRPr lang="ru-RU"/>
                      </a:p>
                    </c:txPr>
                    <c:dLblPos val="inEnd"/>
                    <c:showLegendKey val="0"/>
                    <c:showVal val="0"/>
                    <c:showCatName val="1"/>
                    <c:showSerName val="0"/>
                    <c:showPercent val="1"/>
                    <c:showBubbleSize val="0"/>
                  </c:dLbl>
                  <c:dLbl>
                    <c:idx val="1"/>
                    <c:numFmt formatCode="0.0%" sourceLinked="0"/>
                    <c:spPr>
                      <a:solidFill>
                        <a:schemeClr val="lt1">
                          <a:alpha val="90000"/>
                        </a:schemeClr>
                      </a:solidFill>
                      <a:ln w="12700" cap="flat" cmpd="sng" algn="ctr">
                        <a:solidFill>
                          <a:schemeClr val="accent2"/>
                        </a:solidFill>
                        <a:round/>
                      </a:ln>
                      <a:effectLst>
                        <a:outerShdw blurRad="50800" dist="38100" dir="2700000" algn="tl" rotWithShape="0">
                          <a:schemeClr val="accent2">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2"/>
                            </a:solidFill>
                            <a:effectLst/>
                            <a:latin typeface="+mn-lt"/>
                            <a:ea typeface="+mn-ea"/>
                            <a:cs typeface="+mn-cs"/>
                          </a:defRPr>
                        </a:pPr>
                        <a:endParaRPr lang="ru-RU"/>
                      </a:p>
                    </c:txPr>
                    <c:dLblPos val="inEnd"/>
                    <c:showLegendKey val="0"/>
                    <c:showVal val="0"/>
                    <c:showCatName val="1"/>
                    <c:showSerName val="0"/>
                    <c:showPercent val="1"/>
                    <c:showBubbleSize val="0"/>
                  </c:dLbl>
                  <c:dLbl>
                    <c:idx val="2"/>
                    <c:numFmt formatCode="0.0%" sourceLinked="0"/>
                    <c:spPr>
                      <a:solidFill>
                        <a:schemeClr val="lt1">
                          <a:alpha val="90000"/>
                        </a:schemeClr>
                      </a:solidFill>
                      <a:ln w="12700" cap="flat" cmpd="sng" algn="ctr">
                        <a:solidFill>
                          <a:schemeClr val="accent3"/>
                        </a:solidFill>
                        <a:round/>
                      </a:ln>
                      <a:effectLst>
                        <a:outerShdw blurRad="50800" dist="38100" dir="2700000" algn="tl" rotWithShape="0">
                          <a:schemeClr val="accent3">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3"/>
                            </a:solidFill>
                            <a:effectLst/>
                            <a:latin typeface="+mn-lt"/>
                            <a:ea typeface="+mn-ea"/>
                            <a:cs typeface="+mn-cs"/>
                          </a:defRPr>
                        </a:pPr>
                        <a:endParaRPr lang="ru-RU"/>
                      </a:p>
                    </c:txPr>
                    <c:dLblPos val="inEnd"/>
                    <c:showLegendKey val="0"/>
                    <c:showVal val="0"/>
                    <c:showCatName val="1"/>
                    <c:showSerName val="0"/>
                    <c:showPercent val="1"/>
                    <c:showBubbleSize val="0"/>
                  </c:dLbl>
                  <c:dLbl>
                    <c:idx val="3"/>
                    <c:numFmt formatCode="0.0%" sourceLinked="0"/>
                    <c:spPr>
                      <a:solidFill>
                        <a:schemeClr val="lt1">
                          <a:alpha val="90000"/>
                        </a:schemeClr>
                      </a:solidFill>
                      <a:ln w="12700" cap="flat" cmpd="sng" algn="ctr">
                        <a:solidFill>
                          <a:schemeClr val="accent4"/>
                        </a:solidFill>
                        <a:round/>
                      </a:ln>
                      <a:effectLst>
                        <a:outerShdw blurRad="50800" dist="38100" dir="2700000" algn="tl" rotWithShape="0">
                          <a:schemeClr val="accent4">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4"/>
                            </a:solidFill>
                            <a:effectLst/>
                            <a:latin typeface="+mn-lt"/>
                            <a:ea typeface="+mn-ea"/>
                            <a:cs typeface="+mn-cs"/>
                          </a:defRPr>
                        </a:pPr>
                        <a:endParaRPr lang="ru-RU"/>
                      </a:p>
                    </c:txPr>
                    <c:dLblPos val="inEnd"/>
                    <c:showLegendKey val="0"/>
                    <c:showVal val="0"/>
                    <c:showCatName val="1"/>
                    <c:showSerName val="0"/>
                    <c:showPercent val="1"/>
                    <c:showBubbleSize val="0"/>
                  </c:dLbl>
                  <c:numFmt formatCode="0.0%" sourceLinked="0"/>
                  <c:spPr>
                    <a:solidFill>
                      <a:sysClr val="window" lastClr="FFFFFF">
                        <a:alpha val="90000"/>
                      </a:sysClr>
                    </a:solidFill>
                    <a:ln w="12700" cap="flat" cmpd="sng" algn="ctr">
                      <a:solidFill>
                        <a:srgbClr val="5B9BD5"/>
                      </a:solidFill>
                      <a:round/>
                    </a:ln>
                    <a:effectLst>
                      <a:outerShdw blurRad="50800" dist="38100" dir="2700000" algn="tl" rotWithShape="0">
                        <a:srgbClr val="5B9BD5">
                          <a:lumMod val="75000"/>
                          <a:alpha val="40000"/>
                        </a:srgbClr>
                      </a:outerShdw>
                    </a:effectLst>
                  </c:spPr>
                  <c:dLblPos val="inEnd"/>
                  <c:showLegendKey val="0"/>
                  <c:showVal val="0"/>
                  <c:showCatName val="1"/>
                  <c:showSerName val="0"/>
                  <c:showPercent val="1"/>
                  <c:showBubbleSize val="0"/>
                  <c:showLeaderLines val="1"/>
                  <c:leaderLines>
                    <c:spPr>
                      <a:ln w="9525">
                        <a:solidFill>
                          <a:schemeClr val="tx1">
                            <a:lumMod val="35000"/>
                            <a:lumOff val="65000"/>
                          </a:schemeClr>
                        </a:solidFill>
                      </a:ln>
                      <a:effectLst/>
                    </c:spPr>
                  </c:leaderLines>
                  <c:extLst>
                    <c:ext uri="{CE6537A1-D6FC-4f65-9D91-7224C49458BB}"/>
                  </c:extLst>
                </c:dLbls>
                <c:cat>
                  <c:strRef>
                    <c:extLst>
                      <c:ext uri="{02D57815-91ED-43cb-92C2-25804820EDAC}">
                        <c15:formulaRef>
                          <c15:sqref>Лист1!$A$2:$A$5</c15:sqref>
                        </c15:formulaRef>
                      </c:ext>
                    </c:extLst>
                    <c:strCache>
                      <c:ptCount val="4"/>
                      <c:pt idx="0">
                        <c:v>I. Социально-культурная сфера (5 программ)</c:v>
                      </c:pt>
                      <c:pt idx="1">
                        <c:v>II. Жилищно-коммунальная сфера (3 программы)</c:v>
                      </c:pt>
                      <c:pt idx="2">
                        <c:v>III. Развитие отраслей экономики (5 программ)</c:v>
                      </c:pt>
                      <c:pt idx="3">
                        <c:v>IV. Иные направления (8 программ)</c:v>
                      </c:pt>
                    </c:strCache>
                  </c:strRef>
                </c:cat>
                <c:val>
                  <c:numRef>
                    <c:extLst>
                      <c:ext uri="{02D57815-91ED-43cb-92C2-25804820EDAC}">
                        <c15:formulaRef>
                          <c15:sqref>Лист1!$B$2:$B$5</c15:sqref>
                        </c15:formulaRef>
                      </c:ext>
                    </c:extLst>
                    <c:numCache>
                      <c:formatCode>#\ ##0.0</c:formatCode>
                      <c:ptCount val="4"/>
                      <c:pt idx="0">
                        <c:v>1685592.4</c:v>
                      </c:pt>
                      <c:pt idx="1">
                        <c:v>676111.4</c:v>
                      </c:pt>
                      <c:pt idx="2">
                        <c:v>279006</c:v>
                      </c:pt>
                      <c:pt idx="3">
                        <c:v>395916.89999999997</c:v>
                      </c:pt>
                    </c:numCache>
                  </c:numRef>
                </c:val>
              </c15:ser>
            </c15:filteredPieSeries>
            <c15:filteredPieSeries>
              <c15:ser>
                <c:idx val="2"/>
                <c:order val="2"/>
                <c:tx>
                  <c:strRef>
                    <c:extLst xmlns:c15="http://schemas.microsoft.com/office/drawing/2012/chart">
                      <c:ext xmlns:c15="http://schemas.microsoft.com/office/drawing/2012/chart" uri="{02D57815-91ED-43cb-92C2-25804820EDAC}">
                        <c15:formulaRef>
                          <c15:sqref>Лист1!$D$1</c15:sqref>
                        </c15:formulaRef>
                      </c:ext>
                    </c:extLst>
                    <c:strCache>
                      <c:ptCount val="1"/>
                      <c:pt idx="0">
                        <c:v>2019</c:v>
                      </c:pt>
                    </c:strCache>
                  </c:strRef>
                </c:tx>
                <c:dPt>
                  <c:idx val="0"/>
                  <c:bubble3D val="0"/>
                  <c:spPr>
                    <a:solidFill>
                      <a:schemeClr val="accent1">
                        <a:alpha val="90000"/>
                      </a:schemeClr>
                    </a:solidFill>
                    <a:ln w="19050">
                      <a:solidFill>
                        <a:schemeClr val="accent1">
                          <a:lumMod val="75000"/>
                        </a:schemeClr>
                      </a:solidFill>
                    </a:ln>
                    <a:effectLst>
                      <a:innerShdw blurRad="114300">
                        <a:schemeClr val="accent1">
                          <a:lumMod val="75000"/>
                        </a:schemeClr>
                      </a:innerShdw>
                    </a:effectLst>
                    <a:scene3d>
                      <a:camera prst="orthographicFront"/>
                      <a:lightRig rig="threePt" dir="t"/>
                    </a:scene3d>
                    <a:sp3d contourW="19050" prstMaterial="flat">
                      <a:contourClr>
                        <a:schemeClr val="accent1">
                          <a:lumMod val="75000"/>
                        </a:schemeClr>
                      </a:contourClr>
                    </a:sp3d>
                  </c:spPr>
                </c:dPt>
                <c:dPt>
                  <c:idx val="1"/>
                  <c:bubble3D val="0"/>
                  <c:spPr>
                    <a:solidFill>
                      <a:schemeClr val="accent2">
                        <a:alpha val="90000"/>
                      </a:schemeClr>
                    </a:solidFill>
                    <a:ln w="19050">
                      <a:solidFill>
                        <a:schemeClr val="accent2">
                          <a:lumMod val="75000"/>
                        </a:schemeClr>
                      </a:solidFill>
                    </a:ln>
                    <a:effectLst>
                      <a:innerShdw blurRad="114300">
                        <a:schemeClr val="accent2">
                          <a:lumMod val="75000"/>
                        </a:schemeClr>
                      </a:innerShdw>
                    </a:effectLst>
                    <a:scene3d>
                      <a:camera prst="orthographicFront"/>
                      <a:lightRig rig="threePt" dir="t"/>
                    </a:scene3d>
                    <a:sp3d contourW="19050" prstMaterial="flat">
                      <a:contourClr>
                        <a:schemeClr val="accent2">
                          <a:lumMod val="75000"/>
                        </a:schemeClr>
                      </a:contourClr>
                    </a:sp3d>
                  </c:spPr>
                </c:dPt>
                <c:dPt>
                  <c:idx val="2"/>
                  <c:bubble3D val="0"/>
                  <c:spPr>
                    <a:solidFill>
                      <a:schemeClr val="accent3">
                        <a:alpha val="90000"/>
                      </a:schemeClr>
                    </a:solidFill>
                    <a:ln w="19050">
                      <a:solidFill>
                        <a:schemeClr val="accent3">
                          <a:lumMod val="75000"/>
                        </a:schemeClr>
                      </a:solidFill>
                    </a:ln>
                    <a:effectLst>
                      <a:innerShdw blurRad="114300">
                        <a:schemeClr val="accent3">
                          <a:lumMod val="75000"/>
                        </a:schemeClr>
                      </a:innerShdw>
                    </a:effectLst>
                    <a:scene3d>
                      <a:camera prst="orthographicFront"/>
                      <a:lightRig rig="threePt" dir="t"/>
                    </a:scene3d>
                    <a:sp3d contourW="19050" prstMaterial="flat">
                      <a:contourClr>
                        <a:schemeClr val="accent3">
                          <a:lumMod val="75000"/>
                        </a:schemeClr>
                      </a:contourClr>
                    </a:sp3d>
                  </c:spPr>
                </c:dPt>
                <c:dPt>
                  <c:idx val="3"/>
                  <c:bubble3D val="0"/>
                  <c:spPr>
                    <a:solidFill>
                      <a:schemeClr val="accent4">
                        <a:alpha val="90000"/>
                      </a:schemeClr>
                    </a:solidFill>
                    <a:ln w="19050">
                      <a:solidFill>
                        <a:schemeClr val="accent4">
                          <a:lumMod val="75000"/>
                        </a:schemeClr>
                      </a:solidFill>
                    </a:ln>
                    <a:effectLst>
                      <a:innerShdw blurRad="114300">
                        <a:schemeClr val="accent4">
                          <a:lumMod val="75000"/>
                        </a:schemeClr>
                      </a:innerShdw>
                    </a:effectLst>
                    <a:scene3d>
                      <a:camera prst="orthographicFront"/>
                      <a:lightRig rig="threePt" dir="t"/>
                    </a:scene3d>
                    <a:sp3d contourW="19050" prstMaterial="flat">
                      <a:contourClr>
                        <a:schemeClr val="accent4">
                          <a:lumMod val="75000"/>
                        </a:schemeClr>
                      </a:contourClr>
                    </a:sp3d>
                  </c:spPr>
                </c:dPt>
                <c:dLbls>
                  <c:dLbl>
                    <c:idx val="0"/>
                    <c:spPr>
                      <a:solidFill>
                        <a:schemeClr val="lt1">
                          <a:alpha val="90000"/>
                        </a:schemeClr>
                      </a:solidFill>
                      <a:ln w="12700" cap="flat" cmpd="sng" algn="ctr">
                        <a:solidFill>
                          <a:schemeClr val="accent1"/>
                        </a:solidFill>
                        <a:round/>
                      </a:ln>
                      <a:effectLst>
                        <a:outerShdw blurRad="50800" dist="38100" dir="2700000" algn="tl" rotWithShape="0">
                          <a:schemeClr val="accent1">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1"/>
                            </a:solidFill>
                            <a:effectLst/>
                            <a:latin typeface="+mn-lt"/>
                            <a:ea typeface="+mn-ea"/>
                            <a:cs typeface="+mn-cs"/>
                          </a:defRPr>
                        </a:pPr>
                        <a:endParaRPr lang="ru-RU"/>
                      </a:p>
                    </c:txPr>
                    <c:dLblPos val="inEnd"/>
                    <c:showLegendKey val="0"/>
                    <c:showVal val="0"/>
                    <c:showCatName val="1"/>
                    <c:showSerName val="0"/>
                    <c:showPercent val="0"/>
                    <c:showBubbleSize val="0"/>
                  </c:dLbl>
                  <c:dLbl>
                    <c:idx val="1"/>
                    <c:spPr>
                      <a:solidFill>
                        <a:schemeClr val="lt1">
                          <a:alpha val="90000"/>
                        </a:schemeClr>
                      </a:solidFill>
                      <a:ln w="12700" cap="flat" cmpd="sng" algn="ctr">
                        <a:solidFill>
                          <a:schemeClr val="accent2"/>
                        </a:solidFill>
                        <a:round/>
                      </a:ln>
                      <a:effectLst>
                        <a:outerShdw blurRad="50800" dist="38100" dir="2700000" algn="tl" rotWithShape="0">
                          <a:schemeClr val="accent2">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2"/>
                            </a:solidFill>
                            <a:effectLst/>
                            <a:latin typeface="+mn-lt"/>
                            <a:ea typeface="+mn-ea"/>
                            <a:cs typeface="+mn-cs"/>
                          </a:defRPr>
                        </a:pPr>
                        <a:endParaRPr lang="ru-RU"/>
                      </a:p>
                    </c:txPr>
                    <c:dLblPos val="inEnd"/>
                    <c:showLegendKey val="0"/>
                    <c:showVal val="0"/>
                    <c:showCatName val="1"/>
                    <c:showSerName val="0"/>
                    <c:showPercent val="0"/>
                    <c:showBubbleSize val="0"/>
                  </c:dLbl>
                  <c:dLbl>
                    <c:idx val="2"/>
                    <c:spPr>
                      <a:solidFill>
                        <a:schemeClr val="lt1">
                          <a:alpha val="90000"/>
                        </a:schemeClr>
                      </a:solidFill>
                      <a:ln w="12700" cap="flat" cmpd="sng" algn="ctr">
                        <a:solidFill>
                          <a:schemeClr val="accent3"/>
                        </a:solidFill>
                        <a:round/>
                      </a:ln>
                      <a:effectLst>
                        <a:outerShdw blurRad="50800" dist="38100" dir="2700000" algn="tl" rotWithShape="0">
                          <a:schemeClr val="accent3">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3"/>
                            </a:solidFill>
                            <a:effectLst/>
                            <a:latin typeface="+mn-lt"/>
                            <a:ea typeface="+mn-ea"/>
                            <a:cs typeface="+mn-cs"/>
                          </a:defRPr>
                        </a:pPr>
                        <a:endParaRPr lang="ru-RU"/>
                      </a:p>
                    </c:txPr>
                    <c:dLblPos val="inEnd"/>
                    <c:showLegendKey val="0"/>
                    <c:showVal val="0"/>
                    <c:showCatName val="1"/>
                    <c:showSerName val="0"/>
                    <c:showPercent val="0"/>
                    <c:showBubbleSize val="0"/>
                  </c:dLbl>
                  <c:dLbl>
                    <c:idx val="3"/>
                    <c:spPr>
                      <a:solidFill>
                        <a:schemeClr val="lt1">
                          <a:alpha val="90000"/>
                        </a:schemeClr>
                      </a:solidFill>
                      <a:ln w="12700" cap="flat" cmpd="sng" algn="ctr">
                        <a:solidFill>
                          <a:schemeClr val="accent4"/>
                        </a:solidFill>
                        <a:round/>
                      </a:ln>
                      <a:effectLst>
                        <a:outerShdw blurRad="50800" dist="38100" dir="2700000" algn="tl" rotWithShape="0">
                          <a:schemeClr val="accent4">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4"/>
                            </a:solidFill>
                            <a:effectLst/>
                            <a:latin typeface="+mn-lt"/>
                            <a:ea typeface="+mn-ea"/>
                            <a:cs typeface="+mn-cs"/>
                          </a:defRPr>
                        </a:pPr>
                        <a:endParaRPr lang="ru-RU"/>
                      </a:p>
                    </c:txPr>
                    <c:dLblPos val="inEnd"/>
                    <c:showLegendKey val="0"/>
                    <c:showVal val="0"/>
                    <c:showCatName val="1"/>
                    <c:showSerName val="0"/>
                    <c:showPercent val="0"/>
                    <c:showBubbleSize val="0"/>
                  </c:dLbl>
                  <c:spPr>
                    <a:solidFill>
                      <a:sysClr val="window" lastClr="FFFFFF">
                        <a:alpha val="90000"/>
                      </a:sysClr>
                    </a:solidFill>
                    <a:ln w="12700" cap="flat" cmpd="sng" algn="ctr">
                      <a:solidFill>
                        <a:srgbClr val="A5A5A5"/>
                      </a:solidFill>
                      <a:round/>
                    </a:ln>
                    <a:effectLst>
                      <a:outerShdw blurRad="50800" dist="38100" dir="2700000" algn="tl" rotWithShape="0">
                        <a:srgbClr val="A5A5A5">
                          <a:lumMod val="75000"/>
                          <a:alpha val="40000"/>
                        </a:srgbClr>
                      </a:outerShdw>
                    </a:effectLst>
                  </c:spPr>
                  <c:dLblPos val="inEnd"/>
                  <c:showLegendKey val="0"/>
                  <c:showVal val="0"/>
                  <c:showCatName val="1"/>
                  <c:showSerName val="0"/>
                  <c:showPercent val="0"/>
                  <c:showBubbleSize val="0"/>
                  <c:showLeaderLines val="1"/>
                  <c:leaderLines>
                    <c:spPr>
                      <a:ln w="9525">
                        <a:solidFill>
                          <a:schemeClr val="tx1">
                            <a:lumMod val="35000"/>
                            <a:lumOff val="65000"/>
                          </a:schemeClr>
                        </a:solidFill>
                      </a:ln>
                      <a:effectLst/>
                    </c:spPr>
                  </c:leaderLines>
                  <c:extLst xmlns:c15="http://schemas.microsoft.com/office/drawing/2012/chart">
                    <c:ext xmlns:c15="http://schemas.microsoft.com/office/drawing/2012/chart" uri="{CE6537A1-D6FC-4f65-9D91-7224C49458BB}"/>
                  </c:extLst>
                </c:dLbls>
                <c:cat>
                  <c:strRef>
                    <c:extLst xmlns:c15="http://schemas.microsoft.com/office/drawing/2012/chart">
                      <c:ext xmlns:c15="http://schemas.microsoft.com/office/drawing/2012/chart" uri="{02D57815-91ED-43cb-92C2-25804820EDAC}">
                        <c15:formulaRef>
                          <c15:sqref>Лист1!$A$2:$A$5</c15:sqref>
                        </c15:formulaRef>
                      </c:ext>
                    </c:extLst>
                    <c:strCache>
                      <c:ptCount val="4"/>
                      <c:pt idx="0">
                        <c:v>I. Социально-культурная сфера (5 программ)</c:v>
                      </c:pt>
                      <c:pt idx="1">
                        <c:v>II. Жилищно-коммунальная сфера (3 программы)</c:v>
                      </c:pt>
                      <c:pt idx="2">
                        <c:v>III. Развитие отраслей экономики (5 программ)</c:v>
                      </c:pt>
                      <c:pt idx="3">
                        <c:v>IV. Иные направления (8 программ)</c:v>
                      </c:pt>
                    </c:strCache>
                  </c:strRef>
                </c:cat>
                <c:val>
                  <c:numRef>
                    <c:extLst xmlns:c15="http://schemas.microsoft.com/office/drawing/2012/chart">
                      <c:ext xmlns:c15="http://schemas.microsoft.com/office/drawing/2012/chart" uri="{02D57815-91ED-43cb-92C2-25804820EDAC}">
                        <c15:formulaRef>
                          <c15:sqref>Лист1!$D$2:$D$5</c15:sqref>
                        </c15:formulaRef>
                      </c:ext>
                    </c:extLst>
                    <c:numCache>
                      <c:formatCode>#\ ##0.0</c:formatCode>
                      <c:ptCount val="4"/>
                      <c:pt idx="0">
                        <c:v>2040866.5999999999</c:v>
                      </c:pt>
                      <c:pt idx="1">
                        <c:v>248077.2</c:v>
                      </c:pt>
                      <c:pt idx="2">
                        <c:v>249491.50000000003</c:v>
                      </c:pt>
                      <c:pt idx="3">
                        <c:v>531928.29999999993</c:v>
                      </c:pt>
                    </c:numCache>
                  </c:numRef>
                </c:val>
              </c15:ser>
            </c15:filteredPieSeries>
          </c:ext>
        </c:extLst>
      </c:pie3D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0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headEnd type="none" w="sm" len="sm"/>
        <a:tailEnd type="none" w="sm" len="sm"/>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alpha val="70000"/>
        </a:schemeClr>
      </a:solidFill>
    </cs:spPr>
  </cs:dataPoint>
  <cs:dataPoint3D>
    <cs:lnRef idx="0"/>
    <cs:fillRef idx="0">
      <cs:styleClr val="auto"/>
    </cs:fillRef>
    <cs:effectRef idx="0"/>
    <cs:fontRef idx="minor">
      <a:schemeClr val="tx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a:gsLst>
          <a:gs pos="0">
            <a:schemeClr val="phClr"/>
          </a:gs>
          <a:gs pos="46000">
            <a:schemeClr val="phClr"/>
          </a:gs>
          <a:gs pos="100000">
            <a:schemeClr val="phClr">
              <a:lumMod val="20000"/>
              <a:lumOff val="80000"/>
              <a:alpha val="0"/>
            </a:schemeClr>
          </a:gs>
        </a:gsLst>
        <a:path path="circle">
          <a:fillToRect l="50000" t="-80000" r="50000" b="180000"/>
        </a:path>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0">
              <a:schemeClr val="tx1">
                <a:lumMod val="5000"/>
                <a:lumOff val="95000"/>
              </a:schemeClr>
            </a:gs>
            <a:gs pos="100000">
              <a:schemeClr val="tx1">
                <a:lumMod val="15000"/>
                <a:lumOff val="85000"/>
              </a:schemeClr>
            </a:gs>
          </a:gsLst>
          <a:lin ang="5400000" scaled="0"/>
        </a:gradFill>
        <a:round/>
      </a:ln>
    </cs:spPr>
  </cs:gridlineMajor>
  <cs:gridlineMinor>
    <cs:lnRef idx="0"/>
    <cs:fillRef idx="0"/>
    <cs:effectRef idx="0"/>
    <cs:fontRef idx="minor">
      <a:schemeClr val="dk1"/>
    </cs:fontRef>
    <cs:spPr>
      <a:ln w="9525" cap="flat" cmpd="sng" algn="ctr">
        <a:gradFill>
          <a:gsLst>
            <a:gs pos="0">
              <a:schemeClr val="tx1">
                <a:lumMod val="5000"/>
                <a:lumOff val="95000"/>
              </a:schemeClr>
            </a:gs>
            <a:gs pos="100000">
              <a:schemeClr val="tx1">
                <a:lumMod val="15000"/>
                <a:lumOff val="85000"/>
              </a:schemeClr>
            </a:gs>
          </a:gsLst>
          <a:lin ang="5400000" scaled="0"/>
        </a:gra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63">
  <cs:axisTitle>
    <cs:lnRef idx="0"/>
    <cs:fillRef idx="0"/>
    <cs:effectRef idx="0"/>
    <cs:fontRef idx="minor">
      <a:schemeClr val="tx1">
        <a:lumMod val="50000"/>
        <a:lumOff val="50000"/>
      </a:schemeClr>
    </cs:fontRef>
    <cs:defRPr sz="900" kern="1200"/>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styleClr val="auto"/>
    </cs:lnRef>
    <cs:fillRef idx="0"/>
    <cs:effectRef idx="0">
      <cs:styleClr val="auto"/>
    </cs:effectRef>
    <cs:fontRef idx="minor">
      <cs:styleClr val="auto"/>
    </cs:fontRef>
    <cs:spPr>
      <a:solidFill>
        <a:schemeClr val="lt1">
          <a:alpha val="90000"/>
        </a:schemeClr>
      </a:solidFill>
      <a:ln w="12700" cap="flat" cmpd="sng" algn="ctr">
        <a:solidFill>
          <a:schemeClr val="phClr"/>
        </a:solidFill>
        <a:round/>
      </a:ln>
      <a:effectLst>
        <a:outerShdw blurRad="50800" dist="38100" dir="2700000" algn="tl" rotWithShape="0">
          <a:schemeClr val="phClr">
            <a:lumMod val="75000"/>
            <a:alpha val="40000"/>
          </a:schemeClr>
        </a:outerShdw>
      </a:effectLst>
    </cs:spPr>
    <cs:defRPr sz="1000" b="0" i="0" u="none" strike="noStrike" kern="1200" baseline="0">
      <a:effectLst/>
    </cs:defRPr>
    <cs:bodyPr rot="0" spcFirstLastPara="1" vertOverflow="clip" horzOverflow="clip" vert="horz" wrap="square" lIns="38100" tIns="19050" rIns="38100" bIns="19050" anchor="ctr" anchorCtr="1">
      <a:spAutoFit/>
    </cs:bodyPr>
  </cs:dataLabel>
  <cs:dataLabelCallout>
    <cs:lnRef idx="0">
      <cs:styleClr val="auto"/>
    </cs:lnRef>
    <cs:fillRef idx="0"/>
    <cs:effectRef idx="0">
      <cs:styleClr val="auto"/>
    </cs:effectRef>
    <cs:fontRef idx="minor">
      <cs:styleClr val="auto"/>
    </cs:fontRef>
    <cs:spPr>
      <a:solidFill>
        <a:schemeClr val="lt1">
          <a:alpha val="90000"/>
        </a:schemeClr>
      </a:solidFill>
      <a:ln w="12700" cap="flat" cmpd="sng" algn="ctr">
        <a:solidFill>
          <a:schemeClr val="phClr"/>
        </a:solidFill>
        <a:round/>
      </a:ln>
      <a:effectLst>
        <a:outerShdw blurRad="50800" dist="38100" dir="2700000" algn="tl" rotWithShape="0">
          <a:schemeClr val="phClr">
            <a:lumMod val="75000"/>
            <a:alpha val="40000"/>
          </a:schemeClr>
        </a:outerShdw>
      </a:effectLst>
    </cs:spPr>
    <cs:defRPr sz="1000" b="0" i="0" u="none" strike="noStrike" kern="1200" baseline="0">
      <a:effectLst/>
    </cs:defRPr>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alpha val="70000"/>
        </a:schemeClr>
      </a:solidFill>
    </cs:spPr>
  </cs:dataPoint>
  <cs:dataPoint3D>
    <cs:lnRef idx="0">
      <cs:styleClr val="auto"/>
    </cs:lnRef>
    <cs:fillRef idx="0">
      <cs:styleClr val="auto"/>
    </cs:fillRef>
    <cs:effectRef idx="0">
      <cs:styleClr val="auto"/>
    </cs:effectRef>
    <cs:fontRef idx="minor">
      <a:schemeClr val="tx1"/>
    </cs:fontRef>
    <cs:spPr>
      <a:solidFill>
        <a:schemeClr val="phClr">
          <a:alpha val="90000"/>
        </a:schemeClr>
      </a:solidFill>
      <a:ln w="19050">
        <a:solidFill>
          <a:schemeClr val="phClr">
            <a:lumMod val="75000"/>
          </a:schemeClr>
        </a:solidFill>
      </a:ln>
      <a:effectLst>
        <a:innerShdw blurRad="114300">
          <a:schemeClr val="phClr">
            <a:lumMod val="75000"/>
          </a:schemeClr>
        </a:innerShdw>
      </a:effectLst>
      <a:scene3d>
        <a:camera prst="orthographicFront"/>
        <a:lightRig rig="threePt" dir="t"/>
      </a:scene3d>
      <a:sp3d contourW="19050" prstMaterial="flat">
        <a:contourClr>
          <a:schemeClr val="accent4">
            <a:lumMod val="75000"/>
          </a:schemeClr>
        </a:contourClr>
      </a:sp3d>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TotalTime>
  <Pages>24</Pages>
  <Words>5499</Words>
  <Characters>37434</Characters>
  <Application>Microsoft Office Word</Application>
  <DocSecurity>0</DocSecurity>
  <Lines>311</Lines>
  <Paragraphs>85</Paragraphs>
  <ScaleCrop>false</ScaleCrop>
  <HeadingPairs>
    <vt:vector size="2" baseType="variant">
      <vt:variant>
        <vt:lpstr>Название</vt:lpstr>
      </vt:variant>
      <vt:variant>
        <vt:i4>1</vt:i4>
      </vt:variant>
    </vt:vector>
  </HeadingPairs>
  <TitlesOfParts>
    <vt:vector size="1" baseType="lpstr">
      <vt:lpstr>Отчет о результатах деятельности</vt:lpstr>
    </vt:vector>
  </TitlesOfParts>
  <Company>МКУ Администрация г.Пыть-Яха</Company>
  <LinksUpToDate>false</LinksUpToDate>
  <CharactersWithSpaces>42848</CharactersWithSpaces>
  <SharedDoc>false</SharedDoc>
  <HLinks>
    <vt:vector size="12" baseType="variant">
      <vt:variant>
        <vt:i4>6881386</vt:i4>
      </vt:variant>
      <vt:variant>
        <vt:i4>3</vt:i4>
      </vt:variant>
      <vt:variant>
        <vt:i4>0</vt:i4>
      </vt:variant>
      <vt:variant>
        <vt:i4>5</vt:i4>
      </vt:variant>
      <vt:variant>
        <vt:lpwstr>http://adm.gov86.org/files/2016/finkom/2014-otchet-kf.docm</vt:lpwstr>
      </vt:variant>
      <vt:variant>
        <vt:lpwstr>Par988#Par988</vt:lpwstr>
      </vt:variant>
      <vt:variant>
        <vt:i4>6946917</vt:i4>
      </vt:variant>
      <vt:variant>
        <vt:i4>0</vt:i4>
      </vt:variant>
      <vt:variant>
        <vt:i4>0</vt:i4>
      </vt:variant>
      <vt:variant>
        <vt:i4>5</vt:i4>
      </vt:variant>
      <vt:variant>
        <vt:lpwstr>http://adm.gov86.org/files/2016/finkom/2014-otchet-kf.docm</vt:lpwstr>
      </vt:variant>
      <vt:variant>
        <vt:lpwstr>Par684#Par684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Отчет о результатах деятельности</dc:title>
  <dc:subject/>
  <dc:creator>Баляева</dc:creator>
  <cp:keywords/>
  <dc:description/>
  <cp:lastModifiedBy>Сергей Медведев</cp:lastModifiedBy>
  <cp:revision>2</cp:revision>
  <dcterms:created xsi:type="dcterms:W3CDTF">2020-02-10T12:14:00Z</dcterms:created>
  <dcterms:modified xsi:type="dcterms:W3CDTF">2020-02-10T12:14:00Z</dcterms:modified>
</cp:coreProperties>
</file>