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right="20" w:firstLine="7371"/>
        <w:jc w:val="right"/>
        <w:spacing w:before="0" w:after="0" w:line="240" w:lineRule="auto"/>
        <w:shd w:val="clear" w:color="auto" w:fill="auto"/>
        <w:rPr>
          <w:b w:val="0"/>
          <w:sz w:val="32"/>
          <w:szCs w:val="32"/>
          <w:lang w:val="ru-RU"/>
        </w:rPr>
      </w:pPr>
      <w:r>
        <w:rPr>
          <w:b w:val="0"/>
          <w:sz w:val="32"/>
          <w:szCs w:val="32"/>
          <w:lang w:val="ru-RU"/>
        </w:rPr>
        <w:t xml:space="preserve">Проект</w:t>
      </w:r>
      <w:r/>
    </w:p>
    <w:p>
      <w:pPr>
        <w:pStyle w:val="655"/>
        <w:ind w:right="20" w:firstLine="7371"/>
        <w:jc w:val="right"/>
        <w:spacing w:before="0" w:after="0" w:line="240" w:lineRule="auto"/>
        <w:shd w:val="clear" w:color="auto" w:fill="auto"/>
        <w:rPr>
          <w:b w:val="0"/>
          <w:sz w:val="32"/>
          <w:szCs w:val="32"/>
          <w:lang w:val="ru-RU"/>
        </w:rPr>
      </w:pPr>
      <w:r>
        <w:rPr>
          <w:b w:val="0"/>
          <w:sz w:val="32"/>
          <w:szCs w:val="32"/>
          <w:lang w:val="ru-RU"/>
        </w:rPr>
      </w:r>
      <w:r/>
    </w:p>
    <w:p>
      <w:pPr>
        <w:pStyle w:val="655"/>
        <w:ind w:right="20" w:firstLine="7371"/>
        <w:jc w:val="right"/>
        <w:spacing w:before="0" w:after="0" w:line="240" w:lineRule="auto"/>
        <w:shd w:val="clear" w:color="auto" w:fill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УТВЕРЖДЕ</w:t>
      </w:r>
      <w:r>
        <w:rPr>
          <w:b w:val="0"/>
          <w:sz w:val="32"/>
          <w:szCs w:val="32"/>
        </w:rPr>
        <w:t xml:space="preserve">Н</w:t>
      </w:r>
      <w:r>
        <w:rPr>
          <w:b w:val="0"/>
          <w:sz w:val="32"/>
          <w:szCs w:val="32"/>
        </w:rPr>
      </w:r>
      <w:r/>
    </w:p>
    <w:p>
      <w:pPr>
        <w:pStyle w:val="655"/>
        <w:ind w:right="20" w:firstLine="7371"/>
        <w:jc w:val="right"/>
        <w:spacing w:before="0" w:after="0" w:line="240" w:lineRule="auto"/>
        <w:shd w:val="clear" w:color="auto" w:fill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на</w:t>
      </w:r>
      <w:r>
        <w:rPr>
          <w:b w:val="0"/>
          <w:sz w:val="32"/>
          <w:szCs w:val="32"/>
        </w:rPr>
        <w:t xml:space="preserve"> совместном заседании призывной комиссии</w:t>
      </w:r>
      <w:r/>
    </w:p>
    <w:p>
      <w:pPr>
        <w:pStyle w:val="661"/>
        <w:jc w:val="right"/>
        <w:spacing w:line="240" w:lineRule="auto"/>
        <w:widowControl/>
        <w:rPr>
          <w:rStyle w:val="662"/>
          <w:sz w:val="32"/>
          <w:szCs w:val="32"/>
        </w:rPr>
      </w:pPr>
      <w:r>
        <w:rPr>
          <w:rStyle w:val="662"/>
          <w:sz w:val="32"/>
          <w:szCs w:val="32"/>
        </w:rPr>
        <w:t xml:space="preserve">Ханты-Мансийского </w:t>
      </w:r>
      <w:r>
        <w:rPr>
          <w:rStyle w:val="662"/>
          <w:sz w:val="32"/>
          <w:szCs w:val="32"/>
        </w:rPr>
        <w:t xml:space="preserve">автономного округа – Югры</w:t>
      </w:r>
      <w:r>
        <w:rPr>
          <w:rStyle w:val="662"/>
          <w:sz w:val="32"/>
          <w:szCs w:val="32"/>
        </w:rPr>
      </w:r>
      <w:r/>
    </w:p>
    <w:p>
      <w:pPr>
        <w:pStyle w:val="661"/>
        <w:jc w:val="right"/>
        <w:spacing w:line="240" w:lineRule="auto"/>
        <w:widowControl/>
        <w:rPr>
          <w:rStyle w:val="662"/>
          <w:sz w:val="32"/>
          <w:szCs w:val="32"/>
        </w:rPr>
      </w:pPr>
      <w:r>
        <w:rPr>
          <w:rStyle w:val="662"/>
          <w:sz w:val="32"/>
          <w:szCs w:val="32"/>
        </w:rPr>
        <w:t xml:space="preserve">и призывных комиссий </w:t>
      </w:r>
      <w:r>
        <w:rPr>
          <w:rStyle w:val="662"/>
          <w:sz w:val="32"/>
          <w:szCs w:val="32"/>
        </w:rPr>
        <w:t xml:space="preserve">муниципальных образований</w:t>
      </w:r>
      <w:r>
        <w:rPr>
          <w:rStyle w:val="662"/>
          <w:sz w:val="32"/>
          <w:szCs w:val="32"/>
        </w:rPr>
      </w:r>
      <w:r/>
    </w:p>
    <w:p>
      <w:pPr>
        <w:pStyle w:val="661"/>
        <w:jc w:val="right"/>
        <w:spacing w:line="240" w:lineRule="auto"/>
        <w:widowControl/>
        <w:rPr>
          <w:sz w:val="32"/>
          <w:szCs w:val="32"/>
        </w:rPr>
      </w:pPr>
      <w:r>
        <w:rPr>
          <w:rStyle w:val="662"/>
          <w:sz w:val="32"/>
          <w:szCs w:val="32"/>
        </w:rPr>
        <w:t xml:space="preserve">Ханты-Мансийского </w:t>
      </w:r>
      <w:r>
        <w:rPr>
          <w:rStyle w:val="662"/>
          <w:sz w:val="32"/>
          <w:szCs w:val="32"/>
        </w:rPr>
        <w:t xml:space="preserve">автономного округа</w:t>
      </w:r>
      <w:r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Югры</w:t>
      </w:r>
      <w:r>
        <w:rPr>
          <w:sz w:val="32"/>
          <w:szCs w:val="32"/>
        </w:rPr>
      </w:r>
      <w:r/>
    </w:p>
    <w:p>
      <w:pPr>
        <w:pStyle w:val="661"/>
        <w:jc w:val="right"/>
        <w:spacing w:line="240" w:lineRule="auto"/>
        <w:widowControl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(протокол от</w:t>
      </w:r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____</w:t>
      </w:r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марта</w:t>
      </w:r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20</w:t>
      </w:r>
      <w:r>
        <w:rPr>
          <w:i/>
          <w:sz w:val="32"/>
          <w:szCs w:val="32"/>
        </w:rPr>
        <w:t xml:space="preserve">2</w:t>
      </w:r>
      <w:r>
        <w:rPr>
          <w:i/>
          <w:sz w:val="32"/>
          <w:szCs w:val="32"/>
        </w:rPr>
        <w:t xml:space="preserve">4</w:t>
      </w:r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№</w:t>
      </w:r>
      <w:r>
        <w:rPr>
          <w:i/>
          <w:sz w:val="32"/>
          <w:szCs w:val="32"/>
        </w:rPr>
        <w:t xml:space="preserve"> </w:t>
      </w:r>
      <w:r>
        <w:rPr>
          <w:i/>
          <w:sz w:val="32"/>
          <w:szCs w:val="32"/>
        </w:rPr>
        <w:t xml:space="preserve">1</w:t>
      </w:r>
      <w:r>
        <w:rPr>
          <w:i/>
          <w:sz w:val="32"/>
          <w:szCs w:val="32"/>
        </w:rPr>
        <w:t xml:space="preserve">)</w:t>
      </w:r>
      <w:r>
        <w:rPr>
          <w:i/>
          <w:sz w:val="32"/>
          <w:szCs w:val="32"/>
        </w:rPr>
      </w:r>
      <w:r/>
    </w:p>
    <w:p>
      <w:pPr>
        <w:pStyle w:val="655"/>
        <w:spacing w:before="0" w:after="0" w:line="240" w:lineRule="auto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/>
    </w:p>
    <w:p>
      <w:pPr>
        <w:pStyle w:val="655"/>
        <w:spacing w:before="0" w:after="0" w:line="240" w:lineRule="auto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/>
    </w:p>
    <w:p>
      <w:pPr>
        <w:pStyle w:val="655"/>
        <w:spacing w:before="0" w:after="0" w:line="240" w:lineRule="auto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/>
    </w:p>
    <w:p>
      <w:pPr>
        <w:pStyle w:val="655"/>
        <w:spacing w:before="0" w:after="0" w:line="240" w:lineRule="auto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План </w:t>
      </w:r>
      <w:r>
        <w:rPr>
          <w:sz w:val="32"/>
          <w:szCs w:val="32"/>
        </w:rPr>
        <w:t xml:space="preserve">мероприятий</w:t>
      </w:r>
      <w:r>
        <w:rPr>
          <w:sz w:val="32"/>
          <w:szCs w:val="32"/>
        </w:rPr>
      </w:r>
      <w:r/>
    </w:p>
    <w:p>
      <w:pPr>
        <w:pStyle w:val="655"/>
        <w:spacing w:before="0" w:after="0" w:line="240" w:lineRule="auto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по проведени</w:t>
      </w:r>
      <w:r>
        <w:rPr>
          <w:sz w:val="32"/>
          <w:szCs w:val="32"/>
          <w:lang w:val="ru-RU"/>
        </w:rPr>
        <w:t xml:space="preserve">ю</w:t>
      </w:r>
      <w:r>
        <w:rPr>
          <w:sz w:val="32"/>
          <w:szCs w:val="32"/>
        </w:rPr>
        <w:t xml:space="preserve"> призыва </w:t>
      </w:r>
      <w:r>
        <w:rPr>
          <w:sz w:val="32"/>
          <w:szCs w:val="32"/>
        </w:rPr>
        <w:t xml:space="preserve">граждан</w:t>
      </w:r>
      <w:r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 xml:space="preserve">Ханты-Мансийского автономного округа – Югры</w:t>
      </w:r>
      <w:r/>
    </w:p>
    <w:p>
      <w:pPr>
        <w:pStyle w:val="655"/>
        <w:spacing w:before="0" w:after="0" w:line="240" w:lineRule="auto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на военную службу в </w:t>
      </w:r>
      <w:r>
        <w:rPr>
          <w:sz w:val="32"/>
          <w:szCs w:val="32"/>
          <w:lang w:val="ru-RU"/>
        </w:rPr>
        <w:t xml:space="preserve">апреле-июле </w:t>
      </w:r>
      <w:r>
        <w:rPr>
          <w:sz w:val="32"/>
          <w:szCs w:val="32"/>
        </w:rPr>
        <w:t xml:space="preserve">20</w:t>
      </w:r>
      <w:r>
        <w:rPr>
          <w:sz w:val="32"/>
          <w:szCs w:val="32"/>
          <w:lang w:val="ru-RU"/>
        </w:rPr>
        <w:t xml:space="preserve">2</w:t>
      </w:r>
      <w:r>
        <w:rPr>
          <w:sz w:val="32"/>
          <w:szCs w:val="32"/>
          <w:lang w:val="ru-RU"/>
        </w:rPr>
        <w:t xml:space="preserve">4</w:t>
      </w:r>
      <w:r>
        <w:rPr>
          <w:sz w:val="32"/>
          <w:szCs w:val="32"/>
        </w:rPr>
        <w:t xml:space="preserve"> года</w:t>
      </w:r>
      <w:r>
        <w:rPr>
          <w:sz w:val="32"/>
          <w:szCs w:val="32"/>
          <w:lang w:val="ru-RU"/>
        </w:rPr>
      </w:r>
      <w:r/>
    </w:p>
    <w:p>
      <w:pPr>
        <w:pStyle w:val="655"/>
        <w:spacing w:before="0" w:after="0" w:line="240" w:lineRule="auto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/>
    </w:p>
    <w:tbl>
      <w:tblPr>
        <w:tblW w:w="151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5954"/>
        <w:gridCol w:w="2268"/>
        <w:gridCol w:w="425"/>
        <w:gridCol w:w="5670"/>
      </w:tblGrid>
      <w:tr>
        <w:trPr>
          <w:trHeight w:val="20"/>
          <w:tblHeader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№ п/п</w:t>
            </w:r>
            <w:r>
              <w:rPr>
                <w:b/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Планируемые мероприятия</w:t>
            </w:r>
            <w:r>
              <w:rPr>
                <w:b/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Сроки</w:t>
            </w:r>
            <w:r>
              <w:rPr>
                <w:b/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исполнения</w:t>
            </w:r>
            <w:r>
              <w:rPr>
                <w:b/>
                <w:sz w:val="32"/>
                <w:szCs w:val="32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Исполнители</w:t>
            </w:r>
            <w:r>
              <w:rPr>
                <w:b/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(соисполнители)</w:t>
            </w:r>
            <w:r/>
          </w:p>
        </w:tc>
      </w:tr>
      <w:tr>
        <w:trPr>
          <w:trHeight w:val="20"/>
          <w:tblHeader/>
        </w:trPr>
        <w:tc>
          <w:tcPr>
            <w:tcW w:w="817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1</w:t>
            </w:r>
            <w:r/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2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3</w:t>
            </w:r>
            <w:r/>
          </w:p>
        </w:tc>
        <w:tc>
          <w:tcPr>
            <w:gridSpan w:val="2"/>
            <w:tcW w:w="6095" w:type="dxa"/>
            <w:vAlign w:val="center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4</w:t>
            </w:r>
            <w:r/>
          </w:p>
        </w:tc>
      </w:tr>
      <w:tr>
        <w:trPr>
          <w:trHeight w:val="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vAlign w:val="top"/>
            <w:textDirection w:val="lrTb"/>
            <w:noWrap w:val="false"/>
          </w:tcPr>
          <w:p>
            <w:pPr>
              <w:pStyle w:val="655"/>
              <w:spacing w:before="0" w:after="0" w:line="240" w:lineRule="auto"/>
              <w:shd w:val="clear" w:color="auto" w:fill="auto"/>
              <w:rPr>
                <w:rStyle w:val="648"/>
                <w:b/>
                <w:sz w:val="32"/>
                <w:szCs w:val="32"/>
                <w:lang w:val="ru-RU" w:eastAsia="ru-RU"/>
              </w:rPr>
            </w:pPr>
            <w:r>
              <w:rPr>
                <w:rStyle w:val="648"/>
                <w:b/>
                <w:sz w:val="32"/>
                <w:szCs w:val="32"/>
                <w:lang w:val="ru-RU" w:eastAsia="ru-RU"/>
              </w:rPr>
              <w:t xml:space="preserve">1. Организационные мероприятия по обеспечению</w:t>
            </w:r>
            <w:r>
              <w:rPr>
                <w:b w:val="0"/>
                <w:sz w:val="32"/>
                <w:szCs w:val="32"/>
                <w:lang w:val="ru-RU" w:eastAsia="ru-RU"/>
              </w:rPr>
              <w:t xml:space="preserve"> мероприятий призыва граждан на военную службу</w:t>
            </w:r>
            <w:r>
              <w:rPr>
                <w:rStyle w:val="648"/>
                <w:b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взаимодействия с главами администраций муниципальных образований автономного округа, руководителями правоохранительных органов по обеспечению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выполнения мероприятий весеннего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призыва, учету и привлечению к ответственности граждан, уклоняющихся от воинского учета и призыва на военную службу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tcBorders>
              <w:top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Ханты-Мансийского </w:t>
            </w:r>
            <w:r>
              <w:rPr>
                <w:spacing w:val="-2"/>
                <w:sz w:val="32"/>
                <w:szCs w:val="32"/>
              </w:rPr>
              <w:t xml:space="preserve">автономного округа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 – Югры (далее – автономный округ)</w:t>
            </w:r>
            <w:r>
              <w:rPr>
                <w:sz w:val="32"/>
                <w:szCs w:val="32"/>
              </w:rPr>
              <w:t xml:space="preserve">, военн</w:t>
            </w:r>
            <w:r>
              <w:rPr>
                <w:sz w:val="32"/>
                <w:szCs w:val="32"/>
                <w:lang w:val="ru-RU"/>
              </w:rPr>
              <w:t xml:space="preserve">ые</w:t>
            </w:r>
            <w:r>
              <w:rPr>
                <w:sz w:val="32"/>
                <w:szCs w:val="32"/>
              </w:rPr>
              <w:t xml:space="preserve"> комиссариат</w:t>
            </w:r>
            <w:r>
              <w:rPr>
                <w:sz w:val="32"/>
                <w:szCs w:val="32"/>
                <w:lang w:val="ru-RU"/>
              </w:rPr>
              <w:t xml:space="preserve">ы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муниципальных образований </w:t>
            </w:r>
            <w:r>
              <w:rPr>
                <w:sz w:val="32"/>
                <w:szCs w:val="32"/>
              </w:rPr>
              <w:t xml:space="preserve">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Направление материалов 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в территориальные следственные органы Следственного управления Следственного комитета Российской Федерации по автономному округу о привлечении граждан, уклонившихся от мероприятий, связанных с призывом на военную службу, к ответственности в соответствии с 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fldChar w:fldCharType="begin"/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instrText xml:space="preserve">HYPERLINK "garantF1://10008000.328"</w:instrTex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законодательством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Российской Федерации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незамедлительно </w:t>
              <w:br w:type="textWrapping" w:clear="all"/>
              <w:t xml:space="preserve">в случае выявления фактов уклонения граждан от призыва на военную службу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Председатели призывных комиссий муниципальных образований автономного округа, </w:t>
            </w:r>
            <w:r>
              <w:rPr>
                <w:sz w:val="32"/>
                <w:szCs w:val="32"/>
                <w:lang w:val="ru-RU"/>
              </w:rPr>
              <w:t xml:space="preserve">военные</w:t>
            </w:r>
            <w:r>
              <w:rPr>
                <w:sz w:val="32"/>
                <w:szCs w:val="32"/>
              </w:rPr>
              <w:t xml:space="preserve"> комиссариат</w:t>
            </w:r>
            <w:r>
              <w:rPr>
                <w:sz w:val="32"/>
                <w:szCs w:val="32"/>
                <w:lang w:val="ru-RU"/>
              </w:rPr>
              <w:t xml:space="preserve">ы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муниципальных образований </w:t>
            </w:r>
            <w:r>
              <w:rPr>
                <w:sz w:val="32"/>
                <w:szCs w:val="32"/>
              </w:rPr>
              <w:t xml:space="preserve">автономного округа</w:t>
            </w:r>
            <w:r>
              <w:rPr>
                <w:rStyle w:val="648"/>
                <w:sz w:val="32"/>
                <w:szCs w:val="32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3.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Обеспечение:</w:t>
            </w:r>
            <w:r/>
          </w:p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1) пропускного режима и безопасности сборного пункта;</w:t>
            </w:r>
            <w:r/>
          </w:p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2) охраны общественного порядка на сборном пункте автономного округа 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br w:type="textWrapping" w:clear="all"/>
              <w:t xml:space="preserve">в период </w:t>
              <w:br w:type="textWrapping" w:clear="all"/>
              <w:t xml:space="preserve">призыва </w:t>
              <w:br w:type="textWrapping" w:clear="all"/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br w:type="textWrapping" w:clear="all"/>
              <w:br w:type="textWrapping" w:clear="all"/>
              <w:t xml:space="preserve">в ходе отправок граждан со сборного пункта автономного округа к месту прохождения военной службы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/>
              </w:rPr>
            </w:pPr>
            <w:r>
              <w:rPr>
                <w:rStyle w:val="648"/>
                <w:sz w:val="32"/>
                <w:szCs w:val="32"/>
              </w:rPr>
              <w:br w:type="textWrapping" w:clear="all"/>
            </w:r>
            <w:r>
              <w:rPr>
                <w:sz w:val="32"/>
                <w:szCs w:val="32"/>
                <w:lang w:val="ru-RU"/>
              </w:rPr>
              <w:t xml:space="preserve">Казенное учреждение автономного округа «Центр обеспечения безопасности жизнедеятельности и призыва граждан на военную службу»</w:t>
            </w:r>
            <w:r>
              <w:rPr>
                <w:rStyle w:val="648"/>
                <w:sz w:val="32"/>
                <w:szCs w:val="32"/>
                <w:lang w:val="ru-RU"/>
              </w:rPr>
            </w:r>
            <w:r/>
          </w:p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2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</w:r>
            <w:r/>
          </w:p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У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правление </w:t>
            </w:r>
            <w:r>
              <w:rPr>
                <w:spacing w:val="-2"/>
                <w:sz w:val="32"/>
                <w:szCs w:val="32"/>
              </w:rPr>
              <w:t xml:space="preserve">М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инистерства внутренних дел</w:t>
            </w:r>
            <w:r>
              <w:rPr>
                <w:spacing w:val="-2"/>
                <w:sz w:val="32"/>
                <w:szCs w:val="32"/>
              </w:rPr>
              <w:t xml:space="preserve"> Росси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йской Федерации</w:t>
            </w:r>
            <w:r>
              <w:rPr>
                <w:spacing w:val="-2"/>
                <w:sz w:val="32"/>
                <w:szCs w:val="32"/>
              </w:rPr>
              <w:t xml:space="preserve"> по 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автономному округу</w:t>
            </w:r>
            <w:r>
              <w:rPr>
                <w:spacing w:val="-2"/>
                <w:sz w:val="32"/>
                <w:szCs w:val="32"/>
              </w:rPr>
              <w:t xml:space="preserve"> (по согласованию)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4.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мероприятий по контролю соответствия государственным требованиям транспортных средств, осуществляющих пассажирские перевозки команд призывников на сборный пункт автономного округа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Управлени</w:t>
            </w:r>
            <w:r>
              <w:rPr>
                <w:sz w:val="32"/>
                <w:szCs w:val="32"/>
                <w:lang w:val="ru-RU"/>
              </w:rPr>
              <w:t xml:space="preserve">е</w:t>
            </w:r>
            <w:r>
              <w:rPr>
                <w:sz w:val="32"/>
                <w:szCs w:val="32"/>
              </w:rPr>
              <w:t xml:space="preserve"> Министерства внутренних дел Российской Федерации по автономному округу</w:t>
            </w:r>
            <w:r>
              <w:rPr>
                <w:sz w:val="32"/>
                <w:szCs w:val="32"/>
                <w:lang w:val="ru-RU"/>
              </w:rPr>
              <w:t xml:space="preserve">, </w:t>
            </w:r>
            <w:r>
              <w:rPr>
                <w:sz w:val="32"/>
                <w:szCs w:val="32"/>
              </w:rPr>
              <w:t xml:space="preserve">военны</w:t>
            </w:r>
            <w:r>
              <w:rPr>
                <w:sz w:val="32"/>
                <w:szCs w:val="32"/>
                <w:lang w:val="ru-RU"/>
              </w:rPr>
              <w:t xml:space="preserve">й</w:t>
            </w:r>
            <w:r>
              <w:rPr>
                <w:sz w:val="32"/>
                <w:szCs w:val="32"/>
              </w:rPr>
              <w:t xml:space="preserve"> комиссариат </w:t>
            </w:r>
            <w:r>
              <w:rPr>
                <w:sz w:val="32"/>
                <w:szCs w:val="32"/>
              </w:rPr>
              <w:t xml:space="preserve">автономного округа</w:t>
            </w:r>
            <w:r>
              <w:rPr>
                <w:rStyle w:val="648"/>
                <w:sz w:val="32"/>
                <w:szCs w:val="32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5.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сообщений в территориальные органы внутренних дел о дате и времени отправок призывников для организации охраны общественного порядка на призывных пунктах муниципальных образований автономного округа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за 2 дня до планируемой даты отправки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ru-RU"/>
              </w:rPr>
              <w:t xml:space="preserve">Военный комиссариат автономного округа</w:t>
            </w:r>
            <w:r>
              <w:rPr>
                <w:sz w:val="32"/>
                <w:szCs w:val="32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6.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ind w:firstLine="34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Оборудование на контрольно-пропускном пункте сборного пункта автономного округа рабочего места для контрол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я за лицами, прибывающими на объект, проведения термометрии медицинскими работниками при осуществлении режима допуска на объект, проведения карантинных мероприятий при выявлении больного (лица, с подозрением на острое вирусное или инфекционное заболевание)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10 апреля</w:t>
            </w:r>
            <w:r>
              <w:rPr>
                <w:rFonts w:ascii="Times New Roman" w:hAnsi="Times New Roman"/>
                <w:sz w:val="32"/>
                <w:szCs w:val="32"/>
                <w:highlight w:val="yellow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2"/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Казенное учреждение автономного округа «Центр обеспечения безопасности жизнедеятельности и призыва граждан на военную службу»</w:t>
            </w:r>
            <w:r>
              <w:rPr>
                <w:spacing w:val="-2"/>
                <w:sz w:val="32"/>
                <w:szCs w:val="32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7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зучение и отбор кандидатов для прохождения военной службы в Президентском полку Коменданта Московского Кремля Федеральной службы охраны Российской Федерации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 отдельному графику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  <w:lang w:val="ru-RU"/>
              </w:rPr>
              <w:t xml:space="preserve">Межведомственная рабочая группа 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по изучению и отбору кандидатов из числа молодежи для прохождения военной службы по призыву </w:t>
            </w:r>
            <w:r>
              <w:rPr>
                <w:sz w:val="32"/>
                <w:szCs w:val="32"/>
              </w:rPr>
              <w:t xml:space="preserve">в Президентском полку Коменданта Московского Кремля Федеральной службы охраны Российской Федерации</w:t>
            </w:r>
            <w:r>
              <w:rPr>
                <w:sz w:val="32"/>
                <w:szCs w:val="32"/>
                <w:lang w:val="ru-RU"/>
              </w:rPr>
              <w:t xml:space="preserve">,</w:t>
            </w:r>
            <w:r>
              <w:rPr>
                <w:spacing w:val="-2"/>
                <w:sz w:val="32"/>
                <w:szCs w:val="32"/>
              </w:rPr>
              <w:t xml:space="preserve"> в</w:t>
            </w:r>
            <w:r>
              <w:rPr>
                <w:spacing w:val="-2"/>
                <w:sz w:val="32"/>
                <w:szCs w:val="32"/>
              </w:rPr>
              <w:t xml:space="preserve">оенный комиссариат автономного округа</w:t>
            </w:r>
            <w:r>
              <w:rPr>
                <w:sz w:val="32"/>
                <w:szCs w:val="32"/>
              </w:rPr>
              <w:t xml:space="preserve">, в</w:t>
            </w:r>
            <w:r>
              <w:rPr>
                <w:sz w:val="32"/>
                <w:szCs w:val="32"/>
                <w:lang w:val="ru-RU"/>
              </w:rPr>
              <w:t xml:space="preserve">оенные</w:t>
            </w:r>
            <w:r>
              <w:rPr>
                <w:sz w:val="32"/>
                <w:szCs w:val="32"/>
              </w:rPr>
              <w:t xml:space="preserve"> комиссариат</w:t>
            </w:r>
            <w:r>
              <w:rPr>
                <w:sz w:val="32"/>
                <w:szCs w:val="32"/>
                <w:lang w:val="ru-RU"/>
              </w:rPr>
              <w:t xml:space="preserve">ы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муниципальных образований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>
              <w:rPr>
                <w:sz w:val="32"/>
                <w:szCs w:val="32"/>
              </w:rPr>
              <w:t xml:space="preserve">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/>
              </w:rPr>
              <w:t xml:space="preserve">8.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оказания помощи </w:t>
              <w:br w:type="textWrapping" w:clear="all"/>
              <w:t xml:space="preserve">в проведении призыва граждан на военную службу призывным комиссиям муниципальных образований, </w:t>
            </w: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военным комиссариатам муниципальных образований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автономного округа по медицинскому освидетельствованию, учету граждан, уклоняющихся от исполнения обязанностей прохождения военной службы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Призывная комиссия автономного округа,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9.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оздание в военном комиссариате автономного округа и военных комиссариатах муниципальных образований автономного округа консультационных пунктов для организации и проведения приемов призывников и их родителей по вопросам призыва и прохождения военной службы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10 апреля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Военный комиссариат автономного округа, </w:t>
            </w:r>
            <w:r>
              <w:rPr>
                <w:sz w:val="32"/>
                <w:szCs w:val="32"/>
                <w:lang w:val="ru-RU"/>
              </w:rPr>
              <w:t xml:space="preserve">военные комиссариаты муниципальных образований </w:t>
            </w:r>
            <w:r>
              <w:rPr>
                <w:sz w:val="32"/>
                <w:szCs w:val="32"/>
              </w:rPr>
              <w:t xml:space="preserve">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10.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Обеспечение кана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ла телефонной связи (горячая линия) призывников и их родителей с руководством военного комиссариата автономного округа и военными комиссариатами муниципальных образований автономного округа с публикацией номеров телефонов в региональных и муниципальных СМИ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Военный комиссариат автономного округа, </w:t>
            </w:r>
            <w:r>
              <w:rPr>
                <w:sz w:val="32"/>
                <w:szCs w:val="32"/>
                <w:lang w:val="ru-RU"/>
              </w:rPr>
              <w:t xml:space="preserve">военные комиссариаты муниципальных образований </w:t>
            </w:r>
            <w:r>
              <w:rPr>
                <w:sz w:val="32"/>
                <w:szCs w:val="32"/>
              </w:rPr>
              <w:t xml:space="preserve">автономного округа, Департамент внутренней политики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11.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учета граждан, не явившихся на мероприятия, связанные с призывом на военную службу, и принятие действенных мер по обеспечению их явки</w:t>
            </w:r>
            <w:r/>
          </w:p>
        </w:tc>
        <w:tc>
          <w:tcPr>
            <w:gridSpan w:val="2"/>
            <w:tcW w:w="2693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Военный комиссариат автономного округа, </w:t>
            </w:r>
            <w:r>
              <w:rPr>
                <w:sz w:val="32"/>
                <w:szCs w:val="32"/>
                <w:lang w:val="ru-RU"/>
              </w:rPr>
              <w:t xml:space="preserve">военные комиссариаты муниципальных образований </w:t>
            </w:r>
            <w:r>
              <w:rPr>
                <w:sz w:val="32"/>
                <w:szCs w:val="32"/>
              </w:rPr>
              <w:t xml:space="preserve">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5"/>
              <w:spacing w:before="0" w:after="0" w:line="240" w:lineRule="auto"/>
              <w:shd w:val="clear" w:color="auto" w:fill="auto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2. Порядок финансирования и материального обеспечения</w:t>
            </w:r>
            <w:r>
              <w:rPr>
                <w:b w:val="0"/>
                <w:sz w:val="32"/>
                <w:szCs w:val="32"/>
                <w:lang w:val="ru-RU"/>
              </w:rPr>
              <w:t xml:space="preserve"> </w:t>
            </w:r>
            <w:r>
              <w:rPr>
                <w:b w:val="0"/>
                <w:sz w:val="32"/>
                <w:szCs w:val="32"/>
              </w:rPr>
              <w:t xml:space="preserve">мероприятий призыва </w:t>
            </w:r>
            <w:r>
              <w:rPr>
                <w:b w:val="0"/>
                <w:sz w:val="32"/>
                <w:szCs w:val="32"/>
              </w:rPr>
              <w:br w:type="textWrapping" w:clear="all"/>
            </w:r>
            <w:r>
              <w:rPr>
                <w:b w:val="0"/>
                <w:sz w:val="32"/>
                <w:szCs w:val="32"/>
              </w:rPr>
              <w:t xml:space="preserve">граждан на военную службу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12.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и обеспечение доставки призывников автомобильным, авиационным транспортом на призывные комиссии муниципальных образований, сборный пункт автономного округа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ru-RU"/>
              </w:rPr>
              <w:t xml:space="preserve">военные комиссариаты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муниципальных образований </w:t>
            </w:r>
            <w:r>
              <w:rPr>
                <w:sz w:val="32"/>
                <w:szCs w:val="32"/>
              </w:rPr>
              <w:t xml:space="preserve">автономного округа, главы муниципальных образований автономного округа (по согласованию)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13.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Обеспечение всеми видами довольствия, аттестатами призывников, от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правляемых для прохождения военной службы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</w:t>
              <w:br w:type="textWrapping" w:clear="all"/>
              <w:t xml:space="preserve">отправок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14.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Подача заявок в службу военных сообщений Центрального военного округа на денежную компенсацию за </w:t>
            </w: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бронирование мест в железнодорожных кассах для перевозки воинских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команд со сборного пункта автономного округа до воинских частей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3"/>
                <w:sz w:val="32"/>
                <w:szCs w:val="32"/>
              </w:rPr>
              <w:t xml:space="preserve">с получением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32"/>
                <w:szCs w:val="32"/>
              </w:rPr>
              <w:t xml:space="preserve">выписки из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плана отправок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5"/>
              <w:spacing w:before="0" w:after="0" w:line="240" w:lineRule="auto"/>
              <w:shd w:val="clear" w:color="auto" w:fill="auto"/>
              <w:rPr>
                <w:b w:val="0"/>
                <w:bCs w:val="0"/>
                <w:spacing w:val="-2"/>
                <w:sz w:val="32"/>
                <w:szCs w:val="32"/>
              </w:rPr>
            </w:pPr>
            <w:r>
              <w:rPr>
                <w:b w:val="0"/>
                <w:bCs w:val="0"/>
                <w:spacing w:val="-2"/>
                <w:sz w:val="32"/>
                <w:szCs w:val="32"/>
              </w:rPr>
              <w:t xml:space="preserve">3. Медицинское обеспечение мероприятий призыва граждан на военную службу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15.</w:t>
            </w:r>
            <w:r/>
          </w:p>
        </w:tc>
        <w:tc>
          <w:tcPr>
            <w:tcBorders>
              <w:top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и проведение мероприятий по противодействию возникновения и распространения инфекционных и вирусных заболеваний во время проведения медицинского освидетельствования граждан на призывных пунктах муниципальных образований автономного округа</w:t>
            </w:r>
            <w:r/>
          </w:p>
        </w:tc>
        <w:tc>
          <w:tcPr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е</w:t>
            </w:r>
            <w:r>
              <w:rPr>
                <w:spacing w:val="-2"/>
                <w:sz w:val="32"/>
                <w:szCs w:val="32"/>
              </w:rPr>
              <w:t xml:space="preserve"> комиссариат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ы муниципальных образований</w:t>
            </w:r>
            <w:r>
              <w:rPr>
                <w:spacing w:val="-2"/>
                <w:sz w:val="32"/>
                <w:szCs w:val="32"/>
              </w:rPr>
              <w:t xml:space="preserve">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16.</w:t>
            </w:r>
            <w:r/>
          </w:p>
        </w:tc>
        <w:tc>
          <w:tcPr>
            <w:tcBorders>
              <w:top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tabs>
                <w:tab w:val="left" w:pos="14025" w:leader="none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и проведение мероприятий по противодействию возникновения и распространения инфекционных и вирусных заболеваний во время проведения медицинского осмотра и отправки команд на сборном пункте автономного округа</w:t>
            </w:r>
            <w:r/>
          </w:p>
        </w:tc>
        <w:tc>
          <w:tcPr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2"/>
                <w:sz w:val="32"/>
                <w:szCs w:val="32"/>
                <w:lang w:val="ru-RU"/>
              </w:rPr>
            </w:pPr>
            <w:r>
              <w:rPr>
                <w:spacing w:val="-2"/>
                <w:sz w:val="32"/>
                <w:szCs w:val="32"/>
                <w:lang w:val="ru-RU"/>
              </w:rPr>
              <w:t xml:space="preserve">Военный</w:t>
            </w:r>
            <w:r>
              <w:rPr>
                <w:spacing w:val="-2"/>
                <w:sz w:val="32"/>
                <w:szCs w:val="32"/>
              </w:rPr>
              <w:t xml:space="preserve"> комиссариат автономного округа</w:t>
            </w:r>
            <w:r>
              <w:rPr>
                <w:spacing w:val="-2"/>
                <w:sz w:val="32"/>
                <w:szCs w:val="32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17.</w:t>
            </w:r>
            <w:r/>
          </w:p>
        </w:tc>
        <w:tc>
          <w:tcPr>
            <w:tcBorders>
              <w:top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pacing w:val="-8"/>
                <w:sz w:val="32"/>
                <w:szCs w:val="32"/>
              </w:rPr>
              <w:t xml:space="preserve">Обеспечение сотрудников, участвующих в работе призывных комиссий, в том числе врачей-специалистов, средний медицинский персонал, средствами личной защиты (медицинские маски, антисептики), а также бесконтактными термометрами рабочих мест на входе в военный </w:t>
            </w:r>
            <w:r>
              <w:rPr>
                <w:rFonts w:ascii="Times New Roman" w:hAnsi="Times New Roman"/>
                <w:bCs/>
                <w:spacing w:val="-9"/>
                <w:sz w:val="32"/>
                <w:szCs w:val="32"/>
              </w:rPr>
              <w:t xml:space="preserve">комиссариат автономного округа, призывных пунктах муниципальных образований и сборном пункте автономного округа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2"/>
                <w:sz w:val="32"/>
                <w:szCs w:val="32"/>
                <w:lang w:val="ru-RU"/>
              </w:rPr>
            </w:pPr>
            <w:r>
              <w:rPr>
                <w:spacing w:val="-2"/>
                <w:sz w:val="32"/>
                <w:szCs w:val="32"/>
                <w:lang w:val="ru-RU"/>
              </w:rPr>
              <w:t xml:space="preserve">Военный</w:t>
            </w:r>
            <w:r>
              <w:rPr>
                <w:spacing w:val="-2"/>
                <w:sz w:val="32"/>
                <w:szCs w:val="32"/>
              </w:rPr>
              <w:t xml:space="preserve"> комиссариат автономного округа</w:t>
            </w:r>
            <w:r>
              <w:rPr>
                <w:sz w:val="32"/>
                <w:szCs w:val="32"/>
              </w:rPr>
              <w:t xml:space="preserve">, военн</w:t>
            </w:r>
            <w:r>
              <w:rPr>
                <w:sz w:val="32"/>
                <w:szCs w:val="32"/>
                <w:lang w:val="ru-RU"/>
              </w:rPr>
              <w:t xml:space="preserve">ые</w:t>
            </w:r>
            <w:r>
              <w:rPr>
                <w:sz w:val="32"/>
                <w:szCs w:val="32"/>
              </w:rPr>
              <w:t xml:space="preserve"> комиссариат</w:t>
            </w:r>
            <w:r>
              <w:rPr>
                <w:sz w:val="32"/>
                <w:szCs w:val="32"/>
                <w:lang w:val="ru-RU"/>
              </w:rPr>
              <w:t xml:space="preserve">ы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муниципальных образований </w:t>
            </w:r>
            <w:r>
              <w:rPr>
                <w:sz w:val="32"/>
                <w:szCs w:val="32"/>
              </w:rPr>
              <w:t xml:space="preserve">автономного округа</w:t>
            </w:r>
            <w:r>
              <w:rPr>
                <w:sz w:val="32"/>
                <w:szCs w:val="32"/>
                <w:lang w:val="ru-RU"/>
              </w:rPr>
              <w:t xml:space="preserve">, 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Департамент здравоохранения автономного округа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18.</w:t>
            </w:r>
            <w:r/>
          </w:p>
        </w:tc>
        <w:tc>
          <w:tcPr>
            <w:tcBorders>
              <w:top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Обеспечение контроля </w:t>
            </w:r>
            <w:r>
              <w:rPr>
                <w:rStyle w:val="647"/>
                <w:sz w:val="32"/>
                <w:szCs w:val="32"/>
              </w:rPr>
              <w:t xml:space="preserve">над медицинскими организациями, осуществляющими вакцинацию населения автономного округа, в части обеспечения ими полного охвата необходимыми профилактическими прививками (против менингококковой инфекции, пневмококковой инфекции, ветряной оспы</w:t>
            </w:r>
            <w:r>
              <w:rPr>
                <w:rStyle w:val="647"/>
                <w:sz w:val="32"/>
                <w:szCs w:val="32"/>
              </w:rPr>
              <w:t xml:space="preserve">, ревакцинация против кори</w:t>
            </w:r>
            <w:r>
              <w:rPr>
                <w:rStyle w:val="647"/>
                <w:sz w:val="32"/>
                <w:szCs w:val="32"/>
              </w:rPr>
              <w:t xml:space="preserve">) лиц, подлежащих призыву на военную службу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2"/>
                <w:sz w:val="32"/>
                <w:szCs w:val="32"/>
                <w:lang w:val="ru-RU"/>
              </w:rPr>
            </w:pPr>
            <w:r>
              <w:rPr>
                <w:spacing w:val="-2"/>
                <w:sz w:val="32"/>
                <w:szCs w:val="32"/>
                <w:lang w:val="ru-RU"/>
              </w:rPr>
              <w:t xml:space="preserve">Департамент здравоохранения автономного округа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19.</w:t>
            </w:r>
            <w:r/>
          </w:p>
        </w:tc>
        <w:tc>
          <w:tcPr>
            <w:tcBorders>
              <w:top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Проведение контрольного медицинского освидетельствования граждан, признанных призывными комиссиями муниципальных образований автономного округа временно не годны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ми, ограниченно годными и не годными к военной службе, а также заявивших жалобы и несогласие с решением призывных комиссий муниципальных образований (оформление документов, личных дел, книг протоколов заседаний призывной комиссии автономного округа и т.д.)</w:t>
            </w:r>
            <w:r/>
          </w:p>
        </w:tc>
        <w:tc>
          <w:tcPr>
            <w:tcBorders>
              <w:top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20.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Осуществление контроля за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прохождением дополнительного медицинского обследования призывниками в медицинских организациях, исключение случаев уклонения, а также затягивания сроков его прохождения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, Департамент здравоохранения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21.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Представление доклада в филиал № 3 Федерального государственного казенного учреждения «Главный центр военно-врачебной экспертизы» Министерства обороны Российской Федерации «О ходе лечебно-оздоровительной работы в период призыва»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еженедельно </w:t>
              <w:br w:type="textWrapping" w:clear="all"/>
              <w:t xml:space="preserve">в период проведения весеннего призыва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22.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направления призывников для консультаций и контрольного обследования в лечебно-профилактические учреждения автономного округа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в период проведения призыва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sz w:val="32"/>
                <w:szCs w:val="32"/>
              </w:rPr>
              <w:t xml:space="preserve">, Департамент здравоохранения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23.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tabs>
                <w:tab w:val="left" w:pos="499" w:leader="none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Обеспечение своевременности, полноты и качества внеочередного обследования (лечения) граждан, подлежащих призыву на военную службу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период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Департамент здравоохранения автономного округа</w:t>
            </w:r>
            <w:r>
              <w:rPr>
                <w:spacing w:val="-2"/>
                <w:sz w:val="32"/>
                <w:szCs w:val="32"/>
              </w:rPr>
              <w:t xml:space="preserve">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24.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совместных проверок медицинских организаций автономного округа по вопросам медицинского обеспечения призыва граждан на военную службу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 отдельному графику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Департамент здравоохранения автономного округа</w:t>
            </w:r>
            <w:r>
              <w:rPr>
                <w:spacing w:val="-2"/>
                <w:sz w:val="32"/>
                <w:szCs w:val="32"/>
              </w:rPr>
              <w:t xml:space="preserve">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25.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разъяснительной работы с призывниками и их родителями, в том числе с использованием окружных и муниципальных средств мас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совой информации, о необходимости и важности иммунизации против инфекционных заболеваний лиц, подлежащих призыву на военную службу, в рамках национального календаря профилактических прививок и календаря профилактических прививок по эпидемическим показаниям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</w:rPr>
              <w:t xml:space="preserve">Департамент здравоохранения автономного округа</w:t>
            </w:r>
            <w:r>
              <w:rPr>
                <w:spacing w:val="-2"/>
                <w:sz w:val="32"/>
                <w:szCs w:val="32"/>
              </w:rPr>
              <w:t xml:space="preserve">,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Департамент </w:t>
            </w:r>
            <w:r>
              <w:rPr>
                <w:sz w:val="32"/>
                <w:szCs w:val="32"/>
              </w:rPr>
              <w:t xml:space="preserve">внутренней политики</w:t>
            </w:r>
            <w:r>
              <w:rPr>
                <w:bCs/>
                <w:sz w:val="32"/>
                <w:szCs w:val="32"/>
              </w:rPr>
              <w:t xml:space="preserve"> автономного округа и органы местного самоуправления муниципальных образований автономного округа</w:t>
            </w:r>
            <w:r>
              <w:rPr>
                <w:sz w:val="32"/>
                <w:szCs w:val="32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pacing w:val="-2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 xml:space="preserve">4.</w:t>
            </w:r>
            <w:r>
              <w:rPr>
                <w:spacing w:val="-2"/>
                <w:sz w:val="32"/>
                <w:szCs w:val="32"/>
                <w:lang w:val="ru-RU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 xml:space="preserve">Контроль за обеспечением призыва граждан на военную службу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26.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Контроль за работой призывных комиссий муниципальных образований автономног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 округа, проведением контрольного медицинского освидетельствования граждан, признанных ограниченно годными, временно не годными и не годными к военной службе, а так же заявивших жалобы и не согласие с решениями призывных комиссий муниципальных образований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Призывная комиссия автономного округа,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27.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Оперативный контроль отправки граждан, призванных на военную службу, из </w:t>
            </w: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военных комиссариатов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муниципальных образований </w:t>
            </w: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автономного округа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на сборный пункт автономного округа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согласно плану отправок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28.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Контроль за ходом призыва и доклад в организационно-мобилизационное управление штаба Центрального военного округа о ходе призыва и отправок команд в войска со сборного пункта автономного округа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29.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К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онтроль за использованием финансовых средств,</w:t>
            </w: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поступивших на подготовку и проведение призыва граждан на военную службу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30.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Контроль за своевременным и качественным питанием призывников на сборном пункте автономного округа в соответствии с требованиями «Положения о продовольственном обеспечении в Вооруженных Силах Российской Федерации в мирное время»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31.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tabs>
                <w:tab w:val="left" w:pos="499" w:leader="none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Контроль за:</w:t>
            </w:r>
            <w:r/>
          </w:p>
          <w:p>
            <w:pPr>
              <w:pStyle w:val="643"/>
              <w:jc w:val="both"/>
              <w:spacing w:after="0" w:line="240" w:lineRule="auto"/>
              <w:shd w:val="clear" w:color="auto" w:fill="ffffff"/>
              <w:tabs>
                <w:tab w:val="left" w:pos="499" w:leader="none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- укомплектованностью медицинских призывных комиссий муниципальных образований автономного округа врачами-специалистами и средним медперсоналом;</w:t>
            </w:r>
            <w:r/>
          </w:p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- своевременностью, полнотой и качеством выполнения предусмотренных нормативными документами диагностических, лечебных и реабилитационных мероприятий при обследовании (лечении) призывной молодежи;</w:t>
            </w:r>
            <w:r/>
          </w:p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- качеством оформления медицинской документации на граждан, прошедших обследование (лечение), в медицинских организациях автономного округа;</w:t>
            </w:r>
            <w:r/>
          </w:p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- достоверностью предоставляемой информации по вопросам медицинского обеспечения призыва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2"/>
                <w:sz w:val="32"/>
                <w:szCs w:val="32"/>
              </w:rPr>
              <w:t xml:space="preserve">Департамент здравоохранения автономного округа,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32.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shd w:val="clear" w:color="auto" w:fill="ffffff"/>
              <w:tabs>
                <w:tab w:val="left" w:pos="499" w:leader="none"/>
              </w:tabs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Контроль за медицинскими организациями, осуществляющими вакцинопрофилактику инфекционных заболеваний, по обеспечению охвата (не менее 90-95 % граждан из числа подлежащих) необходимыми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профилактическими прививками в период призыва весной 2024 года, в соответствии с приказом Министерства здравоохранения Российской Федерации от 06 декабря 2021 года № 1122н вакцинами, распределенными приказами Департамента здравоохранения автономного округа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15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2"/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 xml:space="preserve">Департамент здравоохранения автономного округа</w:t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5. Мероприятия, проводимые с призывниками на сборном пункте автономного округа </w:t>
              <w:br w:type="textWrapping" w:clear="all"/>
              <w:t xml:space="preserve">в период призыва граждан на военную службу</w:t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</w:rPr>
            </w:pPr>
            <w:r>
              <w:rPr>
                <w:rStyle w:val="648"/>
                <w:sz w:val="32"/>
                <w:szCs w:val="32"/>
              </w:rPr>
              <w:t xml:space="preserve">5.1.</w:t>
            </w:r>
            <w:r>
              <w:rPr>
                <w:rStyle w:val="648"/>
                <w:sz w:val="32"/>
                <w:szCs w:val="32"/>
                <w:lang w:val="ru-RU"/>
              </w:rPr>
              <w:t xml:space="preserve"> </w:t>
            </w:r>
            <w:r>
              <w:rPr>
                <w:rStyle w:val="648"/>
                <w:sz w:val="32"/>
                <w:szCs w:val="32"/>
              </w:rPr>
              <w:t xml:space="preserve">Воспитательные мероприятия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i/>
                <w:sz w:val="32"/>
                <w:szCs w:val="32"/>
                <w:lang w:val="ru-RU" w:eastAsia="ru-RU"/>
              </w:rPr>
            </w:pPr>
            <w:r>
              <w:rPr>
                <w:rStyle w:val="650"/>
                <w:i w:val="0"/>
                <w:sz w:val="32"/>
                <w:szCs w:val="32"/>
                <w:lang w:val="ru-RU" w:eastAsia="ru-RU"/>
              </w:rPr>
              <w:t xml:space="preserve">33.</w:t>
            </w:r>
            <w:r>
              <w:rPr>
                <w:i/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Организация и проведение мероприятий, направленных на профилактику наркомании и незаконного оборота наркотических средств и психотропных веществ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highlight w:val="yellow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не реже 1 раза </w:t>
              <w:br w:type="textWrapping" w:clear="all"/>
              <w:t xml:space="preserve">в месяц </w:t>
              <w:br w:type="textWrapping" w:clear="all"/>
              <w:t xml:space="preserve">в период призыва</w:t>
            </w:r>
            <w:r>
              <w:rPr>
                <w:sz w:val="32"/>
                <w:szCs w:val="32"/>
                <w:highlight w:val="yellow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Управление по контрол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ю за оборотом наркотиков Управления Министерства внутренних дел Российской Федерации по автономному округу, территориальные органы Министерства внутренних дел России на районном уровне, подчиненных Министерству внутренних дел России по автономному округу, </w:t>
            </w:r>
            <w:r>
              <w:rPr>
                <w:sz w:val="32"/>
                <w:szCs w:val="32"/>
                <w:lang w:val="ru-RU"/>
              </w:rPr>
              <w:t xml:space="preserve">Казенное учреждение автономного округа «Центр обеспечения безопасности жизнедеятельности и призыва граждан на военную службу»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i/>
                <w:sz w:val="32"/>
                <w:szCs w:val="32"/>
                <w:lang w:val="ru-RU" w:eastAsia="ru-RU"/>
              </w:rPr>
            </w:pPr>
            <w:r>
              <w:rPr>
                <w:rStyle w:val="650"/>
                <w:i w:val="0"/>
                <w:sz w:val="32"/>
                <w:szCs w:val="32"/>
                <w:lang w:val="ru-RU" w:eastAsia="ru-RU"/>
              </w:rPr>
              <w:t xml:space="preserve">34.</w:t>
            </w:r>
            <w:r>
              <w:rPr>
                <w:i/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Организация по пропаганде гигиенических знаний и здорового образа жизни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в период призыва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Департамент здравоохранения автономного округа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35.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Обеспечение работы компьютерного класса с доступом в сеть «Интернет» на сборном пункте автономного округа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highlight w:val="yellow"/>
                <w:lang w:val="ru-RU" w:eastAsia="ru-RU"/>
              </w:rPr>
            </w:pPr>
            <w:r>
              <w:rPr>
                <w:sz w:val="32"/>
                <w:szCs w:val="32"/>
                <w:lang w:val="ru-RU"/>
              </w:rPr>
              <w:t xml:space="preserve">Казенное учреждение автономного округа «Центр обеспечения безопасности жизнедеятельности и призыва граждан на военную службу»</w:t>
            </w:r>
            <w:r>
              <w:rPr>
                <w:rStyle w:val="648"/>
                <w:sz w:val="32"/>
                <w:szCs w:val="32"/>
                <w:highlight w:val="yellow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51"/>
                <w:sz w:val="32"/>
                <w:szCs w:val="32"/>
                <w:lang w:val="ru-RU" w:eastAsia="ru-RU"/>
              </w:rPr>
            </w:pPr>
            <w:r>
              <w:rPr>
                <w:rStyle w:val="651"/>
                <w:sz w:val="32"/>
                <w:szCs w:val="32"/>
                <w:lang w:val="ru-RU" w:eastAsia="ru-RU"/>
              </w:rPr>
              <w:t xml:space="preserve">5</w:t>
            </w:r>
            <w:r>
              <w:rPr>
                <w:rStyle w:val="652"/>
                <w:rFonts w:ascii="Times New Roman" w:hAnsi="Times New Roman" w:cs="Times New Roman"/>
                <w:sz w:val="32"/>
                <w:szCs w:val="32"/>
                <w:lang w:val="ru-RU" w:eastAsia="ru-RU"/>
              </w:rPr>
              <w:t xml:space="preserve">.</w:t>
            </w:r>
            <w:r>
              <w:rPr>
                <w:rStyle w:val="651"/>
                <w:sz w:val="32"/>
                <w:szCs w:val="32"/>
                <w:lang w:val="ru-RU" w:eastAsia="ru-RU"/>
              </w:rPr>
              <w:t xml:space="preserve">2</w:t>
            </w:r>
            <w:r>
              <w:rPr>
                <w:rStyle w:val="652"/>
                <w:rFonts w:ascii="Times New Roman" w:hAnsi="Times New Roman" w:cs="Times New Roman"/>
                <w:sz w:val="32"/>
                <w:szCs w:val="32"/>
                <w:lang w:val="ru-RU" w:eastAsia="ru-RU"/>
              </w:rPr>
              <w:t xml:space="preserve">. 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Культурно-массовые мероприятия</w:t>
            </w:r>
            <w:r>
              <w:rPr>
                <w:rStyle w:val="651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36.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Пополнение кинофонда сборного пункта автономного округа фильмами</w:t>
            </w:r>
            <w:r>
              <w:rPr>
                <w:sz w:val="32"/>
                <w:szCs w:val="32"/>
                <w:lang w:val="ru-RU" w:eastAsia="ru-RU"/>
              </w:rPr>
              <w:t xml:space="preserve"> исторической и военно-патриотической направленности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до 10 апреля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Департамент культуры автономного округа, автономное учреждение автономного округа «Югорский кинопрокат»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37.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shd w:val="clear" w:color="auto" w:fill="ffffff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Организация просмотра исторических и военно-патриотических фильмов</w:t>
            </w:r>
            <w:r>
              <w:rPr>
                <w:sz w:val="32"/>
                <w:szCs w:val="32"/>
                <w:shd w:val="clear" w:color="auto" w:fill="ffffff"/>
                <w:lang w:val="ru-RU" w:eastAsia="ru-RU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ежедневно</w:t>
              <w:br w:type="textWrapping" w:clear="all"/>
              <w:t xml:space="preserve">19.00-20.30</w:t>
              <w:br w:type="textWrapping" w:clear="all"/>
              <w:t xml:space="preserve">в период призыва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/>
              </w:rPr>
              <w:t xml:space="preserve">Казенное учреждение автономного округа «Центр обеспечения безопасности жизнедеятельности и призыва граждан на военную службу»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5.3. Спортивные мероприятия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38.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Утренняя физическая зарядка (комплекс вольных упражнений)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ежедневно </w:t>
              <w:br w:type="textWrapping" w:clear="all"/>
              <w:t xml:space="preserve">06.00-06.30</w:t>
              <w:br w:type="textWrapping" w:clear="all"/>
              <w:t xml:space="preserve">в период призыва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/>
              </w:rPr>
              <w:t xml:space="preserve">Казенное учреждение автономного округа «Центр обеспечения безопасности жизнедеятельности и призыва граждан на военную службу», 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Военный комиссариат автономного округа</w:t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6. Мероприятия, реализуемые исполнительными органами государственной власти </w:t>
              <w:br w:type="textWrapping" w:clear="all"/>
              <w:t xml:space="preserve">и муниципальными образованиями автономного округа </w:t>
            </w:r>
            <w:r>
              <w:rPr>
                <w:rStyle w:val="657"/>
                <w:rFonts w:ascii="Times New Roman" w:hAnsi="Times New Roman" w:cs="Times New Roman"/>
                <w:sz w:val="32"/>
                <w:szCs w:val="32"/>
                <w:lang w:val="ru-RU" w:eastAsia="ru-RU"/>
              </w:rPr>
              <w:t xml:space="preserve">с 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подростками и молодёжью </w:t>
              <w:br w:type="textWrapping" w:clear="all"/>
              <w:t xml:space="preserve">допризывного, призывного возраста в период</w:t>
            </w:r>
            <w:r>
              <w:rPr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призывной кампании</w:t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6.1. Информационное сопровождение мероприятий призыва граждан на военную службу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39.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Информирование граждан, через региональные средства массовой информации автономного округа (печатные издания, телерадиовещание),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 нецелесообразности обращения в консультирующие организации по вопросам уклонения от военной службы и последствиях совершения противоправных действий, связанных со статьей 328 «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Уклонение от прохождения военной и альтернативной гражданской службы»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Уголовного кодекса Российской Федерации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в ходе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Департамент внутренней политики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, </w:t>
            </w:r>
            <w:r>
              <w:rPr>
                <w:sz w:val="32"/>
                <w:szCs w:val="32"/>
                <w:lang w:val="ru-RU" w:eastAsia="ru-RU"/>
              </w:rPr>
              <w:t xml:space="preserve">муниципальные образования автономного округа</w:t>
            </w:r>
            <w:r>
              <w:rPr>
                <w:spacing w:val="-3"/>
                <w:sz w:val="32"/>
                <w:szCs w:val="32"/>
                <w:lang w:val="ru-RU" w:eastAsia="ru-RU"/>
              </w:rPr>
              <w:t xml:space="preserve">, региональные и муниципальные СМИ,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40.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Информирование граждан, через региональные средства массовой информации автономного округа (печатные издания, телерадиовещание),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 правилах прохождения медицинского освидетельствования при призыве граждан на военную службу и направлении на дополнительное обследование призывными комиссиями в медицинские организации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в ходе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Департамент здравоохранения автономного округа,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Департамент </w:t>
            </w:r>
            <w:r>
              <w:rPr>
                <w:sz w:val="32"/>
                <w:szCs w:val="32"/>
              </w:rPr>
              <w:t xml:space="preserve">внутренней политики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,</w:t>
            </w:r>
            <w:r>
              <w:rPr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spacing w:val="-3"/>
                <w:sz w:val="32"/>
                <w:szCs w:val="32"/>
                <w:lang w:val="ru-RU" w:eastAsia="ru-RU"/>
              </w:rPr>
              <w:t xml:space="preserve">региональные СМИ,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41.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Распространение информационно-агитационных материалов о видах и родах войск, об основных принципах службы в рядах Вооруженных Сил Российской Федерации, о памятных датах истории России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/>
              </w:rPr>
              <w:t xml:space="preserve">Казенное учреждение автономного округа «Центр обеспечения безопасности жизнедеятельности и призыва граждан на военную службу», </w:t>
            </w:r>
            <w:r>
              <w:rPr>
                <w:spacing w:val="-3"/>
                <w:sz w:val="32"/>
                <w:szCs w:val="32"/>
                <w:lang w:val="ru-RU"/>
              </w:rPr>
              <w:t xml:space="preserve">Департамент внутренней политики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42.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Проведение «прямого эфира» с военным комиссаром автономного округа и председателями призывных комиссий муниципальных образований автономного округа о ходе призывной кампании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</w:t>
              <w:br w:type="textWrapping" w:clear="all"/>
              <w:t xml:space="preserve">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3"/>
                <w:sz w:val="32"/>
                <w:szCs w:val="32"/>
              </w:rPr>
              <w:t xml:space="preserve">Военный комиссариат автономного округа, </w:t>
            </w:r>
            <w:r>
              <w:rPr>
                <w:spacing w:val="-3"/>
                <w:sz w:val="32"/>
                <w:szCs w:val="32"/>
                <w:lang w:val="ru-RU"/>
              </w:rPr>
              <w:t xml:space="preserve">военные комиссариаты</w:t>
            </w:r>
            <w:r>
              <w:rPr>
                <w:spacing w:val="-3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ru-RU"/>
              </w:rPr>
              <w:t xml:space="preserve">муниципальных образований </w:t>
            </w:r>
            <w:r>
              <w:rPr>
                <w:spacing w:val="-3"/>
                <w:sz w:val="32"/>
                <w:szCs w:val="32"/>
              </w:rPr>
              <w:t xml:space="preserve">автономного округа, председатели призывных комиссий муниципальных образований автономного округа, </w:t>
            </w:r>
            <w:r>
              <w:rPr>
                <w:spacing w:val="-3"/>
                <w:sz w:val="32"/>
                <w:szCs w:val="32"/>
                <w:lang w:val="ru-RU"/>
              </w:rPr>
              <w:t xml:space="preserve">Департамент внутренней политики автономного округа, </w:t>
            </w:r>
            <w:r>
              <w:rPr>
                <w:spacing w:val="-3"/>
                <w:sz w:val="32"/>
                <w:szCs w:val="32"/>
              </w:rPr>
              <w:t xml:space="preserve">региональные и муниципальные СМИ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43.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Информационное сопровождение в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региональных и муниципальных СМИ мероприятий, посвященных призыву граждан на военную службу (информационные материалы о ходе призывной кампании, репортажи, освещающие деятельность призывных комиссий, информационные материалы о пропаганде военной службы в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образовательных учреждениях, аналитические материалы о важности принимаемых органами государственной и муниципальной власти мер по пропаганде военной службы, анонсирование, освещение региональных и муниципальных мероприятий по популяризации военной службы)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еженедельно </w:t>
              <w:br w:type="textWrapping" w:clear="all"/>
              <w:t xml:space="preserve">в период 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pacing w:val="-3"/>
                <w:sz w:val="32"/>
                <w:szCs w:val="32"/>
                <w:lang w:val="ru-RU" w:eastAsia="ru-RU"/>
              </w:rPr>
              <w:t xml:space="preserve">Военный комиссариат автономного округа,</w:t>
            </w:r>
            <w:r>
              <w:rPr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Департамент </w:t>
            </w:r>
            <w:r>
              <w:rPr>
                <w:sz w:val="32"/>
                <w:szCs w:val="32"/>
              </w:rPr>
              <w:t xml:space="preserve">внутренней политики</w:t>
            </w:r>
            <w:r>
              <w:rPr>
                <w:bCs/>
                <w:sz w:val="32"/>
                <w:szCs w:val="32"/>
              </w:rPr>
              <w:t xml:space="preserve">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, </w:t>
            </w:r>
            <w:r>
              <w:rPr>
                <w:sz w:val="32"/>
                <w:szCs w:val="32"/>
                <w:lang w:val="ru-RU" w:eastAsia="ru-RU"/>
              </w:rPr>
              <w:t xml:space="preserve">муниципальные образования автономного округа</w:t>
            </w:r>
            <w:r>
              <w:rPr>
                <w:spacing w:val="-3"/>
                <w:sz w:val="32"/>
                <w:szCs w:val="32"/>
                <w:lang w:val="ru-RU" w:eastAsia="ru-RU"/>
              </w:rPr>
              <w:t xml:space="preserve">, региональные и муниципальные СМИ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44.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Разъяснение в СМИ </w:t>
            </w:r>
            <w:r>
              <w:rPr>
                <w:sz w:val="32"/>
                <w:szCs w:val="32"/>
                <w:lang w:val="ru-RU" w:eastAsia="ru-RU"/>
              </w:rPr>
              <w:t xml:space="preserve">положений законодательства Российской Федерации о правах граждан, подлежащих призыву и проходящих военную службу, а также 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ответственности за уклонение от прохождения военной службы </w:t>
            </w:r>
            <w:r>
              <w:rPr>
                <w:sz w:val="32"/>
                <w:szCs w:val="32"/>
                <w:lang w:val="ru-RU" w:eastAsia="ru-RU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еженедельно </w:t>
              <w:br w:type="textWrapping" w:clear="all"/>
              <w:t xml:space="preserve">в период призыва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highlight w:val="yellow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Муниципальные образования автономного округа, </w:t>
            </w:r>
            <w:r>
              <w:rPr>
                <w:bCs/>
                <w:sz w:val="32"/>
                <w:szCs w:val="32"/>
              </w:rPr>
              <w:t xml:space="preserve">Департамент </w:t>
            </w:r>
            <w:r>
              <w:rPr>
                <w:sz w:val="32"/>
                <w:szCs w:val="32"/>
              </w:rPr>
              <w:t xml:space="preserve">внутренней политики</w:t>
            </w:r>
            <w:r>
              <w:rPr>
                <w:bCs/>
                <w:sz w:val="32"/>
                <w:szCs w:val="32"/>
              </w:rPr>
              <w:t xml:space="preserve"> автономного округа</w:t>
            </w:r>
            <w:r>
              <w:rPr>
                <w:rStyle w:val="648"/>
                <w:sz w:val="32"/>
                <w:szCs w:val="32"/>
                <w:highlight w:val="yellow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ru-RU" w:eastAsia="ru-RU"/>
              </w:rPr>
              <w:t xml:space="preserve">45.</w:t>
            </w:r>
            <w:r>
              <w:rPr>
                <w:b/>
                <w:bCs/>
              </w:rPr>
            </w:r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Разъяснение в СМИ положений законодательства Российской Федерации о конституционных правах граждан, изъявивших желание проходить альтернативную гражданскую службу, и особенностях организации и прохождения альтернативной гражданской службы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r>
            <w:r>
              <w:rPr>
                <w:b/>
                <w:bCs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br w:type="textWrapping" w:clear="all"/>
              <w:t xml:space="preserve">до 15 июля</w:t>
            </w:r>
            <w:r>
              <w:rPr>
                <w:b/>
                <w:bCs/>
              </w:rPr>
            </w:r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b/>
                <w:bCs/>
                <w:sz w:val="32"/>
                <w:szCs w:val="32"/>
              </w:rPr>
            </w:pPr>
            <w:r>
              <w:rPr>
                <w:rStyle w:val="648"/>
                <w:b/>
                <w:bCs/>
                <w:sz w:val="32"/>
                <w:szCs w:val="32"/>
                <w:lang w:val="ru-RU" w:eastAsia="ru-RU"/>
              </w:rPr>
              <w:t xml:space="preserve">Департамент труда и занятости населения автономного округа,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Департамент </w:t>
            </w:r>
            <w:r>
              <w:rPr>
                <w:b/>
                <w:bCs/>
                <w:sz w:val="32"/>
                <w:szCs w:val="32"/>
              </w:rPr>
              <w:t xml:space="preserve">внутренней политики</w:t>
            </w:r>
            <w:r>
              <w:rPr>
                <w:b/>
                <w:bCs/>
                <w:sz w:val="32"/>
                <w:szCs w:val="32"/>
              </w:rPr>
              <w:t xml:space="preserve"> автономного округа</w:t>
            </w:r>
            <w:r>
              <w:rPr>
                <w:rStyle w:val="648"/>
                <w:b/>
                <w:bCs/>
                <w:sz w:val="32"/>
                <w:szCs w:val="32"/>
                <w:lang w:val="ru-RU" w:eastAsia="ru-RU"/>
              </w:rPr>
              <w:t xml:space="preserve">, муниципальные образования автономного округа, общественные организации</w:t>
            </w:r>
            <w:r>
              <w:rPr>
                <w:b/>
                <w:bCs/>
              </w:rPr>
            </w:r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46.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Организовать проведение меро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приятия </w:t>
              <w:br w:type="textWrapping" w:clear="all"/>
              <w:t xml:space="preserve">«День открытых дверей»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на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сборном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пункте автономного округа для родителей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граждан, призванных на военную службу,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с целью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разъяснения порядка прохождения военной службы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15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Военный комиссариат автономного округа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47.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Опубликование в региональных и муниципальных СМИ итогов призыва граждан на военную службу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 течение года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3"/>
                <w:sz w:val="32"/>
                <w:szCs w:val="32"/>
                <w:lang w:val="ru-RU" w:eastAsia="ru-RU"/>
              </w:rPr>
            </w:pPr>
            <w:r>
              <w:rPr>
                <w:spacing w:val="-3"/>
                <w:sz w:val="32"/>
                <w:szCs w:val="32"/>
                <w:lang w:val="ru-RU" w:eastAsia="ru-RU"/>
              </w:rPr>
              <w:t xml:space="preserve">Военный комиссариат автономного округа,</w:t>
            </w:r>
            <w:r>
              <w:rPr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Департамент </w:t>
            </w:r>
            <w:r>
              <w:rPr>
                <w:sz w:val="32"/>
                <w:szCs w:val="32"/>
              </w:rPr>
              <w:t xml:space="preserve">внутренней политики</w:t>
            </w:r>
            <w:r>
              <w:rPr>
                <w:bCs/>
                <w:sz w:val="32"/>
                <w:szCs w:val="32"/>
              </w:rPr>
              <w:t xml:space="preserve">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, </w:t>
            </w:r>
            <w:r>
              <w:rPr>
                <w:sz w:val="32"/>
                <w:szCs w:val="32"/>
                <w:lang w:val="ru-RU" w:eastAsia="ru-RU"/>
              </w:rPr>
              <w:t xml:space="preserve">муниципальные образования автономного округа</w:t>
            </w:r>
            <w:r>
              <w:rPr>
                <w:spacing w:val="-3"/>
                <w:sz w:val="32"/>
                <w:szCs w:val="32"/>
                <w:lang w:val="ru-RU" w:eastAsia="ru-RU"/>
              </w:rPr>
              <w:t xml:space="preserve">, региональные и муниципальные СМИ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48.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Проведение пресс-конференции по итогам призыва граждан на военную службу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30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spacing w:val="-3"/>
                <w:sz w:val="32"/>
                <w:szCs w:val="32"/>
                <w:lang w:val="ru-RU" w:eastAsia="ru-RU"/>
              </w:rPr>
            </w:pPr>
            <w:r>
              <w:rPr>
                <w:spacing w:val="-3"/>
                <w:sz w:val="32"/>
                <w:szCs w:val="32"/>
                <w:lang w:val="ru-RU" w:eastAsia="ru-RU"/>
              </w:rPr>
              <w:t xml:space="preserve">Военный комиссариат автономного округа,</w:t>
            </w:r>
            <w:r>
              <w:rPr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Департамент </w:t>
            </w:r>
            <w:r>
              <w:rPr>
                <w:sz w:val="32"/>
                <w:szCs w:val="32"/>
              </w:rPr>
              <w:t xml:space="preserve">внутренней политики</w:t>
            </w:r>
            <w:r>
              <w:rPr>
                <w:bCs/>
                <w:sz w:val="32"/>
                <w:szCs w:val="32"/>
              </w:rPr>
              <w:t xml:space="preserve">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, </w:t>
            </w:r>
            <w:r>
              <w:rPr>
                <w:sz w:val="32"/>
                <w:szCs w:val="32"/>
                <w:lang w:val="ru-RU" w:eastAsia="ru-RU"/>
              </w:rPr>
              <w:t xml:space="preserve">призывная комиссия автономного округа</w:t>
            </w:r>
            <w:r>
              <w:rPr>
                <w:spacing w:val="-3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gridSpan w:val="5"/>
            <w:tcW w:w="15134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7. Мероприятия по завершению призыва граждан на военную службу</w:t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49.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одготовка и направление именных списков призывников об убытии со сборного пункта автономного округа, а также личных дел призывников, убывших со сборного пункта автономного округа в войска, в военные комиссариаты муниципальных образований автономного округа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20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50.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Организация и подготовка составления отчетности о проведении призыва граждан на военную службу весной 2024 года военными комиссариатами муниципальных образований автономного округа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20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51.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Подготовка и направление отчет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а </w:t>
              <w:br/>
              <w:t xml:space="preserve">в организационно-мобилизационное управление штаба Центрального военного округа «Об изменении в составе призывных ресурсов, </w:t>
              <w:br/>
              <w:t xml:space="preserve">о призыве граждан на военную службу в отчетном году и количестве граждан, подлежащих призыву на военную службу </w:t>
              <w:br/>
              <w:t xml:space="preserve">в очередном году»</w:t>
            </w:r>
            <w:r>
              <w:rPr>
                <w:rFonts w:ascii="Times New Roman" w:hAnsi="Times New Roman"/>
                <w:sz w:val="32"/>
                <w:szCs w:val="32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31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52.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Информирование председателя призывной комиссии автономного округа об итогах призыва граждан на военную службу весной 2024 года</w:t>
              <w:br w:type="textWrapping" w:clear="all"/>
              <w:t xml:space="preserve">и проблемных вопросах, возникших в ходе его проведения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25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</w:rPr>
              <w:t xml:space="preserve">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53</w:t>
            </w:r>
            <w:r>
              <w:rPr>
                <w:rStyle w:val="648"/>
                <w:sz w:val="32"/>
                <w:szCs w:val="32"/>
                <w:lang w:val="ru-RU" w:eastAsia="ru-RU"/>
              </w:rPr>
              <w:t xml:space="preserve">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Подготовка доклада в Министерство обороны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РФ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 итогах призыва граждан на военную службу весной 202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4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года и проблемных вопросах, возникших в ходе его проведения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30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both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/>
              </w:rPr>
              <w:t xml:space="preserve">Призывная</w:t>
            </w:r>
            <w:r>
              <w:rPr>
                <w:sz w:val="32"/>
                <w:szCs w:val="32"/>
              </w:rPr>
              <w:t xml:space="preserve"> комисси</w:t>
            </w:r>
            <w:r>
              <w:rPr>
                <w:sz w:val="32"/>
                <w:szCs w:val="32"/>
                <w:lang w:val="ru-RU"/>
              </w:rPr>
              <w:t xml:space="preserve">и</w:t>
            </w:r>
            <w:r>
              <w:rPr>
                <w:sz w:val="32"/>
                <w:szCs w:val="32"/>
              </w:rPr>
              <w:t xml:space="preserve"> автономного округа, военный комиссариат автономного округа</w:t>
            </w:r>
            <w:r>
              <w:rPr>
                <w:rStyle w:val="648"/>
                <w:sz w:val="32"/>
                <w:szCs w:val="32"/>
                <w:lang w:val="ru-RU" w:eastAsia="ru-RU"/>
              </w:rPr>
            </w:r>
            <w:r/>
          </w:p>
        </w:tc>
      </w:tr>
      <w:tr>
        <w:trPr>
          <w:trHeight w:val="20"/>
        </w:trPr>
        <w:tc>
          <w:tcPr>
            <w:tcW w:w="817" w:type="dxa"/>
            <w:vAlign w:val="top"/>
            <w:textDirection w:val="lrTb"/>
            <w:noWrap w:val="false"/>
          </w:tcPr>
          <w:p>
            <w:pPr>
              <w:pStyle w:val="653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648"/>
                <w:sz w:val="32"/>
                <w:szCs w:val="32"/>
                <w:lang w:val="ru-RU" w:eastAsia="ru-RU"/>
              </w:rPr>
            </w:pPr>
            <w:r>
              <w:rPr>
                <w:rStyle w:val="648"/>
                <w:sz w:val="32"/>
                <w:szCs w:val="32"/>
                <w:lang w:val="ru-RU" w:eastAsia="ru-RU"/>
              </w:rPr>
              <w:t xml:space="preserve">54.</w:t>
            </w:r>
            <w:r/>
          </w:p>
        </w:tc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Представление в Министерство обороны РФ доклада об итогах призыва граждан на военную службу весной 2024 года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до 30 июля</w:t>
            </w:r>
            <w:r/>
          </w:p>
        </w:tc>
        <w:tc>
          <w:tcPr>
            <w:gridSpan w:val="2"/>
            <w:tcW w:w="6095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Департамент региональной безопасности автономного округа</w:t>
            </w:r>
            <w:r>
              <w:rPr>
                <w:rFonts w:ascii="Times New Roman" w:hAnsi="Times New Roman"/>
                <w:sz w:val="32"/>
                <w:szCs w:val="32"/>
                <w:highlight w:val="cyan"/>
              </w:rPr>
            </w:r>
            <w:r/>
          </w:p>
        </w:tc>
      </w:tr>
    </w:tbl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6838" w:h="11906" w:orient="landscape"/>
      <w:pgMar w:top="1077" w:right="1134" w:bottom="964" w:left="1134" w:header="567" w:footer="45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entury Schoolbook">
    <w:panose1 w:val="02040604050505020304"/>
  </w:font>
  <w:font w:name="Tahoma">
    <w:panose1 w:val="020B0604030504040204"/>
  </w:font>
  <w:font w:name="Lucida Sans Unicode">
    <w:panose1 w:val="020B0602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jc w:val="cen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44">
    <w:name w:val="Основной шрифт абзаца"/>
    <w:next w:val="644"/>
    <w:link w:val="643"/>
    <w:uiPriority w:val="1"/>
    <w:unhideWhenUsed/>
  </w:style>
  <w:style w:type="table" w:styleId="645">
    <w:name w:val="Обычная таблица"/>
    <w:next w:val="645"/>
    <w:link w:val="643"/>
    <w:uiPriority w:val="99"/>
    <w:semiHidden/>
    <w:unhideWhenUsed/>
    <w:tblPr/>
  </w:style>
  <w:style w:type="numbering" w:styleId="646">
    <w:name w:val="Нет списка"/>
    <w:next w:val="646"/>
    <w:link w:val="643"/>
    <w:uiPriority w:val="99"/>
    <w:semiHidden/>
    <w:unhideWhenUsed/>
  </w:style>
  <w:style w:type="character" w:styleId="647">
    <w:name w:val="Основной текст (2)_"/>
    <w:next w:val="647"/>
    <w:link w:val="653"/>
    <w:uiPriority w:val="99"/>
    <w:rPr>
      <w:rFonts w:ascii="Times New Roman" w:hAnsi="Times New Roman"/>
      <w:sz w:val="26"/>
      <w:szCs w:val="26"/>
      <w:shd w:val="clear" w:color="auto" w:fill="ffffff"/>
    </w:rPr>
  </w:style>
  <w:style w:type="character" w:styleId="648">
    <w:name w:val="Основной текст (2) + 10 pt"/>
    <w:next w:val="648"/>
    <w:link w:val="643"/>
    <w:uiPriority w:val="99"/>
    <w:rPr>
      <w:rFonts w:ascii="Times New Roman" w:hAnsi="Times New Roman"/>
      <w:sz w:val="20"/>
      <w:szCs w:val="20"/>
      <w:shd w:val="clear" w:color="auto" w:fill="ffffff"/>
    </w:rPr>
  </w:style>
  <w:style w:type="character" w:styleId="649">
    <w:name w:val="Основной текст (2) + Lucida Sans Unicode,8,5 pt"/>
    <w:next w:val="649"/>
    <w:link w:val="643"/>
    <w:uiPriority w:val="99"/>
    <w:rPr>
      <w:rFonts w:ascii="Lucida Sans Unicode" w:hAnsi="Lucida Sans Unicode" w:cs="Lucida Sans Unicode"/>
      <w:sz w:val="17"/>
      <w:szCs w:val="17"/>
      <w:shd w:val="clear" w:color="auto" w:fill="ffffff"/>
    </w:rPr>
  </w:style>
  <w:style w:type="character" w:styleId="650">
    <w:name w:val="Основной текст (2) + 11 pt,Курсив"/>
    <w:next w:val="650"/>
    <w:link w:val="643"/>
    <w:uiPriority w:val="99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styleId="651">
    <w:name w:val="Основной текст (2) + 8,5 pt2,Интервал 0 pt"/>
    <w:next w:val="651"/>
    <w:link w:val="643"/>
    <w:uiPriority w:val="99"/>
    <w:rPr>
      <w:rFonts w:ascii="Times New Roman" w:hAnsi="Times New Roman"/>
      <w:spacing w:val="-10"/>
      <w:sz w:val="17"/>
      <w:szCs w:val="17"/>
      <w:shd w:val="clear" w:color="auto" w:fill="ffffff"/>
    </w:rPr>
  </w:style>
  <w:style w:type="character" w:styleId="652">
    <w:name w:val="Основной текст (2) + Tahoma,10 pt"/>
    <w:next w:val="652"/>
    <w:link w:val="643"/>
    <w:uiPriority w:val="99"/>
    <w:rPr>
      <w:rFonts w:ascii="Tahoma" w:hAnsi="Tahoma" w:cs="Tahoma"/>
      <w:sz w:val="20"/>
      <w:szCs w:val="20"/>
      <w:shd w:val="clear" w:color="auto" w:fill="ffffff"/>
    </w:rPr>
  </w:style>
  <w:style w:type="paragraph" w:styleId="653">
    <w:name w:val="Основной текст (2)"/>
    <w:basedOn w:val="643"/>
    <w:next w:val="653"/>
    <w:link w:val="647"/>
    <w:uiPriority w:val="99"/>
    <w:pPr>
      <w:ind w:hanging="280"/>
      <w:spacing w:before="420" w:after="420" w:line="326" w:lineRule="exact"/>
      <w:shd w:val="clear" w:color="auto" w:fill="ffffff"/>
      <w:widowControl w:val="off"/>
    </w:pPr>
    <w:rPr>
      <w:rFonts w:ascii="Times New Roman" w:hAnsi="Times New Roman"/>
      <w:sz w:val="26"/>
      <w:szCs w:val="26"/>
      <w:lang w:val="en-US" w:eastAsia="en-US"/>
    </w:rPr>
  </w:style>
  <w:style w:type="character" w:styleId="654">
    <w:name w:val="Основной текст (3)_"/>
    <w:next w:val="654"/>
    <w:link w:val="655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styleId="655">
    <w:name w:val="Основной текст (3)"/>
    <w:basedOn w:val="643"/>
    <w:next w:val="655"/>
    <w:link w:val="654"/>
    <w:uiPriority w:val="99"/>
    <w:pPr>
      <w:jc w:val="center"/>
      <w:spacing w:before="240" w:after="240" w:line="326" w:lineRule="exact"/>
      <w:shd w:val="clear" w:color="auto" w:fill="ffffff"/>
      <w:widowControl w:val="off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styleId="656">
    <w:name w:val="Сетка таблицы"/>
    <w:basedOn w:val="645"/>
    <w:next w:val="656"/>
    <w:link w:val="643"/>
    <w:uiPriority w:val="39"/>
    <w:tblPr/>
  </w:style>
  <w:style w:type="character" w:styleId="657">
    <w:name w:val="Основной текст (2) + Century Schoolbook,5 pt1"/>
    <w:next w:val="657"/>
    <w:link w:val="643"/>
    <w:uiPriority w:val="99"/>
    <w:rPr>
      <w:rFonts w:ascii="Century Schoolbook" w:hAnsi="Century Schoolbook" w:cs="Century Schoolbook"/>
      <w:sz w:val="10"/>
      <w:szCs w:val="10"/>
      <w:u w:val="none"/>
      <w:shd w:val="clear" w:color="auto" w:fill="ffffff"/>
    </w:rPr>
  </w:style>
  <w:style w:type="character" w:styleId="658">
    <w:name w:val="Подпись к картинке (2) Exact"/>
    <w:next w:val="658"/>
    <w:link w:val="659"/>
    <w:uiPriority w:val="99"/>
    <w:rPr>
      <w:rFonts w:ascii="Times New Roman" w:hAnsi="Times New Roman"/>
      <w:shd w:val="clear" w:color="auto" w:fill="ffffff"/>
    </w:rPr>
  </w:style>
  <w:style w:type="paragraph" w:styleId="659">
    <w:name w:val="Подпись к картинке (2)"/>
    <w:basedOn w:val="643"/>
    <w:next w:val="659"/>
    <w:link w:val="658"/>
    <w:uiPriority w:val="99"/>
    <w:pPr>
      <w:spacing w:after="60" w:line="240" w:lineRule="atLeast"/>
      <w:shd w:val="clear" w:color="auto" w:fill="ffffff"/>
      <w:widowControl w:val="off"/>
    </w:pPr>
    <w:rPr>
      <w:rFonts w:ascii="Times New Roman" w:hAnsi="Times New Roman"/>
      <w:sz w:val="20"/>
      <w:szCs w:val="20"/>
      <w:lang w:val="en-US" w:eastAsia="en-US"/>
    </w:rPr>
  </w:style>
  <w:style w:type="character" w:styleId="660">
    <w:name w:val="Основной текст (2) + Tahoma1,4 pt"/>
    <w:next w:val="660"/>
    <w:link w:val="643"/>
    <w:uiPriority w:val="99"/>
    <w:rPr>
      <w:rFonts w:ascii="Tahoma" w:hAnsi="Tahoma" w:cs="Tahoma"/>
      <w:sz w:val="8"/>
      <w:szCs w:val="8"/>
      <w:u w:val="none"/>
      <w:shd w:val="clear" w:color="auto" w:fill="ffffff"/>
    </w:rPr>
  </w:style>
  <w:style w:type="paragraph" w:styleId="661">
    <w:name w:val="Style1"/>
    <w:basedOn w:val="643"/>
    <w:next w:val="661"/>
    <w:link w:val="643"/>
    <w:pPr>
      <w:jc w:val="center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62">
    <w:name w:val="Font Style14"/>
    <w:next w:val="662"/>
    <w:link w:val="643"/>
    <w:rPr>
      <w:rFonts w:ascii="Times New Roman" w:hAnsi="Times New Roman" w:cs="Times New Roman"/>
      <w:sz w:val="26"/>
      <w:szCs w:val="26"/>
    </w:rPr>
  </w:style>
  <w:style w:type="paragraph" w:styleId="663">
    <w:name w:val="Текст выноски"/>
    <w:basedOn w:val="643"/>
    <w:next w:val="663"/>
    <w:link w:val="664"/>
    <w:pPr>
      <w:spacing w:after="0" w:line="240" w:lineRule="auto"/>
    </w:pPr>
    <w:rPr>
      <w:rFonts w:ascii="Segoe UI" w:hAnsi="Segoe UI" w:eastAsia="Times New Roman"/>
      <w:sz w:val="18"/>
      <w:szCs w:val="18"/>
      <w:lang w:val="en-US" w:eastAsia="en-US"/>
    </w:rPr>
  </w:style>
  <w:style w:type="character" w:styleId="664">
    <w:name w:val="Текст выноски Знак"/>
    <w:next w:val="664"/>
    <w:link w:val="663"/>
    <w:rPr>
      <w:rFonts w:ascii="Segoe UI" w:hAnsi="Segoe UI" w:eastAsia="Times New Roman" w:cs="Segoe UI"/>
      <w:sz w:val="18"/>
      <w:szCs w:val="18"/>
    </w:rPr>
  </w:style>
  <w:style w:type="paragraph" w:styleId="665">
    <w:name w:val="Верхний колонтитул"/>
    <w:basedOn w:val="643"/>
    <w:next w:val="665"/>
    <w:link w:val="66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66">
    <w:name w:val="Верхний колонтитул Знак"/>
    <w:next w:val="666"/>
    <w:link w:val="665"/>
    <w:uiPriority w:val="99"/>
    <w:rPr>
      <w:sz w:val="22"/>
      <w:szCs w:val="22"/>
      <w:lang w:eastAsia="en-US"/>
    </w:rPr>
  </w:style>
  <w:style w:type="paragraph" w:styleId="667">
    <w:name w:val="Нижний колонтитул"/>
    <w:basedOn w:val="643"/>
    <w:next w:val="667"/>
    <w:link w:val="66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68">
    <w:name w:val="Нижний колонтитул Знак"/>
    <w:next w:val="668"/>
    <w:link w:val="667"/>
    <w:uiPriority w:val="99"/>
    <w:rPr>
      <w:sz w:val="22"/>
      <w:szCs w:val="22"/>
      <w:lang w:eastAsia="en-US"/>
    </w:rPr>
  </w:style>
  <w:style w:type="character" w:styleId="669">
    <w:name w:val="Гипертекстовая ссылка"/>
    <w:next w:val="669"/>
    <w:link w:val="643"/>
    <w:uiPriority w:val="99"/>
    <w:rPr>
      <w:color w:val="106bbe"/>
    </w:rPr>
  </w:style>
  <w:style w:type="paragraph" w:styleId="670">
    <w:name w:val="Без интервала"/>
    <w:next w:val="670"/>
    <w:link w:val="674"/>
    <w:uiPriority w:val="1"/>
    <w:qFormat/>
    <w:rPr>
      <w:sz w:val="22"/>
      <w:szCs w:val="22"/>
      <w:lang w:eastAsia="en-US" w:bidi="ar-SA"/>
    </w:rPr>
  </w:style>
  <w:style w:type="character" w:styleId="671">
    <w:name w:val="Гиперссылка"/>
    <w:next w:val="671"/>
    <w:link w:val="643"/>
    <w:rPr>
      <w:color w:val="0000ff"/>
      <w:u w:val="single"/>
    </w:rPr>
  </w:style>
  <w:style w:type="paragraph" w:styleId="672">
    <w:name w:val="Основной текст"/>
    <w:basedOn w:val="643"/>
    <w:next w:val="672"/>
    <w:link w:val="673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673">
    <w:name w:val="Основной текст Знак"/>
    <w:next w:val="673"/>
    <w:link w:val="672"/>
    <w:rPr>
      <w:rFonts w:ascii="Times New Roman" w:hAnsi="Times New Roman" w:eastAsia="Times New Roman"/>
      <w:sz w:val="24"/>
      <w:szCs w:val="24"/>
    </w:rPr>
  </w:style>
  <w:style w:type="character" w:styleId="674">
    <w:name w:val="Без интервала Знак"/>
    <w:next w:val="674"/>
    <w:link w:val="670"/>
    <w:uiPriority w:val="1"/>
    <w:rPr>
      <w:sz w:val="22"/>
      <w:szCs w:val="22"/>
      <w:lang w:eastAsia="en-US" w:bidi="ar-SA"/>
    </w:rPr>
  </w:style>
  <w:style w:type="character" w:styleId="675">
    <w:name w:val="catalog-section-title2"/>
    <w:next w:val="675"/>
    <w:link w:val="643"/>
    <w:rPr>
      <w:b/>
      <w:bCs/>
      <w:color w:val="555555"/>
    </w:rPr>
  </w:style>
  <w:style w:type="character" w:styleId="3517" w:default="1">
    <w:name w:val="Default Paragraph Font"/>
    <w:uiPriority w:val="1"/>
    <w:semiHidden/>
    <w:unhideWhenUsed/>
  </w:style>
  <w:style w:type="numbering" w:styleId="3518" w:default="1">
    <w:name w:val="No List"/>
    <w:uiPriority w:val="99"/>
    <w:semiHidden/>
    <w:unhideWhenUsed/>
  </w:style>
  <w:style w:type="table" w:styleId="35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 Максим Владимирович</dc:creator>
  <cp:revision>134</cp:revision>
  <dcterms:created xsi:type="dcterms:W3CDTF">2021-03-26T12:26:00Z</dcterms:created>
  <dcterms:modified xsi:type="dcterms:W3CDTF">2024-03-11T04:18:01Z</dcterms:modified>
  <cp:version>786432</cp:version>
</cp:coreProperties>
</file>