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54" w:rsidRPr="00616C79" w:rsidRDefault="00F16954" w:rsidP="00F16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79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F16954" w:rsidRPr="00616C79" w:rsidRDefault="00F16954" w:rsidP="00F16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79">
        <w:rPr>
          <w:rFonts w:ascii="Times New Roman" w:hAnsi="Times New Roman" w:cs="Times New Roman"/>
          <w:b/>
          <w:sz w:val="28"/>
          <w:szCs w:val="28"/>
        </w:rPr>
        <w:t xml:space="preserve">об антимонопольном </w:t>
      </w:r>
      <w:proofErr w:type="spellStart"/>
      <w:r w:rsidRPr="00616C79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616C79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городской округ город Пыть-Ях за 2020 год</w:t>
      </w:r>
    </w:p>
    <w:p w:rsidR="00451489" w:rsidRPr="00616C79" w:rsidRDefault="00451489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0D" w:rsidRPr="00616C79" w:rsidRDefault="00E7270D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489" w:rsidRPr="00616C79" w:rsidRDefault="00451489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7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51489" w:rsidRPr="00616C79" w:rsidRDefault="00451489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6954" w:rsidRPr="00616C79" w:rsidRDefault="00F16954" w:rsidP="00182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Ежегодный доклад об антимонопольном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городской округ город Пыть-Ях</w:t>
      </w:r>
      <w:r w:rsidRPr="00616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C79">
        <w:rPr>
          <w:rFonts w:ascii="Times New Roman" w:hAnsi="Times New Roman" w:cs="Times New Roman"/>
          <w:sz w:val="28"/>
          <w:szCs w:val="28"/>
        </w:rPr>
        <w:t xml:space="preserve">(далее – доклад) подготовлен в соответствии с постановлением Правительства Ханты-Мансийского автономного округа </w:t>
      </w:r>
      <w:r w:rsidR="00F02614" w:rsidRPr="00616C79">
        <w:rPr>
          <w:rFonts w:ascii="Times New Roman" w:hAnsi="Times New Roman" w:cs="Times New Roman"/>
          <w:sz w:val="28"/>
          <w:szCs w:val="28"/>
        </w:rPr>
        <w:t>– Югры от 25 января 2019 года №</w:t>
      </w:r>
      <w:r w:rsidR="00616A03" w:rsidRPr="00616C79">
        <w:rPr>
          <w:rFonts w:ascii="Times New Roman" w:hAnsi="Times New Roman" w:cs="Times New Roman"/>
          <w:sz w:val="28"/>
          <w:szCs w:val="28"/>
        </w:rPr>
        <w:t xml:space="preserve"> </w:t>
      </w:r>
      <w:r w:rsidRPr="00616C79">
        <w:rPr>
          <w:rFonts w:ascii="Times New Roman" w:hAnsi="Times New Roman" w:cs="Times New Roman"/>
          <w:sz w:val="28"/>
          <w:szCs w:val="28"/>
        </w:rPr>
        <w:t xml:space="preserve">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– Югры и органов местного самоуправления муниципальных образований Ханты-Мансийского автономного округа – Югры», приказа Департамента экономического развития Ханты-Мансийского автономного округа – Югры </w:t>
      </w:r>
      <w:r w:rsidR="00B44BC3" w:rsidRPr="00616C79">
        <w:rPr>
          <w:rFonts w:ascii="Times New Roman" w:hAnsi="Times New Roman" w:cs="Times New Roman"/>
          <w:sz w:val="28"/>
          <w:szCs w:val="28"/>
        </w:rPr>
        <w:t>от 07.02.2019 №</w:t>
      </w:r>
      <w:r w:rsidR="00616A03" w:rsidRPr="00616C79">
        <w:rPr>
          <w:rFonts w:ascii="Times New Roman" w:hAnsi="Times New Roman" w:cs="Times New Roman"/>
          <w:sz w:val="28"/>
          <w:szCs w:val="28"/>
        </w:rPr>
        <w:t xml:space="preserve"> </w:t>
      </w:r>
      <w:r w:rsidRPr="00616C79">
        <w:rPr>
          <w:rFonts w:ascii="Times New Roman" w:hAnsi="Times New Roman" w:cs="Times New Roman"/>
          <w:sz w:val="28"/>
          <w:szCs w:val="28"/>
        </w:rPr>
        <w:t xml:space="preserve">21 «Об антимонопольном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- Югре». </w:t>
      </w:r>
    </w:p>
    <w:p w:rsidR="00E52C5E" w:rsidRPr="00616C79" w:rsidRDefault="001821D3" w:rsidP="00182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В докладе отражены основные мероприятия по организации и функционированию в муниципальном образовании городской округ город Пыть-Ях системы внутреннего обеспечения соответствия требованиям антимонопольного законодательства, </w:t>
      </w:r>
      <w:r w:rsidR="00E52C5E" w:rsidRPr="00616C79">
        <w:rPr>
          <w:rFonts w:ascii="Times New Roman" w:hAnsi="Times New Roman" w:cs="Times New Roman"/>
          <w:sz w:val="28"/>
          <w:szCs w:val="28"/>
        </w:rPr>
        <w:t xml:space="preserve">информация об исполнении Плана мероприятий по снижению рисков нарушения антимонопольного законодательства на 2020 год, </w:t>
      </w:r>
      <w:r w:rsidR="00E52C5E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результаты анализа выявленных нарушений антимонопольного законодательства в деятельности администрации города Пыть-Яха за 2020</w:t>
      </w:r>
      <w:r w:rsidR="00E52C5E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а также выводы об эффективности функционирования антимонопольного </w:t>
      </w:r>
      <w:proofErr w:type="spellStart"/>
      <w:r w:rsidR="00E52C5E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E52C5E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деятельности администрации города Пыть-Яха за 2020 год.</w:t>
      </w:r>
    </w:p>
    <w:p w:rsidR="00CB383A" w:rsidRPr="00616C79" w:rsidRDefault="00CB383A" w:rsidP="001821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70D" w:rsidRPr="00616C79" w:rsidRDefault="00E7270D" w:rsidP="001821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70D" w:rsidRPr="00616C79" w:rsidRDefault="00E7270D" w:rsidP="001821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1" w:rsidRPr="00616C79" w:rsidRDefault="00805BF1" w:rsidP="00805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2. Мероприятия, проведенные администрацией города Пыть-Яха, </w:t>
      </w:r>
    </w:p>
    <w:p w:rsidR="00805BF1" w:rsidRPr="00616C79" w:rsidRDefault="00805BF1" w:rsidP="00805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E5E34" w:rsidRPr="00616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организации и </w:t>
      </w:r>
      <w:r w:rsidRPr="00616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функционированию </w:t>
      </w:r>
      <w:r w:rsidRPr="00616C79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</w:p>
    <w:p w:rsidR="00451489" w:rsidRPr="00616C79" w:rsidRDefault="00451489" w:rsidP="00F1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9FD" w:rsidRPr="00616C79" w:rsidRDefault="00103A56" w:rsidP="00C17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В целях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>) администрацией города Пыть-Яха</w:t>
      </w:r>
      <w:r w:rsidR="00C179FD" w:rsidRPr="00616C79">
        <w:rPr>
          <w:rFonts w:ascii="Times New Roman" w:hAnsi="Times New Roman" w:cs="Times New Roman"/>
          <w:sz w:val="28"/>
          <w:szCs w:val="28"/>
        </w:rPr>
        <w:t>, осуществлены следующие мероприятия:</w:t>
      </w:r>
    </w:p>
    <w:p w:rsidR="00C179FD" w:rsidRPr="00616C79" w:rsidRDefault="00C179FD" w:rsidP="00E93AF3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Усовершенствован механизм правового регулирования антимонопольного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>:</w:t>
      </w:r>
    </w:p>
    <w:p w:rsidR="00C179FD" w:rsidRPr="00616C79" w:rsidRDefault="00103A56" w:rsidP="00103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- </w:t>
      </w:r>
      <w:r w:rsidRPr="00616C79">
        <w:rPr>
          <w:rFonts w:ascii="Times New Roman" w:hAnsi="Times New Roman" w:cs="Times New Roman"/>
          <w:bCs/>
          <w:sz w:val="28"/>
          <w:szCs w:val="28"/>
        </w:rPr>
        <w:t xml:space="preserve">утверждено 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16C79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616C7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616C79">
        <w:rPr>
          <w:rFonts w:ascii="Times New Roman" w:hAnsi="Times New Roman" w:cs="Times New Roman"/>
          <w:sz w:val="28"/>
          <w:szCs w:val="28"/>
        </w:rPr>
        <w:t>распоряжением администрации города от 20.07.2020 № 1291-ра;</w:t>
      </w:r>
    </w:p>
    <w:p w:rsidR="00103A56" w:rsidRPr="00616C79" w:rsidRDefault="00103A56" w:rsidP="00103A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</w:rPr>
        <w:t>- определено уполномоченное структурное подразделение, ответственное за организацию и функционирование системы внутреннего обеспечения соответствия требованиям антимонопольного законодательства в администрации города Пыть-Яха – управление по правовым вопросам администрации города Пыть-Яха</w:t>
      </w:r>
      <w:r w:rsidR="005D7B1C" w:rsidRPr="00616C79">
        <w:rPr>
          <w:rFonts w:ascii="Times New Roman" w:hAnsi="Times New Roman" w:cs="Times New Roman"/>
          <w:bCs/>
          <w:sz w:val="28"/>
          <w:szCs w:val="28"/>
        </w:rPr>
        <w:t>.</w:t>
      </w:r>
    </w:p>
    <w:p w:rsidR="00692AA4" w:rsidRPr="00616C79" w:rsidRDefault="00692AA4" w:rsidP="00692AA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определены должностные лица, ответственные за:</w:t>
      </w:r>
    </w:p>
    <w:p w:rsidR="00692AA4" w:rsidRPr="00616C79" w:rsidRDefault="00692AA4" w:rsidP="00692AA4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функционирование антимонопольного </w:t>
      </w:r>
      <w:proofErr w:type="spellStart"/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16C79">
        <w:rPr>
          <w:rFonts w:ascii="Times New Roman" w:hAnsi="Times New Roman" w:cs="Times New Roman"/>
          <w:sz w:val="28"/>
          <w:szCs w:val="28"/>
        </w:rPr>
        <w:t>муниципальном образовании городской округ город Пыть-Ях;</w:t>
      </w:r>
    </w:p>
    <w:p w:rsidR="00692AA4" w:rsidRPr="00616C79" w:rsidRDefault="00692AA4" w:rsidP="00692AA4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2) </w:t>
      </w: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Департаментом экономического развития автономного округа по вопросам функционирования антимонопольного </w:t>
      </w:r>
      <w:proofErr w:type="spellStart"/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9FD" w:rsidRPr="00616C79" w:rsidRDefault="00C179FD" w:rsidP="00C179FD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Разработан и исполнен План мероприятий по снижению рисков нарушения антимонопольного законодательства в </w:t>
      </w:r>
      <w:r w:rsidR="00E93AF3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городе </w:t>
      </w:r>
      <w:proofErr w:type="spellStart"/>
      <w:r w:rsidR="00E93AF3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E93AF3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2020 год.</w:t>
      </w:r>
    </w:p>
    <w:p w:rsidR="00C179FD" w:rsidRPr="00616C79" w:rsidRDefault="005D7B1C" w:rsidP="00C179FD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>Заключено дополнительно</w:t>
      </w:r>
      <w:r w:rsidR="00C179FD" w:rsidRPr="00616C79">
        <w:rPr>
          <w:rFonts w:ascii="Times New Roman" w:hAnsi="Times New Roman" w:cs="Times New Roman"/>
          <w:sz w:val="28"/>
          <w:szCs w:val="28"/>
        </w:rPr>
        <w:t>е</w:t>
      </w:r>
      <w:r w:rsidRPr="00616C79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C179FD" w:rsidRPr="00616C79">
        <w:rPr>
          <w:rFonts w:ascii="Times New Roman" w:hAnsi="Times New Roman" w:cs="Times New Roman"/>
          <w:sz w:val="28"/>
          <w:szCs w:val="28"/>
        </w:rPr>
        <w:t xml:space="preserve"> к Соглашени</w:t>
      </w:r>
      <w:r w:rsidRPr="00616C79">
        <w:rPr>
          <w:rFonts w:ascii="Times New Roman" w:hAnsi="Times New Roman" w:cs="Times New Roman"/>
          <w:sz w:val="28"/>
          <w:szCs w:val="28"/>
        </w:rPr>
        <w:t xml:space="preserve">ю </w:t>
      </w:r>
      <w:r w:rsidR="00C179FD" w:rsidRPr="00616C79">
        <w:rPr>
          <w:rFonts w:ascii="Times New Roman" w:hAnsi="Times New Roman" w:cs="Times New Roman"/>
          <w:sz w:val="28"/>
          <w:szCs w:val="28"/>
        </w:rPr>
        <w:t xml:space="preserve">о взаимодействии в системе антимонопольного </w:t>
      </w:r>
      <w:proofErr w:type="spellStart"/>
      <w:r w:rsidR="00C179FD"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179FD" w:rsidRPr="00616C79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– Югре между Департаментом </w:t>
      </w:r>
      <w:r w:rsidR="00C179FD" w:rsidRPr="00616C79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</w:t>
      </w:r>
      <w:r w:rsidRPr="00616C79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C179FD" w:rsidRPr="00616C79">
        <w:rPr>
          <w:rFonts w:ascii="Times New Roman" w:hAnsi="Times New Roman" w:cs="Times New Roman"/>
          <w:sz w:val="28"/>
          <w:szCs w:val="28"/>
        </w:rPr>
        <w:t>автономного округа и</w:t>
      </w:r>
      <w:r w:rsidRPr="00616C79">
        <w:rPr>
          <w:rFonts w:ascii="Times New Roman" w:hAnsi="Times New Roman" w:cs="Times New Roman"/>
          <w:sz w:val="28"/>
          <w:szCs w:val="28"/>
        </w:rPr>
        <w:t xml:space="preserve"> администрацией города Пыть-Яха, которым</w:t>
      </w:r>
      <w:r w:rsidR="00C179FD" w:rsidRPr="00616C79">
        <w:rPr>
          <w:rFonts w:ascii="Times New Roman" w:hAnsi="Times New Roman" w:cs="Times New Roman"/>
          <w:sz w:val="28"/>
          <w:szCs w:val="28"/>
        </w:rPr>
        <w:t xml:space="preserve"> уточнен порядок взаимодействия сторон при организации и функционировании антимонопольного </w:t>
      </w:r>
      <w:proofErr w:type="spellStart"/>
      <w:r w:rsidR="00C179FD"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179FD" w:rsidRPr="00616C79">
        <w:rPr>
          <w:rFonts w:ascii="Times New Roman" w:hAnsi="Times New Roman" w:cs="Times New Roman"/>
          <w:sz w:val="28"/>
          <w:szCs w:val="28"/>
        </w:rPr>
        <w:t xml:space="preserve"> в автономном округе.</w:t>
      </w:r>
    </w:p>
    <w:p w:rsidR="00692AA4" w:rsidRPr="00616C79" w:rsidRDefault="00692AA4" w:rsidP="00692AA4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экспертиза проектов муниципальных нормативных правовых актов.</w:t>
      </w:r>
    </w:p>
    <w:p w:rsidR="00C179FD" w:rsidRPr="00616C79" w:rsidRDefault="00C179FD" w:rsidP="00C179FD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>Принято участие:</w:t>
      </w:r>
    </w:p>
    <w:p w:rsidR="00C179FD" w:rsidRPr="00616C79" w:rsidRDefault="00C179FD" w:rsidP="00C17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в семинаре-совещании с исполнительными органами государственной власти (далее – ИОГВ) автономного округа и органами местного самоуправления муниципальных образований (далее </w:t>
      </w:r>
      <w:r w:rsidRPr="00616C7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C79">
        <w:rPr>
          <w:rFonts w:ascii="Times New Roman" w:hAnsi="Times New Roman" w:cs="Times New Roman"/>
          <w:sz w:val="28"/>
          <w:szCs w:val="28"/>
        </w:rPr>
        <w:t xml:space="preserve"> ОМСУ) автономного округа, организованном Прокуратурой автономного округа, по вопросам обеспечения законности при разработке проектов нормативных правовых актов;</w:t>
      </w:r>
    </w:p>
    <w:p w:rsidR="00C179FD" w:rsidRPr="00616C79" w:rsidRDefault="00C179FD" w:rsidP="00C17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в семинаре-совещании с участием представителей Федеральной антимонопольной службы (далее – ФАС России) и территориальных органов ФАС России в Уральском федеральном округе, должностных лиц ИОГВ автономного округа и ОМСУ автономного округа. </w:t>
      </w:r>
    </w:p>
    <w:p w:rsidR="00E93AF3" w:rsidRPr="00616C79" w:rsidRDefault="00C179FD" w:rsidP="00E93AF3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Организовано обучение </w:t>
      </w:r>
      <w:r w:rsidR="0032110D" w:rsidRPr="00616C79">
        <w:rPr>
          <w:rFonts w:ascii="Times New Roman" w:hAnsi="Times New Roman" w:cs="Times New Roman"/>
          <w:sz w:val="28"/>
          <w:szCs w:val="28"/>
        </w:rPr>
        <w:t>9</w:t>
      </w:r>
      <w:r w:rsidRPr="00616C79">
        <w:rPr>
          <w:rFonts w:ascii="Times New Roman" w:hAnsi="Times New Roman" w:cs="Times New Roman"/>
          <w:sz w:val="28"/>
          <w:szCs w:val="28"/>
        </w:rPr>
        <w:t xml:space="preserve"> </w:t>
      </w:r>
      <w:r w:rsidR="0032110D" w:rsidRPr="00616C79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(Курсы повышения квалификации. Наименование программы – «Антимонопольный </w:t>
      </w:r>
      <w:proofErr w:type="spellStart"/>
      <w:r w:rsidR="0032110D" w:rsidRPr="00616C79">
        <w:rPr>
          <w:rFonts w:ascii="Times New Roman" w:hAnsi="Times New Roman" w:cs="Times New Roman"/>
          <w:bCs/>
          <w:sz w:val="28"/>
          <w:szCs w:val="28"/>
        </w:rPr>
        <w:t>комплаенс</w:t>
      </w:r>
      <w:proofErr w:type="spellEnd"/>
      <w:r w:rsidR="0032110D" w:rsidRPr="00616C7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93AF3" w:rsidRPr="00616C79" w:rsidRDefault="00C179FD" w:rsidP="004A7958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Проведен анализ сведений о выявленных </w:t>
      </w:r>
      <w:r w:rsidR="004A7958" w:rsidRPr="00616C79">
        <w:rPr>
          <w:rFonts w:ascii="Times New Roman" w:hAnsi="Times New Roman" w:cs="Times New Roman"/>
          <w:sz w:val="28"/>
          <w:szCs w:val="28"/>
        </w:rPr>
        <w:t>в работе структурных подразделений администрации города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6A03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нарушений антимонопольного законодательства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 2020 год. </w:t>
      </w:r>
      <w:r w:rsidR="004A7958" w:rsidRPr="00616C79">
        <w:rPr>
          <w:rFonts w:ascii="Times New Roman" w:hAnsi="Times New Roman" w:cs="Times New Roman"/>
          <w:sz w:val="28"/>
          <w:szCs w:val="28"/>
        </w:rPr>
        <w:t>Анализ проведен на основании информации, предоставленной с</w:t>
      </w:r>
      <w:r w:rsidR="008C3F3A" w:rsidRPr="00616C79">
        <w:rPr>
          <w:rFonts w:ascii="Times New Roman" w:hAnsi="Times New Roman" w:cs="Times New Roman"/>
          <w:sz w:val="28"/>
          <w:szCs w:val="28"/>
        </w:rPr>
        <w:t xml:space="preserve">труктурными подразделениями </w:t>
      </w:r>
      <w:r w:rsidR="00E93AF3" w:rsidRPr="00616C79">
        <w:rPr>
          <w:rFonts w:ascii="Times New Roman" w:hAnsi="Times New Roman" w:cs="Times New Roman"/>
          <w:sz w:val="28"/>
          <w:szCs w:val="28"/>
        </w:rPr>
        <w:t>адми</w:t>
      </w:r>
      <w:r w:rsidR="004A7958" w:rsidRPr="00616C79">
        <w:rPr>
          <w:rFonts w:ascii="Times New Roman" w:hAnsi="Times New Roman" w:cs="Times New Roman"/>
          <w:sz w:val="28"/>
          <w:szCs w:val="28"/>
        </w:rPr>
        <w:t>нистрации города ежеквартально</w:t>
      </w:r>
      <w:r w:rsidR="008C3F3A" w:rsidRPr="00616C79">
        <w:rPr>
          <w:rFonts w:ascii="Times New Roman" w:hAnsi="Times New Roman" w:cs="Times New Roman"/>
          <w:sz w:val="28"/>
          <w:szCs w:val="28"/>
        </w:rPr>
        <w:t xml:space="preserve">, </w:t>
      </w:r>
      <w:r w:rsidR="00E93AF3" w:rsidRPr="00616C79">
        <w:rPr>
          <w:rFonts w:ascii="Times New Roman" w:hAnsi="Times New Roman" w:cs="Times New Roman"/>
          <w:sz w:val="28"/>
          <w:szCs w:val="28"/>
        </w:rPr>
        <w:t>о выявленных контрольными органами нарушениях антимонопольного законодательства и мерах, принятых для устранения выявленных нарушений.</w:t>
      </w:r>
    </w:p>
    <w:p w:rsidR="008C3F3A" w:rsidRPr="00616C79" w:rsidRDefault="008C3F3A" w:rsidP="000F21A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</w:rPr>
        <w:t xml:space="preserve">Уполномоченным структурным подразделением, ответственным за организацию и функционирование системы внутреннего обеспечения </w:t>
      </w:r>
      <w:r w:rsidR="005B4E87" w:rsidRPr="00616C79">
        <w:rPr>
          <w:rFonts w:ascii="Times New Roman" w:hAnsi="Times New Roman" w:cs="Times New Roman"/>
          <w:bCs/>
          <w:sz w:val="28"/>
          <w:szCs w:val="28"/>
        </w:rPr>
        <w:t xml:space="preserve">– управлением по правовым вопросам </w:t>
      </w:r>
      <w:r w:rsidRPr="00616C79">
        <w:rPr>
          <w:rFonts w:ascii="Times New Roman" w:hAnsi="Times New Roman" w:cs="Times New Roman"/>
          <w:sz w:val="28"/>
          <w:szCs w:val="28"/>
        </w:rPr>
        <w:t xml:space="preserve">составлен перечень выявленных </w:t>
      </w:r>
      <w:r w:rsidRPr="00616C79">
        <w:rPr>
          <w:rFonts w:ascii="Times New Roman" w:hAnsi="Times New Roman" w:cs="Times New Roman"/>
          <w:sz w:val="28"/>
          <w:szCs w:val="28"/>
        </w:rPr>
        <w:lastRenderedPageBreak/>
        <w:t>нарушений антимонопольного законодательства с отображением сведений о мерах, принятых для устранения выявленных нарушений.</w:t>
      </w:r>
    </w:p>
    <w:p w:rsidR="00C179FD" w:rsidRPr="00616C79" w:rsidRDefault="00C179FD" w:rsidP="00C179FD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постоянной основе в 2020 году </w:t>
      </w:r>
      <w:r w:rsidR="000F21AE" w:rsidRPr="00616C79">
        <w:rPr>
          <w:rFonts w:ascii="Times New Roman" w:hAnsi="Times New Roman" w:cs="Times New Roman"/>
          <w:bCs/>
          <w:sz w:val="28"/>
          <w:szCs w:val="28"/>
        </w:rPr>
        <w:t>уполномоченным структурным подразделением, ответственным за организацию и функционирование системы внутреннего обеспечения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C179FD" w:rsidRPr="00616C79" w:rsidRDefault="007528D0" w:rsidP="00C17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179FD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проводилась экспертиза проектов нормативных правовых актов, разработанных </w:t>
      </w:r>
      <w:r w:rsidR="000F21AE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структурными подразделениями администрации города</w:t>
      </w:r>
      <w:r w:rsidR="00C179FD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C179FD" w:rsidRPr="00616C79" w:rsidRDefault="007528D0" w:rsidP="00752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179FD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проводилось консультирование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  <w:r w:rsidR="00C179FD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служащих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r w:rsidR="00C179FD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вопросам функционирования антимонопольного </w:t>
      </w:r>
      <w:proofErr w:type="spellStart"/>
      <w:r w:rsidR="00C179FD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="00C179FD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E5E34" w:rsidRPr="00616C79" w:rsidRDefault="00C179FD" w:rsidP="00DE5E34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Разработан и утвержден План мероприятий по снижению рисков нарушения антимонопольного законодательства в </w:t>
      </w:r>
      <w:r w:rsidR="007528D0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городе </w:t>
      </w:r>
      <w:proofErr w:type="spellStart"/>
      <w:r w:rsidR="007528D0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7528D0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на 2021 год.</w:t>
      </w:r>
    </w:p>
    <w:p w:rsidR="00E7270D" w:rsidRPr="00616C79" w:rsidRDefault="00E7270D" w:rsidP="00E7270D">
      <w:pPr>
        <w:pStyle w:val="a4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администрации города Пыть-Яха создан подраздел «Антимонопольный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>» в разделе «Деятельность» / «Экономика» (https://adm.gov86.org/399/591/4263/).</w:t>
      </w:r>
    </w:p>
    <w:p w:rsidR="00E7270D" w:rsidRPr="00616C79" w:rsidRDefault="00E7270D" w:rsidP="00E7270D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B383A" w:rsidRPr="00616C79" w:rsidRDefault="00E7270D" w:rsidP="008C27A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/>
          <w:sz w:val="28"/>
          <w:szCs w:val="28"/>
        </w:rPr>
        <w:t>3.</w:t>
      </w:r>
      <w:r w:rsidRPr="00616C79">
        <w:rPr>
          <w:rFonts w:ascii="Times New Roman" w:hAnsi="Times New Roman" w:cs="Times New Roman"/>
          <w:sz w:val="28"/>
          <w:szCs w:val="28"/>
        </w:rPr>
        <w:t xml:space="preserve"> </w:t>
      </w:r>
      <w:r w:rsidRPr="00616C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исполнении Плана </w:t>
      </w:r>
      <w:r w:rsidR="008C27A0" w:rsidRPr="00616C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по снижению рисков нарушения антимонопольного законодательства на 2020 год</w:t>
      </w:r>
    </w:p>
    <w:p w:rsidR="00CB383A" w:rsidRPr="00616C79" w:rsidRDefault="00CB383A" w:rsidP="008C27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222CF" w:rsidRPr="00616C79" w:rsidRDefault="00685A3B" w:rsidP="0012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16C79">
        <w:rPr>
          <w:rFonts w:ascii="Times New Roman" w:hAnsi="Times New Roman" w:cs="Times New Roman"/>
          <w:sz w:val="28"/>
          <w:szCs w:val="28"/>
        </w:rPr>
        <w:t>Предоставление в Департамент экономического развития автономного округа сведений о выявленных нарушениях антимонопольного законодательства и мероприятиях по снижению рисков антимонопольного законодательства</w:t>
      </w:r>
      <w:r w:rsidR="001222CF" w:rsidRPr="00616C79">
        <w:rPr>
          <w:rFonts w:ascii="Times New Roman" w:hAnsi="Times New Roman" w:cs="Times New Roman"/>
          <w:sz w:val="28"/>
          <w:szCs w:val="28"/>
        </w:rPr>
        <w:t xml:space="preserve">. В 2020 году нарушения не выявлены, следовательно, предоставление в Департамент данной информации не требовалось. </w:t>
      </w:r>
    </w:p>
    <w:p w:rsidR="001222CF" w:rsidRPr="00616C79" w:rsidRDefault="001222CF" w:rsidP="00122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2. Проведение общественной экспертизы проектов нормативных правовых актов на предмет возможного нарушения антимонопольного законодательства на интернет портале для публичного обсуждения проектов и действующих </w:t>
      </w:r>
      <w:proofErr w:type="gramStart"/>
      <w:r w:rsidRPr="00616C79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proofErr w:type="gramEnd"/>
      <w:r w:rsidRPr="00616C79">
        <w:rPr>
          <w:rFonts w:ascii="Times New Roman" w:hAnsi="Times New Roman" w:cs="Times New Roman"/>
          <w:sz w:val="28"/>
          <w:szCs w:val="28"/>
        </w:rPr>
        <w:t xml:space="preserve"> принимаемых администрацией города, размещенных по адресу: </w:t>
      </w:r>
      <w:hyperlink r:id="rId8" w:history="1">
        <w:r w:rsidRPr="00616C7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16C79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616C7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Pr="00616C7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6C7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admhmao</w:t>
        </w:r>
        <w:proofErr w:type="spellEnd"/>
        <w:r w:rsidRPr="00616C7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6C79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16C79">
        <w:rPr>
          <w:rFonts w:ascii="Times New Roman" w:hAnsi="Times New Roman" w:cs="Times New Roman"/>
          <w:sz w:val="28"/>
          <w:szCs w:val="28"/>
        </w:rPr>
        <w:t xml:space="preserve">. В 2020 году на </w:t>
      </w:r>
      <w:r w:rsidRPr="00616C79">
        <w:rPr>
          <w:rFonts w:ascii="Times New Roman" w:hAnsi="Times New Roman" w:cs="Times New Roman"/>
          <w:sz w:val="28"/>
          <w:szCs w:val="28"/>
        </w:rPr>
        <w:lastRenderedPageBreak/>
        <w:t>интернет-портале размещены 24 проекта нормативных правовых актов для проведения общественной экспертизы, из них 1 проект нормативно</w:t>
      </w:r>
      <w:r w:rsidR="000A6A26" w:rsidRPr="00616C79">
        <w:rPr>
          <w:rFonts w:ascii="Times New Roman" w:hAnsi="Times New Roman" w:cs="Times New Roman"/>
          <w:sz w:val="28"/>
          <w:szCs w:val="28"/>
        </w:rPr>
        <w:t>го правового акта, разработанный во исполнение переданных государственных полномочий.</w:t>
      </w:r>
    </w:p>
    <w:p w:rsidR="000A6A26" w:rsidRPr="00616C79" w:rsidRDefault="000A6A26" w:rsidP="000A6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16C79">
        <w:rPr>
          <w:rFonts w:ascii="Times New Roman" w:hAnsi="Times New Roman" w:cs="Times New Roman"/>
          <w:sz w:val="28"/>
          <w:szCs w:val="28"/>
        </w:rPr>
        <w:t>Подготовка и внесение изменений в нормативные правовые акты, при выявлении условий для возникновения рисков нарушения антимонопольного законодательства разработчиком нормативного правового акта самостоятельно. В 2020 году нарушения не выявлены, следовательно, внесение изменений в нормативные правовые акты не требовалось.</w:t>
      </w:r>
    </w:p>
    <w:p w:rsidR="00CC0720" w:rsidRPr="00616C79" w:rsidRDefault="00692AA4" w:rsidP="00692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>4</w:t>
      </w:r>
      <w:r w:rsidR="00F162C1" w:rsidRPr="00616C79">
        <w:rPr>
          <w:rFonts w:ascii="Times New Roman" w:hAnsi="Times New Roman" w:cs="Times New Roman"/>
          <w:sz w:val="28"/>
          <w:szCs w:val="28"/>
        </w:rPr>
        <w:t xml:space="preserve">. Организация обучения муниципальных служащих, по направлению антимонопольного законодательства. </w:t>
      </w:r>
      <w:r w:rsidR="00CC0720" w:rsidRPr="00616C79">
        <w:rPr>
          <w:rFonts w:ascii="Times New Roman" w:hAnsi="Times New Roman" w:cs="Times New Roman"/>
          <w:sz w:val="28"/>
          <w:szCs w:val="28"/>
        </w:rPr>
        <w:t xml:space="preserve">В 2020 году организовано обучение 9 </w:t>
      </w:r>
      <w:r w:rsidR="00CC0720" w:rsidRPr="00616C79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(Курсы повышения квалификации. Наименование программы – «Антимонопольный </w:t>
      </w:r>
      <w:proofErr w:type="spellStart"/>
      <w:r w:rsidR="00CC0720" w:rsidRPr="00616C79">
        <w:rPr>
          <w:rFonts w:ascii="Times New Roman" w:hAnsi="Times New Roman" w:cs="Times New Roman"/>
          <w:bCs/>
          <w:sz w:val="28"/>
          <w:szCs w:val="28"/>
        </w:rPr>
        <w:t>комплаенс</w:t>
      </w:r>
      <w:proofErr w:type="spellEnd"/>
      <w:r w:rsidR="00CC0720" w:rsidRPr="00616C7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B383A" w:rsidRPr="00616C79" w:rsidRDefault="00CB383A" w:rsidP="00CB38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B383A" w:rsidRPr="00616C79" w:rsidRDefault="00536D41" w:rsidP="00CB38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CB383A" w:rsidRPr="00616C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Анализ выявленных нарушений антимонопольного законодательства в деятельности </w:t>
      </w:r>
      <w:r w:rsidR="00616A03" w:rsidRPr="00616C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города Пыть-Яха </w:t>
      </w:r>
      <w:r w:rsidR="00CB383A" w:rsidRPr="00616C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2020</w:t>
      </w:r>
      <w:r w:rsidR="00CB383A" w:rsidRPr="0061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B383A" w:rsidRPr="00616C79" w:rsidRDefault="00CB383A" w:rsidP="00CB383A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643A9" w:rsidRPr="00616C79" w:rsidRDefault="00616A03" w:rsidP="003643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3643A9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выявленных нарушений антимонопольного законодательства в деятельности администрации города Пыть-Яха</w:t>
      </w:r>
      <w:r w:rsidR="003643A9" w:rsidRPr="00616C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43A9" w:rsidRPr="00616C79">
        <w:rPr>
          <w:rFonts w:ascii="Times New Roman" w:hAnsi="Times New Roman" w:cs="Times New Roman"/>
          <w:sz w:val="28"/>
          <w:szCs w:val="28"/>
        </w:rPr>
        <w:t>проводится</w:t>
      </w:r>
      <w:r w:rsidRPr="00616C79">
        <w:rPr>
          <w:rFonts w:ascii="Times New Roman" w:hAnsi="Times New Roman" w:cs="Times New Roman"/>
          <w:sz w:val="28"/>
          <w:szCs w:val="28"/>
        </w:rPr>
        <w:t xml:space="preserve"> на основании информации, предоставленной структурными подразделениями администрации города ежеквартально, о выявленных контрольными органами нарушениях антимонопольного законодательства и мерах, принятых для устранения выявленных</w:t>
      </w:r>
      <w:r w:rsidR="003643A9" w:rsidRPr="00616C79">
        <w:rPr>
          <w:rFonts w:ascii="Times New Roman" w:hAnsi="Times New Roman" w:cs="Times New Roman"/>
          <w:sz w:val="28"/>
          <w:szCs w:val="28"/>
        </w:rPr>
        <w:t xml:space="preserve"> нарушений, </w:t>
      </w:r>
      <w:r w:rsidR="003643A9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информации Управления Федеральной антимонопольной службы по автономному округу о выявленных нарушениях антимонопольного законода</w:t>
      </w:r>
      <w:r w:rsidR="000959FE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а именно: статей 15-16</w:t>
      </w:r>
      <w:r w:rsidR="003643A9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3A9" w:rsidRPr="00616C79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26 июля 2006 года № 135-ФЗ «О защите конкуренции» (далее – Федеральн</w:t>
      </w:r>
      <w:r w:rsidR="000959FE" w:rsidRPr="00616C79">
        <w:rPr>
          <w:rFonts w:ascii="Times New Roman" w:hAnsi="Times New Roman" w:cs="Times New Roman"/>
          <w:sz w:val="28"/>
          <w:szCs w:val="28"/>
          <w:lang w:eastAsia="ru-RU"/>
        </w:rPr>
        <w:t xml:space="preserve">ый закон № 135-ФЗ), а также Федерального </w:t>
      </w:r>
      <w:r w:rsidR="000959FE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="003643A9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указанный период.</w:t>
      </w:r>
    </w:p>
    <w:p w:rsidR="00E96F0C" w:rsidRPr="00616C79" w:rsidRDefault="00CB383A" w:rsidP="00E96F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По результатам анализа выявленных нарушений за 2020</w:t>
      </w: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установлено,</w:t>
      </w: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нарушения допущены </w:t>
      </w:r>
      <w:r w:rsidR="00371EA5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администрации города</w:t>
      </w: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EA5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Пыть-Яха </w:t>
      </w:r>
      <w:r w:rsidR="00E96F0C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управленческих решений, а также при разработке конкурсной документации в целях осуществления закупок товаров, работ, услуг для обеспечения государственных и муниципальных нужд, именно:</w:t>
      </w:r>
      <w:r w:rsidR="00E96F0C" w:rsidRPr="00616C79">
        <w:rPr>
          <w:rFonts w:ascii="Times New Roman" w:hAnsi="Times New Roman" w:cs="Times New Roman"/>
          <w:sz w:val="28"/>
          <w:szCs w:val="28"/>
        </w:rPr>
        <w:t xml:space="preserve"> </w:t>
      </w:r>
      <w:r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93EA9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проект планировки и межевания микрорайона №1 «Центральный» города Пыть-Яха в части параметров жилищного строительства, бездействия администрации по не проведению конкурсного отбора на право оказания услуг по перевозке пассажиров и багажа автомобильным транспортом в соответствии с положениями </w:t>
      </w:r>
      <w:r w:rsidR="00FD401A" w:rsidRPr="00616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 220-ФЗ, а также при установлении критерия оценки нарушающего принципа открытости и прозрачности при рассмотрении заявок на участие в открытом конкурсе</w:t>
      </w:r>
    </w:p>
    <w:p w:rsidR="00FD401A" w:rsidRPr="00616C79" w:rsidRDefault="00FD401A" w:rsidP="004266C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Таким образом, в </w:t>
      </w:r>
      <w:r w:rsidR="00CB383A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2020 году Управлением Федеральной антимонопольной службы по автономному округу выявлено в деятельности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администрации города Пыть-Яха - 3 </w:t>
      </w:r>
      <w:r w:rsidR="00CB383A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нарушения ант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имонопольного законодательства, </w:t>
      </w:r>
      <w:r w:rsidR="00CB383A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из которых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FD401A" w:rsidRPr="00616C79" w:rsidRDefault="00FD401A" w:rsidP="004266C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- 1 нарушение относятся к нарушению пункта 4 статьи 16</w:t>
      </w:r>
      <w:r w:rsidR="000959FE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59FE" w:rsidRPr="00616C79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№ 135-ФЗ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FD401A" w:rsidRPr="00616C79" w:rsidRDefault="00FD401A" w:rsidP="00426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- 1 нарушение относится к </w:t>
      </w:r>
      <w:r w:rsidR="000959FE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нарушению части 1 статьи 15 </w:t>
      </w:r>
      <w:r w:rsidR="000959FE" w:rsidRPr="00616C79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№ 135-ФЗ,</w:t>
      </w:r>
    </w:p>
    <w:p w:rsidR="000959FE" w:rsidRPr="00616C79" w:rsidRDefault="000959FE" w:rsidP="004266C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sz w:val="28"/>
          <w:szCs w:val="28"/>
          <w:lang w:eastAsia="ru-RU"/>
        </w:rPr>
        <w:t xml:space="preserve">- 1 нарушение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относится к нарушению части 3 стать 7 Федерального закона № 44-ФЗ.</w:t>
      </w:r>
    </w:p>
    <w:p w:rsidR="00CB383A" w:rsidRPr="00616C79" w:rsidRDefault="00E96F0C" w:rsidP="004266C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CB383A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нарушениям статей 15-16 Федерального закона № 135-ФЗ, а именно: принятие актов</w:t>
      </w:r>
      <w:r w:rsidR="004266C1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83A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(или) осуществление действия (бездействие), которые приводят или могут привести к недопущению, ограничению, устранению конкуренции, в том числе предоставление хозяйствующим субъектам, зарегистрированным на территории автономного округа (муниципального образования автономного округа), преимущественных условий осуществления предпринимательской деятельности по сравнению с иными </w:t>
      </w:r>
      <w:r w:rsidR="00CB383A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хозяйствующими субъектами, осуществляющими такую же деятельность </w:t>
      </w:r>
      <w:r w:rsidR="00CB383A"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на территории автономного округа (муниципального образования автономного округа),но не зарегистрированными на соответствующей территории, а также нарушение запрета на совмещение функций органов исполнительной власти субъектов Российской Федерации и функций хозяйствующих субъектов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E96F0C" w:rsidRPr="00616C79" w:rsidRDefault="00E96F0C" w:rsidP="00E96F0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нарушению части 3 стать 7 Федерального закона № 44-ФЗ, а именно: </w:t>
      </w:r>
      <w:r w:rsidRPr="00616C79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</w:t>
      </w:r>
      <w:r w:rsidRPr="00616C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Федеральным законом № 44-Ф, </w:t>
      </w:r>
      <w:r w:rsidRPr="00616C79">
        <w:rPr>
          <w:rFonts w:ascii="Times New Roman" w:hAnsi="Times New Roman" w:cs="Times New Roman"/>
          <w:sz w:val="28"/>
          <w:szCs w:val="28"/>
        </w:rPr>
        <w:t>размещенная в единой информационной системе, должна быть полной и достоверной.</w:t>
      </w:r>
    </w:p>
    <w:p w:rsidR="00CB383A" w:rsidRPr="00616C79" w:rsidRDefault="00CB383A" w:rsidP="00CB38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3A" w:rsidRPr="00616C79" w:rsidRDefault="00536D41" w:rsidP="00CB38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B383A" w:rsidRPr="00616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B383A" w:rsidRPr="00616C79">
        <w:rPr>
          <w:rFonts w:ascii="Times New Roman" w:hAnsi="Times New Roman" w:cs="Times New Roman"/>
          <w:b/>
          <w:sz w:val="28"/>
          <w:szCs w:val="28"/>
        </w:rPr>
        <w:t>О выявлении и оценке рисков нарушения антимонопольного законодательства</w:t>
      </w:r>
    </w:p>
    <w:p w:rsidR="00CB383A" w:rsidRPr="00616C79" w:rsidRDefault="00CB383A" w:rsidP="00CB383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DEF" w:rsidRPr="00616C79" w:rsidRDefault="004F3DEF" w:rsidP="00CB38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16C79">
        <w:rPr>
          <w:rFonts w:ascii="Times New Roman" w:hAnsi="Times New Roman" w:cs="Times New Roman"/>
          <w:color w:val="00000A"/>
          <w:sz w:val="28"/>
          <w:szCs w:val="28"/>
        </w:rPr>
        <w:t>В целях исключения положений</w:t>
      </w:r>
      <w:r w:rsidR="00536D41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, противоречащих нормам антимонопольного законодательства на стадии разработки проектов муниципальных нормативных правовых актов на </w:t>
      </w:r>
      <w:proofErr w:type="gramStart"/>
      <w:r w:rsidR="00536D41" w:rsidRPr="00616C79">
        <w:rPr>
          <w:rFonts w:ascii="Times New Roman" w:hAnsi="Times New Roman" w:cs="Times New Roman"/>
          <w:color w:val="00000A"/>
          <w:sz w:val="28"/>
          <w:szCs w:val="28"/>
        </w:rPr>
        <w:t>постоянной основе</w:t>
      </w:r>
      <w:proofErr w:type="gramEnd"/>
      <w:r w:rsidR="00536D41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 проводится антимонопольная экспертиза проектов муниципальных нормативных правовых актов, подготовленных структурными подразделениями администрации города Пыть-Яха.</w:t>
      </w:r>
    </w:p>
    <w:p w:rsidR="000179C8" w:rsidRPr="00616C79" w:rsidRDefault="00536D41" w:rsidP="00536D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  <w:sectPr w:rsidR="000179C8" w:rsidRPr="00616C79" w:rsidSect="000179C8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16C79">
        <w:rPr>
          <w:rFonts w:ascii="Times New Roman" w:hAnsi="Times New Roman" w:cs="Times New Roman"/>
          <w:color w:val="00000A"/>
          <w:sz w:val="28"/>
          <w:szCs w:val="28"/>
        </w:rPr>
        <w:t>Так, в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 2020 году </w:t>
      </w:r>
      <w:r w:rsidR="004F3DEF" w:rsidRPr="00616C79">
        <w:rPr>
          <w:rFonts w:ascii="Times New Roman" w:hAnsi="Times New Roman" w:cs="Times New Roman"/>
          <w:bCs/>
          <w:sz w:val="28"/>
          <w:szCs w:val="28"/>
        </w:rPr>
        <w:t>у</w:t>
      </w:r>
      <w:r w:rsidR="005B4E87" w:rsidRPr="00616C79">
        <w:rPr>
          <w:rFonts w:ascii="Times New Roman" w:hAnsi="Times New Roman" w:cs="Times New Roman"/>
          <w:bCs/>
          <w:sz w:val="28"/>
          <w:szCs w:val="28"/>
        </w:rPr>
        <w:t>полномоченным структурным подразделением, ответственным за организацию и функционирование системы внутреннего обеспечения – управлением по правовым вопросам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 проведено </w:t>
      </w:r>
      <w:r w:rsidR="004F3DEF" w:rsidRPr="00616C79">
        <w:rPr>
          <w:rFonts w:ascii="Times New Roman" w:hAnsi="Times New Roman" w:cs="Times New Roman"/>
          <w:color w:val="00000A"/>
          <w:sz w:val="28"/>
          <w:szCs w:val="28"/>
        </w:rPr>
        <w:t>17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 экспертиз проектов нормативных правовых актов. </w:t>
      </w:r>
      <w:r w:rsidRPr="00616C79">
        <w:rPr>
          <w:rFonts w:ascii="Times New Roman" w:hAnsi="Times New Roman" w:cs="Times New Roman"/>
          <w:color w:val="00000A"/>
          <w:sz w:val="28"/>
          <w:szCs w:val="28"/>
        </w:rPr>
        <w:t>По результатам проведения экспертиз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4F3DEF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не 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>выявлены положения, содержащие возможные риски нарушения ант</w:t>
      </w:r>
      <w:r w:rsidR="004F3DEF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имонопольного законодательства. 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Разработчикам нормативных правовых актов </w:t>
      </w:r>
      <w:r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были 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>направлены</w:t>
      </w:r>
      <w:r w:rsidRPr="00616C79">
        <w:rPr>
          <w:rFonts w:ascii="Times New Roman" w:hAnsi="Times New Roman" w:cs="Times New Roman"/>
          <w:color w:val="00000A"/>
          <w:sz w:val="28"/>
          <w:szCs w:val="28"/>
        </w:rPr>
        <w:t xml:space="preserve"> заключения по результатам </w:t>
      </w:r>
      <w:r w:rsidRPr="0061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экспертизы проекта муниципального нормативного правового акта об отсутствии положений, содержащих риск нарушения антимонопольного законодательства</w:t>
      </w:r>
      <w:r w:rsidR="00CB383A" w:rsidRPr="00616C79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0179C8" w:rsidRPr="00616C79" w:rsidRDefault="002056AC" w:rsidP="000179C8">
      <w:pPr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16C7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179C8" w:rsidRPr="00616C79">
        <w:rPr>
          <w:rFonts w:ascii="Times New Roman" w:hAnsi="Times New Roman" w:cs="Times New Roman"/>
          <w:b/>
          <w:sz w:val="28"/>
          <w:szCs w:val="28"/>
        </w:rPr>
        <w:t xml:space="preserve">. Информация о достижении ключевых показателей эффективности антимонопольного </w:t>
      </w:r>
      <w:proofErr w:type="spellStart"/>
      <w:r w:rsidR="000179C8" w:rsidRPr="00616C79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0179C8" w:rsidRPr="00616C79" w:rsidRDefault="000179C8" w:rsidP="000179C8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0179C8" w:rsidRPr="00616C79" w:rsidRDefault="000179C8" w:rsidP="000179C8">
      <w:pPr>
        <w:pStyle w:val="Default"/>
        <w:ind w:firstLine="709"/>
        <w:jc w:val="both"/>
        <w:rPr>
          <w:sz w:val="28"/>
          <w:szCs w:val="28"/>
        </w:rPr>
      </w:pPr>
      <w:r w:rsidRPr="00616C79">
        <w:rPr>
          <w:sz w:val="28"/>
          <w:szCs w:val="28"/>
        </w:rPr>
        <w:t xml:space="preserve">Руководствуясь Методикой расчета показателей функционирования в Ханты-Мансийском автономном округе-Югре антимонопольного </w:t>
      </w:r>
      <w:proofErr w:type="spellStart"/>
      <w:r w:rsidRPr="00616C79">
        <w:rPr>
          <w:sz w:val="28"/>
          <w:szCs w:val="28"/>
        </w:rPr>
        <w:t>комплаенса</w:t>
      </w:r>
      <w:proofErr w:type="spellEnd"/>
      <w:r w:rsidRPr="00616C79">
        <w:rPr>
          <w:sz w:val="28"/>
          <w:szCs w:val="28"/>
        </w:rPr>
        <w:t xml:space="preserve">, утвержденной приказом Департамента экономического развития Ханты-Мансийского автономного округа-Югры (приложение №3 к приказу), произведен расчет ключевых показателей эффективности антимонопольного </w:t>
      </w:r>
      <w:proofErr w:type="spellStart"/>
      <w:r w:rsidRPr="00616C79">
        <w:rPr>
          <w:sz w:val="28"/>
          <w:szCs w:val="28"/>
        </w:rPr>
        <w:t>комплаенса</w:t>
      </w:r>
      <w:proofErr w:type="spellEnd"/>
      <w:r w:rsidRPr="00616C79">
        <w:rPr>
          <w:sz w:val="28"/>
          <w:szCs w:val="28"/>
        </w:rPr>
        <w:t xml:space="preserve"> в городе </w:t>
      </w:r>
      <w:proofErr w:type="spellStart"/>
      <w:r w:rsidRPr="00616C79">
        <w:rPr>
          <w:sz w:val="28"/>
          <w:szCs w:val="28"/>
        </w:rPr>
        <w:t>Пыть-Яхе</w:t>
      </w:r>
      <w:proofErr w:type="spellEnd"/>
      <w:r w:rsidRPr="00616C79">
        <w:rPr>
          <w:sz w:val="28"/>
          <w:szCs w:val="28"/>
        </w:rPr>
        <w:t xml:space="preserve"> по итогам 2020 года по сравнению с 2019 годом:</w:t>
      </w:r>
    </w:p>
    <w:p w:rsidR="000179C8" w:rsidRPr="00616C79" w:rsidRDefault="000179C8" w:rsidP="000179C8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143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5"/>
        <w:gridCol w:w="1872"/>
        <w:gridCol w:w="1559"/>
        <w:gridCol w:w="993"/>
        <w:gridCol w:w="992"/>
        <w:gridCol w:w="1276"/>
        <w:gridCol w:w="992"/>
        <w:gridCol w:w="992"/>
        <w:gridCol w:w="1276"/>
        <w:gridCol w:w="850"/>
        <w:gridCol w:w="1276"/>
      </w:tblGrid>
      <w:tr w:rsidR="000179C8" w:rsidRPr="00616C79" w:rsidTr="000179C8">
        <w:tc>
          <w:tcPr>
            <w:tcW w:w="12220" w:type="dxa"/>
            <w:gridSpan w:val="10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количество набранных баллов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функционирования антимонопольного </w:t>
            </w:r>
            <w:proofErr w:type="spellStart"/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</w:tr>
      <w:tr w:rsidR="000179C8" w:rsidRPr="00616C79" w:rsidTr="000179C8">
        <w:trPr>
          <w:cantSplit/>
          <w:trHeight w:val="3029"/>
        </w:trPr>
        <w:tc>
          <w:tcPr>
            <w:tcW w:w="2268" w:type="dxa"/>
            <w:gridSpan w:val="2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антимонопольного законодательства </w:t>
            </w:r>
            <w:r w:rsidRPr="00616C79">
              <w:rPr>
                <w:rFonts w:ascii="Times New Roman" w:hAnsi="Times New Roman" w:cs="Times New Roman"/>
                <w:sz w:val="24"/>
                <w:szCs w:val="24"/>
              </w:rPr>
              <w:br/>
              <w:t>(ст. 15-17 Федерального закона от 26.07.2006 № 135-ФЗ)</w:t>
            </w:r>
          </w:p>
        </w:tc>
        <w:tc>
          <w:tcPr>
            <w:tcW w:w="1872" w:type="dxa"/>
            <w:vMerge w:val="restart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Динамика нарушений антимонопольного законодательства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Коэффициент снижения количества нарушений антимонопольного законодательства (ст. 15-16 Федерального закона от 26.07.2006 № 135-ФЗ) в 2020 году по отношению к предыдущему периоду</w:t>
            </w:r>
          </w:p>
        </w:tc>
        <w:tc>
          <w:tcPr>
            <w:tcW w:w="1985" w:type="dxa"/>
            <w:gridSpan w:val="2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НПА, в которых выявлены положения, содержащие возможные риски нарушения антимонопольного законодательства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Коэффициент снижения количества проектов НПА, в которых выявлены возможные риски нарушения антимонопольного законодательства</w:t>
            </w:r>
          </w:p>
        </w:tc>
        <w:tc>
          <w:tcPr>
            <w:tcW w:w="1984" w:type="dxa"/>
            <w:gridSpan w:val="2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НПА, в которых выявлены возможные риски нарушения антимонопольного законодательства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179C8" w:rsidRPr="00616C79" w:rsidRDefault="000179C8" w:rsidP="006360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Коэффициент снижения количества НПА, в которых выявлены возможные риски нарушения антимонопольного законодательства</w:t>
            </w:r>
          </w:p>
        </w:tc>
        <w:tc>
          <w:tcPr>
            <w:tcW w:w="850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9C8" w:rsidRPr="00616C79" w:rsidTr="000179C8">
        <w:trPr>
          <w:trHeight w:val="1414"/>
        </w:trPr>
        <w:tc>
          <w:tcPr>
            <w:tcW w:w="1163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105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72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9C8" w:rsidRPr="00616C79" w:rsidTr="000179C8">
        <w:trPr>
          <w:trHeight w:val="330"/>
        </w:trPr>
        <w:tc>
          <w:tcPr>
            <w:tcW w:w="1163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179C8" w:rsidRPr="00616C79" w:rsidRDefault="000179C8" w:rsidP="006360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79C8" w:rsidRPr="00616C79" w:rsidTr="000179C8">
        <w:tc>
          <w:tcPr>
            <w:tcW w:w="1163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sz w:val="24"/>
                <w:szCs w:val="24"/>
              </w:rPr>
              <w:t>отрицательная динамика</w:t>
            </w:r>
          </w:p>
        </w:tc>
        <w:tc>
          <w:tcPr>
            <w:tcW w:w="1559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shd w:val="clear" w:color="auto" w:fill="auto"/>
          </w:tcPr>
          <w:p w:rsidR="000179C8" w:rsidRPr="00616C79" w:rsidRDefault="000179C8" w:rsidP="00636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C7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</w:tbl>
    <w:p w:rsidR="00C179FD" w:rsidRPr="00616C79" w:rsidRDefault="00C179FD" w:rsidP="00F1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BC3" w:rsidRPr="00616C79" w:rsidRDefault="00B44BC3" w:rsidP="00702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B44BC3" w:rsidRPr="00616C79" w:rsidSect="000179C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D25D9" w:rsidRPr="00616C79" w:rsidRDefault="001D25D9" w:rsidP="001D2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Выводы </w:t>
      </w:r>
      <w:r w:rsidRPr="00616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эффективности </w:t>
      </w:r>
      <w:r w:rsidRPr="00616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организации и </w:t>
      </w:r>
      <w:r w:rsidRPr="00616C79">
        <w:rPr>
          <w:rFonts w:ascii="Times New Roman" w:hAnsi="Times New Roman" w:cs="Times New Roman"/>
          <w:b/>
          <w:sz w:val="28"/>
          <w:szCs w:val="28"/>
        </w:rPr>
        <w:t xml:space="preserve">функционирования антимонопольного </w:t>
      </w:r>
      <w:proofErr w:type="spellStart"/>
      <w:r w:rsidRPr="00616C79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616C7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16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деятельности </w:t>
      </w:r>
      <w:r w:rsidRPr="00616C79">
        <w:rPr>
          <w:rFonts w:ascii="Times New Roman" w:hAnsi="Times New Roman" w:cs="Times New Roman"/>
          <w:b/>
          <w:sz w:val="28"/>
          <w:szCs w:val="28"/>
        </w:rPr>
        <w:t>администрации города Пыть-Яха</w:t>
      </w:r>
    </w:p>
    <w:p w:rsidR="001D25D9" w:rsidRPr="00616C79" w:rsidRDefault="001D25D9" w:rsidP="004365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D9" w:rsidRPr="00616C79" w:rsidRDefault="001D25D9" w:rsidP="001D2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>По результатам 2020 года администрацией города</w:t>
      </w:r>
      <w:r w:rsidRPr="00616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C79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21.12.2017 № 618 «Об основных направлениях государственной политики по развитию конкуренции»,</w:t>
      </w:r>
      <w:r w:rsidRPr="00616C7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616C79">
        <w:rPr>
          <w:rFonts w:ascii="Times New Roman" w:hAnsi="Times New Roman" w:cs="Times New Roman"/>
          <w:bCs/>
          <w:sz w:val="28"/>
          <w:szCs w:val="28"/>
        </w:rPr>
        <w:t>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Pr="00616C7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Ханты-Мансийского автономного округа – Югры от 25.01.2019 №12-п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– Югры и органов местного самоуправления муниципальных образований Ханты-Мансийского автономного округа – Югры», приказом Департамента экономического развития Ханты-Мансийского автономного округа – Югры от 07.02.2019 № 21 «Об антимонопольном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– Югре», в целях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 xml:space="preserve">) </w:t>
      </w:r>
      <w:r w:rsidRPr="00616C79">
        <w:rPr>
          <w:rFonts w:ascii="Times New Roman" w:hAnsi="Times New Roman" w:cs="Times New Roman"/>
          <w:sz w:val="28"/>
          <w:szCs w:val="28"/>
        </w:rPr>
        <w:t>утверждены</w:t>
      </w:r>
      <w:r w:rsidRPr="00616C79">
        <w:rPr>
          <w:rFonts w:ascii="Times New Roman" w:hAnsi="Times New Roman" w:cs="Times New Roman"/>
          <w:sz w:val="28"/>
          <w:szCs w:val="28"/>
        </w:rPr>
        <w:t xml:space="preserve"> нормативные акты администрации </w:t>
      </w:r>
      <w:r w:rsidRPr="00616C79">
        <w:rPr>
          <w:rFonts w:ascii="Times New Roman" w:hAnsi="Times New Roman" w:cs="Times New Roman"/>
          <w:sz w:val="28"/>
          <w:szCs w:val="28"/>
        </w:rPr>
        <w:t>города Пыть-Яха</w:t>
      </w:r>
      <w:r w:rsidRPr="00616C79">
        <w:rPr>
          <w:rFonts w:ascii="Times New Roman" w:hAnsi="Times New Roman" w:cs="Times New Roman"/>
          <w:sz w:val="28"/>
          <w:szCs w:val="28"/>
        </w:rPr>
        <w:t xml:space="preserve"> в сфере антимонопольного </w:t>
      </w:r>
      <w:proofErr w:type="spellStart"/>
      <w:r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16C79">
        <w:rPr>
          <w:rFonts w:ascii="Times New Roman" w:hAnsi="Times New Roman" w:cs="Times New Roman"/>
          <w:sz w:val="28"/>
          <w:szCs w:val="28"/>
        </w:rPr>
        <w:t>.</w:t>
      </w:r>
      <w:r w:rsidR="00616C79" w:rsidRPr="00616C79">
        <w:rPr>
          <w:rFonts w:ascii="Times New Roman" w:hAnsi="Times New Roman" w:cs="Times New Roman"/>
          <w:sz w:val="28"/>
          <w:szCs w:val="28"/>
        </w:rPr>
        <w:t xml:space="preserve"> Тем самым, у</w:t>
      </w:r>
      <w:r w:rsidR="00616C79" w:rsidRPr="00616C79">
        <w:rPr>
          <w:rFonts w:ascii="Times New Roman" w:hAnsi="Times New Roman" w:cs="Times New Roman"/>
          <w:sz w:val="28"/>
          <w:szCs w:val="28"/>
        </w:rPr>
        <w:t xml:space="preserve">совершенствован механизм правового регулирования антимонопольного </w:t>
      </w:r>
      <w:proofErr w:type="spellStart"/>
      <w:r w:rsidR="00616C79"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616C79" w:rsidRPr="00616C79">
        <w:rPr>
          <w:rFonts w:ascii="Times New Roman" w:hAnsi="Times New Roman" w:cs="Times New Roman"/>
          <w:sz w:val="28"/>
          <w:szCs w:val="28"/>
        </w:rPr>
        <w:t xml:space="preserve"> в деятельности администрации города Пыть-Яха.</w:t>
      </w:r>
    </w:p>
    <w:p w:rsidR="00616C79" w:rsidRPr="00616C79" w:rsidRDefault="00616C79" w:rsidP="00616C7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C79">
        <w:rPr>
          <w:rFonts w:ascii="Times New Roman" w:hAnsi="Times New Roman" w:cs="Times New Roman"/>
          <w:sz w:val="28"/>
          <w:szCs w:val="28"/>
        </w:rPr>
        <w:t>Кроме того, у</w:t>
      </w:r>
      <w:r w:rsidR="001D25D9" w:rsidRPr="00616C79">
        <w:rPr>
          <w:rFonts w:ascii="Times New Roman" w:hAnsi="Times New Roman" w:cs="Times New Roman"/>
          <w:sz w:val="28"/>
          <w:szCs w:val="28"/>
        </w:rPr>
        <w:t xml:space="preserve">регулировано взаимодействие структурных подразделений по вопросам нарушения антимонопольного законодательства и антимонопольного </w:t>
      </w:r>
      <w:proofErr w:type="spellStart"/>
      <w:r w:rsidR="001D25D9" w:rsidRPr="00616C7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D25D9" w:rsidRPr="00616C79">
        <w:rPr>
          <w:rFonts w:ascii="Times New Roman" w:hAnsi="Times New Roman" w:cs="Times New Roman"/>
          <w:sz w:val="28"/>
          <w:szCs w:val="28"/>
        </w:rPr>
        <w:t xml:space="preserve">. Осуществлено ознакомление муниципальных служащих с антимонопольным </w:t>
      </w:r>
      <w:proofErr w:type="spellStart"/>
      <w:r w:rsidR="001D25D9" w:rsidRPr="00616C79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1D25D9" w:rsidRPr="00616C79">
        <w:rPr>
          <w:rFonts w:ascii="Times New Roman" w:hAnsi="Times New Roman" w:cs="Times New Roman"/>
          <w:sz w:val="28"/>
          <w:szCs w:val="28"/>
        </w:rPr>
        <w:t xml:space="preserve">. В целях снижения рисков нарушения антимонопольного законодательства разработан </w:t>
      </w:r>
      <w:r w:rsidRPr="00616C79">
        <w:rPr>
          <w:rFonts w:ascii="Times New Roman" w:hAnsi="Times New Roman" w:cs="Times New Roman"/>
          <w:bCs/>
          <w:sz w:val="28"/>
          <w:szCs w:val="28"/>
        </w:rPr>
        <w:t xml:space="preserve">План мероприятий по снижению рисков нарушения антимонопольного законодательства в городе </w:t>
      </w:r>
      <w:proofErr w:type="spellStart"/>
      <w:r w:rsidRPr="00616C79">
        <w:rPr>
          <w:rFonts w:ascii="Times New Roman" w:hAnsi="Times New Roman" w:cs="Times New Roman"/>
          <w:bCs/>
          <w:sz w:val="28"/>
          <w:szCs w:val="28"/>
        </w:rPr>
        <w:t>Пыть-Яхе</w:t>
      </w:r>
      <w:proofErr w:type="spellEnd"/>
      <w:r w:rsidRPr="00616C79">
        <w:rPr>
          <w:rFonts w:ascii="Times New Roman" w:hAnsi="Times New Roman" w:cs="Times New Roman"/>
          <w:bCs/>
          <w:sz w:val="28"/>
          <w:szCs w:val="28"/>
        </w:rPr>
        <w:t xml:space="preserve"> на 2021 год. </w:t>
      </w:r>
    </w:p>
    <w:p w:rsidR="001D25D9" w:rsidRPr="00616C79" w:rsidRDefault="001D25D9" w:rsidP="004365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25D9" w:rsidRPr="00616C79" w:rsidSect="0043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ED" w:rsidRDefault="004653ED" w:rsidP="00C179FD">
      <w:pPr>
        <w:spacing w:after="0" w:line="240" w:lineRule="auto"/>
      </w:pPr>
      <w:r>
        <w:separator/>
      </w:r>
    </w:p>
  </w:endnote>
  <w:endnote w:type="continuationSeparator" w:id="0">
    <w:p w:rsidR="004653ED" w:rsidRDefault="004653ED" w:rsidP="00C1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ED" w:rsidRDefault="004653ED" w:rsidP="00C179FD">
      <w:pPr>
        <w:spacing w:after="0" w:line="240" w:lineRule="auto"/>
      </w:pPr>
      <w:r>
        <w:separator/>
      </w:r>
    </w:p>
  </w:footnote>
  <w:footnote w:type="continuationSeparator" w:id="0">
    <w:p w:rsidR="004653ED" w:rsidRDefault="004653ED" w:rsidP="00C1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AC" w:rsidRPr="00D914CD" w:rsidRDefault="002056AC">
    <w:pPr>
      <w:pStyle w:val="af7"/>
      <w:jc w:val="center"/>
      <w:rPr>
        <w:rFonts w:ascii="Times New Roman" w:hAnsi="Times New Roman"/>
      </w:rPr>
    </w:pPr>
    <w:r w:rsidRPr="00D914CD">
      <w:rPr>
        <w:rFonts w:ascii="Times New Roman" w:hAnsi="Times New Roman"/>
      </w:rPr>
      <w:fldChar w:fldCharType="begin"/>
    </w:r>
    <w:r w:rsidRPr="00D914CD">
      <w:rPr>
        <w:rFonts w:ascii="Times New Roman" w:hAnsi="Times New Roman"/>
      </w:rPr>
      <w:instrText xml:space="preserve"> PAGE </w:instrText>
    </w:r>
    <w:r w:rsidRPr="00D914CD">
      <w:rPr>
        <w:rFonts w:ascii="Times New Roman" w:hAnsi="Times New Roman"/>
      </w:rPr>
      <w:fldChar w:fldCharType="separate"/>
    </w:r>
    <w:r w:rsidR="00616C79">
      <w:rPr>
        <w:rFonts w:ascii="Times New Roman" w:hAnsi="Times New Roman"/>
        <w:noProof/>
      </w:rPr>
      <w:t>1</w:t>
    </w:r>
    <w:r w:rsidRPr="00D914CD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AC" w:rsidRDefault="002056AC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6D28860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i w:val="0"/>
        <w:sz w:val="28"/>
        <w:szCs w:val="28"/>
        <w:lang w:eastAsia="ru-RU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FA538C"/>
    <w:multiLevelType w:val="hybridMultilevel"/>
    <w:tmpl w:val="3B44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3A38"/>
    <w:multiLevelType w:val="hybridMultilevel"/>
    <w:tmpl w:val="8A1490A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1EA2032"/>
    <w:multiLevelType w:val="hybridMultilevel"/>
    <w:tmpl w:val="BB9A9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85027"/>
    <w:multiLevelType w:val="hybridMultilevel"/>
    <w:tmpl w:val="3B44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89"/>
    <w:rsid w:val="000159EC"/>
    <w:rsid w:val="000179C8"/>
    <w:rsid w:val="0003085B"/>
    <w:rsid w:val="00051434"/>
    <w:rsid w:val="00053175"/>
    <w:rsid w:val="00060318"/>
    <w:rsid w:val="00064267"/>
    <w:rsid w:val="0006620D"/>
    <w:rsid w:val="00092566"/>
    <w:rsid w:val="000959FE"/>
    <w:rsid w:val="00096D42"/>
    <w:rsid w:val="000A2B2F"/>
    <w:rsid w:val="000A65C8"/>
    <w:rsid w:val="000A6A26"/>
    <w:rsid w:val="000B166A"/>
    <w:rsid w:val="000B6E2B"/>
    <w:rsid w:val="000C04B0"/>
    <w:rsid w:val="000F21AE"/>
    <w:rsid w:val="000F503C"/>
    <w:rsid w:val="00103A56"/>
    <w:rsid w:val="00103B11"/>
    <w:rsid w:val="001222CF"/>
    <w:rsid w:val="001242DD"/>
    <w:rsid w:val="00126F55"/>
    <w:rsid w:val="0013323B"/>
    <w:rsid w:val="00134745"/>
    <w:rsid w:val="0017728A"/>
    <w:rsid w:val="001821D3"/>
    <w:rsid w:val="00191165"/>
    <w:rsid w:val="001A0EA2"/>
    <w:rsid w:val="001D25D9"/>
    <w:rsid w:val="001F5F22"/>
    <w:rsid w:val="001F6B3D"/>
    <w:rsid w:val="002056AC"/>
    <w:rsid w:val="00205B8E"/>
    <w:rsid w:val="00207F5F"/>
    <w:rsid w:val="00210F3A"/>
    <w:rsid w:val="00216226"/>
    <w:rsid w:val="00237552"/>
    <w:rsid w:val="002641BA"/>
    <w:rsid w:val="002750FB"/>
    <w:rsid w:val="00290E71"/>
    <w:rsid w:val="00297045"/>
    <w:rsid w:val="002A1D8D"/>
    <w:rsid w:val="002A5FB9"/>
    <w:rsid w:val="002C26F3"/>
    <w:rsid w:val="002C3078"/>
    <w:rsid w:val="002F0E09"/>
    <w:rsid w:val="002F136B"/>
    <w:rsid w:val="002F459D"/>
    <w:rsid w:val="00315D5F"/>
    <w:rsid w:val="0032110D"/>
    <w:rsid w:val="00325FB8"/>
    <w:rsid w:val="00326EE6"/>
    <w:rsid w:val="00345DFC"/>
    <w:rsid w:val="003461C2"/>
    <w:rsid w:val="003527F4"/>
    <w:rsid w:val="00352E44"/>
    <w:rsid w:val="003643A9"/>
    <w:rsid w:val="0037061A"/>
    <w:rsid w:val="00371EA5"/>
    <w:rsid w:val="003722C1"/>
    <w:rsid w:val="003743BF"/>
    <w:rsid w:val="003836A0"/>
    <w:rsid w:val="0039383E"/>
    <w:rsid w:val="003956C0"/>
    <w:rsid w:val="003A6538"/>
    <w:rsid w:val="003B6293"/>
    <w:rsid w:val="003D23FD"/>
    <w:rsid w:val="003D461C"/>
    <w:rsid w:val="003E24A0"/>
    <w:rsid w:val="003F5C99"/>
    <w:rsid w:val="004021CE"/>
    <w:rsid w:val="0040454D"/>
    <w:rsid w:val="00410CF1"/>
    <w:rsid w:val="0042115E"/>
    <w:rsid w:val="004266C1"/>
    <w:rsid w:val="004269C4"/>
    <w:rsid w:val="00430D31"/>
    <w:rsid w:val="0043257D"/>
    <w:rsid w:val="00436553"/>
    <w:rsid w:val="00440143"/>
    <w:rsid w:val="00451489"/>
    <w:rsid w:val="004515EB"/>
    <w:rsid w:val="0045326E"/>
    <w:rsid w:val="00461881"/>
    <w:rsid w:val="004653ED"/>
    <w:rsid w:val="00473EC2"/>
    <w:rsid w:val="004819A3"/>
    <w:rsid w:val="00484C58"/>
    <w:rsid w:val="00487770"/>
    <w:rsid w:val="00487B31"/>
    <w:rsid w:val="00496C84"/>
    <w:rsid w:val="00497531"/>
    <w:rsid w:val="004A6C1C"/>
    <w:rsid w:val="004A7958"/>
    <w:rsid w:val="004B2A8C"/>
    <w:rsid w:val="004D0402"/>
    <w:rsid w:val="004E256B"/>
    <w:rsid w:val="004F3DEF"/>
    <w:rsid w:val="004F44BE"/>
    <w:rsid w:val="00522A99"/>
    <w:rsid w:val="005351B0"/>
    <w:rsid w:val="00536D41"/>
    <w:rsid w:val="005420DD"/>
    <w:rsid w:val="00543CFC"/>
    <w:rsid w:val="005458D8"/>
    <w:rsid w:val="00545EAF"/>
    <w:rsid w:val="00557555"/>
    <w:rsid w:val="005602CC"/>
    <w:rsid w:val="005721A9"/>
    <w:rsid w:val="0057305D"/>
    <w:rsid w:val="005749CD"/>
    <w:rsid w:val="00576F7C"/>
    <w:rsid w:val="005818C3"/>
    <w:rsid w:val="00585508"/>
    <w:rsid w:val="00595789"/>
    <w:rsid w:val="005A5BD6"/>
    <w:rsid w:val="005B448B"/>
    <w:rsid w:val="005B4E87"/>
    <w:rsid w:val="005B73EB"/>
    <w:rsid w:val="005D7B1C"/>
    <w:rsid w:val="005E0FC0"/>
    <w:rsid w:val="005E46A4"/>
    <w:rsid w:val="005F0F26"/>
    <w:rsid w:val="00602732"/>
    <w:rsid w:val="0060430C"/>
    <w:rsid w:val="006075BF"/>
    <w:rsid w:val="00610A73"/>
    <w:rsid w:val="00616A03"/>
    <w:rsid w:val="00616C79"/>
    <w:rsid w:val="006353C1"/>
    <w:rsid w:val="00637C6F"/>
    <w:rsid w:val="006447CE"/>
    <w:rsid w:val="00655DC9"/>
    <w:rsid w:val="0066033B"/>
    <w:rsid w:val="00685A3B"/>
    <w:rsid w:val="00686355"/>
    <w:rsid w:val="00692AA4"/>
    <w:rsid w:val="006A63E3"/>
    <w:rsid w:val="006D4317"/>
    <w:rsid w:val="006E54D4"/>
    <w:rsid w:val="006F5381"/>
    <w:rsid w:val="00702B58"/>
    <w:rsid w:val="00712E37"/>
    <w:rsid w:val="00732DC2"/>
    <w:rsid w:val="0074472B"/>
    <w:rsid w:val="007528D0"/>
    <w:rsid w:val="0078659B"/>
    <w:rsid w:val="00793EA9"/>
    <w:rsid w:val="00796C00"/>
    <w:rsid w:val="007A26F6"/>
    <w:rsid w:val="007C0AD9"/>
    <w:rsid w:val="007C0CEB"/>
    <w:rsid w:val="007E2A39"/>
    <w:rsid w:val="007F2AED"/>
    <w:rsid w:val="00805BF1"/>
    <w:rsid w:val="0081214B"/>
    <w:rsid w:val="0081679E"/>
    <w:rsid w:val="008347F8"/>
    <w:rsid w:val="00841FA4"/>
    <w:rsid w:val="00843370"/>
    <w:rsid w:val="00862C0A"/>
    <w:rsid w:val="0087166B"/>
    <w:rsid w:val="00873274"/>
    <w:rsid w:val="008735D1"/>
    <w:rsid w:val="00876B3F"/>
    <w:rsid w:val="00882C70"/>
    <w:rsid w:val="00896938"/>
    <w:rsid w:val="00897B05"/>
    <w:rsid w:val="008A272F"/>
    <w:rsid w:val="008B23ED"/>
    <w:rsid w:val="008C27A0"/>
    <w:rsid w:val="008C3F3A"/>
    <w:rsid w:val="008C69F7"/>
    <w:rsid w:val="008C7CE1"/>
    <w:rsid w:val="008D0A67"/>
    <w:rsid w:val="008D1A5E"/>
    <w:rsid w:val="008D2D5E"/>
    <w:rsid w:val="008D55FD"/>
    <w:rsid w:val="008D5717"/>
    <w:rsid w:val="008E1B1B"/>
    <w:rsid w:val="008F2B12"/>
    <w:rsid w:val="00923DFA"/>
    <w:rsid w:val="00924A62"/>
    <w:rsid w:val="00936873"/>
    <w:rsid w:val="009415C0"/>
    <w:rsid w:val="00997939"/>
    <w:rsid w:val="009A0EA9"/>
    <w:rsid w:val="009A6492"/>
    <w:rsid w:val="00A050DC"/>
    <w:rsid w:val="00A1345F"/>
    <w:rsid w:val="00A209C8"/>
    <w:rsid w:val="00A234D3"/>
    <w:rsid w:val="00A35303"/>
    <w:rsid w:val="00A36279"/>
    <w:rsid w:val="00A45930"/>
    <w:rsid w:val="00A55BCF"/>
    <w:rsid w:val="00A56642"/>
    <w:rsid w:val="00A8537C"/>
    <w:rsid w:val="00A90A44"/>
    <w:rsid w:val="00A94D8E"/>
    <w:rsid w:val="00AA05C8"/>
    <w:rsid w:val="00AA767B"/>
    <w:rsid w:val="00B2200D"/>
    <w:rsid w:val="00B22207"/>
    <w:rsid w:val="00B26BA4"/>
    <w:rsid w:val="00B44BC3"/>
    <w:rsid w:val="00B53012"/>
    <w:rsid w:val="00B61B1B"/>
    <w:rsid w:val="00B85B47"/>
    <w:rsid w:val="00B874E1"/>
    <w:rsid w:val="00BA6401"/>
    <w:rsid w:val="00BB113B"/>
    <w:rsid w:val="00BC225C"/>
    <w:rsid w:val="00BC6178"/>
    <w:rsid w:val="00BD1CE1"/>
    <w:rsid w:val="00BD47AD"/>
    <w:rsid w:val="00BE5BAF"/>
    <w:rsid w:val="00BF1484"/>
    <w:rsid w:val="00BF5362"/>
    <w:rsid w:val="00BF69B9"/>
    <w:rsid w:val="00C179FD"/>
    <w:rsid w:val="00C21B40"/>
    <w:rsid w:val="00C24F08"/>
    <w:rsid w:val="00C4103F"/>
    <w:rsid w:val="00C52C5E"/>
    <w:rsid w:val="00C6418A"/>
    <w:rsid w:val="00C713D8"/>
    <w:rsid w:val="00C77DEB"/>
    <w:rsid w:val="00C902FC"/>
    <w:rsid w:val="00CB383A"/>
    <w:rsid w:val="00CB40CF"/>
    <w:rsid w:val="00CC0720"/>
    <w:rsid w:val="00CE768E"/>
    <w:rsid w:val="00CF02FE"/>
    <w:rsid w:val="00D04A9F"/>
    <w:rsid w:val="00D13B53"/>
    <w:rsid w:val="00D82C5A"/>
    <w:rsid w:val="00D8784A"/>
    <w:rsid w:val="00D930EB"/>
    <w:rsid w:val="00D93957"/>
    <w:rsid w:val="00D94A3A"/>
    <w:rsid w:val="00DA1D4E"/>
    <w:rsid w:val="00DB3F92"/>
    <w:rsid w:val="00DB57D2"/>
    <w:rsid w:val="00DB7730"/>
    <w:rsid w:val="00DC0B08"/>
    <w:rsid w:val="00DD4614"/>
    <w:rsid w:val="00DE5E34"/>
    <w:rsid w:val="00DF5E05"/>
    <w:rsid w:val="00E022B1"/>
    <w:rsid w:val="00E22C25"/>
    <w:rsid w:val="00E22C3F"/>
    <w:rsid w:val="00E25E5E"/>
    <w:rsid w:val="00E414EB"/>
    <w:rsid w:val="00E50E04"/>
    <w:rsid w:val="00E52C5E"/>
    <w:rsid w:val="00E637B4"/>
    <w:rsid w:val="00E7270D"/>
    <w:rsid w:val="00E9076C"/>
    <w:rsid w:val="00E92E34"/>
    <w:rsid w:val="00E93AF3"/>
    <w:rsid w:val="00E96F0C"/>
    <w:rsid w:val="00EA3021"/>
    <w:rsid w:val="00EA411B"/>
    <w:rsid w:val="00EA6C8D"/>
    <w:rsid w:val="00EB387B"/>
    <w:rsid w:val="00EC47D7"/>
    <w:rsid w:val="00ED7B77"/>
    <w:rsid w:val="00EF0EFF"/>
    <w:rsid w:val="00EF5EFC"/>
    <w:rsid w:val="00F01D98"/>
    <w:rsid w:val="00F02614"/>
    <w:rsid w:val="00F05E02"/>
    <w:rsid w:val="00F162C1"/>
    <w:rsid w:val="00F16954"/>
    <w:rsid w:val="00F235A1"/>
    <w:rsid w:val="00F337AC"/>
    <w:rsid w:val="00F35193"/>
    <w:rsid w:val="00F509F3"/>
    <w:rsid w:val="00F724DC"/>
    <w:rsid w:val="00F72756"/>
    <w:rsid w:val="00F941F5"/>
    <w:rsid w:val="00F94236"/>
    <w:rsid w:val="00F96184"/>
    <w:rsid w:val="00FA1C42"/>
    <w:rsid w:val="00FA6080"/>
    <w:rsid w:val="00FB6313"/>
    <w:rsid w:val="00FD06E9"/>
    <w:rsid w:val="00FD113A"/>
    <w:rsid w:val="00FD401A"/>
    <w:rsid w:val="00FF1C3D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0F3C9-9958-4561-A6BD-740BC7BF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21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Символ сноски"/>
    <w:rsid w:val="00C179FD"/>
    <w:rPr>
      <w:rFonts w:cs="Times New Roman"/>
      <w:vertAlign w:val="superscript"/>
    </w:rPr>
  </w:style>
  <w:style w:type="character" w:customStyle="1" w:styleId="1">
    <w:name w:val="Знак сноски1"/>
    <w:rsid w:val="00C179FD"/>
    <w:rPr>
      <w:vertAlign w:val="superscript"/>
    </w:rPr>
  </w:style>
  <w:style w:type="paragraph" w:styleId="a4">
    <w:name w:val="List Paragraph"/>
    <w:basedOn w:val="a"/>
    <w:qFormat/>
    <w:rsid w:val="0032110D"/>
    <w:pPr>
      <w:ind w:left="720"/>
      <w:contextualSpacing/>
    </w:pPr>
  </w:style>
  <w:style w:type="character" w:customStyle="1" w:styleId="WW8Num1z0">
    <w:name w:val="WW8Num1z0"/>
    <w:rsid w:val="00CB383A"/>
    <w:rPr>
      <w:rFonts w:cs="Times New Roman" w:hint="default"/>
    </w:rPr>
  </w:style>
  <w:style w:type="character" w:customStyle="1" w:styleId="WW8Num2z0">
    <w:name w:val="WW8Num2z0"/>
    <w:rsid w:val="00CB383A"/>
    <w:rPr>
      <w:rFonts w:ascii="Times New Roman" w:hAnsi="Times New Roman" w:cs="Times New Roman" w:hint="default"/>
      <w:bCs/>
      <w:i w:val="0"/>
      <w:sz w:val="28"/>
      <w:szCs w:val="28"/>
      <w:lang w:eastAsia="ru-RU"/>
    </w:rPr>
  </w:style>
  <w:style w:type="character" w:customStyle="1" w:styleId="WW8Num3z0">
    <w:name w:val="WW8Num3z0"/>
    <w:rsid w:val="00CB383A"/>
  </w:style>
  <w:style w:type="character" w:customStyle="1" w:styleId="WW8Num3z1">
    <w:name w:val="WW8Num3z1"/>
    <w:rsid w:val="00CB383A"/>
  </w:style>
  <w:style w:type="character" w:customStyle="1" w:styleId="WW8Num3z2">
    <w:name w:val="WW8Num3z2"/>
    <w:rsid w:val="00CB383A"/>
  </w:style>
  <w:style w:type="character" w:customStyle="1" w:styleId="WW8Num3z3">
    <w:name w:val="WW8Num3z3"/>
    <w:rsid w:val="00CB383A"/>
  </w:style>
  <w:style w:type="character" w:customStyle="1" w:styleId="WW8Num3z4">
    <w:name w:val="WW8Num3z4"/>
    <w:rsid w:val="00CB383A"/>
  </w:style>
  <w:style w:type="character" w:customStyle="1" w:styleId="WW8Num3z5">
    <w:name w:val="WW8Num3z5"/>
    <w:rsid w:val="00CB383A"/>
  </w:style>
  <w:style w:type="character" w:customStyle="1" w:styleId="WW8Num3z6">
    <w:name w:val="WW8Num3z6"/>
    <w:rsid w:val="00CB383A"/>
  </w:style>
  <w:style w:type="character" w:customStyle="1" w:styleId="WW8Num3z7">
    <w:name w:val="WW8Num3z7"/>
    <w:rsid w:val="00CB383A"/>
  </w:style>
  <w:style w:type="character" w:customStyle="1" w:styleId="WW8Num3z8">
    <w:name w:val="WW8Num3z8"/>
    <w:rsid w:val="00CB383A"/>
  </w:style>
  <w:style w:type="character" w:customStyle="1" w:styleId="3">
    <w:name w:val="Основной шрифт абзаца3"/>
    <w:rsid w:val="00CB383A"/>
  </w:style>
  <w:style w:type="character" w:customStyle="1" w:styleId="WW8Num1z2">
    <w:name w:val="WW8Num1z2"/>
    <w:rsid w:val="00CB383A"/>
    <w:rPr>
      <w:rFonts w:hint="default"/>
    </w:rPr>
  </w:style>
  <w:style w:type="character" w:customStyle="1" w:styleId="WW8Num2z1">
    <w:name w:val="WW8Num2z1"/>
    <w:rsid w:val="00CB383A"/>
  </w:style>
  <w:style w:type="character" w:customStyle="1" w:styleId="WW8Num2z2">
    <w:name w:val="WW8Num2z2"/>
    <w:rsid w:val="00CB383A"/>
  </w:style>
  <w:style w:type="character" w:customStyle="1" w:styleId="WW8Num2z3">
    <w:name w:val="WW8Num2z3"/>
    <w:rsid w:val="00CB383A"/>
  </w:style>
  <w:style w:type="character" w:customStyle="1" w:styleId="WW8Num2z4">
    <w:name w:val="WW8Num2z4"/>
    <w:rsid w:val="00CB383A"/>
  </w:style>
  <w:style w:type="character" w:customStyle="1" w:styleId="WW8Num2z5">
    <w:name w:val="WW8Num2z5"/>
    <w:rsid w:val="00CB383A"/>
  </w:style>
  <w:style w:type="character" w:customStyle="1" w:styleId="WW8Num2z6">
    <w:name w:val="WW8Num2z6"/>
    <w:rsid w:val="00CB383A"/>
  </w:style>
  <w:style w:type="character" w:customStyle="1" w:styleId="WW8Num2z7">
    <w:name w:val="WW8Num2z7"/>
    <w:rsid w:val="00CB383A"/>
  </w:style>
  <w:style w:type="character" w:customStyle="1" w:styleId="WW8Num2z8">
    <w:name w:val="WW8Num2z8"/>
    <w:rsid w:val="00CB383A"/>
  </w:style>
  <w:style w:type="character" w:customStyle="1" w:styleId="WW8Num4z0">
    <w:name w:val="WW8Num4z0"/>
    <w:rsid w:val="00CB383A"/>
    <w:rPr>
      <w:rFonts w:cs="Times New Roman" w:hint="default"/>
    </w:rPr>
  </w:style>
  <w:style w:type="character" w:customStyle="1" w:styleId="WW8Num4z1">
    <w:name w:val="WW8Num4z1"/>
    <w:rsid w:val="00CB383A"/>
  </w:style>
  <w:style w:type="character" w:customStyle="1" w:styleId="WW8Num4z2">
    <w:name w:val="WW8Num4z2"/>
    <w:rsid w:val="00CB383A"/>
  </w:style>
  <w:style w:type="character" w:customStyle="1" w:styleId="WW8Num4z3">
    <w:name w:val="WW8Num4z3"/>
    <w:rsid w:val="00CB383A"/>
  </w:style>
  <w:style w:type="character" w:customStyle="1" w:styleId="WW8Num4z4">
    <w:name w:val="WW8Num4z4"/>
    <w:rsid w:val="00CB383A"/>
  </w:style>
  <w:style w:type="character" w:customStyle="1" w:styleId="WW8Num4z5">
    <w:name w:val="WW8Num4z5"/>
    <w:rsid w:val="00CB383A"/>
  </w:style>
  <w:style w:type="character" w:customStyle="1" w:styleId="WW8Num4z6">
    <w:name w:val="WW8Num4z6"/>
    <w:rsid w:val="00CB383A"/>
  </w:style>
  <w:style w:type="character" w:customStyle="1" w:styleId="WW8Num4z7">
    <w:name w:val="WW8Num4z7"/>
    <w:rsid w:val="00CB383A"/>
  </w:style>
  <w:style w:type="character" w:customStyle="1" w:styleId="WW8Num4z8">
    <w:name w:val="WW8Num4z8"/>
    <w:rsid w:val="00CB383A"/>
  </w:style>
  <w:style w:type="character" w:customStyle="1" w:styleId="WW8Num5z0">
    <w:name w:val="WW8Num5z0"/>
    <w:rsid w:val="00CB383A"/>
    <w:rPr>
      <w:rFonts w:ascii="Times New Roman" w:hAnsi="Times New Roman" w:cs="Times New Roman" w:hint="default"/>
      <w:bCs/>
      <w:i w:val="0"/>
      <w:sz w:val="28"/>
      <w:szCs w:val="28"/>
    </w:rPr>
  </w:style>
  <w:style w:type="character" w:customStyle="1" w:styleId="WW8Num5z1">
    <w:name w:val="WW8Num5z1"/>
    <w:rsid w:val="00CB383A"/>
  </w:style>
  <w:style w:type="character" w:customStyle="1" w:styleId="WW8Num5z2">
    <w:name w:val="WW8Num5z2"/>
    <w:rsid w:val="00CB383A"/>
  </w:style>
  <w:style w:type="character" w:customStyle="1" w:styleId="WW8Num5z3">
    <w:name w:val="WW8Num5z3"/>
    <w:rsid w:val="00CB383A"/>
  </w:style>
  <w:style w:type="character" w:customStyle="1" w:styleId="WW8Num5z4">
    <w:name w:val="WW8Num5z4"/>
    <w:rsid w:val="00CB383A"/>
  </w:style>
  <w:style w:type="character" w:customStyle="1" w:styleId="WW8Num5z5">
    <w:name w:val="WW8Num5z5"/>
    <w:rsid w:val="00CB383A"/>
  </w:style>
  <w:style w:type="character" w:customStyle="1" w:styleId="WW8Num5z6">
    <w:name w:val="WW8Num5z6"/>
    <w:rsid w:val="00CB383A"/>
  </w:style>
  <w:style w:type="character" w:customStyle="1" w:styleId="WW8Num5z7">
    <w:name w:val="WW8Num5z7"/>
    <w:rsid w:val="00CB383A"/>
  </w:style>
  <w:style w:type="character" w:customStyle="1" w:styleId="WW8Num5z8">
    <w:name w:val="WW8Num5z8"/>
    <w:rsid w:val="00CB383A"/>
  </w:style>
  <w:style w:type="character" w:customStyle="1" w:styleId="WW8Num6z0">
    <w:name w:val="WW8Num6z0"/>
    <w:rsid w:val="00CB383A"/>
    <w:rPr>
      <w:rFonts w:hint="default"/>
      <w:b w:val="0"/>
    </w:rPr>
  </w:style>
  <w:style w:type="character" w:customStyle="1" w:styleId="WW8Num6z1">
    <w:name w:val="WW8Num6z1"/>
    <w:rsid w:val="00CB383A"/>
  </w:style>
  <w:style w:type="character" w:customStyle="1" w:styleId="WW8Num6z2">
    <w:name w:val="WW8Num6z2"/>
    <w:rsid w:val="00CB383A"/>
  </w:style>
  <w:style w:type="character" w:customStyle="1" w:styleId="WW8Num6z3">
    <w:name w:val="WW8Num6z3"/>
    <w:rsid w:val="00CB383A"/>
  </w:style>
  <w:style w:type="character" w:customStyle="1" w:styleId="WW8Num6z4">
    <w:name w:val="WW8Num6z4"/>
    <w:rsid w:val="00CB383A"/>
  </w:style>
  <w:style w:type="character" w:customStyle="1" w:styleId="WW8Num6z5">
    <w:name w:val="WW8Num6z5"/>
    <w:rsid w:val="00CB383A"/>
  </w:style>
  <w:style w:type="character" w:customStyle="1" w:styleId="WW8Num6z6">
    <w:name w:val="WW8Num6z6"/>
    <w:rsid w:val="00CB383A"/>
  </w:style>
  <w:style w:type="character" w:customStyle="1" w:styleId="WW8Num6z7">
    <w:name w:val="WW8Num6z7"/>
    <w:rsid w:val="00CB383A"/>
  </w:style>
  <w:style w:type="character" w:customStyle="1" w:styleId="WW8Num6z8">
    <w:name w:val="WW8Num6z8"/>
    <w:rsid w:val="00CB383A"/>
  </w:style>
  <w:style w:type="character" w:customStyle="1" w:styleId="WW8Num7z0">
    <w:name w:val="WW8Num7z0"/>
    <w:rsid w:val="00CB383A"/>
    <w:rPr>
      <w:rFonts w:hint="default"/>
      <w:b w:val="0"/>
    </w:rPr>
  </w:style>
  <w:style w:type="character" w:customStyle="1" w:styleId="WW8Num7z1">
    <w:name w:val="WW8Num7z1"/>
    <w:rsid w:val="00CB383A"/>
  </w:style>
  <w:style w:type="character" w:customStyle="1" w:styleId="WW8Num7z2">
    <w:name w:val="WW8Num7z2"/>
    <w:rsid w:val="00CB383A"/>
  </w:style>
  <w:style w:type="character" w:customStyle="1" w:styleId="WW8Num7z3">
    <w:name w:val="WW8Num7z3"/>
    <w:rsid w:val="00CB383A"/>
  </w:style>
  <w:style w:type="character" w:customStyle="1" w:styleId="WW8Num7z4">
    <w:name w:val="WW8Num7z4"/>
    <w:rsid w:val="00CB383A"/>
  </w:style>
  <w:style w:type="character" w:customStyle="1" w:styleId="WW8Num7z5">
    <w:name w:val="WW8Num7z5"/>
    <w:rsid w:val="00CB383A"/>
  </w:style>
  <w:style w:type="character" w:customStyle="1" w:styleId="WW8Num7z6">
    <w:name w:val="WW8Num7z6"/>
    <w:rsid w:val="00CB383A"/>
  </w:style>
  <w:style w:type="character" w:customStyle="1" w:styleId="WW8Num7z7">
    <w:name w:val="WW8Num7z7"/>
    <w:rsid w:val="00CB383A"/>
  </w:style>
  <w:style w:type="character" w:customStyle="1" w:styleId="WW8Num7z8">
    <w:name w:val="WW8Num7z8"/>
    <w:rsid w:val="00CB383A"/>
  </w:style>
  <w:style w:type="character" w:customStyle="1" w:styleId="2">
    <w:name w:val="Основной шрифт абзаца2"/>
    <w:rsid w:val="00CB383A"/>
  </w:style>
  <w:style w:type="character" w:customStyle="1" w:styleId="10">
    <w:name w:val="Основной шрифт абзаца1"/>
    <w:rsid w:val="00CB383A"/>
  </w:style>
  <w:style w:type="character" w:customStyle="1" w:styleId="4">
    <w:name w:val="Основной шрифт абзаца4"/>
    <w:rsid w:val="00CB383A"/>
  </w:style>
  <w:style w:type="character" w:customStyle="1" w:styleId="a5">
    <w:name w:val="Текст сноски Знак"/>
    <w:rsid w:val="00CB383A"/>
    <w:rPr>
      <w:rFonts w:ascii="Calibri" w:hAnsi="Calibri" w:cs="Times New Roman"/>
      <w:sz w:val="20"/>
      <w:szCs w:val="20"/>
    </w:rPr>
  </w:style>
  <w:style w:type="character" w:customStyle="1" w:styleId="FootnoteCharacters">
    <w:name w:val="Footnote Characters"/>
    <w:rsid w:val="00CB383A"/>
    <w:rPr>
      <w:rFonts w:cs="Times New Roman"/>
      <w:vertAlign w:val="superscript"/>
    </w:rPr>
  </w:style>
  <w:style w:type="character" w:customStyle="1" w:styleId="a6">
    <w:name w:val="Верхний колонтитул Знак"/>
    <w:rsid w:val="00CB383A"/>
    <w:rPr>
      <w:rFonts w:ascii="Calibri" w:hAnsi="Calibri" w:cs="Times New Roman"/>
    </w:rPr>
  </w:style>
  <w:style w:type="character" w:customStyle="1" w:styleId="a7">
    <w:name w:val="Нижний колонтитул Знак"/>
    <w:rsid w:val="00CB383A"/>
    <w:rPr>
      <w:rFonts w:ascii="Calibri" w:hAnsi="Calibri" w:cs="Times New Roman"/>
    </w:rPr>
  </w:style>
  <w:style w:type="character" w:customStyle="1" w:styleId="a8">
    <w:name w:val="Текст концевой сноски Знак"/>
    <w:rsid w:val="00CB383A"/>
    <w:rPr>
      <w:sz w:val="20"/>
      <w:szCs w:val="20"/>
    </w:rPr>
  </w:style>
  <w:style w:type="character" w:customStyle="1" w:styleId="a9">
    <w:name w:val="Символ концевой сноски"/>
    <w:rsid w:val="00CB383A"/>
    <w:rPr>
      <w:vertAlign w:val="superscript"/>
    </w:rPr>
  </w:style>
  <w:style w:type="character" w:customStyle="1" w:styleId="EndnoteCharacters">
    <w:name w:val="Endnote Characters"/>
    <w:rsid w:val="00CB383A"/>
    <w:rPr>
      <w:vertAlign w:val="superscript"/>
    </w:rPr>
  </w:style>
  <w:style w:type="character" w:customStyle="1" w:styleId="aa">
    <w:name w:val="Текст выноски Знак"/>
    <w:rsid w:val="00CB383A"/>
    <w:rPr>
      <w:rFonts w:ascii="Tahoma" w:eastAsia="Calibri" w:hAnsi="Tahoma" w:cs="Tahoma"/>
      <w:sz w:val="16"/>
      <w:szCs w:val="16"/>
      <w:lang w:eastAsia="zh-CN"/>
    </w:rPr>
  </w:style>
  <w:style w:type="character" w:styleId="ab">
    <w:name w:val="Hyperlink"/>
    <w:rsid w:val="00CB383A"/>
    <w:rPr>
      <w:color w:val="0000FF"/>
      <w:u w:val="single"/>
    </w:rPr>
  </w:style>
  <w:style w:type="character" w:customStyle="1" w:styleId="11">
    <w:name w:val="Знак концевой сноски1"/>
    <w:rsid w:val="00CB383A"/>
    <w:rPr>
      <w:vertAlign w:val="superscript"/>
    </w:rPr>
  </w:style>
  <w:style w:type="character" w:customStyle="1" w:styleId="12">
    <w:name w:val="Знак примечания1"/>
    <w:rsid w:val="00CB383A"/>
    <w:rPr>
      <w:sz w:val="16"/>
      <w:szCs w:val="16"/>
    </w:rPr>
  </w:style>
  <w:style w:type="character" w:customStyle="1" w:styleId="ac">
    <w:name w:val="Текст примечания Знак"/>
    <w:rsid w:val="00CB383A"/>
    <w:rPr>
      <w:rFonts w:ascii="Calibri" w:eastAsia="Calibri" w:hAnsi="Calibri" w:cs="font302"/>
      <w:lang w:eastAsia="zh-CN"/>
    </w:rPr>
  </w:style>
  <w:style w:type="character" w:customStyle="1" w:styleId="ad">
    <w:name w:val="Тема примечания Знак"/>
    <w:rsid w:val="00CB383A"/>
    <w:rPr>
      <w:rFonts w:ascii="Calibri" w:eastAsia="Calibri" w:hAnsi="Calibri" w:cs="font302"/>
      <w:b/>
      <w:bCs/>
      <w:lang w:eastAsia="zh-CN"/>
    </w:rPr>
  </w:style>
  <w:style w:type="character" w:styleId="ae">
    <w:name w:val="Strong"/>
    <w:qFormat/>
    <w:rsid w:val="00CB383A"/>
    <w:rPr>
      <w:b/>
      <w:bCs/>
    </w:rPr>
  </w:style>
  <w:style w:type="character" w:customStyle="1" w:styleId="20">
    <w:name w:val="Знак сноски2"/>
    <w:rsid w:val="00CB383A"/>
    <w:rPr>
      <w:vertAlign w:val="superscript"/>
    </w:rPr>
  </w:style>
  <w:style w:type="character" w:customStyle="1" w:styleId="21">
    <w:name w:val="Знак концевой сноски2"/>
    <w:rsid w:val="00CB383A"/>
    <w:rPr>
      <w:vertAlign w:val="superscript"/>
    </w:rPr>
  </w:style>
  <w:style w:type="character" w:styleId="af">
    <w:name w:val="footnote reference"/>
    <w:rsid w:val="00CB383A"/>
    <w:rPr>
      <w:vertAlign w:val="superscript"/>
    </w:rPr>
  </w:style>
  <w:style w:type="character" w:styleId="af0">
    <w:name w:val="endnote reference"/>
    <w:rsid w:val="00CB383A"/>
    <w:rPr>
      <w:vertAlign w:val="superscript"/>
    </w:rPr>
  </w:style>
  <w:style w:type="paragraph" w:customStyle="1" w:styleId="af1">
    <w:name w:val="Заголовок"/>
    <w:basedOn w:val="a"/>
    <w:next w:val="af2"/>
    <w:rsid w:val="00CB383A"/>
    <w:pPr>
      <w:keepNext/>
      <w:suppressAutoHyphens/>
      <w:spacing w:before="240" w:after="120" w:line="276" w:lineRule="auto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styleId="af2">
    <w:name w:val="Body Text"/>
    <w:basedOn w:val="a"/>
    <w:link w:val="af3"/>
    <w:rsid w:val="00CB383A"/>
    <w:pPr>
      <w:suppressAutoHyphens/>
      <w:spacing w:after="140" w:line="276" w:lineRule="auto"/>
    </w:pPr>
    <w:rPr>
      <w:rFonts w:ascii="Calibri" w:eastAsia="Calibri" w:hAnsi="Calibri" w:cs="font302"/>
      <w:lang w:eastAsia="zh-CN"/>
    </w:rPr>
  </w:style>
  <w:style w:type="character" w:customStyle="1" w:styleId="af3">
    <w:name w:val="Основной текст Знак"/>
    <w:basedOn w:val="a0"/>
    <w:link w:val="af2"/>
    <w:rsid w:val="00CB383A"/>
    <w:rPr>
      <w:rFonts w:ascii="Calibri" w:eastAsia="Calibri" w:hAnsi="Calibri" w:cs="font302"/>
      <w:lang w:eastAsia="zh-CN"/>
    </w:rPr>
  </w:style>
  <w:style w:type="paragraph" w:styleId="af4">
    <w:name w:val="List"/>
    <w:basedOn w:val="af2"/>
    <w:rsid w:val="00CB383A"/>
    <w:rPr>
      <w:rFonts w:ascii="Times New Roman" w:hAnsi="Times New Roman" w:cs="Arial"/>
    </w:rPr>
  </w:style>
  <w:style w:type="paragraph" w:styleId="af5">
    <w:name w:val="caption"/>
    <w:basedOn w:val="a"/>
    <w:qFormat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40">
    <w:name w:val="Указатель4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customStyle="1" w:styleId="30">
    <w:name w:val="Название объекта3"/>
    <w:basedOn w:val="a"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customStyle="1" w:styleId="22">
    <w:name w:val="Название объекта2"/>
    <w:basedOn w:val="a"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customStyle="1" w:styleId="13">
    <w:name w:val="Название объекта1"/>
    <w:basedOn w:val="a"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styleId="af6">
    <w:name w:val="footnote text"/>
    <w:basedOn w:val="a"/>
    <w:link w:val="15"/>
    <w:rsid w:val="00CB383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5">
    <w:name w:val="Текст сноски Знак1"/>
    <w:basedOn w:val="a0"/>
    <w:link w:val="af6"/>
    <w:rsid w:val="00CB383A"/>
    <w:rPr>
      <w:rFonts w:ascii="Calibri" w:eastAsia="Calibri" w:hAnsi="Calibri" w:cs="Times New Roman"/>
      <w:sz w:val="20"/>
      <w:szCs w:val="20"/>
      <w:lang w:eastAsia="zh-CN"/>
    </w:rPr>
  </w:style>
  <w:style w:type="paragraph" w:styleId="af7">
    <w:name w:val="header"/>
    <w:basedOn w:val="a"/>
    <w:link w:val="16"/>
    <w:rsid w:val="00CB383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6">
    <w:name w:val="Верхний колонтитул Знак1"/>
    <w:basedOn w:val="a0"/>
    <w:link w:val="af7"/>
    <w:rsid w:val="00CB383A"/>
    <w:rPr>
      <w:rFonts w:ascii="Calibri" w:eastAsia="Calibri" w:hAnsi="Calibri" w:cs="Times New Roman"/>
      <w:lang w:eastAsia="zh-CN"/>
    </w:rPr>
  </w:style>
  <w:style w:type="paragraph" w:styleId="af8">
    <w:name w:val="footer"/>
    <w:basedOn w:val="a"/>
    <w:link w:val="17"/>
    <w:rsid w:val="00CB383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7">
    <w:name w:val="Нижний колонтитул Знак1"/>
    <w:basedOn w:val="a0"/>
    <w:link w:val="af8"/>
    <w:rsid w:val="00CB383A"/>
    <w:rPr>
      <w:rFonts w:ascii="Calibri" w:eastAsia="Calibri" w:hAnsi="Calibri" w:cs="Times New Roman"/>
      <w:lang w:eastAsia="zh-CN"/>
    </w:rPr>
  </w:style>
  <w:style w:type="paragraph" w:styleId="af9">
    <w:name w:val="endnote text"/>
    <w:basedOn w:val="a"/>
    <w:link w:val="18"/>
    <w:rsid w:val="00CB383A"/>
    <w:pPr>
      <w:suppressAutoHyphens/>
      <w:spacing w:after="0" w:line="240" w:lineRule="auto"/>
    </w:pPr>
    <w:rPr>
      <w:rFonts w:ascii="Calibri" w:eastAsia="Calibri" w:hAnsi="Calibri" w:cs="font302"/>
      <w:sz w:val="20"/>
      <w:szCs w:val="20"/>
      <w:lang w:eastAsia="zh-CN"/>
    </w:rPr>
  </w:style>
  <w:style w:type="character" w:customStyle="1" w:styleId="18">
    <w:name w:val="Текст концевой сноски Знак1"/>
    <w:basedOn w:val="a0"/>
    <w:link w:val="af9"/>
    <w:rsid w:val="00CB383A"/>
    <w:rPr>
      <w:rFonts w:ascii="Calibri" w:eastAsia="Calibri" w:hAnsi="Calibri" w:cs="font302"/>
      <w:sz w:val="20"/>
      <w:szCs w:val="20"/>
      <w:lang w:eastAsia="zh-CN"/>
    </w:rPr>
  </w:style>
  <w:style w:type="paragraph" w:styleId="afa">
    <w:name w:val="Balloon Text"/>
    <w:basedOn w:val="a"/>
    <w:link w:val="19"/>
    <w:rsid w:val="00CB383A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val="x-none" w:eastAsia="zh-CN"/>
    </w:rPr>
  </w:style>
  <w:style w:type="character" w:customStyle="1" w:styleId="19">
    <w:name w:val="Текст выноски Знак1"/>
    <w:basedOn w:val="a0"/>
    <w:link w:val="afa"/>
    <w:rsid w:val="00CB383A"/>
    <w:rPr>
      <w:rFonts w:ascii="Tahoma" w:eastAsia="Calibri" w:hAnsi="Tahoma" w:cs="Times New Roman"/>
      <w:sz w:val="16"/>
      <w:szCs w:val="16"/>
      <w:lang w:val="x-none" w:eastAsia="zh-CN"/>
    </w:rPr>
  </w:style>
  <w:style w:type="paragraph" w:styleId="afb">
    <w:name w:val="Normal (Web)"/>
    <w:basedOn w:val="a"/>
    <w:uiPriority w:val="99"/>
    <w:rsid w:val="00CB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">
    <w:name w:val="Основной текст6"/>
    <w:basedOn w:val="a"/>
    <w:rsid w:val="00CB383A"/>
    <w:pPr>
      <w:widowControl w:val="0"/>
      <w:shd w:val="clear" w:color="auto" w:fill="FFFFFF"/>
      <w:spacing w:before="420" w:after="0" w:line="346" w:lineRule="exact"/>
      <w:ind w:hanging="1500"/>
      <w:jc w:val="center"/>
    </w:pPr>
    <w:rPr>
      <w:rFonts w:ascii="Times New Roman" w:eastAsia="Times New Roman" w:hAnsi="Times New Roman" w:cs="Times New Roman"/>
      <w:color w:val="000000"/>
      <w:spacing w:val="7"/>
      <w:sz w:val="23"/>
      <w:szCs w:val="23"/>
      <w:lang w:val="ru" w:eastAsia="zh-CN"/>
    </w:rPr>
  </w:style>
  <w:style w:type="paragraph" w:customStyle="1" w:styleId="Default">
    <w:name w:val="Default"/>
    <w:rsid w:val="00CB383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a">
    <w:name w:val="Текст примечания1"/>
    <w:basedOn w:val="a"/>
    <w:rsid w:val="00CB383A"/>
    <w:pPr>
      <w:suppressAutoHyphens/>
      <w:spacing w:after="200" w:line="276" w:lineRule="auto"/>
    </w:pPr>
    <w:rPr>
      <w:rFonts w:ascii="Calibri" w:eastAsia="Calibri" w:hAnsi="Calibri" w:cs="font302"/>
      <w:sz w:val="20"/>
      <w:szCs w:val="20"/>
      <w:lang w:eastAsia="zh-CN"/>
    </w:rPr>
  </w:style>
  <w:style w:type="paragraph" w:styleId="afc">
    <w:name w:val="annotation text"/>
    <w:basedOn w:val="a"/>
    <w:link w:val="1b"/>
    <w:uiPriority w:val="99"/>
    <w:semiHidden/>
    <w:unhideWhenUsed/>
    <w:rsid w:val="00CB383A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fc"/>
    <w:uiPriority w:val="99"/>
    <w:semiHidden/>
    <w:rsid w:val="00CB383A"/>
    <w:rPr>
      <w:sz w:val="20"/>
      <w:szCs w:val="20"/>
    </w:rPr>
  </w:style>
  <w:style w:type="paragraph" w:styleId="afd">
    <w:name w:val="annotation subject"/>
    <w:basedOn w:val="1a"/>
    <w:next w:val="1a"/>
    <w:link w:val="1c"/>
    <w:rsid w:val="00CB383A"/>
    <w:rPr>
      <w:b/>
      <w:bCs/>
    </w:rPr>
  </w:style>
  <w:style w:type="character" w:customStyle="1" w:styleId="1c">
    <w:name w:val="Тема примечания Знак1"/>
    <w:basedOn w:val="1b"/>
    <w:link w:val="afd"/>
    <w:rsid w:val="00CB383A"/>
    <w:rPr>
      <w:rFonts w:ascii="Calibri" w:eastAsia="Calibri" w:hAnsi="Calibri" w:cs="font302"/>
      <w:b/>
      <w:bCs/>
      <w:sz w:val="20"/>
      <w:szCs w:val="20"/>
      <w:lang w:eastAsia="zh-CN"/>
    </w:rPr>
  </w:style>
  <w:style w:type="paragraph" w:customStyle="1" w:styleId="afe">
    <w:name w:val="Содержимое таблицы"/>
    <w:basedOn w:val="a"/>
    <w:rsid w:val="00CB383A"/>
    <w:pPr>
      <w:suppressLineNumbers/>
      <w:suppressAutoHyphens/>
      <w:spacing w:after="200" w:line="276" w:lineRule="auto"/>
    </w:pPr>
    <w:rPr>
      <w:rFonts w:ascii="Calibri" w:eastAsia="Calibri" w:hAnsi="Calibri" w:cs="font302"/>
      <w:lang w:eastAsia="zh-CN"/>
    </w:rPr>
  </w:style>
  <w:style w:type="paragraph" w:customStyle="1" w:styleId="aff">
    <w:name w:val="Заголовок таблицы"/>
    <w:basedOn w:val="afe"/>
    <w:rsid w:val="00CB383A"/>
    <w:pPr>
      <w:jc w:val="center"/>
    </w:pPr>
    <w:rPr>
      <w:b/>
      <w:bCs/>
    </w:rPr>
  </w:style>
  <w:style w:type="table" w:styleId="aff0">
    <w:name w:val="Table Grid"/>
    <w:basedOn w:val="a1"/>
    <w:uiPriority w:val="39"/>
    <w:rsid w:val="00CB3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2579-D55F-4402-ACC9-9BB74445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4406</TotalTime>
  <Pages>9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Ольга Медведева</cp:lastModifiedBy>
  <cp:revision>8</cp:revision>
  <cp:lastPrinted>2022-02-02T10:22:00Z</cp:lastPrinted>
  <dcterms:created xsi:type="dcterms:W3CDTF">2022-01-24T05:00:00Z</dcterms:created>
  <dcterms:modified xsi:type="dcterms:W3CDTF">2022-02-03T06:50:00Z</dcterms:modified>
</cp:coreProperties>
</file>