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EC" w:rsidRPr="00D52874" w:rsidRDefault="00926FEC" w:rsidP="00926FEC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451A21E2" wp14:editId="1692B192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926FEC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287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e</w:t>
      </w:r>
      <w:r w:rsidRPr="00D52874">
        <w:rPr>
          <w:rFonts w:ascii="Times New Roman" w:hAnsi="Times New Roman"/>
          <w:sz w:val="20"/>
          <w:szCs w:val="20"/>
        </w:rPr>
        <w:t>-</w:t>
      </w:r>
      <w:r w:rsidRPr="00D52874">
        <w:rPr>
          <w:rFonts w:ascii="Times New Roman" w:hAnsi="Times New Roman"/>
          <w:sz w:val="20"/>
          <w:szCs w:val="20"/>
          <w:lang w:val="en-US"/>
        </w:rPr>
        <w:t>mail</w:t>
      </w:r>
      <w:r w:rsidRPr="00D52874">
        <w:rPr>
          <w:rFonts w:ascii="Times New Roman" w:hAnsi="Times New Roman"/>
          <w:sz w:val="20"/>
          <w:szCs w:val="20"/>
        </w:rPr>
        <w:t>:</w:t>
      </w:r>
      <w:r w:rsidRPr="00D52874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@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86.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926FEC" w:rsidRPr="00D52874" w:rsidRDefault="00926FEC" w:rsidP="00926FEC">
      <w:pPr>
        <w:tabs>
          <w:tab w:val="left" w:pos="7230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г.Пыть-Ях, 1 мкр., дом № 5, кв. № 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р/с </w:t>
      </w:r>
      <w:r w:rsidR="00B3744B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926FEC" w:rsidRPr="00D52874" w:rsidRDefault="00926FEC" w:rsidP="00926FEC">
      <w:pPr>
        <w:tabs>
          <w:tab w:val="left" w:pos="7655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926FEC" w:rsidRPr="00D52874" w:rsidRDefault="00926FEC" w:rsidP="00926FEC">
      <w:pPr>
        <w:tabs>
          <w:tab w:val="left" w:pos="5103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Тюменская область 628380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926FEC" w:rsidRPr="00D52874" w:rsidRDefault="00926FEC" w:rsidP="00926FEC">
      <w:pPr>
        <w:tabs>
          <w:tab w:val="left" w:pos="595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тел. факс (3463) 46-62-92,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926FEC" w:rsidRPr="00D52874" w:rsidRDefault="00926FEC" w:rsidP="00926FEC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42-11-90, 46-05-92, 46-66-47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sz w:val="20"/>
          <w:szCs w:val="20"/>
        </w:rPr>
        <w:t>ИНН 8612005313 БИК 047162000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ОКАТМО 71885000 КПП 861201001</w:t>
      </w:r>
    </w:p>
    <w:p w:rsidR="00926FEC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КБК 04011690040040000140</w:t>
      </w:r>
    </w:p>
    <w:p w:rsidR="00120998" w:rsidRPr="005D3445" w:rsidRDefault="0095790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0770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4B15AB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</w:t>
      </w:r>
      <w:r w:rsidR="00166318">
        <w:rPr>
          <w:rFonts w:ascii="Times New Roman" w:hAnsi="Times New Roman"/>
          <w:sz w:val="24"/>
          <w:szCs w:val="24"/>
        </w:rPr>
        <w:t>10</w:t>
      </w:r>
      <w:r w:rsidR="00120998" w:rsidRPr="006671EB">
        <w:rPr>
          <w:rFonts w:ascii="Times New Roman" w:hAnsi="Times New Roman"/>
          <w:sz w:val="24"/>
          <w:szCs w:val="24"/>
        </w:rPr>
        <w:t>.201</w:t>
      </w:r>
      <w:r w:rsidR="004F2D8C">
        <w:rPr>
          <w:rFonts w:ascii="Times New Roman" w:hAnsi="Times New Roman"/>
          <w:sz w:val="24"/>
          <w:szCs w:val="24"/>
        </w:rPr>
        <w:t>9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A05361">
        <w:rPr>
          <w:rFonts w:ascii="Times New Roman" w:hAnsi="Times New Roman"/>
          <w:sz w:val="24"/>
          <w:szCs w:val="24"/>
        </w:rPr>
        <w:t>315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0 часов (сведения об участниках заседания указаны в протоколе заседания </w:t>
      </w:r>
      <w:r w:rsidR="00926FEC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926FEC">
      <w:pPr>
        <w:spacing w:before="960" w:after="960" w:line="240" w:lineRule="auto"/>
        <w:ind w:right="538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о деятельности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муниципальной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комиссии по делам несовершеннолетних и защите их прав при администрации города Пыть-Яха за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B15A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B15AB">
        <w:rPr>
          <w:rFonts w:ascii="Times New Roman" w:hAnsi="Times New Roman"/>
          <w:sz w:val="26"/>
          <w:szCs w:val="26"/>
          <w:lang w:eastAsia="ru-RU"/>
        </w:rPr>
        <w:t>месяцев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B3744B">
        <w:rPr>
          <w:rFonts w:ascii="Times New Roman" w:hAnsi="Times New Roman"/>
          <w:sz w:val="26"/>
          <w:szCs w:val="26"/>
          <w:lang w:eastAsia="ru-RU"/>
        </w:rPr>
        <w:t>а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7558BF">
        <w:rPr>
          <w:rFonts w:ascii="Times New Roman" w:hAnsi="Times New Roman"/>
          <w:sz w:val="26"/>
          <w:szCs w:val="26"/>
        </w:rPr>
        <w:t xml:space="preserve">исполнение плана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58BF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и статистический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5700">
        <w:rPr>
          <w:rFonts w:ascii="Times New Roman" w:hAnsi="Times New Roman"/>
          <w:sz w:val="26"/>
          <w:szCs w:val="26"/>
        </w:rPr>
        <w:t xml:space="preserve">комиссии </w:t>
      </w:r>
      <w:r w:rsidR="009F486B" w:rsidRPr="009F486B">
        <w:rPr>
          <w:rFonts w:ascii="Times New Roman" w:hAnsi="Times New Roman"/>
          <w:sz w:val="26"/>
          <w:szCs w:val="26"/>
        </w:rPr>
        <w:t xml:space="preserve">за </w:t>
      </w:r>
      <w:r w:rsidR="004B15AB">
        <w:rPr>
          <w:rFonts w:ascii="Times New Roman" w:hAnsi="Times New Roman"/>
          <w:sz w:val="26"/>
          <w:szCs w:val="26"/>
        </w:rPr>
        <w:t>9 месяцев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>год</w:t>
      </w:r>
      <w:r w:rsidR="00B3744B">
        <w:rPr>
          <w:rFonts w:ascii="Times New Roman" w:hAnsi="Times New Roman"/>
          <w:sz w:val="26"/>
          <w:szCs w:val="26"/>
          <w:lang w:eastAsia="ru-RU"/>
        </w:rPr>
        <w:t>а</w:t>
      </w:r>
      <w:r w:rsidR="009F486B" w:rsidRPr="009F486B">
        <w:rPr>
          <w:rFonts w:ascii="Times New Roman" w:hAnsi="Times New Roman"/>
          <w:sz w:val="26"/>
          <w:szCs w:val="26"/>
        </w:rPr>
        <w:t xml:space="preserve">, </w:t>
      </w:r>
      <w:r w:rsidR="00F23F8D">
        <w:rPr>
          <w:rFonts w:ascii="Times New Roman" w:hAnsi="Times New Roman"/>
          <w:sz w:val="26"/>
          <w:szCs w:val="26"/>
        </w:rPr>
        <w:t>во</w:t>
      </w:r>
      <w:r w:rsidR="009F486B" w:rsidRPr="009F486B">
        <w:rPr>
          <w:rFonts w:ascii="Times New Roman" w:hAnsi="Times New Roman"/>
          <w:sz w:val="26"/>
          <w:szCs w:val="26"/>
        </w:rPr>
        <w:t xml:space="preserve"> исполнени</w:t>
      </w:r>
      <w:r w:rsidR="00F23F8D">
        <w:rPr>
          <w:rFonts w:ascii="Times New Roman" w:hAnsi="Times New Roman"/>
          <w:sz w:val="26"/>
          <w:szCs w:val="26"/>
        </w:rPr>
        <w:t>е</w:t>
      </w:r>
      <w:r w:rsidR="009F486B" w:rsidRPr="009F486B">
        <w:rPr>
          <w:rFonts w:ascii="Times New Roman" w:hAnsi="Times New Roman"/>
          <w:sz w:val="26"/>
          <w:szCs w:val="26"/>
        </w:rPr>
        <w:t xml:space="preserve"> </w:t>
      </w:r>
      <w:r w:rsidR="00106DFF">
        <w:rPr>
          <w:rFonts w:ascii="Times New Roman" w:hAnsi="Times New Roman"/>
          <w:sz w:val="26"/>
          <w:szCs w:val="26"/>
        </w:rPr>
        <w:t>пункта 5.</w:t>
      </w:r>
      <w:r w:rsidR="00D71E8B">
        <w:rPr>
          <w:rFonts w:ascii="Times New Roman" w:hAnsi="Times New Roman"/>
          <w:sz w:val="26"/>
          <w:szCs w:val="26"/>
        </w:rPr>
        <w:t>2</w:t>
      </w:r>
      <w:r w:rsidR="00106DFF">
        <w:rPr>
          <w:rFonts w:ascii="Times New Roman" w:hAnsi="Times New Roman"/>
          <w:sz w:val="26"/>
          <w:szCs w:val="26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 xml:space="preserve">О комиссиях по делам несовершеннолетних и защите их прав в Ханты - Мансийском автономном округе - Югре и наделении органов местного </w:t>
      </w:r>
      <w:r w:rsidRPr="00BE3940">
        <w:rPr>
          <w:rFonts w:ascii="Times New Roman" w:hAnsi="Times New Roman"/>
          <w:sz w:val="26"/>
          <w:szCs w:val="26"/>
        </w:rPr>
        <w:lastRenderedPageBreak/>
        <w:t>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926FEC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D959D1">
        <w:rPr>
          <w:rFonts w:ascii="Times New Roman" w:hAnsi="Times New Roman"/>
          <w:sz w:val="26"/>
          <w:szCs w:val="26"/>
          <w:lang w:eastAsia="ru-RU"/>
        </w:rPr>
        <w:t>АЯ КОМИССИЯ ПОСТАНОВИЛА:</w:t>
      </w:r>
    </w:p>
    <w:p w:rsidR="000220B2" w:rsidRDefault="00FB4336" w:rsidP="0085413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 w:rsidR="009003CB">
        <w:rPr>
          <w:rFonts w:ascii="Times New Roman" w:hAnsi="Times New Roman"/>
          <w:sz w:val="26"/>
          <w:szCs w:val="26"/>
        </w:rPr>
        <w:t>:</w:t>
      </w:r>
    </w:p>
    <w:p w:rsidR="00FB4336" w:rsidRDefault="00EB241C" w:rsidP="00EB24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="006D25D5"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 w:rsidR="00506A43">
        <w:rPr>
          <w:rFonts w:ascii="Times New Roman" w:hAnsi="Times New Roman"/>
          <w:sz w:val="26"/>
          <w:szCs w:val="26"/>
        </w:rPr>
        <w:t xml:space="preserve">министрации города Пыть-Яха за </w:t>
      </w:r>
      <w:r w:rsidR="004B15AB">
        <w:rPr>
          <w:rFonts w:ascii="Times New Roman" w:hAnsi="Times New Roman"/>
          <w:sz w:val="26"/>
          <w:szCs w:val="26"/>
        </w:rPr>
        <w:t>9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B15AB">
        <w:rPr>
          <w:rFonts w:ascii="Times New Roman" w:hAnsi="Times New Roman"/>
          <w:sz w:val="26"/>
          <w:szCs w:val="26"/>
          <w:lang w:eastAsia="ru-RU"/>
        </w:rPr>
        <w:t>месяцев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241C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Pr="00EB241C">
        <w:rPr>
          <w:rFonts w:ascii="Times New Roman" w:hAnsi="Times New Roman"/>
          <w:sz w:val="26"/>
          <w:szCs w:val="26"/>
        </w:rPr>
        <w:t xml:space="preserve"> </w:t>
      </w:r>
      <w:r w:rsidR="001F231C">
        <w:rPr>
          <w:rFonts w:ascii="Times New Roman" w:hAnsi="Times New Roman"/>
          <w:sz w:val="26"/>
          <w:szCs w:val="26"/>
        </w:rPr>
        <w:t>(приложение 1);</w:t>
      </w:r>
    </w:p>
    <w:p w:rsidR="000220B2" w:rsidRDefault="000220B2" w:rsidP="000220B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 w:rsidR="009003CB"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 w:rsidR="00786782">
        <w:rPr>
          <w:rFonts w:ascii="Times New Roman" w:hAnsi="Times New Roman"/>
          <w:sz w:val="26"/>
          <w:szCs w:val="26"/>
        </w:rPr>
        <w:t xml:space="preserve">работы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0220B2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администрации города Пыть-Яха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9003CB" w:rsidRPr="006D25D5">
        <w:rPr>
          <w:rFonts w:ascii="Times New Roman" w:hAnsi="Times New Roman"/>
          <w:sz w:val="26"/>
          <w:szCs w:val="26"/>
        </w:rPr>
        <w:t xml:space="preserve">за </w:t>
      </w:r>
      <w:r w:rsidR="004B15AB">
        <w:rPr>
          <w:rFonts w:ascii="Times New Roman" w:hAnsi="Times New Roman"/>
          <w:sz w:val="26"/>
          <w:szCs w:val="26"/>
        </w:rPr>
        <w:t>9 месяцев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03CB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9003CB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FD7222" w:rsidRPr="00FD7222" w:rsidRDefault="00166318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</w:t>
      </w:r>
      <w:r w:rsidR="00FD72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FD7222" w:rsidRPr="00FD7222">
        <w:rPr>
          <w:rFonts w:ascii="Times New Roman" w:hAnsi="Times New Roman"/>
          <w:sz w:val="26"/>
          <w:szCs w:val="26"/>
        </w:rPr>
        <w:t xml:space="preserve"> отдела по о</w:t>
      </w:r>
      <w:r w:rsidR="004F2D8C">
        <w:rPr>
          <w:rFonts w:ascii="Times New Roman" w:hAnsi="Times New Roman"/>
          <w:sz w:val="26"/>
          <w:szCs w:val="26"/>
        </w:rPr>
        <w:t xml:space="preserve">беспечению </w:t>
      </w:r>
      <w:r w:rsidR="00FD7222" w:rsidRPr="00FD7222">
        <w:rPr>
          <w:rFonts w:ascii="Times New Roman" w:hAnsi="Times New Roman"/>
          <w:sz w:val="26"/>
          <w:szCs w:val="26"/>
        </w:rPr>
        <w:t xml:space="preserve">деятельности </w:t>
      </w:r>
      <w:r w:rsidR="004F2D8C">
        <w:rPr>
          <w:rFonts w:ascii="Times New Roman" w:hAnsi="Times New Roman"/>
          <w:sz w:val="26"/>
          <w:szCs w:val="26"/>
        </w:rPr>
        <w:t xml:space="preserve">муниципальной </w:t>
      </w:r>
      <w:r w:rsidR="00FD7222" w:rsidRPr="00FD7222"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С.В. Чернышова</w:t>
      </w:r>
      <w:r w:rsidR="00FD7222"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9003CB"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 w:rsidR="009003CB"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="004B15AB">
        <w:rPr>
          <w:rFonts w:ascii="Times New Roman" w:hAnsi="Times New Roman"/>
          <w:sz w:val="26"/>
          <w:szCs w:val="26"/>
        </w:rPr>
        <w:t>9</w:t>
      </w:r>
      <w:r w:rsidR="0016631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B15AB">
        <w:rPr>
          <w:rFonts w:ascii="Times New Roman" w:hAnsi="Times New Roman"/>
          <w:sz w:val="26"/>
          <w:szCs w:val="26"/>
          <w:lang w:eastAsia="ru-RU"/>
        </w:rPr>
        <w:t>месяцев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4133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854133" w:rsidRPr="00854133">
        <w:rPr>
          <w:rFonts w:ascii="Times New Roman" w:hAnsi="Times New Roman"/>
          <w:sz w:val="26"/>
          <w:szCs w:val="26"/>
        </w:rPr>
        <w:t xml:space="preserve">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166318">
        <w:rPr>
          <w:rFonts w:ascii="Times New Roman" w:hAnsi="Times New Roman"/>
          <w:sz w:val="26"/>
          <w:szCs w:val="26"/>
        </w:rPr>
        <w:t>15</w:t>
      </w:r>
      <w:r w:rsidR="00854133">
        <w:rPr>
          <w:rFonts w:ascii="Times New Roman" w:hAnsi="Times New Roman"/>
          <w:sz w:val="26"/>
          <w:szCs w:val="26"/>
        </w:rPr>
        <w:t>.</w:t>
      </w:r>
      <w:r w:rsidR="004B15AB">
        <w:rPr>
          <w:rFonts w:ascii="Times New Roman" w:hAnsi="Times New Roman"/>
          <w:sz w:val="26"/>
          <w:szCs w:val="26"/>
        </w:rPr>
        <w:t>1</w:t>
      </w:r>
      <w:r w:rsidRPr="00F9762A">
        <w:rPr>
          <w:rFonts w:ascii="Times New Roman" w:hAnsi="Times New Roman"/>
          <w:sz w:val="26"/>
          <w:szCs w:val="26"/>
        </w:rPr>
        <w:t>0.201</w:t>
      </w:r>
      <w:r w:rsidR="004F2D8C">
        <w:rPr>
          <w:rFonts w:ascii="Times New Roman" w:hAnsi="Times New Roman"/>
          <w:sz w:val="26"/>
          <w:szCs w:val="26"/>
        </w:rPr>
        <w:t>9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Default="006261F8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EB241C">
        <w:rPr>
          <w:rFonts w:ascii="Times New Roman" w:hAnsi="Times New Roman"/>
          <w:sz w:val="26"/>
          <w:szCs w:val="26"/>
        </w:rPr>
        <w:t xml:space="preserve">статистической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2719"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за </w:t>
      </w:r>
      <w:r w:rsidR="004B15AB">
        <w:rPr>
          <w:rFonts w:ascii="Times New Roman" w:hAnsi="Times New Roman"/>
          <w:sz w:val="26"/>
          <w:szCs w:val="26"/>
        </w:rPr>
        <w:t>9 месяцев</w:t>
      </w:r>
      <w:r w:rsidR="0016631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4133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854133" w:rsidRPr="00854133">
        <w:rPr>
          <w:rFonts w:ascii="Times New Roman" w:hAnsi="Times New Roman"/>
          <w:sz w:val="26"/>
          <w:szCs w:val="26"/>
        </w:rPr>
        <w:t xml:space="preserve">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A05361" w:rsidP="00A05361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И.о. председателя</w:t>
      </w:r>
      <w:r w:rsidR="00133A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6FEC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А.Р. Калимуллина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05361">
        <w:rPr>
          <w:rFonts w:ascii="Times New Roman" w:eastAsia="Times New Roman" w:hAnsi="Times New Roman"/>
          <w:sz w:val="24"/>
          <w:szCs w:val="24"/>
          <w:lang w:eastAsia="ru-RU"/>
        </w:rPr>
        <w:t>315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B15AB">
        <w:rPr>
          <w:rFonts w:ascii="Times New Roman" w:eastAsia="Times New Roman" w:hAnsi="Times New Roman"/>
          <w:sz w:val="24"/>
          <w:szCs w:val="24"/>
          <w:lang w:eastAsia="ru-RU"/>
        </w:rPr>
        <w:t>09.10.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4B15AB">
        <w:rPr>
          <w:rFonts w:ascii="Times New Roman" w:hAnsi="Times New Roman"/>
          <w:sz w:val="26"/>
          <w:szCs w:val="26"/>
          <w:u w:val="single"/>
          <w:lang w:eastAsia="ru-RU"/>
        </w:rPr>
        <w:t>9</w:t>
      </w:r>
      <w:r w:rsidR="00B3744B" w:rsidRPr="00B3744B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="004B15AB">
        <w:rPr>
          <w:rFonts w:ascii="Times New Roman" w:hAnsi="Times New Roman"/>
          <w:sz w:val="26"/>
          <w:szCs w:val="26"/>
          <w:u w:val="single"/>
          <w:lang w:eastAsia="ru-RU"/>
        </w:rPr>
        <w:t>месяцев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40DEA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Выявлено семей, находящихся в социально опасном положении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4D67EB">
              <w:rPr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5600B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</w:tcPr>
          <w:p w:rsidR="004D67EB" w:rsidRPr="004D67EB" w:rsidRDefault="004D67EB" w:rsidP="00287DB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1672FC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2.10.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0657B5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0657B5">
              <w:rPr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</w:tcPr>
          <w:p w:rsidR="004D67EB" w:rsidRPr="004D67EB" w:rsidRDefault="004D67EB" w:rsidP="00C278A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C278AB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достигли 14 летнего возраста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выявленных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содержатся в социально-реабилитационных центрах для несовершеннолетних, в социальных приютах, центрах помощи детям, оставшимся без попечения </w:t>
            </w:r>
            <w:r w:rsidRPr="004D67EB">
              <w:rPr>
                <w:sz w:val="28"/>
                <w:szCs w:val="28"/>
                <w:lang w:eastAsia="ru-RU"/>
              </w:rPr>
              <w:lastRenderedPageBreak/>
              <w:t>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2" w:history="1">
              <w:r w:rsidRPr="004D67EB">
                <w:rPr>
                  <w:sz w:val="28"/>
                  <w:szCs w:val="28"/>
                  <w:lang w:eastAsia="ru-RU"/>
                </w:rPr>
                <w:t>кодексом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3" w:history="1">
              <w:r w:rsidRPr="004D67EB">
                <w:rPr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1672F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Иные основания (перечислить)</w:t>
            </w:r>
            <w:r w:rsidR="001672FC">
              <w:rPr>
                <w:sz w:val="28"/>
                <w:szCs w:val="28"/>
                <w:lang w:eastAsia="ru-RU"/>
              </w:rPr>
              <w:t>:</w:t>
            </w:r>
          </w:p>
          <w:p w:rsidR="001672FC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уклонение от обучения</w:t>
            </w:r>
          </w:p>
          <w:p w:rsidR="001672FC" w:rsidRPr="004D67EB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антиобщественное поведение</w:t>
            </w:r>
          </w:p>
        </w:tc>
        <w:tc>
          <w:tcPr>
            <w:tcW w:w="2126" w:type="dxa"/>
            <w:shd w:val="clear" w:color="auto" w:fill="auto"/>
          </w:tcPr>
          <w:p w:rsidR="005B496C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A9303C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A9303C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5B49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9303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3.23.</w:t>
            </w:r>
          </w:p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3.24.</w:t>
            </w:r>
          </w:p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061B06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совершения административного правонарушения 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общественно опасного деяния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ED5235" w:rsidRPr="004D67EB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- по факту уклонения от обучения</w:t>
            </w:r>
          </w:p>
        </w:tc>
        <w:tc>
          <w:tcPr>
            <w:tcW w:w="2126" w:type="dxa"/>
            <w:shd w:val="clear" w:color="auto" w:fill="auto"/>
          </w:tcPr>
          <w:p w:rsidR="00ED5235" w:rsidRDefault="00ED5235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061B06" w:rsidRDefault="00061B06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061B06" w:rsidRDefault="00061B06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  <w:p w:rsidR="00061B06" w:rsidRDefault="00061B06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  <w:p w:rsidR="00061B06" w:rsidRDefault="00061B06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061B06" w:rsidRPr="00277AF0" w:rsidRDefault="00061B06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8.1</w:t>
            </w:r>
          </w:p>
        </w:tc>
        <w:tc>
          <w:tcPr>
            <w:tcW w:w="6562" w:type="dxa"/>
          </w:tcPr>
          <w:p w:rsidR="004D67EB" w:rsidRPr="004D67EB" w:rsidRDefault="004D67EB" w:rsidP="00FC33E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суицидальных попыток/суицидов,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4B15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несовершеннолетних от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0657B5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 xml:space="preserve">Административная практика 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13.5.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прекращены по причине: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Default="003004EE" w:rsidP="00F41F7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53746">
              <w:rPr>
                <w:sz w:val="28"/>
                <w:szCs w:val="28"/>
                <w:lang w:eastAsia="ru-RU"/>
              </w:rPr>
              <w:t>ч. 1 ст. 5.35 КоАП РФ</w:t>
            </w:r>
          </w:p>
          <w:p w:rsidR="00A37F9D" w:rsidRDefault="00A37F9D" w:rsidP="00F41F7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 20.22 КоАП РФ</w:t>
            </w:r>
          </w:p>
          <w:p w:rsidR="00061B06" w:rsidRPr="004D67EB" w:rsidRDefault="00061B06" w:rsidP="00F41F7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 2</w:t>
            </w:r>
            <w:r w:rsidRPr="00E53746">
              <w:rPr>
                <w:sz w:val="28"/>
                <w:szCs w:val="28"/>
                <w:lang w:eastAsia="ru-RU"/>
              </w:rPr>
              <w:t xml:space="preserve"> ст. 5.35 КоАП РФ</w:t>
            </w:r>
          </w:p>
        </w:tc>
        <w:tc>
          <w:tcPr>
            <w:tcW w:w="2126" w:type="dxa"/>
            <w:shd w:val="clear" w:color="auto" w:fill="auto"/>
          </w:tcPr>
          <w:p w:rsidR="00A37F9D" w:rsidRDefault="00061B06" w:rsidP="00F41F7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</w:t>
            </w:r>
          </w:p>
          <w:p w:rsidR="00061B06" w:rsidRDefault="00061B06" w:rsidP="00F41F7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  <w:p w:rsidR="00061B06" w:rsidRPr="000657B5" w:rsidRDefault="00061B06" w:rsidP="00F41F7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 7.17 КоАП РФ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 7.27 КоАП РФ</w:t>
            </w:r>
          </w:p>
          <w:p w:rsidR="00061B06" w:rsidRDefault="00061B06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ч.5 ст. 11.1 КоАП РФ</w:t>
            </w:r>
          </w:p>
          <w:p w:rsidR="00A37F9D" w:rsidRDefault="00A37F9D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ч.1 ст.12.7 КоАП РФ </w:t>
            </w:r>
          </w:p>
          <w:p w:rsidR="00061B06" w:rsidRDefault="00061B06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ч.2 ст. 12.29 КоАП РФ</w:t>
            </w:r>
          </w:p>
          <w:p w:rsidR="00F91A66" w:rsidRDefault="00F91A66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ч.1 ст. 12.37 КоАП РФ 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ст.19.16 КоАП РФ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ч.4 ст.19.30 КоАП РФ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ст.20.1 КоАП РФ</w:t>
            </w:r>
          </w:p>
          <w:p w:rsidR="00A37F9D" w:rsidRDefault="00A37F9D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ст.20.21 КоАП РФ</w:t>
            </w:r>
          </w:p>
          <w:p w:rsidR="00A37F9D" w:rsidRPr="004D67EB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37F9D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061B06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061B06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061B06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  <w:p w:rsidR="00F91A66" w:rsidRDefault="00F91A6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F91A66" w:rsidRDefault="00F91A6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061B06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061B06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061B06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061B06" w:rsidRPr="000657B5" w:rsidRDefault="00061B0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F91A6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4D67EB" w:rsidRDefault="00A37F9D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ч.1 ст. 6.10 КоАП РФ</w:t>
            </w:r>
          </w:p>
        </w:tc>
        <w:tc>
          <w:tcPr>
            <w:tcW w:w="2126" w:type="dxa"/>
            <w:shd w:val="clear" w:color="auto" w:fill="auto"/>
          </w:tcPr>
          <w:p w:rsidR="003004EE" w:rsidRPr="000657B5" w:rsidRDefault="00F91A66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bookmarkStart w:id="2" w:name="_GoBack"/>
            <w:bookmarkEnd w:id="2"/>
          </w:p>
        </w:tc>
      </w:tr>
    </w:tbl>
    <w:p w:rsidR="001F231C" w:rsidRDefault="001F231C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1F231C" w:rsidSect="005832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1F231C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05361">
        <w:rPr>
          <w:rFonts w:ascii="Times New Roman" w:eastAsia="Times New Roman" w:hAnsi="Times New Roman"/>
          <w:sz w:val="24"/>
          <w:szCs w:val="24"/>
          <w:lang w:eastAsia="ru-RU"/>
        </w:rPr>
        <w:t>315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B15AB">
        <w:rPr>
          <w:rFonts w:ascii="Times New Roman" w:eastAsia="Times New Roman" w:hAnsi="Times New Roman"/>
          <w:sz w:val="24"/>
          <w:szCs w:val="24"/>
          <w:lang w:eastAsia="ru-RU"/>
        </w:rPr>
        <w:t>09.</w:t>
      </w:r>
      <w:r w:rsidR="000657B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8003AE" w:rsidRPr="003D3A89" w:rsidRDefault="008003AE" w:rsidP="008003AE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8003AE" w:rsidRPr="003D3A89" w:rsidRDefault="00926FEC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</w:t>
      </w:r>
      <w:r w:rsidR="008003AE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ой комиссии по делам несовершеннолетних и защите их прав </w:t>
      </w:r>
    </w:p>
    <w:p w:rsidR="008003AE" w:rsidRPr="003D3A89" w:rsidRDefault="008003AE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 w:rsidR="004B15AB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="00064D19" w:rsidRPr="00064D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B15AB">
        <w:rPr>
          <w:rFonts w:ascii="Times New Roman" w:eastAsia="Times New Roman" w:hAnsi="Times New Roman"/>
          <w:b/>
          <w:sz w:val="26"/>
          <w:szCs w:val="26"/>
          <w:lang w:eastAsia="ru-RU"/>
        </w:rPr>
        <w:t>месяцев</w:t>
      </w:r>
      <w:r w:rsidR="00064D19" w:rsidRPr="00064D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2019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год</w:t>
      </w:r>
      <w:r w:rsidR="00064D19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</w:p>
    <w:p w:rsidR="004B15AB" w:rsidRPr="00526C07" w:rsidRDefault="004B15AB" w:rsidP="004B15AB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акты, в т.ч. регламентирующих межведомственное взаимодействие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4B15AB" w:rsidRPr="00FB1C65" w:rsidTr="004B15A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FB1C65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FB1C65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FB1C65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4B15AB" w:rsidRPr="00C030FC" w:rsidTr="004B15AB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B1C65" w:rsidRDefault="004B15AB" w:rsidP="004B15A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C030FC" w:rsidRDefault="004B15AB" w:rsidP="004B15A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27.05.2019 № 168-па «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» (постановление от 30.01.2012 № 307-па утратило силу)</w:t>
            </w:r>
          </w:p>
          <w:p w:rsidR="004B15AB" w:rsidRPr="00C030FC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E2D8E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20.09.2019 № 361 –па «О внесении изменений в постановление администрации города от 27.05</w:t>
            </w:r>
            <w:r w:rsidR="00A05361">
              <w:rPr>
                <w:rFonts w:ascii="Times New Roman" w:eastAsia="Times New Roman" w:hAnsi="Times New Roman"/>
                <w:lang w:eastAsia="ru-RU"/>
              </w:rPr>
              <w:t xml:space="preserve">.2019 № 168-па «Об утверждении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состава 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Пыть-Яха»</w:t>
            </w:r>
          </w:p>
        </w:tc>
      </w:tr>
      <w:tr w:rsidR="004B15AB" w:rsidRPr="00005929" w:rsidTr="004B15AB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005929" w:rsidRDefault="004B15AB" w:rsidP="004B15A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005929" w:rsidRDefault="004B15AB" w:rsidP="004B15A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150D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Пыть-Яха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>от 16.01.2019 «О внесении изменений в постановления территориальной комиссии по делам несовершеннолетних и защите их прав при администрации города Пыть-Яха»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5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https://adm.gov86.org/files/2019/kdn/N-001-ot-16-01-2019.docx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4B15AB" w:rsidRPr="00005929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№ 174 </w:t>
            </w:r>
            <w:r>
              <w:rPr>
                <w:rFonts w:ascii="Times New Roman" w:eastAsia="Times New Roman" w:hAnsi="Times New Roman"/>
                <w:lang w:eastAsia="ru-RU"/>
              </w:rPr>
              <w:t>от 15.05.2019 «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муниципальной комиссии по делам несовершеннолетних и защите их прав при администрации города Пыть-Яха от 06.02.2013 № 62 (в редакции от 16.01.2019)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6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https://adm.gov86.org/files/2019/kdn/N-174-ot-15-05-2019.docx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B15AB" w:rsidRPr="00005929" w:rsidTr="004B15AB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005929" w:rsidRDefault="004B15AB" w:rsidP="004B15A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005929" w:rsidRDefault="004B15AB" w:rsidP="004B15A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150D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Пыть-Яха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79150D">
              <w:rPr>
                <w:rFonts w:ascii="Times New Roman" w:eastAsia="Times New Roman" w:hAnsi="Times New Roman"/>
                <w:lang w:eastAsia="ru-RU"/>
              </w:rPr>
              <w:t xml:space="preserve"> от 16.01.2019 «О внесении изменений в постановления территориальной комиссии по делам несовершеннолетних и защите их прав при администрации города Пыть-Яха»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7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https://adm.gov86.org/files/2019/kdn/N-001-ot-16-01-2019.docx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>№ 74 от 20.03.2019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муниципальной комиссии по делам несовершеннолетних и защите их прав при администрации города Пыть-Яха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8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https://adm.gov86.org/files/2019/kdn/N-074-ot-20-03-2019.docx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B15AB" w:rsidRPr="00005929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295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 xml:space="preserve"> от 20.0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5B02E3">
              <w:rPr>
                <w:rFonts w:ascii="Times New Roman" w:eastAsia="Times New Roman" w:hAnsi="Times New Roman"/>
                <w:lang w:eastAsia="ru-RU"/>
              </w:rPr>
              <w:t>.2019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66F76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муниципальной комиссии по делам несовершеннолетних и защите их прав при администрации города Пыть-Яха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9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https://adm.gov86.org/files/2019/kdn/N-295-ot-04-09-2019.docx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4B15AB" w:rsidRPr="00AE6B14" w:rsidRDefault="004B15AB" w:rsidP="004B15AB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4B15AB" w:rsidRPr="00AE6B14" w:rsidTr="004B15A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4B15AB" w:rsidRPr="00AE6B14" w:rsidTr="004B15AB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месяцев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2019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проведено </w:t>
            </w: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муниципальной комиссии (16.01.2019, 30.01.2019, 13.02.2019, 20.02.2019, 27.02.2019, 13.03.2019, 20.03.2019, 03.04.2019, 10.04.2019, 17.04.2019, 24.04.2019, 15.05.2019, 22.05.2019, 29.05.2019, 13.06.2019, 26.06.2019</w:t>
            </w:r>
            <w:r>
              <w:rPr>
                <w:rFonts w:ascii="Times New Roman" w:eastAsia="Times New Roman" w:hAnsi="Times New Roman"/>
                <w:lang w:eastAsia="ru-RU"/>
              </w:rPr>
              <w:t>, 10.07.2019, 24.07.2019, 07.08.2019, 21.08.2018, 04.09.2019, 11.09.2019, 26.09.2019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) на которых было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принято 314 постановлений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, в т.ч. </w:t>
            </w:r>
            <w:r>
              <w:rPr>
                <w:rFonts w:ascii="Times New Roman" w:eastAsia="Times New Roman" w:hAnsi="Times New Roman"/>
                <w:lang w:eastAsia="ru-RU"/>
              </w:rPr>
              <w:t>102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 по общим вопросам.</w:t>
            </w:r>
          </w:p>
        </w:tc>
      </w:tr>
      <w:tr w:rsidR="004B15AB" w:rsidRPr="00AE6B14" w:rsidTr="004B15AB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AE6B14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>28.02.2019 и 21.05.2019 были проведены совещания Экспертного совета при муниципальной комиссии, на котором было рассмотрено 4 вопроса (по 2 вопроса на каждом заседании).</w:t>
            </w:r>
          </w:p>
        </w:tc>
      </w:tr>
      <w:tr w:rsidR="004B15AB" w:rsidRPr="00F675D0" w:rsidTr="004B15AB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675D0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675D0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722A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660ED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 xml:space="preserve">Муниципальной комиссией был проведен конкурс сочинений в публицистическом стиле среди несовершеннолетних на темы: «Пропаганда здорового образа жизни» и «Законопослушное поведение детей». Конкурс проводился по заочной форме. Всего приняло участие в конкурсе 27 несовершеннолетних. По итогам конкурсной комиссии 31.05.2019 было определено 3-е победителей, занявших I-III места, которые были награждены грамотами и памятными призами, остальные </w:t>
            </w:r>
            <w:r w:rsidRPr="00660EDD">
              <w:rPr>
                <w:rFonts w:ascii="Times New Roman" w:eastAsia="Times New Roman" w:hAnsi="Times New Roman"/>
                <w:lang w:eastAsia="ru-RU"/>
              </w:rPr>
              <w:lastRenderedPageBreak/>
              <w:t>участники конкурса поощрены благодарственными письмами муниципальной комиссии.</w:t>
            </w:r>
          </w:p>
          <w:p w:rsidR="004B15AB" w:rsidRPr="00660ED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>Информационное сопровождение конкурса обеспечивалось на официальном сайте администрации города Пыть-Яха и профильных страницах муниципальной комиссии в социальных сетях: «Одноклассники» https://ok.ru/profile/577435814330 и «В контакте» https://vk.com/id490251464 (афиша, положение и информация об итогах конкурса).</w:t>
            </w:r>
          </w:p>
          <w:p w:rsidR="004B15AB" w:rsidRPr="00AA65E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EDD">
              <w:rPr>
                <w:rFonts w:ascii="Times New Roman" w:eastAsia="Times New Roman" w:hAnsi="Times New Roman"/>
                <w:lang w:eastAsia="ru-RU"/>
              </w:rPr>
              <w:t>Постановления МКДН: № 70 от 20.03.2019 (О проведении конкурса сочинений) и № 207 от 26.06.2019 (Об итогах конкурса сочинений).</w:t>
            </w:r>
          </w:p>
        </w:tc>
      </w:tr>
      <w:tr w:rsidR="004B15AB" w:rsidRPr="00F675D0" w:rsidTr="004B15AB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675D0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675D0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учреждений системы профилактики безнадзорности и правонарушений несовершеннолетних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по</w:t>
            </w:r>
            <w:r w:rsidRPr="00AD6C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оформлению документов, направляемых для рассмотрения на заседании территориальной комиссии </w:t>
            </w:r>
            <w:r w:rsidRPr="00B75593">
              <w:rPr>
                <w:rFonts w:ascii="Times New Roman" w:eastAsia="Times New Roman" w:hAnsi="Times New Roman"/>
                <w:lang w:eastAsia="ru-RU"/>
              </w:rPr>
              <w:t>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A65E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A65ED">
              <w:rPr>
                <w:rFonts w:ascii="Times New Roman" w:eastAsia="Times New Roman" w:hAnsi="Times New Roman"/>
                <w:lang w:eastAsia="ru-RU"/>
              </w:rPr>
              <w:t>28.02.2019</w:t>
            </w:r>
            <w:r w:rsidRPr="00AA65ED">
              <w:t xml:space="preserve"> </w:t>
            </w:r>
            <w:r w:rsidRPr="00AA65ED">
              <w:rPr>
                <w:rFonts w:ascii="Times New Roman" w:eastAsia="Times New Roman" w:hAnsi="Times New Roman"/>
                <w:lang w:eastAsia="ru-RU"/>
              </w:rPr>
              <w:t>был проведен семинар-практикум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 (зал заседаний отдела по обеспечению деятельности муниципальной комиссии)</w:t>
            </w:r>
          </w:p>
        </w:tc>
      </w:tr>
      <w:tr w:rsidR="004B15AB" w:rsidRPr="00F675D0" w:rsidTr="004B15AB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675D0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675D0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F675D0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37182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D3718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D37182">
              <w:rPr>
                <w:rFonts w:ascii="Times New Roman" w:eastAsia="Times New Roman" w:hAnsi="Times New Roman"/>
                <w:lang w:eastAsia="ru-RU"/>
              </w:rPr>
              <w:t>.2019 был проведен семинар-практикум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>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A65ED">
              <w:rPr>
                <w:rFonts w:ascii="Times New Roman" w:eastAsia="Times New Roman" w:hAnsi="Times New Roman"/>
                <w:lang w:eastAsia="ru-RU"/>
              </w:rPr>
              <w:t>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 (зал заседаний отдела по обеспечению деятельности муниципальной комиссии)</w:t>
            </w:r>
          </w:p>
        </w:tc>
      </w:tr>
      <w:tr w:rsidR="004B15AB" w:rsidRPr="001D4BF8" w:rsidTr="004B15AB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1D4BF8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1D4BF8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1D4BF8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2019 года</w:t>
            </w:r>
          </w:p>
        </w:tc>
      </w:tr>
      <w:tr w:rsidR="004B15AB" w:rsidRPr="001D4BF8" w:rsidTr="004B15AB">
        <w:trPr>
          <w:trHeight w:val="3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1D4BF8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1D4BF8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69F3">
              <w:rPr>
                <w:rFonts w:ascii="Times New Roman" w:eastAsia="Times New Roman" w:hAnsi="Times New Roman"/>
                <w:lang w:eastAsia="ru-RU"/>
              </w:rPr>
              <w:t>Проведение расширенного совещания по информированию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положений пункта 2 статьи 9 Федерального закона от 24.06.1999 № 120-ФЗ «Об основах системы профилактики безнадзорности и правонарушений 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69F3">
              <w:rPr>
                <w:rFonts w:ascii="Times New Roman" w:eastAsia="Times New Roman" w:hAnsi="Times New Roman"/>
                <w:lang w:eastAsia="ru-RU"/>
              </w:rPr>
              <w:t>07.05.2019 муниципальной комиссии по делам несовершеннолетних и защите их прав при администрации города Пыть-Яха было организовано и проведено расширенное совещание по вопросу: «Информирование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исполнение пункта 2 статьи 9 Федерального закона от 24.06.1999 № 120-ФЗ «Об основах системы профилактики безнадзорности и правонарушений несовершеннолетних», в котором приняли участие представители здравоохранения, опеки, полиции, образовательных организаций, учреждений молодежной политики и социальной защиты населения (21 человек).</w:t>
            </w:r>
          </w:p>
        </w:tc>
      </w:tr>
      <w:tr w:rsidR="004B15AB" w:rsidRPr="001D4BF8" w:rsidTr="004B15AB">
        <w:trPr>
          <w:trHeight w:val="5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1D4BF8" w:rsidRDefault="004B15AB" w:rsidP="004B15A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Pr="00C669F3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6962"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 возможных рисках травмирования и гибели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BA9">
              <w:rPr>
                <w:rFonts w:ascii="Times New Roman" w:eastAsia="Times New Roman" w:hAnsi="Times New Roman"/>
                <w:lang w:eastAsia="ru-RU"/>
              </w:rPr>
              <w:t>13.05.2019 на базе средней общеобразовательной школы № 1 (г. Пыть-Ях, 2 мкр., д. 5а) было организовано проведение муниципального родительского собрании с целью информирования родителей о возможных рисках травмирования и гибели детей, в котором приняли участие в качестве докладчиков представители департамента образования и молодежной политики администрации города Пыть-Яха, управления по делам гражданской обороны и чрезвычайным ситуациям администрации города Пыть-Яха, БУ «Пыть-Яхская окружная клиническая больница», ОМВД России по городу Пыть-Яху (инспекторы ПДН и ГИБДД), а также родители воспитанников и обучающихся дошкольных образовательных организаций и общеобразовательных школ (96 человек)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Pr="00C669F3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81BA9">
              <w:rPr>
                <w:rFonts w:ascii="Times New Roman" w:eastAsia="Times New Roman" w:hAnsi="Times New Roman"/>
                <w:lang w:eastAsia="ru-RU"/>
              </w:rPr>
              <w:t xml:space="preserve">Информация о проведенном мероприятии была размещена на официальном сайте администрации города Пыть-Яха в разделе новостей </w:t>
            </w:r>
            <w:hyperlink r:id="rId20" w:history="1">
              <w:r w:rsidRPr="00981BA9">
                <w:rPr>
                  <w:rFonts w:ascii="Times New Roman" w:eastAsia="Times New Roman" w:hAnsi="Times New Roman"/>
                  <w:lang w:eastAsia="ru-RU"/>
                </w:rPr>
                <w:t>https://adm.gov86.org/news/346/_aview_b6531</w:t>
              </w:r>
            </w:hyperlink>
            <w:r w:rsidRPr="00981BA9">
              <w:rPr>
                <w:rFonts w:ascii="Times New Roman" w:eastAsia="Times New Roman" w:hAnsi="Times New Roman"/>
                <w:lang w:eastAsia="ru-RU"/>
              </w:rPr>
              <w:t xml:space="preserve"> , а также на профильных страницах муниципальной комиссии в социальных сетях: «Одноклассники» https://ok.ru/profile/577435814330 и «В контакте» https://vk.com/id490251464</w:t>
            </w:r>
          </w:p>
        </w:tc>
      </w:tr>
    </w:tbl>
    <w:p w:rsidR="004B15AB" w:rsidRPr="00E75C31" w:rsidRDefault="004B15AB" w:rsidP="004B15AB">
      <w:pPr>
        <w:numPr>
          <w:ilvl w:val="0"/>
          <w:numId w:val="2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lastRenderedPageBreak/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территориальной комиссии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4B15AB" w:rsidRPr="00340A90" w:rsidTr="004B15AB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340A90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340A90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340A90" w:rsidRDefault="004B15AB" w:rsidP="004B1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4B15AB" w:rsidRPr="00340A90" w:rsidTr="004B15AB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340A90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061406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15 от 30.01.2019</w:t>
            </w:r>
            <w:r>
              <w:t xml:space="preserve"> 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Об 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оперативной обстановке и результатах оперативно-служебной деятельности ПДН ОУУП и ПДН ОМВД России по городу Пыть-Яху за 12 месяцев 2018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B11658">
              <w:rPr>
                <w:rFonts w:ascii="Times New Roman" w:eastAsia="Times New Roman" w:hAnsi="Times New Roman"/>
                <w:lang w:eastAsia="ru-RU"/>
              </w:rPr>
              <w:t>https://adm.gov86.org/files/2019/kdn/N-015-ot-30-01-2019.docx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46 от 20.02.2019</w:t>
            </w:r>
            <w:r>
              <w:t xml:space="preserve"> «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О состоянии преступности и правонарушений несовершеннолетних на участке обслуживания Сургутского ЛО МВД России на транспорте за 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B11658">
              <w:rPr>
                <w:rFonts w:ascii="Times New Roman" w:eastAsia="Times New Roman" w:hAnsi="Times New Roman"/>
                <w:lang w:eastAsia="ru-RU"/>
              </w:rPr>
              <w:t>https://adm.gov86.org/files/2019/kdn/N-046-ot-20-02-2019.docx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22738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47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0.0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.2019 «О состоянии подростковой преступности на территории Ханты-Мансийского автономного округа-Югры за 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1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https://adm.gov86.org/files/2019/kdn/N-047-ot-20-02-2019.docx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118 от 17.04.2019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за 1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2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https://adm.gov86.org/files/2019/kdn/N-118-ot-17-04-2019.docx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191 от 29.05.2019 «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О состоянии преступности и правонарушений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несовершеннолетних на участке обслуживания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Сургутского ЛО МВД России на транспорте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7504">
              <w:rPr>
                <w:rFonts w:ascii="Times New Roman" w:eastAsia="Times New Roman" w:hAnsi="Times New Roman"/>
                <w:lang w:eastAsia="ru-RU"/>
              </w:rPr>
              <w:t>за 1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3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https://adm.gov86.org/files/2019/kdn/N-191-ot-29-05-2019.docx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230 от 24.07.2019 «</w:t>
            </w:r>
            <w:r w:rsidRPr="00583D53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 за 1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4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https://adm.gov86.org/files/2019/kdn/N-230-ot-24-07-2019.docx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Pr="00340A90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301 от 11.09.2019 «</w:t>
            </w:r>
            <w:r w:rsidRPr="00583D53">
              <w:rPr>
                <w:rFonts w:ascii="Times New Roman" w:eastAsia="Times New Roman" w:hAnsi="Times New Roman"/>
                <w:lang w:eastAsia="ru-RU"/>
              </w:rPr>
              <w:t>О состоянии преступности и правонарушений несовершеннолетних на участке обслуживания Сургутского ЛО МВД России на транспорте за 1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5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https://adm.gov86.org/files/2019/kdn/N-301-ot-11-09-2019.docx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B15AB" w:rsidRPr="00457E3F" w:rsidTr="004B15AB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457E3F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457E3F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33 от 13.02.2019 «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арушений несовершеннолетних за </w:t>
            </w:r>
            <w:r w:rsidRPr="00B22738">
              <w:rPr>
                <w:rFonts w:ascii="Times New Roman" w:eastAsia="Times New Roman" w:hAnsi="Times New Roman"/>
                <w:lang w:eastAsia="ru-RU"/>
              </w:rPr>
              <w:t>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6" w:history="1">
              <w:r w:rsidRPr="00583D53">
                <w:rPr>
                  <w:rStyle w:val="aa"/>
                  <w:lang w:eastAsia="ru-RU"/>
                </w:rPr>
                <w:t>https://adm.gov86.org/files/2019/kdn/N-033-ot-13-02-2019.docx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МКДН № 140 от 24.04.2019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 I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7" w:history="1">
              <w:r w:rsidRPr="00583D53">
                <w:rPr>
                  <w:rStyle w:val="aa"/>
                  <w:lang w:eastAsia="ru-RU"/>
                </w:rPr>
                <w:t>https://adm.gov86.org/files/2019/kdn/N-140-ot-24-04-2019-na-sayt.docx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231 от 24.07.2019 «</w:t>
            </w:r>
            <w:r w:rsidRPr="00583D53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 за I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8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https://adm.gov86.org/files/2019/kdn/N-231-ot-24-07-2019.docx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Pr="00457E3F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B15AB" w:rsidRPr="00340A90" w:rsidTr="004B15AB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340A90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340A90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62 от 13.03.2019 «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в социально опасном положении со сроком исполнения до 10.02.2019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63 от 13.03.2019 «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10.02.2019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179 от 22.05.2019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10.05.2019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B15AB" w:rsidRPr="00631616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2D2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180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.2019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A02D2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10.05.2019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B15AB" w:rsidRPr="00BC7D56" w:rsidTr="004B15AB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BC7D56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BC7D56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35 от 13.02.2019 «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>О принимаемых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29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https://adm.gov86.org/files/2019/kdn/N-035-ot-13-02-2019.docx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Постановление МКДН № 138 от 24.04.2019 «</w:t>
            </w:r>
            <w:r w:rsidRPr="00FA02D2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0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https://adm.gov86.org/files/2019/kdn/N-138-ot-24-04-2019.docx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Pr="00BC7D56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224 от 10.07.2019 «</w:t>
            </w:r>
            <w:r w:rsidRPr="00FA02D2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1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https://adm.gov86.org/files/2019/kdn/N-224-ot-10-07-2019.docx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B15AB" w:rsidRPr="00B7196B" w:rsidTr="004B15A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7196B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7196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 (в т.ч.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117 от 17.04.2019 «</w:t>
            </w:r>
            <w:r w:rsidRPr="00FA02D2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досуга, трудоустройства и отдыха несовершеннолетних, находящихся в социально опасном положении, за 1 квартал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32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https://adm.gov86.org/files/2019/kdn/N-117-ot-17-04-2019.docx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Default="004B15AB" w:rsidP="004B15A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220 от 10.07.2019 «</w:t>
            </w:r>
            <w:r w:rsidRPr="00583D53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июне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3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https://adm.gov86.org/files/2019/kdn/N-220-ot-10-07-2019.docx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Default="004B15AB" w:rsidP="004B15A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249 от 07.08.2019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июле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34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https://adm.gov86.org/files/2019/kdn/N-249-ot-07-08-2019.docx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Pr="00B7196B" w:rsidRDefault="004B15AB" w:rsidP="004B15A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292 от 21.08.2019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Пыть-Яху и внутришкольном учете, в августе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35" w:history="1">
              <w:r w:rsidRPr="00723605">
                <w:rPr>
                  <w:rStyle w:val="aa"/>
                </w:rPr>
                <w:t>https://adm.gov86.org/files/2019/kdn/N-292-ot-21-08-2019.docx</w:t>
              </w:r>
            </w:hyperlink>
            <w:r>
              <w:t xml:space="preserve">. </w:t>
            </w:r>
          </w:p>
        </w:tc>
      </w:tr>
      <w:tr w:rsidR="004B15AB" w:rsidRPr="00A05025" w:rsidTr="004B15A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0E0E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психологов и педагогов по работе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с несовершеннолетними участниками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0E0E">
              <w:rPr>
                <w:rFonts w:ascii="Times New Roman" w:eastAsia="Times New Roman" w:hAnsi="Times New Roman"/>
                <w:lang w:eastAsia="ru-RU"/>
              </w:rPr>
              <w:t>уголовного судопроизводства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6 от 16.01.2019 «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графиков дежурства психологов и педагогов по работе с несовершеннолетними участниками уголовного судопроизводства на февраль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39 от 13.02.2019 «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  <w:r w:rsidRPr="0063161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73 от 20.03.2019 «Об утверждении графиков дежурства психологов и педагогов по работе с несовершеннолетними участниками уголовного судопроизводства на апрель 2019 года».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163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июнь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13.06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июль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223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август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293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21.08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.2019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  <w:p w:rsidR="004B15AB" w:rsidRPr="00710E0E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Постановление </w:t>
            </w:r>
            <w:r w:rsidRPr="004E2D8E">
              <w:rPr>
                <w:rFonts w:ascii="Times New Roman" w:eastAsia="Times New Roman" w:hAnsi="Times New Roman"/>
                <w:color w:val="000000"/>
                <w:lang w:eastAsia="ru-RU"/>
              </w:rPr>
              <w:t>МКДН № 308 от 26.09.2019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2019 года».</w:t>
            </w:r>
          </w:p>
        </w:tc>
      </w:tr>
      <w:tr w:rsidR="004B15AB" w:rsidRPr="00A05025" w:rsidTr="004B15AB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FE718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32 от 13.02.2019 «</w:t>
            </w:r>
            <w:r w:rsidRPr="00631616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2018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6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https://adm.gov86.org/files/2019/kdn/N-032-ot-13-02-2019.docx</w:t>
              </w:r>
            </w:hyperlink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.2019 «</w:t>
            </w:r>
            <w:r w:rsidRPr="00771E8D">
              <w:rPr>
                <w:rFonts w:ascii="Times New Roman" w:eastAsia="Times New Roman" w:hAnsi="Times New Roman"/>
                <w:color w:val="000000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 квартал 2019 года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7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https://adm.gov86.org/files/2019/kdn/N-136-ot-24-04-2019.docx</w:t>
              </w:r>
            </w:hyperlink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Pr="00AC08D9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232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II квартал 2019 года</w:t>
            </w:r>
            <w:r w:rsidRPr="00B11658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8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https://adm.gov86.org/files/2019/kdn/N-232-ot-24-07-2019.docx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</w:tc>
      </w:tr>
      <w:tr w:rsidR="004B15AB" w:rsidRPr="00457E3F" w:rsidTr="004B15A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457E3F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457E3F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 от 16.01.2019 «</w:t>
            </w:r>
            <w:r w:rsidRPr="00BD6E0B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комиссии по делам несовершеннолетних и защите их прав при администрации города Пыть-Яха за 2018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9" w:history="1">
              <w:r w:rsidRPr="00171EBB">
                <w:rPr>
                  <w:rStyle w:val="aa"/>
                </w:rPr>
                <w:t>https://adm.gov86.org/files/2019/kdn/N-002-ot-16-01-2019.docx</w:t>
              </w:r>
            </w:hyperlink>
            <w:r>
              <w:t>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81 от 03.04.2019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муниципальной комиссии по делам несовершеннолетних и защите их прав при администрации города Пыть-Яха за I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40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https://adm.gov86.org/files/2019/kdn/N-081-ot-03-04-2019.docx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Pr="00AF6664" w:rsidRDefault="004B15AB" w:rsidP="004B15A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222 от 10.07.2019 «</w:t>
            </w:r>
            <w:r w:rsidRPr="00647F06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муниципальной комиссии по делам несовершеннолетних и защите их прав при администрации города Пыть-Яха за I полугодие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1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https://adm.gov86.org/files/2019/kdn/N-222-ot-10-07-2019.docx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B15AB" w:rsidRPr="001435DF" w:rsidTr="004B15A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1435DF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Pr="001435DF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 от 16.01.2019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IV квартал 2018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2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https://adm.gov86.org/files/2019/kdn/N-005-ot-16-01-2019.docx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83 от 03.04.2019 «</w:t>
            </w:r>
            <w:r w:rsidRPr="00771E8D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 квартал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3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https://adm.gov86.org/files/2019/kdn/N-083-ot-03-04-2019.docx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15AB" w:rsidRPr="001435DF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235 от 24.07.2019 «</w:t>
            </w:r>
            <w:r w:rsidRPr="00647F06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II квартал 2019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4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https://adm.gov86.org/files/2019/kdn/N-235-ot-24-07-2019.docx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B15AB" w:rsidRPr="0069051D" w:rsidTr="004B15A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69051D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1B54C6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139 от 24.04.2019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5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https://adm.gov86.org/files/2019/kdn/N-139-ot-24-04-2019.docx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B15AB" w:rsidRPr="00DE4D8A" w:rsidTr="004B15A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DE4D8A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DE4D8A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11658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176 от 22.05.2019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6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https://adm.gov86.org/files/2019/kdn/N-176-ot-22-05-2019.docx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4B15AB" w:rsidRPr="0069051D" w:rsidTr="004B15A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69051D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69051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137 от 24.04.2019 «</w:t>
            </w:r>
            <w:r w:rsidRPr="00771E8D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2019 году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7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https://adm.gov86.org/files/2019/kdn/N-137-ot-24-04-2019.docx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B15AB" w:rsidRPr="0069051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175 от 22.05.2019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71E8D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плана межведомственной профилактической операции «Подросток» на территории города Пыть-Яха в 2019 году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8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https://adm.gov86.org/files/2019/kdn/N-175-ot-22-05-2019.docx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4B15AB" w:rsidRPr="00030D4B" w:rsidTr="004B15A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030D4B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030D4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4E2D8E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перенесено на </w:t>
            </w:r>
            <w:r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2019 года 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постановлением МКДН № 310 от 26.09.2019 «О внесении изменений в постановления муниципальной комиссии по делам несовершеннолетних и защите их прав при администрации города Пыть-Яха» </w:t>
            </w:r>
            <w:hyperlink r:id="rId49" w:history="1">
              <w:r w:rsidRPr="008461FF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https://adm.gov86.org/files/2019/kdn/N-310-ot-26-09-2019-1.docx</w:t>
              </w:r>
            </w:hyperlink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B15AB" w:rsidRPr="0069051D" w:rsidTr="004B15A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69051D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170DE7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296B1D" w:rsidRDefault="004B15AB" w:rsidP="004B15AB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71 от 20.03.2019 «О мерах по превенции суицидального поведения несовершеннолетних» </w:t>
            </w:r>
            <w:hyperlink r:id="rId50" w:history="1">
              <w:r w:rsidRPr="00171EBB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https://adm.gov86.org/files/2019/kdn/N-071-ot-20-03-2019.docx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4B15AB" w:rsidRPr="0069051D" w:rsidTr="004B15A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69051D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69051D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051D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орода </w:t>
            </w:r>
            <w:r w:rsidRPr="0069051D">
              <w:rPr>
                <w:rFonts w:ascii="Times New Roman" w:eastAsia="Times New Roman" w:hAnsi="Times New Roman"/>
                <w:lang w:eastAsia="ru-RU"/>
              </w:rPr>
              <w:t>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4E2D8E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Отменено постановлением МКДН № 310 от 26.09.2019</w:t>
            </w:r>
            <w:r>
              <w:t xml:space="preserve"> «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постановления муниципальной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51" w:history="1">
              <w:r w:rsidRPr="008461FF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https://adm.gov86.org/files/2019/kdn/N-310-ot-26-09-2019-1.docx</w:t>
              </w:r>
            </w:hyperlink>
            <w:r w:rsidRPr="004E2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4B15AB" w:rsidRPr="001435DF" w:rsidTr="004B15AB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1435DF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1435DF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11658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247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>.2019 «</w:t>
            </w:r>
            <w:r w:rsidRPr="002B29E2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 полугодии 2019 года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52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https://adm.gov86.org/files/2019/kdn/N-247-ot-07-08-2019.docx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4B15AB" w:rsidRPr="00BC7D56" w:rsidTr="004B15AB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C7D56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C7D56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11658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2019 года</w:t>
            </w:r>
          </w:p>
        </w:tc>
      </w:tr>
      <w:tr w:rsidR="004B15AB" w:rsidRPr="00A05025" w:rsidTr="004B15A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</w:t>
            </w:r>
            <w:r>
              <w:rPr>
                <w:rFonts w:ascii="Times New Roman" w:eastAsia="Times New Roman" w:hAnsi="Times New Roman"/>
                <w:lang w:eastAsia="ru-RU"/>
              </w:rPr>
              <w:t>Пыть-Яхский к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омплексный центр социального обслуживания населения»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11658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2019 года</w:t>
            </w:r>
          </w:p>
        </w:tc>
      </w:tr>
      <w:tr w:rsidR="004B15AB" w:rsidRPr="00A05025" w:rsidTr="004B15A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>Об утверждении плана работы территориальной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2020 год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11658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2019 года</w:t>
            </w:r>
          </w:p>
        </w:tc>
      </w:tr>
      <w:tr w:rsidR="004B15AB" w:rsidRPr="00A05025" w:rsidTr="004B15AB">
        <w:trPr>
          <w:trHeight w:val="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CC7ED5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B11658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2019 года</w:t>
            </w:r>
          </w:p>
        </w:tc>
      </w:tr>
      <w:tr w:rsidR="004B15AB" w:rsidRPr="00A05025" w:rsidTr="004B15A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A05025" w:rsidRDefault="004B15AB" w:rsidP="004B15A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Pr="00CC7ED5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5AB" w:rsidRDefault="004B15AB" w:rsidP="004B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233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24.07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>.2019 «</w:t>
            </w:r>
            <w:r w:rsidRPr="00DF30F2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      </w:r>
            <w:r w:rsidRPr="00841115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53" w:history="1">
              <w:r w:rsidRPr="00723605">
                <w:rPr>
                  <w:rStyle w:val="aa"/>
                  <w:rFonts w:ascii="Times New Roman" w:eastAsia="Times New Roman" w:hAnsi="Times New Roman"/>
                  <w:lang w:eastAsia="ru-RU"/>
                </w:rPr>
                <w:t>https://adm.gov86.org/files/2019/kdn/N-233-ot-24-07-2019.docx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C6411A" w:rsidRPr="00A05361" w:rsidRDefault="00C6411A" w:rsidP="00A05361">
      <w:pPr>
        <w:spacing w:before="600" w:after="0" w:line="240" w:lineRule="auto"/>
        <w:rPr>
          <w:rFonts w:ascii="Times New Roman" w:eastAsia="Times New Roman" w:hAnsi="Times New Roman"/>
          <w:b/>
          <w:sz w:val="2"/>
          <w:szCs w:val="2"/>
          <w:lang w:eastAsia="ru-RU"/>
        </w:rPr>
      </w:pPr>
    </w:p>
    <w:sectPr w:rsidR="00C6411A" w:rsidRPr="00A05361" w:rsidSect="001F231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C97" w:rsidRDefault="00F63C97" w:rsidP="00556FE2">
      <w:pPr>
        <w:spacing w:after="0" w:line="240" w:lineRule="auto"/>
      </w:pPr>
      <w:r>
        <w:separator/>
      </w:r>
    </w:p>
  </w:endnote>
  <w:endnote w:type="continuationSeparator" w:id="0">
    <w:p w:rsidR="00F63C97" w:rsidRDefault="00F63C97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C97" w:rsidRDefault="00F63C97" w:rsidP="00556FE2">
      <w:pPr>
        <w:spacing w:after="0" w:line="240" w:lineRule="auto"/>
      </w:pPr>
      <w:r>
        <w:separator/>
      </w:r>
    </w:p>
  </w:footnote>
  <w:footnote w:type="continuationSeparator" w:id="0">
    <w:p w:rsidR="00F63C97" w:rsidRDefault="00F63C97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C" w:rsidRDefault="00A9303C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E0F0C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20F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B1A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B06"/>
    <w:rsid w:val="00061EB7"/>
    <w:rsid w:val="0006242A"/>
    <w:rsid w:val="00063445"/>
    <w:rsid w:val="00063765"/>
    <w:rsid w:val="00063B96"/>
    <w:rsid w:val="00064711"/>
    <w:rsid w:val="00064BF9"/>
    <w:rsid w:val="00064D19"/>
    <w:rsid w:val="00065531"/>
    <w:rsid w:val="00065641"/>
    <w:rsid w:val="0006572A"/>
    <w:rsid w:val="000657B5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0A5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58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318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934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AF0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1BAA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A7F04"/>
    <w:rsid w:val="003B057E"/>
    <w:rsid w:val="003B12B0"/>
    <w:rsid w:val="003B1568"/>
    <w:rsid w:val="003B1631"/>
    <w:rsid w:val="003B1FCD"/>
    <w:rsid w:val="003B24B4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5AB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3E0"/>
    <w:rsid w:val="005D67A5"/>
    <w:rsid w:val="005E0B6F"/>
    <w:rsid w:val="005E0CD5"/>
    <w:rsid w:val="005E0F0C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6F35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052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29C9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361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63A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37F9D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03C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44B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CEC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AB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10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75A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0F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0DEA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187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1F78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C97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70A"/>
    <w:rsid w:val="00F86E30"/>
    <w:rsid w:val="00F90D7B"/>
    <w:rsid w:val="00F91A66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6F824C906BC2A3F9C0566CA36383FC57D62916C632ED87D04E05FF444CE1B5521E32DCA0AD2065T631H" TargetMode="External"/><Relationship Id="rId18" Type="http://schemas.openxmlformats.org/officeDocument/2006/relationships/hyperlink" Target="https://adm.gov86.org/files/2019/kdn/N-074-ot-20-03-2019.docx" TargetMode="External"/><Relationship Id="rId26" Type="http://schemas.openxmlformats.org/officeDocument/2006/relationships/hyperlink" Target="https://adm.gov86.org/files/2019/kdn/N-033-ot-13-02-2019.docx" TargetMode="External"/><Relationship Id="rId39" Type="http://schemas.openxmlformats.org/officeDocument/2006/relationships/hyperlink" Target="https://adm.gov86.org/files/2019/kdn/N-002-ot-16-01-2019.docx" TargetMode="External"/><Relationship Id="rId21" Type="http://schemas.openxmlformats.org/officeDocument/2006/relationships/hyperlink" Target="https://adm.gov86.org/files/2019/kdn/N-047-ot-20-02-2019.docx" TargetMode="External"/><Relationship Id="rId34" Type="http://schemas.openxmlformats.org/officeDocument/2006/relationships/hyperlink" Target="https://adm.gov86.org/files/2019/kdn/N-249-ot-07-08-2019.docx" TargetMode="External"/><Relationship Id="rId42" Type="http://schemas.openxmlformats.org/officeDocument/2006/relationships/hyperlink" Target="https://adm.gov86.org/files/2019/kdn/N-005-ot-16-01-2019.docx" TargetMode="External"/><Relationship Id="rId47" Type="http://schemas.openxmlformats.org/officeDocument/2006/relationships/hyperlink" Target="https://adm.gov86.org/files/2019/kdn/N-137-ot-24-04-2019.docx" TargetMode="External"/><Relationship Id="rId50" Type="http://schemas.openxmlformats.org/officeDocument/2006/relationships/hyperlink" Target="https://adm.gov86.org/files/2019/kdn/N-071-ot-20-03-2019.docx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17" Type="http://schemas.openxmlformats.org/officeDocument/2006/relationships/hyperlink" Target="https://adm.gov86.org/files/2019/kdn/N-001-ot-16-01-2019.docx" TargetMode="External"/><Relationship Id="rId25" Type="http://schemas.openxmlformats.org/officeDocument/2006/relationships/hyperlink" Target="https://adm.gov86.org/files/2019/kdn/N-301-ot-11-09-2019.docx" TargetMode="External"/><Relationship Id="rId33" Type="http://schemas.openxmlformats.org/officeDocument/2006/relationships/hyperlink" Target="https://adm.gov86.org/files/2019/kdn/N-220-ot-10-07-2019.docx" TargetMode="External"/><Relationship Id="rId38" Type="http://schemas.openxmlformats.org/officeDocument/2006/relationships/hyperlink" Target="https://adm.gov86.org/files/2019/kdn/N-232-ot-24-07-2019.docx" TargetMode="External"/><Relationship Id="rId46" Type="http://schemas.openxmlformats.org/officeDocument/2006/relationships/hyperlink" Target="https://adm.gov86.org/files/2019/kdn/N-176-ot-22-05-2019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.gov86.org/files/2019/kdn/N-174-ot-15-05-2019.docx" TargetMode="External"/><Relationship Id="rId20" Type="http://schemas.openxmlformats.org/officeDocument/2006/relationships/hyperlink" Target="https://adm.gov86.org/news/346/_aview_b6531" TargetMode="External"/><Relationship Id="rId29" Type="http://schemas.openxmlformats.org/officeDocument/2006/relationships/hyperlink" Target="https://adm.gov86.org/files/2019/kdn/N-035-ot-13-02-2019.docx" TargetMode="External"/><Relationship Id="rId41" Type="http://schemas.openxmlformats.org/officeDocument/2006/relationships/hyperlink" Target="https://adm.gov86.org/files/2019/kdn/N-222-ot-10-07-2019.docx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24" Type="http://schemas.openxmlformats.org/officeDocument/2006/relationships/hyperlink" Target="https://adm.gov86.org/files/2019/kdn/N-230-ot-24-07-2019.docx" TargetMode="External"/><Relationship Id="rId32" Type="http://schemas.openxmlformats.org/officeDocument/2006/relationships/hyperlink" Target="https://adm.gov86.org/files/2019/kdn/N-117-ot-17-04-2019.docx" TargetMode="External"/><Relationship Id="rId37" Type="http://schemas.openxmlformats.org/officeDocument/2006/relationships/hyperlink" Target="https://adm.gov86.org/files/2019/kdn/N-136-ot-24-04-2019.docx" TargetMode="External"/><Relationship Id="rId40" Type="http://schemas.openxmlformats.org/officeDocument/2006/relationships/hyperlink" Target="https://adm.gov86.org/files/2019/kdn/N-081-ot-03-04-2019.docx" TargetMode="External"/><Relationship Id="rId45" Type="http://schemas.openxmlformats.org/officeDocument/2006/relationships/hyperlink" Target="https://adm.gov86.org/files/2019/kdn/N-139-ot-24-04-2019.docx" TargetMode="External"/><Relationship Id="rId53" Type="http://schemas.openxmlformats.org/officeDocument/2006/relationships/hyperlink" Target="https://adm.gov86.org/files/2019/kdn/N-233-ot-24-07-201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files/2019/kdn/N-001-ot-16-01-2019.docx" TargetMode="External"/><Relationship Id="rId23" Type="http://schemas.openxmlformats.org/officeDocument/2006/relationships/hyperlink" Target="https://adm.gov86.org/files/2019/kdn/N-191-ot-29-05-2019.docx" TargetMode="External"/><Relationship Id="rId28" Type="http://schemas.openxmlformats.org/officeDocument/2006/relationships/hyperlink" Target="https://adm.gov86.org/files/2019/kdn/N-231-ot-24-07-2019.docx" TargetMode="External"/><Relationship Id="rId36" Type="http://schemas.openxmlformats.org/officeDocument/2006/relationships/hyperlink" Target="https://adm.gov86.org/files/2019/kdn/N-032-ot-13-02-2019.docx" TargetMode="External"/><Relationship Id="rId49" Type="http://schemas.openxmlformats.org/officeDocument/2006/relationships/hyperlink" Target="https://adm.gov86.org/files/2019/kdn/N-310-ot-26-09-2019-1.docx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adm.gov86.org/files/2019/kdn/N-295-ot-04-09-2019.docx" TargetMode="External"/><Relationship Id="rId31" Type="http://schemas.openxmlformats.org/officeDocument/2006/relationships/hyperlink" Target="https://adm.gov86.org/files/2019/kdn/N-224-ot-10-07-2019.docx" TargetMode="External"/><Relationship Id="rId44" Type="http://schemas.openxmlformats.org/officeDocument/2006/relationships/hyperlink" Target="https://adm.gov86.org/files/2019/kdn/N-235-ot-24-07-2019.docx" TargetMode="External"/><Relationship Id="rId52" Type="http://schemas.openxmlformats.org/officeDocument/2006/relationships/hyperlink" Target="https://adm.gov86.org/files/2019/kdn/N-247-ot-07-08-2019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yperlink" Target="consultantplus://offline/ref=516F824C906BC2A3F9C0566CA36383FC57D62916C632ED87D04E05FF444CE1B5521E32DCA0AD2466T637H" TargetMode="External"/><Relationship Id="rId22" Type="http://schemas.openxmlformats.org/officeDocument/2006/relationships/hyperlink" Target="https://adm.gov86.org/files/2019/kdn/N-118-ot-17-04-2019.docx" TargetMode="External"/><Relationship Id="rId27" Type="http://schemas.openxmlformats.org/officeDocument/2006/relationships/hyperlink" Target="https://adm.gov86.org/files/2019/kdn/N-140-ot-24-04-2019-na-sayt.docx" TargetMode="External"/><Relationship Id="rId30" Type="http://schemas.openxmlformats.org/officeDocument/2006/relationships/hyperlink" Target="https://adm.gov86.org/files/2019/kdn/N-138-ot-24-04-2019.docx" TargetMode="External"/><Relationship Id="rId35" Type="http://schemas.openxmlformats.org/officeDocument/2006/relationships/hyperlink" Target="https://adm.gov86.org/files/2019/kdn/N-292-ot-21-08-2019.docx" TargetMode="External"/><Relationship Id="rId43" Type="http://schemas.openxmlformats.org/officeDocument/2006/relationships/hyperlink" Target="https://adm.gov86.org/files/2019/kdn/N-083-ot-03-04-2019.docx" TargetMode="External"/><Relationship Id="rId48" Type="http://schemas.openxmlformats.org/officeDocument/2006/relationships/hyperlink" Target="https://adm.gov86.org/files/2019/kdn/N-175-ot-22-05-2019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adm.gov86.org/files/2019/kdn/N-310-ot-26-09-2019-1.doc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E4FC-9C41-4918-80E0-CC0235DD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2</cp:revision>
  <cp:lastPrinted>2019-10-10T05:17:00Z</cp:lastPrinted>
  <dcterms:created xsi:type="dcterms:W3CDTF">2019-10-11T11:43:00Z</dcterms:created>
  <dcterms:modified xsi:type="dcterms:W3CDTF">2019-10-11T11:43:00Z</dcterms:modified>
</cp:coreProperties>
</file>