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404"/>
      </w:pPr>
      <w:r>
        <w:rPr/>
        <w:t>Информация</w:t>
      </w:r>
    </w:p>
    <w:p>
      <w:pPr>
        <w:spacing w:line="276" w:lineRule="auto" w:before="44"/>
        <w:ind w:left="767" w:right="156" w:firstLine="40"/>
        <w:jc w:val="left"/>
        <w:rPr>
          <w:b/>
          <w:sz w:val="26"/>
        </w:rPr>
      </w:pPr>
      <w:r>
        <w:rPr>
          <w:b/>
          <w:sz w:val="26"/>
        </w:rPr>
        <w:t>по вопросам ценообразования, формирования тарифов и порядка расчета платы за коммунальные услуги и услуги, касающиеся обслуживания</w:t>
      </w:r>
    </w:p>
    <w:p>
      <w:pPr>
        <w:spacing w:before="2"/>
        <w:ind w:left="1912" w:right="0" w:firstLine="0"/>
        <w:jc w:val="left"/>
        <w:rPr>
          <w:b/>
          <w:sz w:val="26"/>
        </w:rPr>
      </w:pPr>
      <w:r>
        <w:rPr>
          <w:b/>
          <w:sz w:val="26"/>
        </w:rPr>
        <w:t>жилищного фонда и причинах ее роста в 2019 году</w:t>
      </w:r>
    </w:p>
    <w:p>
      <w:pPr>
        <w:pStyle w:val="BodyText"/>
        <w:spacing w:before="1"/>
        <w:ind w:left="0" w:firstLine="0"/>
        <w:jc w:val="left"/>
        <w:rPr>
          <w:b/>
          <w:sz w:val="33"/>
        </w:rPr>
      </w:pPr>
    </w:p>
    <w:p>
      <w:pPr>
        <w:pStyle w:val="BodyText"/>
        <w:spacing w:line="276" w:lineRule="auto"/>
        <w:ind w:right="147"/>
      </w:pPr>
      <w:r>
        <w:rPr/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сферах: тепло-, водоснабжения, водоотведения, обращения с твердыми коммунальными</w:t>
      </w:r>
      <w:r>
        <w:rPr>
          <w:spacing w:val="-16"/>
        </w:rPr>
        <w:t> </w:t>
      </w:r>
      <w:r>
        <w:rPr/>
        <w:t>отходами.</w:t>
      </w:r>
    </w:p>
    <w:p>
      <w:pPr>
        <w:pStyle w:val="BodyText"/>
        <w:spacing w:line="276" w:lineRule="auto" w:before="1"/>
        <w:ind w:right="148"/>
      </w:pPr>
      <w:r>
        <w:rPr/>
        <w:t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</w:t>
      </w:r>
    </w:p>
    <w:p>
      <w:pPr>
        <w:pStyle w:val="BodyText"/>
        <w:spacing w:line="278" w:lineRule="auto"/>
        <w:ind w:right="157"/>
      </w:pPr>
      <w:r>
        <w:rPr/>
        <w:t>Величина и уровень роста тарифов определяются сложившейся коммунальной инфраструктурой, эффективностью хозяйственной деятельности организаций.</w:t>
      </w:r>
    </w:p>
    <w:p>
      <w:pPr>
        <w:pStyle w:val="BodyText"/>
        <w:spacing w:line="276" w:lineRule="auto"/>
        <w:ind w:right="151"/>
      </w:pPr>
      <w:r>
        <w:rPr/>
        <w:t>Ежегодное увеличение тарифов на коммунальные услуги обусловлено ростом тарифов на продукцию естественных монополий (газ, электроэнергию), уровнем прогнозной инфляции.</w:t>
      </w:r>
    </w:p>
    <w:p>
      <w:pPr>
        <w:pStyle w:val="BodyText"/>
        <w:spacing w:line="276" w:lineRule="auto"/>
        <w:ind w:right="147"/>
      </w:pPr>
      <w:r>
        <w:rPr/>
        <w:t>Для информирования граждан на официальном сайте РСТ Югры – </w:t>
      </w:r>
      <w:hyperlink r:id="rId5">
        <w:r>
          <w:rPr/>
          <w:t>www.rst.admhmao.ru </w:t>
        </w:r>
      </w:hyperlink>
      <w:r>
        <w:rPr/>
        <w:t>размещена информация:</w:t>
      </w:r>
    </w:p>
    <w:p>
      <w:pPr>
        <w:pStyle w:val="BodyText"/>
        <w:spacing w:line="276" w:lineRule="auto"/>
        <w:ind w:right="147"/>
      </w:pPr>
      <w:r>
        <w:rPr/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тарифы»;</w:t>
      </w:r>
    </w:p>
    <w:p>
      <w:pPr>
        <w:pStyle w:val="ListParagraph"/>
        <w:numPr>
          <w:ilvl w:val="0"/>
          <w:numId w:val="1"/>
        </w:numPr>
        <w:tabs>
          <w:tab w:pos="1025" w:val="left" w:leader="none"/>
        </w:tabs>
        <w:spacing w:line="276" w:lineRule="auto" w:before="0" w:after="0"/>
        <w:ind w:left="220" w:right="158" w:firstLine="566"/>
        <w:jc w:val="both"/>
        <w:rPr>
          <w:sz w:val="26"/>
        </w:rPr>
      </w:pPr>
      <w:r>
        <w:rPr>
          <w:sz w:val="26"/>
        </w:rPr>
        <w:t>принятых РСТ Югры приказах: раздел «Документы» подраздел «Приказы службы»;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76" w:lineRule="auto" w:before="0" w:after="0"/>
        <w:ind w:left="220" w:right="150" w:firstLine="566"/>
        <w:jc w:val="both"/>
        <w:rPr>
          <w:sz w:val="26"/>
        </w:rPr>
      </w:pPr>
      <w:r>
        <w:rPr>
          <w:sz w:val="26"/>
        </w:rPr>
        <w:t>законодательстве, которым руководствуется РСТ Югры при регулировании тарифов: раздел «Документы» подраздел</w:t>
      </w:r>
      <w:r>
        <w:rPr>
          <w:spacing w:val="-2"/>
          <w:sz w:val="26"/>
        </w:rPr>
        <w:t> </w:t>
      </w:r>
      <w:r>
        <w:rPr>
          <w:sz w:val="26"/>
        </w:rPr>
        <w:t>«Законодательство».</w:t>
      </w:r>
    </w:p>
    <w:p>
      <w:pPr>
        <w:pStyle w:val="BodyText"/>
        <w:spacing w:line="276" w:lineRule="auto"/>
        <w:ind w:right="146"/>
      </w:pPr>
      <w:r>
        <w:rPr/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>
      <w:pPr>
        <w:pStyle w:val="BodyText"/>
        <w:spacing w:line="276" w:lineRule="auto"/>
        <w:ind w:right="147"/>
      </w:pPr>
      <w:r>
        <w:rPr/>
        <w:t>В соответствии с законом Ханты-Мансийского автономного округа – Югры от 06.07.2005 № 57-оз «О регулировании отдельных жилищных отношений в Ханты- 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>
      <w:pPr>
        <w:spacing w:after="0" w:line="276" w:lineRule="auto"/>
        <w:sectPr>
          <w:type w:val="continuous"/>
          <w:pgSz w:w="11910" w:h="16840"/>
          <w:pgMar w:top="1040" w:bottom="280" w:left="1340" w:right="840"/>
        </w:sect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BodyText"/>
        <w:spacing w:line="276" w:lineRule="auto" w:before="89"/>
        <w:ind w:right="157"/>
      </w:pPr>
      <w:r>
        <w:rPr/>
        <w:t>Для получения разъяснений и предоставления субсидий по оплате за жилищные и коммунальные услуги необходимо обращаться в Управление социальной защиты населения по месту жительства.</w:t>
      </w:r>
    </w:p>
    <w:p>
      <w:pPr>
        <w:pStyle w:val="BodyText"/>
        <w:spacing w:line="276" w:lineRule="auto" w:before="1"/>
        <w:ind w:right="147"/>
      </w:pPr>
      <w:r>
        <w:rPr/>
        <w:t>Очередное изменение тарифов и платы граждан за коммунальные услуги на территории Ханты-Мансийского автономного округа – Югры произойдет с 1 июля 2019 года, при этом, новые значения в платёжках мы увидим в августе.</w:t>
      </w:r>
    </w:p>
    <w:p>
      <w:pPr>
        <w:pStyle w:val="BodyText"/>
        <w:spacing w:line="276" w:lineRule="auto"/>
        <w:ind w:right="148"/>
      </w:pPr>
      <w:r>
        <w:rPr/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>
      <w:pPr>
        <w:pStyle w:val="BodyText"/>
        <w:spacing w:before="11"/>
        <w:ind w:lef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990600</wp:posOffset>
            </wp:positionH>
            <wp:positionV relativeFrom="paragraph">
              <wp:posOffset>192508</wp:posOffset>
            </wp:positionV>
            <wp:extent cx="5760139" cy="130549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139" cy="130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6"/>
        <w:ind w:right="145"/>
      </w:pPr>
      <w:r>
        <w:rPr/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едином официальном сайте государственных органов власти Ханты-Мансийского автономного округа – Югры (www.admhmao.ru), а также на официальных сайтах РСТ Югры (www.rst.admhmao.ru), Департамента жилищно-коммунального комплекса и энергетики Ханты-Мансийского автономного округа – Югры (www.depjkke.admhmao.ru) и Службы жилищного и строительного надзора Ханты- Мансийского автономного округа – Югры (www.jsn.admhmao.ru).</w:t>
      </w:r>
    </w:p>
    <w:p>
      <w:pPr>
        <w:pStyle w:val="BodyText"/>
        <w:spacing w:line="276" w:lineRule="auto" w:before="2"/>
        <w:ind w:right="148"/>
      </w:pPr>
      <w:r>
        <w:rPr/>
        <w:t>Начиная с 2014 года Правительством Российской Федерации рост совокупной платы граждан за коммунальные услуги ограничен индексами, которые устанавливаются ежегодно.</w:t>
      </w:r>
    </w:p>
    <w:p>
      <w:pPr>
        <w:pStyle w:val="BodyText"/>
        <w:spacing w:line="276" w:lineRule="auto"/>
        <w:ind w:right="151"/>
      </w:pPr>
      <w:r>
        <w:rPr/>
        <w:t>С учетом установленных распоряжением Правительства Российской Федерации от 15.11.2018 № 2490-р ограничений, постановлением Губернатора Ханты-Мансийского автономного округа – Югры от 14.12.2018 № 127 «О предельных (максимальных) индексах изменения размера вносимой гражданами</w:t>
      </w:r>
    </w:p>
    <w:p>
      <w:pPr>
        <w:spacing w:after="0" w:line="276" w:lineRule="auto"/>
        <w:sectPr>
          <w:headerReference w:type="default" r:id="rId6"/>
          <w:pgSz w:w="11910" w:h="16840"/>
          <w:pgMar w:header="712" w:footer="0" w:top="1040" w:bottom="280" w:left="1340" w:right="840"/>
          <w:pgNumType w:start="2"/>
        </w:sect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BodyText"/>
        <w:spacing w:line="276" w:lineRule="auto" w:before="89"/>
        <w:ind w:right="147" w:firstLine="0"/>
      </w:pPr>
      <w:r>
        <w:rPr/>
        <w:t>платы за коммунальные услуги в муниципальных образованиях Ханты- Мансийского автономного округа – Югры на 2019 - 2023 годы (далее – Постановление Губернатора Югры) для каждого муниципального образования автономного округа на 2019 год утверждены максимальные индексы роста платы граждан за коммунальные услуги:</w:t>
      </w:r>
    </w:p>
    <w:p>
      <w:pPr>
        <w:pStyle w:val="BodyText"/>
        <w:spacing w:line="276" w:lineRule="auto"/>
        <w:ind w:right="149"/>
      </w:pPr>
      <w:r>
        <w:rPr/>
        <w:t>с января (к декабрю 2018 года) – 1,7%, что обусловлено изменением налогового законодательства Российской Федерации (Федеральный закон от 03.08.2018 № 303-ФЗ);</w:t>
      </w:r>
    </w:p>
    <w:p>
      <w:pPr>
        <w:pStyle w:val="BodyText"/>
        <w:spacing w:line="276" w:lineRule="auto"/>
        <w:ind w:right="147"/>
      </w:pPr>
      <w:r>
        <w:rPr/>
        <w:t>с 1 июля - от 2,0 % до 18,3% (свыше 4% на основании решений представительных органов муниципальных образований, принятых по основанию, предусмотренному подпунктом «д» пункта 46 постановления Правительства РФ № 400, в целях соблюдения (установления) долгосрочных тарифов и (или) долгосрочных параметров регулирования тарифов, установленных в рамках заключенного (планируемого к заключению) концессионного соглашения» в 2019 году).</w:t>
      </w:r>
    </w:p>
    <w:p>
      <w:pPr>
        <w:pStyle w:val="BodyText"/>
        <w:spacing w:line="276" w:lineRule="auto" w:before="1"/>
        <w:ind w:right="144"/>
      </w:pPr>
      <w:r>
        <w:rPr/>
        <w:t>Таким образом, в платежках с июля 2019 года рост платы за коммунальные услуги не должен быть выше, установленного Постановлением Губернатора Югры предельного индекса по сравнению с январем 2019 года.</w:t>
      </w:r>
    </w:p>
    <w:p>
      <w:pPr>
        <w:pStyle w:val="BodyText"/>
        <w:spacing w:line="278" w:lineRule="auto"/>
        <w:ind w:right="150"/>
      </w:pPr>
      <w:r>
        <w:rPr/>
        <w:t>Для того, чтобы самостоятельно сравнить рост платы за коммунальные услуги в июле с установленным пределом, необходимо: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276" w:lineRule="auto" w:before="0" w:after="0"/>
        <w:ind w:left="220" w:right="150" w:firstLine="566"/>
        <w:jc w:val="both"/>
        <w:rPr>
          <w:sz w:val="26"/>
        </w:rPr>
      </w:pPr>
      <w:r>
        <w:rPr>
          <w:sz w:val="26"/>
        </w:rPr>
        <w:t>сложить стоимость коммунальных услуг (вода, водоотведение, газ, тепло, электричество) из платежки за январь 2019 года,</w:t>
      </w:r>
    </w:p>
    <w:p>
      <w:pPr>
        <w:pStyle w:val="ListParagraph"/>
        <w:numPr>
          <w:ilvl w:val="0"/>
          <w:numId w:val="2"/>
        </w:numPr>
        <w:tabs>
          <w:tab w:pos="1221" w:val="left" w:leader="none"/>
        </w:tabs>
        <w:spacing w:line="278" w:lineRule="auto" w:before="0" w:after="0"/>
        <w:ind w:left="220" w:right="149" w:firstLine="566"/>
        <w:jc w:val="both"/>
        <w:rPr>
          <w:sz w:val="26"/>
        </w:rPr>
      </w:pPr>
      <w:r>
        <w:rPr>
          <w:sz w:val="26"/>
        </w:rPr>
        <w:t>определить стоимость коммунальных услуг за июль 2019 года в сопоставимых</w:t>
      </w:r>
      <w:r>
        <w:rPr>
          <w:spacing w:val="3"/>
          <w:sz w:val="26"/>
        </w:rPr>
        <w:t> </w:t>
      </w:r>
      <w:r>
        <w:rPr>
          <w:sz w:val="26"/>
        </w:rPr>
        <w:t>условиях:</w:t>
      </w:r>
    </w:p>
    <w:p>
      <w:pPr>
        <w:pStyle w:val="BodyText"/>
        <w:spacing w:line="295" w:lineRule="exact"/>
        <w:ind w:left="786" w:firstLine="0"/>
      </w:pPr>
      <w:r>
        <w:rPr/>
        <w:t>а) найти используемый в расчете объем коммунальной услуги:</w:t>
      </w:r>
    </w:p>
    <w:p>
      <w:pPr>
        <w:pStyle w:val="BodyText"/>
        <w:spacing w:line="276" w:lineRule="auto" w:before="36"/>
        <w:ind w:right="140"/>
      </w:pPr>
      <w:r>
        <w:rPr/>
        <w:t>если плата за услугу рассчитывается по нормативу, то перемножить норматив (с учетом понижающего коэффициента при наличии) на показатель, к которому применяется норматив (например, если плата за холодную воду рассчитывается по нормативу 3,901 м3 на 1 человека в месяц, то при 2-х проживающих объем холодной воды = 3,901 * 2 = 7,802 м3);</w:t>
      </w:r>
    </w:p>
    <w:p>
      <w:pPr>
        <w:pStyle w:val="BodyText"/>
        <w:spacing w:line="276" w:lineRule="auto" w:before="2"/>
        <w:ind w:right="155"/>
      </w:pPr>
      <w:r>
        <w:rPr/>
        <w:t>если плата за услугу рассчитывается по прибору учета, то в расчете необходимо применять объем января 2019 года</w:t>
      </w:r>
    </w:p>
    <w:p>
      <w:pPr>
        <w:pStyle w:val="BodyText"/>
        <w:spacing w:line="276" w:lineRule="auto"/>
        <w:ind w:right="145"/>
      </w:pPr>
      <w:r>
        <w:rPr/>
        <w:t>б) найти стоимость каждой коммунальной услуги перемножив найденный согласно пункту а) объем на тариф из платежки за июль 2019 года;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76" w:lineRule="auto" w:before="1" w:after="0"/>
        <w:ind w:left="220" w:right="148" w:firstLine="566"/>
        <w:jc w:val="both"/>
        <w:rPr>
          <w:sz w:val="26"/>
        </w:rPr>
      </w:pPr>
      <w:r>
        <w:rPr>
          <w:sz w:val="26"/>
        </w:rPr>
        <w:t>рассчитать изменение совокупной платы за коммунальные услуги в процентах, поделив получившуюся плату за июль 2019 года на аналогичный показатель за январь 2019 года, далее умножить на 100 и вычесть</w:t>
      </w:r>
      <w:r>
        <w:rPr>
          <w:spacing w:val="-9"/>
          <w:sz w:val="26"/>
        </w:rPr>
        <w:t> </w:t>
      </w:r>
      <w:r>
        <w:rPr>
          <w:sz w:val="26"/>
        </w:rPr>
        <w:t>100.</w:t>
      </w:r>
    </w:p>
    <w:p>
      <w:pPr>
        <w:pStyle w:val="BodyText"/>
        <w:spacing w:line="276" w:lineRule="auto"/>
        <w:ind w:right="145"/>
      </w:pPr>
      <w:r>
        <w:rPr/>
        <w:t>Получившийся показатель и будет фактическим изменением платы за коммунальные услуги по Вашей квартире, который сравнивается с установленным Постановлением Губернатора Югры предельным индексом по Вашему муниципальному образованию.</w:t>
      </w:r>
    </w:p>
    <w:p>
      <w:pPr>
        <w:spacing w:after="0" w:line="276" w:lineRule="auto"/>
        <w:sectPr>
          <w:pgSz w:w="11910" w:h="16840"/>
          <w:pgMar w:header="712" w:footer="0" w:top="1040" w:bottom="280" w:left="1340" w:right="840"/>
        </w:sect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BodyText"/>
        <w:spacing w:line="276" w:lineRule="auto" w:before="89"/>
        <w:ind w:right="147"/>
      </w:pPr>
      <w:r>
        <w:rPr/>
        <w:t>При этом, если Вы проживаете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VII Жилищного кодекса Российской Федерации" </w:t>
      </w:r>
      <w:r>
        <w:rPr>
          <w:spacing w:val="2"/>
        </w:rPr>
        <w:t>от </w:t>
      </w:r>
      <w:r>
        <w:rPr/>
        <w:t>29.12.2004 N 188-ФЗ в расчете индекса роста платы учитывается оплата холодной воды, горячей воды, электрической энергии, сточных вод, используемых в целях ОДН, в остальных случаях в расчет платы указанные затраты не</w:t>
      </w:r>
      <w:r>
        <w:rPr>
          <w:spacing w:val="-4"/>
        </w:rPr>
        <w:t> </w:t>
      </w:r>
      <w:r>
        <w:rPr/>
        <w:t>включаются.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Heading1"/>
        <w:spacing w:line="276" w:lineRule="auto"/>
        <w:ind w:left="880" w:right="246" w:firstLine="264"/>
      </w:pPr>
      <w:r>
        <w:rPr/>
        <w:t>Пример расчета изменения размера платы за коммунальные услуги (в случае, когда выбран способ управления управляющей</w:t>
      </w:r>
      <w:r>
        <w:rPr>
          <w:spacing w:val="-38"/>
        </w:rPr>
        <w:t> </w:t>
      </w:r>
      <w:r>
        <w:rPr/>
        <w:t>организацией, ТСЖ, жилищным или иным специализированным</w:t>
      </w:r>
      <w:r>
        <w:rPr>
          <w:spacing w:val="-6"/>
        </w:rPr>
        <w:t> </w:t>
      </w:r>
      <w:r>
        <w:rPr/>
        <w:t>кооперативом):</w:t>
      </w:r>
    </w:p>
    <w:p>
      <w:pPr>
        <w:pStyle w:val="BodyText"/>
        <w:spacing w:before="11"/>
        <w:ind w:left="0" w:firstLine="0"/>
        <w:jc w:val="left"/>
        <w:rPr>
          <w:b/>
          <w:sz w:val="25"/>
        </w:rPr>
      </w:pPr>
    </w:p>
    <w:p>
      <w:pPr>
        <w:spacing w:line="205" w:lineRule="exact" w:before="0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Платежный документ за январь 2019 года</w:t>
      </w:r>
    </w:p>
    <w:p>
      <w:pPr>
        <w:spacing w:line="205" w:lineRule="exact" w:before="0"/>
        <w:ind w:left="220" w:right="0" w:firstLine="0"/>
        <w:jc w:val="left"/>
        <w:rPr>
          <w:sz w:val="18"/>
        </w:rPr>
      </w:pPr>
      <w:r>
        <w:rPr>
          <w:sz w:val="18"/>
        </w:rPr>
        <w:t>ФИО плательщика: Иванов Иван Иванович</w:t>
      </w:r>
    </w:p>
    <w:p>
      <w:pPr>
        <w:spacing w:before="2" w:after="6"/>
        <w:ind w:left="220" w:right="4575" w:firstLine="0"/>
        <w:jc w:val="left"/>
        <w:rPr>
          <w:sz w:val="18"/>
        </w:rPr>
      </w:pPr>
      <w:r>
        <w:rPr>
          <w:sz w:val="18"/>
        </w:rPr>
        <w:t>Площадь: 50 кв.м. Кол-во проживающих: 3 чел. Доля МОП 5м2 Расчет размера платы за жилищные и коммунальные услуги</w:t>
      </w: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5"/>
        <w:gridCol w:w="980"/>
        <w:gridCol w:w="851"/>
        <w:gridCol w:w="903"/>
        <w:gridCol w:w="1304"/>
        <w:gridCol w:w="164"/>
        <w:gridCol w:w="206"/>
        <w:gridCol w:w="2021"/>
      </w:tblGrid>
      <w:tr>
        <w:trPr>
          <w:trHeight w:val="205" w:hRule="atLeast"/>
        </w:trPr>
        <w:tc>
          <w:tcPr>
            <w:tcW w:w="296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Вид платы</w:t>
            </w:r>
          </w:p>
        </w:tc>
        <w:tc>
          <w:tcPr>
            <w:tcW w:w="980" w:type="dxa"/>
          </w:tcPr>
          <w:p>
            <w:pPr>
              <w:pStyle w:val="TableParagraph"/>
              <w:ind w:right="329"/>
              <w:jc w:val="right"/>
              <w:rPr>
                <w:sz w:val="18"/>
              </w:rPr>
            </w:pPr>
            <w:r>
              <w:rPr>
                <w:sz w:val="18"/>
              </w:rPr>
              <w:t>Ед.изм</w:t>
            </w:r>
          </w:p>
        </w:tc>
        <w:tc>
          <w:tcPr>
            <w:tcW w:w="851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Объем</w:t>
            </w:r>
          </w:p>
        </w:tc>
        <w:tc>
          <w:tcPr>
            <w:tcW w:w="903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Тариф</w:t>
            </w:r>
          </w:p>
        </w:tc>
        <w:tc>
          <w:tcPr>
            <w:tcW w:w="1304" w:type="dxa"/>
          </w:tcPr>
          <w:p>
            <w:pPr>
              <w:pStyle w:val="TableParagraph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Итого, руб.</w:t>
            </w:r>
          </w:p>
        </w:tc>
        <w:tc>
          <w:tcPr>
            <w:tcW w:w="2391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965" w:type="dxa"/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Содержание и тек. ремонт</w:t>
            </w:r>
          </w:p>
        </w:tc>
        <w:tc>
          <w:tcPr>
            <w:tcW w:w="980" w:type="dxa"/>
          </w:tcPr>
          <w:p>
            <w:pPr>
              <w:pStyle w:val="TableParagraph"/>
              <w:spacing w:line="181" w:lineRule="exact"/>
              <w:ind w:left="366" w:right="359"/>
              <w:jc w:val="center"/>
              <w:rPr>
                <w:sz w:val="18"/>
              </w:rPr>
            </w:pPr>
            <w:r>
              <w:rPr>
                <w:sz w:val="18"/>
              </w:rPr>
              <w:t>м2</w:t>
            </w:r>
          </w:p>
        </w:tc>
        <w:tc>
          <w:tcPr>
            <w:tcW w:w="851" w:type="dxa"/>
          </w:tcPr>
          <w:p>
            <w:pPr>
              <w:pStyle w:val="TableParagraph"/>
              <w:spacing w:line="181" w:lineRule="exact"/>
              <w:ind w:left="291" w:right="28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11,77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/>
              <w:ind w:left="397"/>
              <w:rPr>
                <w:sz w:val="18"/>
              </w:rPr>
            </w:pPr>
            <w:r>
              <w:rPr>
                <w:sz w:val="18"/>
              </w:rPr>
              <w:t>588,50</w:t>
            </w:r>
          </w:p>
        </w:tc>
        <w:tc>
          <w:tcPr>
            <w:tcW w:w="239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2965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Капитальный ремонт</w:t>
            </w:r>
          </w:p>
        </w:tc>
        <w:tc>
          <w:tcPr>
            <w:tcW w:w="980" w:type="dxa"/>
          </w:tcPr>
          <w:p>
            <w:pPr>
              <w:pStyle w:val="TableParagraph"/>
              <w:spacing w:before="2"/>
              <w:ind w:left="366" w:right="359"/>
              <w:jc w:val="center"/>
              <w:rPr>
                <w:sz w:val="18"/>
              </w:rPr>
            </w:pPr>
            <w:r>
              <w:rPr>
                <w:sz w:val="18"/>
              </w:rPr>
              <w:t>м2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ind w:left="291" w:right="28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4,815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97"/>
              <w:rPr>
                <w:sz w:val="18"/>
              </w:rPr>
            </w:pPr>
            <w:r>
              <w:rPr>
                <w:sz w:val="18"/>
              </w:rPr>
              <w:t>240,75</w:t>
            </w:r>
          </w:p>
        </w:tc>
        <w:tc>
          <w:tcPr>
            <w:tcW w:w="239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965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Горячее водоснабжение (ОДН)</w:t>
            </w:r>
          </w:p>
        </w:tc>
        <w:tc>
          <w:tcPr>
            <w:tcW w:w="980" w:type="dxa"/>
          </w:tcPr>
          <w:p>
            <w:pPr>
              <w:pStyle w:val="TableParagraph"/>
              <w:spacing w:line="188" w:lineRule="exact"/>
              <w:ind w:left="366" w:right="35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851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104,83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39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296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Холодное водоснабжение (ОДН)</w:t>
            </w:r>
          </w:p>
        </w:tc>
        <w:tc>
          <w:tcPr>
            <w:tcW w:w="980" w:type="dxa"/>
          </w:tcPr>
          <w:p>
            <w:pPr>
              <w:pStyle w:val="TableParagraph"/>
              <w:ind w:left="366" w:right="35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851" w:type="dxa"/>
          </w:tcPr>
          <w:p>
            <w:pPr>
              <w:pStyle w:val="TableParagraph"/>
              <w:ind w:left="291" w:right="28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17,74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6" w:space="0" w:color="497DBA"/>
            </w:tcBorders>
          </w:tcPr>
          <w:p>
            <w:pPr>
              <w:pStyle w:val="TableParagraph"/>
              <w:ind w:left="466" w:right="467"/>
              <w:jc w:val="center"/>
              <w:rPr>
                <w:sz w:val="18"/>
              </w:rPr>
            </w:pPr>
            <w:r>
              <w:rPr>
                <w:sz w:val="18"/>
              </w:rPr>
              <w:t>8,87</w:t>
            </w:r>
          </w:p>
        </w:tc>
        <w:tc>
          <w:tcPr>
            <w:tcW w:w="239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965" w:type="dxa"/>
            <w:shd w:val="clear" w:color="auto" w:fill="C5D9F0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Холодное водоснабжение</w:t>
            </w:r>
          </w:p>
        </w:tc>
        <w:tc>
          <w:tcPr>
            <w:tcW w:w="980" w:type="dxa"/>
          </w:tcPr>
          <w:p>
            <w:pPr>
              <w:pStyle w:val="TableParagraph"/>
              <w:spacing w:line="188" w:lineRule="exact"/>
              <w:ind w:left="366" w:right="35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851" w:type="dxa"/>
          </w:tcPr>
          <w:p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17,74</w:t>
            </w:r>
          </w:p>
        </w:tc>
        <w:tc>
          <w:tcPr>
            <w:tcW w:w="1304" w:type="dxa"/>
            <w:tcBorders>
              <w:top w:val="single" w:sz="6" w:space="0" w:color="497DBA"/>
              <w:left w:val="single" w:sz="8" w:space="0" w:color="000000"/>
            </w:tcBorders>
            <w:shd w:val="clear" w:color="auto" w:fill="C5D9F0"/>
          </w:tcPr>
          <w:p>
            <w:pPr>
              <w:pStyle w:val="TableParagraph"/>
              <w:spacing w:line="188" w:lineRule="exact"/>
              <w:ind w:left="397"/>
              <w:rPr>
                <w:sz w:val="18"/>
              </w:rPr>
            </w:pPr>
            <w:r>
              <w:rPr>
                <w:sz w:val="18"/>
              </w:rPr>
              <w:t>141,92</w:t>
            </w: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497DBA"/>
              <w:bottom w:val="nil"/>
              <w:right w:val="single" w:sz="12" w:space="0" w:color="5B9BD4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single" w:sz="12" w:space="0" w:color="5B9BD4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166" w:hRule="atLeast"/>
        </w:trPr>
        <w:tc>
          <w:tcPr>
            <w:tcW w:w="2965" w:type="dxa"/>
            <w:shd w:val="clear" w:color="auto" w:fill="BCD5ED"/>
          </w:tcPr>
          <w:p>
            <w:pPr>
              <w:pStyle w:val="TableParagraph"/>
              <w:spacing w:line="146" w:lineRule="exact"/>
              <w:ind w:left="107"/>
              <w:rPr>
                <w:sz w:val="18"/>
              </w:rPr>
            </w:pPr>
            <w:r>
              <w:rPr>
                <w:sz w:val="18"/>
              </w:rPr>
              <w:t>Электроснабжение</w:t>
            </w:r>
          </w:p>
        </w:tc>
        <w:tc>
          <w:tcPr>
            <w:tcW w:w="980" w:type="dxa"/>
          </w:tcPr>
          <w:p>
            <w:pPr>
              <w:pStyle w:val="TableParagraph"/>
              <w:spacing w:line="146" w:lineRule="exact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кВтч</w:t>
            </w:r>
          </w:p>
        </w:tc>
        <w:tc>
          <w:tcPr>
            <w:tcW w:w="851" w:type="dxa"/>
          </w:tcPr>
          <w:p>
            <w:pPr>
              <w:pStyle w:val="TableParagraph"/>
              <w:spacing w:line="146" w:lineRule="exact"/>
              <w:ind w:left="288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/>
              <w:ind w:left="290"/>
              <w:rPr>
                <w:sz w:val="18"/>
              </w:rPr>
            </w:pPr>
            <w:r>
              <w:rPr>
                <w:sz w:val="18"/>
              </w:rPr>
              <w:t>3,85</w:t>
            </w:r>
          </w:p>
        </w:tc>
        <w:tc>
          <w:tcPr>
            <w:tcW w:w="1304" w:type="dxa"/>
            <w:tcBorders>
              <w:left w:val="single" w:sz="8" w:space="0" w:color="000000"/>
            </w:tcBorders>
            <w:shd w:val="clear" w:color="auto" w:fill="BCD5ED"/>
          </w:tcPr>
          <w:p>
            <w:pPr>
              <w:pStyle w:val="TableParagraph"/>
              <w:spacing w:line="146" w:lineRule="exact"/>
              <w:ind w:right="347"/>
              <w:jc w:val="right"/>
              <w:rPr>
                <w:sz w:val="18"/>
              </w:rPr>
            </w:pPr>
            <w:r>
              <w:rPr>
                <w:sz w:val="18"/>
              </w:rPr>
              <w:t>1155,60</w:t>
            </w:r>
          </w:p>
        </w:tc>
        <w:tc>
          <w:tcPr>
            <w:tcW w:w="370" w:type="dxa"/>
            <w:gridSpan w:val="2"/>
            <w:vMerge/>
            <w:tcBorders>
              <w:top w:val="nil"/>
              <w:bottom w:val="nil"/>
              <w:right w:val="single" w:sz="12" w:space="0" w:color="5B9BD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12" w:space="0" w:color="5B9BD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2965" w:type="dxa"/>
            <w:shd w:val="clear" w:color="auto" w:fill="BCD5ED"/>
          </w:tcPr>
          <w:p>
            <w:pPr>
              <w:pStyle w:val="TableParagraph"/>
              <w:spacing w:line="148" w:lineRule="exact" w:before="41"/>
              <w:ind w:left="107"/>
              <w:rPr>
                <w:sz w:val="18"/>
              </w:rPr>
            </w:pPr>
            <w:r>
              <w:rPr>
                <w:sz w:val="18"/>
              </w:rPr>
              <w:t>Газоснабжение</w:t>
            </w:r>
          </w:p>
        </w:tc>
        <w:tc>
          <w:tcPr>
            <w:tcW w:w="980" w:type="dxa"/>
          </w:tcPr>
          <w:p>
            <w:pPr>
              <w:pStyle w:val="TableParagraph"/>
              <w:spacing w:line="148" w:lineRule="exact" w:before="41"/>
              <w:ind w:left="366" w:right="358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41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20,88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8" w:lineRule="exact" w:before="41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28,55</w:t>
            </w:r>
          </w:p>
        </w:tc>
        <w:tc>
          <w:tcPr>
            <w:tcW w:w="1304" w:type="dxa"/>
            <w:tcBorders>
              <w:left w:val="single" w:sz="8" w:space="0" w:color="000000"/>
            </w:tcBorders>
            <w:shd w:val="clear" w:color="auto" w:fill="BCD5ED"/>
          </w:tcPr>
          <w:p>
            <w:pPr>
              <w:pStyle w:val="TableParagraph"/>
              <w:spacing w:line="148" w:lineRule="exact" w:before="41"/>
              <w:ind w:left="397"/>
              <w:rPr>
                <w:sz w:val="18"/>
              </w:rPr>
            </w:pPr>
            <w:r>
              <w:rPr>
                <w:sz w:val="18"/>
              </w:rPr>
              <w:t>596,07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5B9BD4"/>
            </w:tcBorders>
            <w:shd w:val="clear" w:color="auto" w:fill="9CC2E4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021" w:type="dxa"/>
            <w:tcBorders>
              <w:top w:val="nil"/>
              <w:left w:val="single" w:sz="12" w:space="0" w:color="5B9BD4"/>
              <w:bottom w:val="nil"/>
              <w:right w:val="nil"/>
            </w:tcBorders>
            <w:shd w:val="clear" w:color="auto" w:fill="9CC2E4"/>
          </w:tcPr>
          <w:p>
            <w:pPr>
              <w:pStyle w:val="TableParagraph"/>
              <w:spacing w:line="178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3 820,56</w:t>
            </w:r>
          </w:p>
        </w:tc>
      </w:tr>
      <w:tr>
        <w:trPr>
          <w:trHeight w:val="243" w:hRule="atLeast"/>
        </w:trPr>
        <w:tc>
          <w:tcPr>
            <w:tcW w:w="2965" w:type="dxa"/>
            <w:shd w:val="clear" w:color="auto" w:fill="BCD5ED"/>
          </w:tcPr>
          <w:p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Горячее водоснабжение</w:t>
            </w:r>
          </w:p>
        </w:tc>
        <w:tc>
          <w:tcPr>
            <w:tcW w:w="980" w:type="dxa"/>
          </w:tcPr>
          <w:p>
            <w:pPr>
              <w:pStyle w:val="TableParagraph"/>
              <w:spacing w:before="38"/>
              <w:ind w:left="366" w:right="35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851" w:type="dxa"/>
          </w:tcPr>
          <w:p>
            <w:pPr>
              <w:pStyle w:val="TableParagraph"/>
              <w:spacing w:before="38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104,83</w:t>
            </w:r>
          </w:p>
        </w:tc>
        <w:tc>
          <w:tcPr>
            <w:tcW w:w="1304" w:type="dxa"/>
            <w:tcBorders>
              <w:left w:val="single" w:sz="8" w:space="0" w:color="000000"/>
            </w:tcBorders>
            <w:shd w:val="clear" w:color="auto" w:fill="BCD5ED"/>
          </w:tcPr>
          <w:p>
            <w:pPr>
              <w:pStyle w:val="TableParagraph"/>
              <w:spacing w:before="38"/>
              <w:ind w:left="397"/>
              <w:rPr>
                <w:sz w:val="18"/>
              </w:rPr>
            </w:pPr>
            <w:r>
              <w:rPr>
                <w:sz w:val="18"/>
              </w:rPr>
              <w:t>419,31</w:t>
            </w:r>
          </w:p>
        </w:tc>
        <w:tc>
          <w:tcPr>
            <w:tcW w:w="370" w:type="dxa"/>
            <w:gridSpan w:val="2"/>
            <w:vMerge w:val="restart"/>
            <w:tcBorders>
              <w:top w:val="nil"/>
              <w:bottom w:val="single" w:sz="6" w:space="0" w:color="497DBA"/>
              <w:right w:val="single" w:sz="12" w:space="0" w:color="5B9BD4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single" w:sz="12" w:space="0" w:color="5B9BD4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08" w:hRule="atLeast"/>
        </w:trPr>
        <w:tc>
          <w:tcPr>
            <w:tcW w:w="2965" w:type="dxa"/>
            <w:shd w:val="clear" w:color="auto" w:fill="BCD5ED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Водоотведение</w:t>
            </w:r>
          </w:p>
        </w:tc>
        <w:tc>
          <w:tcPr>
            <w:tcW w:w="980" w:type="dxa"/>
          </w:tcPr>
          <w:p>
            <w:pPr>
              <w:pStyle w:val="TableParagraph"/>
              <w:spacing w:before="2"/>
              <w:ind w:left="366" w:right="35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ind w:left="291" w:right="28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13,97</w:t>
            </w:r>
          </w:p>
        </w:tc>
        <w:tc>
          <w:tcPr>
            <w:tcW w:w="1304" w:type="dxa"/>
            <w:tcBorders>
              <w:left w:val="single" w:sz="8" w:space="0" w:color="000000"/>
            </w:tcBorders>
            <w:shd w:val="clear" w:color="auto" w:fill="BCD5ED"/>
          </w:tcPr>
          <w:p>
            <w:pPr>
              <w:pStyle w:val="TableParagraph"/>
              <w:spacing w:before="2"/>
              <w:ind w:left="397"/>
              <w:rPr>
                <w:sz w:val="18"/>
              </w:rPr>
            </w:pPr>
            <w:r>
              <w:rPr>
                <w:sz w:val="18"/>
              </w:rPr>
              <w:t>167,69</w:t>
            </w:r>
          </w:p>
        </w:tc>
        <w:tc>
          <w:tcPr>
            <w:tcW w:w="370" w:type="dxa"/>
            <w:gridSpan w:val="2"/>
            <w:vMerge/>
            <w:tcBorders>
              <w:top w:val="nil"/>
              <w:bottom w:val="single" w:sz="6" w:space="0" w:color="497DBA"/>
              <w:right w:val="single" w:sz="12" w:space="0" w:color="5B9BD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12" w:space="0" w:color="5B9BD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965" w:type="dxa"/>
            <w:shd w:val="clear" w:color="auto" w:fill="BCD5ED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Отопление</w:t>
            </w:r>
          </w:p>
        </w:tc>
        <w:tc>
          <w:tcPr>
            <w:tcW w:w="980" w:type="dxa"/>
          </w:tcPr>
          <w:p>
            <w:pPr>
              <w:pStyle w:val="TableParagraph"/>
              <w:spacing w:line="188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Гкал</w:t>
            </w:r>
          </w:p>
        </w:tc>
        <w:tc>
          <w:tcPr>
            <w:tcW w:w="851" w:type="dxa"/>
          </w:tcPr>
          <w:p>
            <w:pPr>
              <w:pStyle w:val="TableParagraph"/>
              <w:spacing w:line="188" w:lineRule="exact"/>
              <w:ind w:left="291" w:right="285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left="153"/>
              <w:rPr>
                <w:sz w:val="18"/>
              </w:rPr>
            </w:pPr>
            <w:r>
              <w:rPr>
                <w:sz w:val="18"/>
              </w:rPr>
              <w:t>1339,97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6" w:space="0" w:color="497DBA"/>
            </w:tcBorders>
            <w:shd w:val="clear" w:color="auto" w:fill="BCD5ED"/>
          </w:tcPr>
          <w:p>
            <w:pPr>
              <w:pStyle w:val="TableParagraph"/>
              <w:spacing w:line="188" w:lineRule="exact"/>
              <w:ind w:right="347"/>
              <w:jc w:val="right"/>
              <w:rPr>
                <w:sz w:val="18"/>
              </w:rPr>
            </w:pPr>
            <w:r>
              <w:rPr>
                <w:sz w:val="18"/>
              </w:rPr>
              <w:t>1339,97</w:t>
            </w:r>
          </w:p>
        </w:tc>
        <w:tc>
          <w:tcPr>
            <w:tcW w:w="370" w:type="dxa"/>
            <w:gridSpan w:val="2"/>
            <w:vMerge/>
            <w:tcBorders>
              <w:top w:val="nil"/>
              <w:bottom w:val="single" w:sz="6" w:space="0" w:color="497DBA"/>
              <w:right w:val="single" w:sz="12" w:space="0" w:color="5B9BD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12" w:space="0" w:color="5B9BD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296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Обращение с ТКО</w:t>
            </w:r>
          </w:p>
        </w:tc>
        <w:tc>
          <w:tcPr>
            <w:tcW w:w="980" w:type="dxa"/>
          </w:tcPr>
          <w:p>
            <w:pPr>
              <w:pStyle w:val="TableParagraph"/>
              <w:ind w:left="366" w:right="359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851" w:type="dxa"/>
          </w:tcPr>
          <w:p>
            <w:pPr>
              <w:pStyle w:val="TableParagraph"/>
              <w:ind w:left="291" w:right="285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718,33</w:t>
            </w:r>
          </w:p>
        </w:tc>
        <w:tc>
          <w:tcPr>
            <w:tcW w:w="1304" w:type="dxa"/>
            <w:tcBorders>
              <w:top w:val="single" w:sz="6" w:space="0" w:color="497DBA"/>
              <w:left w:val="single" w:sz="8" w:space="0" w:color="000000"/>
            </w:tcBorders>
          </w:tcPr>
          <w:p>
            <w:pPr>
              <w:pStyle w:val="TableParagraph"/>
              <w:ind w:left="397"/>
              <w:rPr>
                <w:sz w:val="18"/>
              </w:rPr>
            </w:pPr>
            <w:r>
              <w:rPr>
                <w:sz w:val="18"/>
              </w:rPr>
              <w:t>287,33</w:t>
            </w:r>
          </w:p>
        </w:tc>
        <w:tc>
          <w:tcPr>
            <w:tcW w:w="2391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07" w:hRule="atLeast"/>
        </w:trPr>
        <w:tc>
          <w:tcPr>
            <w:tcW w:w="2965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Домофон</w:t>
            </w:r>
          </w:p>
        </w:tc>
        <w:tc>
          <w:tcPr>
            <w:tcW w:w="980" w:type="dxa"/>
          </w:tcPr>
          <w:p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left="290"/>
              <w:rPr>
                <w:sz w:val="18"/>
              </w:rPr>
            </w:pPr>
            <w:r>
              <w:rPr>
                <w:sz w:val="18"/>
              </w:rPr>
              <w:t>53,5</w:t>
            </w:r>
          </w:p>
        </w:tc>
        <w:tc>
          <w:tcPr>
            <w:tcW w:w="13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/>
              <w:ind w:left="466" w:right="466"/>
              <w:jc w:val="center"/>
              <w:rPr>
                <w:sz w:val="18"/>
              </w:rPr>
            </w:pPr>
            <w:r>
              <w:rPr>
                <w:sz w:val="18"/>
              </w:rPr>
              <w:t>53,5</w:t>
            </w:r>
          </w:p>
        </w:tc>
        <w:tc>
          <w:tcPr>
            <w:tcW w:w="239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2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Прочие расходы</w:t>
            </w:r>
          </w:p>
        </w:tc>
        <w:tc>
          <w:tcPr>
            <w:tcW w:w="9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39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2965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9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04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4 999,51</w:t>
            </w:r>
          </w:p>
        </w:tc>
        <w:tc>
          <w:tcPr>
            <w:tcW w:w="239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38"/>
        <w:ind w:left="4267" w:right="145" w:hanging="718"/>
        <w:jc w:val="right"/>
        <w:rPr>
          <w:b/>
          <w:sz w:val="16"/>
        </w:rPr>
      </w:pPr>
      <w:r>
        <w:rPr/>
        <w:pict>
          <v:shape style="position:absolute;margin-left:247.350006pt;margin-top:11.588746pt;width:202.6pt;height:139.450pt;mso-position-horizontal-relative:page;mso-position-vertical-relative:paragraph;z-index:-252432384" coordorigin="4947,232" coordsize="4052,2789" path="m5052,292l5040,308,8987,3020,8999,3004,5052,292xm4947,232l5012,349,5040,308,5024,297,5035,280,5059,280,5080,250,4947,232xm5035,280l5024,297,5040,308,5052,292,5035,280xm5059,280l5035,280,5052,292,5059,2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850006pt;margin-top:-83.341255pt;width:95.8pt;height:82.7pt;mso-position-horizontal-relative:page;mso-position-vertical-relative:paragraph;z-index:-252431360" coordorigin="7397,-1667" coordsize="1916,1654" path="m7449,-137l7397,-13,7527,-46,7506,-71,7479,-71,7466,-86,7481,-99,7449,-137xm7481,-99l7466,-86,7479,-71,7494,-84,7481,-99xm7494,-84l7479,-71,7506,-71,7494,-84xm9299,-1667l7481,-99,7494,-84,9313,-1652,9299,-166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6"/>
        </w:rPr>
        <w:t>(3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896,98 (плата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за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июль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2019 г.)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/3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820,56 (плата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за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январь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2019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г.)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х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100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–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100=2,0%</w:t>
      </w:r>
      <w:r>
        <w:rPr>
          <w:b/>
          <w:w w:val="100"/>
          <w:sz w:val="16"/>
        </w:rPr>
        <w:t> </w:t>
      </w:r>
      <w:r>
        <w:rPr>
          <w:b/>
          <w:sz w:val="16"/>
        </w:rPr>
        <w:t>Индекс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роста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платы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граждан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за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коммунальные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услуги за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июль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2019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года</w:t>
      </w:r>
    </w:p>
    <w:p>
      <w:pPr>
        <w:spacing w:line="183" w:lineRule="exact" w:before="0"/>
        <w:ind w:left="0" w:right="144" w:firstLine="0"/>
        <w:jc w:val="right"/>
        <w:rPr>
          <w:b/>
          <w:sz w:val="16"/>
        </w:rPr>
      </w:pPr>
      <w:r>
        <w:rPr>
          <w:b/>
          <w:sz w:val="16"/>
        </w:rPr>
        <w:t>составил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2,0%</w:t>
      </w:r>
    </w:p>
    <w:p>
      <w:pPr>
        <w:spacing w:before="3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Платежный документ за июль 2019 года</w:t>
      </w:r>
    </w:p>
    <w:p>
      <w:pPr>
        <w:spacing w:line="202" w:lineRule="exact" w:before="0"/>
        <w:ind w:left="220" w:right="0" w:firstLine="0"/>
        <w:jc w:val="left"/>
        <w:rPr>
          <w:sz w:val="18"/>
        </w:rPr>
      </w:pPr>
      <w:r>
        <w:rPr>
          <w:sz w:val="18"/>
        </w:rPr>
        <w:t>ФИО плательщика: Иванов Иван Иванович</w:t>
      </w:r>
    </w:p>
    <w:p>
      <w:pPr>
        <w:spacing w:before="0" w:after="13"/>
        <w:ind w:left="220" w:right="4575" w:firstLine="0"/>
        <w:jc w:val="left"/>
        <w:rPr>
          <w:sz w:val="18"/>
        </w:rPr>
      </w:pPr>
      <w:r>
        <w:rPr>
          <w:sz w:val="18"/>
        </w:rPr>
        <w:t>Площадь: 50 кв.м. Кол-во проживающих: 3 чел. Доля МОП 5м2 Расчет размера платы за жилищные и коммунальные услуги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852"/>
        <w:gridCol w:w="835"/>
        <w:gridCol w:w="876"/>
        <w:gridCol w:w="1274"/>
        <w:gridCol w:w="153"/>
        <w:gridCol w:w="188"/>
        <w:gridCol w:w="2336"/>
      </w:tblGrid>
      <w:tr>
        <w:trPr>
          <w:trHeight w:val="205" w:hRule="atLeast"/>
        </w:trPr>
        <w:tc>
          <w:tcPr>
            <w:tcW w:w="2977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Вид платы*</w:t>
            </w:r>
          </w:p>
        </w:tc>
        <w:tc>
          <w:tcPr>
            <w:tcW w:w="852" w:type="dxa"/>
          </w:tcPr>
          <w:p>
            <w:pPr>
              <w:pStyle w:val="TableParagraph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Ед.изм</w:t>
            </w:r>
          </w:p>
        </w:tc>
        <w:tc>
          <w:tcPr>
            <w:tcW w:w="835" w:type="dxa"/>
          </w:tcPr>
          <w:p>
            <w:pPr>
              <w:pStyle w:val="TableParagraph"/>
              <w:ind w:left="88" w:right="97"/>
              <w:jc w:val="center"/>
              <w:rPr>
                <w:sz w:val="18"/>
              </w:rPr>
            </w:pPr>
            <w:r>
              <w:rPr>
                <w:sz w:val="18"/>
              </w:rPr>
              <w:t>Объем*</w:t>
            </w:r>
          </w:p>
        </w:tc>
        <w:tc>
          <w:tcPr>
            <w:tcW w:w="876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Тариф</w:t>
            </w:r>
          </w:p>
        </w:tc>
        <w:tc>
          <w:tcPr>
            <w:tcW w:w="1274" w:type="dxa"/>
          </w:tcPr>
          <w:p>
            <w:pPr>
              <w:pStyle w:val="TableParagraph"/>
              <w:ind w:left="85" w:right="179"/>
              <w:jc w:val="center"/>
              <w:rPr>
                <w:sz w:val="18"/>
              </w:rPr>
            </w:pPr>
            <w:r>
              <w:rPr>
                <w:sz w:val="18"/>
              </w:rPr>
              <w:t>Итого*, руб.</w:t>
            </w:r>
          </w:p>
        </w:tc>
        <w:tc>
          <w:tcPr>
            <w:tcW w:w="2677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08" w:hRule="atLeast"/>
        </w:trPr>
        <w:tc>
          <w:tcPr>
            <w:tcW w:w="297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Содержание и тек. ремонт</w:t>
            </w:r>
          </w:p>
        </w:tc>
        <w:tc>
          <w:tcPr>
            <w:tcW w:w="852" w:type="dxa"/>
          </w:tcPr>
          <w:p>
            <w:pPr>
              <w:pStyle w:val="TableParagraph"/>
              <w:spacing w:line="188" w:lineRule="exact"/>
              <w:ind w:left="302" w:right="296"/>
              <w:jc w:val="center"/>
              <w:rPr>
                <w:sz w:val="18"/>
              </w:rPr>
            </w:pPr>
            <w:r>
              <w:rPr>
                <w:sz w:val="18"/>
              </w:rPr>
              <w:t>м2</w:t>
            </w:r>
          </w:p>
        </w:tc>
        <w:tc>
          <w:tcPr>
            <w:tcW w:w="835" w:type="dxa"/>
          </w:tcPr>
          <w:p>
            <w:pPr>
              <w:pStyle w:val="TableParagraph"/>
              <w:spacing w:line="188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76" w:type="dxa"/>
          </w:tcPr>
          <w:p>
            <w:pPr>
              <w:pStyle w:val="TableParagraph"/>
              <w:spacing w:line="188" w:lineRule="exact"/>
              <w:ind w:left="232"/>
              <w:rPr>
                <w:sz w:val="18"/>
              </w:rPr>
            </w:pPr>
            <w:r>
              <w:rPr>
                <w:sz w:val="18"/>
              </w:rPr>
              <w:t>11,77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85" w:right="82"/>
              <w:jc w:val="center"/>
              <w:rPr>
                <w:sz w:val="18"/>
              </w:rPr>
            </w:pPr>
            <w:r>
              <w:rPr>
                <w:sz w:val="18"/>
              </w:rPr>
              <w:t>588,50</w:t>
            </w:r>
          </w:p>
        </w:tc>
        <w:tc>
          <w:tcPr>
            <w:tcW w:w="2677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2977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Капитальный ремонт</w:t>
            </w:r>
          </w:p>
        </w:tc>
        <w:tc>
          <w:tcPr>
            <w:tcW w:w="852" w:type="dxa"/>
          </w:tcPr>
          <w:p>
            <w:pPr>
              <w:pStyle w:val="TableParagraph"/>
              <w:ind w:left="302" w:right="296"/>
              <w:jc w:val="center"/>
              <w:rPr>
                <w:sz w:val="18"/>
              </w:rPr>
            </w:pPr>
            <w:r>
              <w:rPr>
                <w:sz w:val="18"/>
              </w:rPr>
              <w:t>м2</w:t>
            </w:r>
          </w:p>
        </w:tc>
        <w:tc>
          <w:tcPr>
            <w:tcW w:w="835" w:type="dxa"/>
          </w:tcPr>
          <w:p>
            <w:pPr>
              <w:pStyle w:val="TableParagraph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76" w:type="dxa"/>
          </w:tcPr>
          <w:p>
            <w:pPr>
              <w:pStyle w:val="TableParagraph"/>
              <w:ind w:left="232"/>
              <w:rPr>
                <w:sz w:val="18"/>
              </w:rPr>
            </w:pPr>
            <w:r>
              <w:rPr>
                <w:sz w:val="18"/>
              </w:rPr>
              <w:t>4,815</w:t>
            </w:r>
          </w:p>
        </w:tc>
        <w:tc>
          <w:tcPr>
            <w:tcW w:w="1274" w:type="dxa"/>
          </w:tcPr>
          <w:p>
            <w:pPr>
              <w:pStyle w:val="TableParagraph"/>
              <w:ind w:left="85" w:right="82"/>
              <w:jc w:val="center"/>
              <w:rPr>
                <w:sz w:val="18"/>
              </w:rPr>
            </w:pPr>
            <w:r>
              <w:rPr>
                <w:sz w:val="18"/>
              </w:rPr>
              <w:t>240,75</w:t>
            </w:r>
          </w:p>
        </w:tc>
        <w:tc>
          <w:tcPr>
            <w:tcW w:w="2677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297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Горячее водоснабжение (ОДН)</w:t>
            </w:r>
          </w:p>
        </w:tc>
        <w:tc>
          <w:tcPr>
            <w:tcW w:w="852" w:type="dxa"/>
          </w:tcPr>
          <w:p>
            <w:pPr>
              <w:pStyle w:val="TableParagraph"/>
              <w:spacing w:line="188" w:lineRule="exact"/>
              <w:ind w:left="302" w:right="29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835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76" w:type="dxa"/>
          </w:tcPr>
          <w:p>
            <w:pPr>
              <w:pStyle w:val="TableParagraph"/>
              <w:spacing w:line="188" w:lineRule="exact"/>
              <w:ind w:left="186"/>
              <w:rPr>
                <w:sz w:val="18"/>
              </w:rPr>
            </w:pPr>
            <w:r>
              <w:rPr>
                <w:sz w:val="18"/>
              </w:rPr>
              <w:t>106,92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77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977" w:type="dxa"/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Холодное водоснабжение (ОДН)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/>
              <w:ind w:left="302" w:right="29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835" w:type="dxa"/>
          </w:tcPr>
          <w:p>
            <w:pPr>
              <w:pStyle w:val="TableParagraph"/>
              <w:spacing w:line="181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left="232"/>
              <w:rPr>
                <w:sz w:val="18"/>
              </w:rPr>
            </w:pPr>
            <w:r>
              <w:rPr>
                <w:sz w:val="18"/>
              </w:rPr>
              <w:t>18,10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85" w:right="79"/>
              <w:jc w:val="center"/>
              <w:rPr>
                <w:sz w:val="18"/>
              </w:rPr>
            </w:pPr>
            <w:r>
              <w:rPr>
                <w:sz w:val="18"/>
              </w:rPr>
              <w:t>9,05</w:t>
            </w:r>
          </w:p>
        </w:tc>
        <w:tc>
          <w:tcPr>
            <w:tcW w:w="2677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977" w:type="dxa"/>
            <w:shd w:val="clear" w:color="auto" w:fill="C5D9F0"/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Холодное водоснабжение</w:t>
            </w:r>
          </w:p>
        </w:tc>
        <w:tc>
          <w:tcPr>
            <w:tcW w:w="852" w:type="dxa"/>
          </w:tcPr>
          <w:p>
            <w:pPr>
              <w:pStyle w:val="TableParagraph"/>
              <w:spacing w:line="181" w:lineRule="exact"/>
              <w:ind w:left="302" w:right="29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835" w:type="dxa"/>
          </w:tcPr>
          <w:p>
            <w:pPr>
              <w:pStyle w:val="TableParagraph"/>
              <w:spacing w:line="18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/>
              <w:ind w:left="232"/>
              <w:rPr>
                <w:sz w:val="18"/>
              </w:rPr>
            </w:pPr>
            <w:r>
              <w:rPr>
                <w:sz w:val="18"/>
              </w:rPr>
              <w:t>18,10</w:t>
            </w:r>
          </w:p>
        </w:tc>
        <w:tc>
          <w:tcPr>
            <w:tcW w:w="1274" w:type="dxa"/>
            <w:shd w:val="clear" w:color="auto" w:fill="C5D9F0"/>
          </w:tcPr>
          <w:p>
            <w:pPr>
              <w:pStyle w:val="TableParagraph"/>
              <w:spacing w:line="181" w:lineRule="exact"/>
              <w:ind w:left="85" w:right="82"/>
              <w:jc w:val="center"/>
              <w:rPr>
                <w:sz w:val="18"/>
              </w:rPr>
            </w:pPr>
            <w:r>
              <w:rPr>
                <w:sz w:val="18"/>
              </w:rPr>
              <w:t>144,76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8" w:space="0" w:color="497DBA"/>
              <w:bottom w:val="nil"/>
              <w:right w:val="single" w:sz="6" w:space="0" w:color="497DBA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36" w:type="dxa"/>
            <w:vMerge w:val="restart"/>
            <w:tcBorders>
              <w:top w:val="nil"/>
              <w:left w:val="single" w:sz="6" w:space="0" w:color="497DBA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182" w:hRule="atLeast"/>
        </w:trPr>
        <w:tc>
          <w:tcPr>
            <w:tcW w:w="2977" w:type="dxa"/>
            <w:shd w:val="clear" w:color="auto" w:fill="BCD5ED"/>
          </w:tcPr>
          <w:p>
            <w:pPr>
              <w:pStyle w:val="TableParagraph"/>
              <w:spacing w:line="162" w:lineRule="exact"/>
              <w:ind w:left="107"/>
              <w:rPr>
                <w:sz w:val="18"/>
              </w:rPr>
            </w:pPr>
            <w:r>
              <w:rPr>
                <w:sz w:val="18"/>
              </w:rPr>
              <w:t>Электроснабжение</w:t>
            </w:r>
          </w:p>
        </w:tc>
        <w:tc>
          <w:tcPr>
            <w:tcW w:w="852" w:type="dxa"/>
          </w:tcPr>
          <w:p>
            <w:pPr>
              <w:pStyle w:val="TableParagraph"/>
              <w:spacing w:line="162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кВтч</w:t>
            </w:r>
          </w:p>
        </w:tc>
        <w:tc>
          <w:tcPr>
            <w:tcW w:w="835" w:type="dxa"/>
          </w:tcPr>
          <w:p>
            <w:pPr>
              <w:pStyle w:val="TableParagraph"/>
              <w:spacing w:line="162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876" w:type="dxa"/>
          </w:tcPr>
          <w:p>
            <w:pPr>
              <w:pStyle w:val="TableParagraph"/>
              <w:spacing w:line="162" w:lineRule="exact"/>
              <w:ind w:left="278"/>
              <w:rPr>
                <w:sz w:val="18"/>
              </w:rPr>
            </w:pPr>
            <w:r>
              <w:rPr>
                <w:sz w:val="18"/>
              </w:rPr>
              <w:t>3,93</w:t>
            </w:r>
          </w:p>
        </w:tc>
        <w:tc>
          <w:tcPr>
            <w:tcW w:w="1274" w:type="dxa"/>
            <w:shd w:val="clear" w:color="auto" w:fill="BCD5ED"/>
          </w:tcPr>
          <w:p>
            <w:pPr>
              <w:pStyle w:val="TableParagraph"/>
              <w:spacing w:line="162" w:lineRule="exact"/>
              <w:ind w:left="85" w:right="82"/>
              <w:jc w:val="center"/>
              <w:rPr>
                <w:sz w:val="18"/>
              </w:rPr>
            </w:pPr>
            <w:r>
              <w:rPr>
                <w:sz w:val="18"/>
              </w:rPr>
              <w:t>1178,71</w:t>
            </w:r>
          </w:p>
        </w:tc>
        <w:tc>
          <w:tcPr>
            <w:tcW w:w="341" w:type="dxa"/>
            <w:gridSpan w:val="2"/>
            <w:vMerge/>
            <w:tcBorders>
              <w:top w:val="nil"/>
              <w:bottom w:val="nil"/>
              <w:right w:val="single" w:sz="6" w:space="0" w:color="497D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6" w:space="0" w:color="497D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977" w:type="dxa"/>
            <w:shd w:val="clear" w:color="auto" w:fill="BCD5ED"/>
          </w:tcPr>
          <w:p>
            <w:pPr>
              <w:pStyle w:val="TableParagraph"/>
              <w:spacing w:line="160" w:lineRule="exact" w:before="21"/>
              <w:ind w:left="107"/>
              <w:rPr>
                <w:sz w:val="18"/>
              </w:rPr>
            </w:pPr>
            <w:r>
              <w:rPr>
                <w:sz w:val="18"/>
              </w:rPr>
              <w:t>Газоснабжение</w:t>
            </w:r>
          </w:p>
        </w:tc>
        <w:tc>
          <w:tcPr>
            <w:tcW w:w="852" w:type="dxa"/>
          </w:tcPr>
          <w:p>
            <w:pPr>
              <w:pStyle w:val="TableParagraph"/>
              <w:spacing w:line="160" w:lineRule="exact" w:before="21"/>
              <w:ind w:left="302" w:right="295"/>
              <w:jc w:val="center"/>
              <w:rPr>
                <w:sz w:val="18"/>
              </w:rPr>
            </w:pPr>
            <w:r>
              <w:rPr>
                <w:sz w:val="18"/>
              </w:rPr>
              <w:t>кг</w:t>
            </w:r>
          </w:p>
        </w:tc>
        <w:tc>
          <w:tcPr>
            <w:tcW w:w="835" w:type="dxa"/>
          </w:tcPr>
          <w:p>
            <w:pPr>
              <w:pStyle w:val="TableParagraph"/>
              <w:spacing w:line="160" w:lineRule="exact" w:before="21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20,88</w:t>
            </w:r>
          </w:p>
        </w:tc>
        <w:tc>
          <w:tcPr>
            <w:tcW w:w="876" w:type="dxa"/>
          </w:tcPr>
          <w:p>
            <w:pPr>
              <w:pStyle w:val="TableParagraph"/>
              <w:spacing w:line="160" w:lineRule="exact" w:before="21"/>
              <w:ind w:left="232"/>
              <w:rPr>
                <w:sz w:val="18"/>
              </w:rPr>
            </w:pPr>
            <w:r>
              <w:rPr>
                <w:sz w:val="18"/>
              </w:rPr>
              <w:t>29,12</w:t>
            </w:r>
          </w:p>
        </w:tc>
        <w:tc>
          <w:tcPr>
            <w:tcW w:w="1274" w:type="dxa"/>
            <w:shd w:val="clear" w:color="auto" w:fill="BCD5ED"/>
          </w:tcPr>
          <w:p>
            <w:pPr>
              <w:pStyle w:val="TableParagraph"/>
              <w:spacing w:line="160" w:lineRule="exact" w:before="21"/>
              <w:ind w:left="85" w:right="82"/>
              <w:jc w:val="center"/>
              <w:rPr>
                <w:sz w:val="18"/>
              </w:rPr>
            </w:pPr>
            <w:r>
              <w:rPr>
                <w:sz w:val="18"/>
              </w:rPr>
              <w:t>608,00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6" w:space="0" w:color="497DBA"/>
            </w:tcBorders>
            <w:shd w:val="clear" w:color="auto" w:fill="9CC2E4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497DBA"/>
              <w:bottom w:val="nil"/>
              <w:right w:val="nil"/>
            </w:tcBorders>
            <w:shd w:val="clear" w:color="auto" w:fill="9CC2E4"/>
          </w:tcPr>
          <w:p>
            <w:pPr>
              <w:pStyle w:val="TableParagraph"/>
              <w:spacing w:line="176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3 896,98</w:t>
            </w:r>
          </w:p>
        </w:tc>
      </w:tr>
      <w:tr>
        <w:trPr>
          <w:trHeight w:val="237" w:hRule="atLeast"/>
        </w:trPr>
        <w:tc>
          <w:tcPr>
            <w:tcW w:w="2977" w:type="dxa"/>
            <w:shd w:val="clear" w:color="auto" w:fill="BCD5ED"/>
          </w:tcPr>
          <w:p>
            <w:pPr>
              <w:pStyle w:val="TableParagraph"/>
              <w:spacing w:line="191" w:lineRule="exact" w:before="26"/>
              <w:ind w:left="107"/>
              <w:rPr>
                <w:sz w:val="18"/>
              </w:rPr>
            </w:pPr>
            <w:r>
              <w:rPr>
                <w:sz w:val="18"/>
              </w:rPr>
              <w:t>Горячее водоснабжение</w:t>
            </w:r>
          </w:p>
        </w:tc>
        <w:tc>
          <w:tcPr>
            <w:tcW w:w="852" w:type="dxa"/>
          </w:tcPr>
          <w:p>
            <w:pPr>
              <w:pStyle w:val="TableParagraph"/>
              <w:spacing w:line="191" w:lineRule="exact" w:before="26"/>
              <w:ind w:left="302" w:right="29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835" w:type="dxa"/>
          </w:tcPr>
          <w:p>
            <w:pPr>
              <w:pStyle w:val="TableParagraph"/>
              <w:spacing w:line="191" w:lineRule="exact" w:before="2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76" w:type="dxa"/>
          </w:tcPr>
          <w:p>
            <w:pPr>
              <w:pStyle w:val="TableParagraph"/>
              <w:spacing w:line="191" w:lineRule="exact" w:before="26"/>
              <w:ind w:left="186"/>
              <w:rPr>
                <w:sz w:val="18"/>
              </w:rPr>
            </w:pPr>
            <w:r>
              <w:rPr>
                <w:sz w:val="18"/>
              </w:rPr>
              <w:t>106,92</w:t>
            </w:r>
          </w:p>
        </w:tc>
        <w:tc>
          <w:tcPr>
            <w:tcW w:w="1274" w:type="dxa"/>
            <w:shd w:val="clear" w:color="auto" w:fill="BCD5ED"/>
          </w:tcPr>
          <w:p>
            <w:pPr>
              <w:pStyle w:val="TableParagraph"/>
              <w:spacing w:line="191" w:lineRule="exact" w:before="26"/>
              <w:ind w:left="85" w:right="82"/>
              <w:jc w:val="center"/>
              <w:rPr>
                <w:sz w:val="18"/>
              </w:rPr>
            </w:pPr>
            <w:r>
              <w:rPr>
                <w:sz w:val="18"/>
              </w:rPr>
              <w:t>427,70</w:t>
            </w:r>
          </w:p>
        </w:tc>
        <w:tc>
          <w:tcPr>
            <w:tcW w:w="341" w:type="dxa"/>
            <w:gridSpan w:val="2"/>
            <w:vMerge w:val="restart"/>
            <w:tcBorders>
              <w:top w:val="nil"/>
              <w:bottom w:val="single" w:sz="6" w:space="0" w:color="497DBA"/>
              <w:right w:val="single" w:sz="6" w:space="0" w:color="497DBA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36" w:type="dxa"/>
            <w:vMerge w:val="restart"/>
            <w:tcBorders>
              <w:top w:val="nil"/>
              <w:left w:val="single" w:sz="6" w:space="0" w:color="497DBA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977" w:type="dxa"/>
            <w:shd w:val="clear" w:color="auto" w:fill="BCD5ED"/>
          </w:tcPr>
          <w:p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Водоотведение</w:t>
            </w:r>
          </w:p>
        </w:tc>
        <w:tc>
          <w:tcPr>
            <w:tcW w:w="852" w:type="dxa"/>
          </w:tcPr>
          <w:p>
            <w:pPr>
              <w:pStyle w:val="TableParagraph"/>
              <w:spacing w:line="182" w:lineRule="exact"/>
              <w:ind w:left="302" w:right="29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835" w:type="dxa"/>
          </w:tcPr>
          <w:p>
            <w:pPr>
              <w:pStyle w:val="TableParagraph"/>
              <w:spacing w:line="182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76" w:type="dxa"/>
          </w:tcPr>
          <w:p>
            <w:pPr>
              <w:pStyle w:val="TableParagraph"/>
              <w:spacing w:line="182" w:lineRule="exact"/>
              <w:ind w:left="232"/>
              <w:rPr>
                <w:sz w:val="18"/>
              </w:rPr>
            </w:pPr>
            <w:r>
              <w:rPr>
                <w:sz w:val="18"/>
              </w:rPr>
              <w:t>14,25</w:t>
            </w:r>
          </w:p>
        </w:tc>
        <w:tc>
          <w:tcPr>
            <w:tcW w:w="1274" w:type="dxa"/>
            <w:shd w:val="clear" w:color="auto" w:fill="BCD5ED"/>
          </w:tcPr>
          <w:p>
            <w:pPr>
              <w:pStyle w:val="TableParagraph"/>
              <w:spacing w:line="182" w:lineRule="exact"/>
              <w:ind w:left="85" w:right="82"/>
              <w:jc w:val="center"/>
              <w:rPr>
                <w:sz w:val="18"/>
              </w:rPr>
            </w:pPr>
            <w:r>
              <w:rPr>
                <w:sz w:val="18"/>
              </w:rPr>
              <w:t>171,04</w:t>
            </w:r>
          </w:p>
        </w:tc>
        <w:tc>
          <w:tcPr>
            <w:tcW w:w="341" w:type="dxa"/>
            <w:gridSpan w:val="2"/>
            <w:vMerge/>
            <w:tcBorders>
              <w:top w:val="nil"/>
              <w:bottom w:val="single" w:sz="6" w:space="0" w:color="497DBA"/>
              <w:right w:val="single" w:sz="6" w:space="0" w:color="497D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6" w:space="0" w:color="497D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2977" w:type="dxa"/>
            <w:shd w:val="clear" w:color="auto" w:fill="BCD5ED"/>
          </w:tcPr>
          <w:p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Отопление</w:t>
            </w:r>
          </w:p>
        </w:tc>
        <w:tc>
          <w:tcPr>
            <w:tcW w:w="852" w:type="dxa"/>
          </w:tcPr>
          <w:p>
            <w:pPr>
              <w:pStyle w:val="TableParagraph"/>
              <w:spacing w:line="183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Гкал</w:t>
            </w:r>
          </w:p>
        </w:tc>
        <w:tc>
          <w:tcPr>
            <w:tcW w:w="835" w:type="dxa"/>
          </w:tcPr>
          <w:p>
            <w:pPr>
              <w:pStyle w:val="TableParagraph"/>
              <w:spacing w:line="183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876" w:type="dxa"/>
          </w:tcPr>
          <w:p>
            <w:pPr>
              <w:pStyle w:val="TableParagraph"/>
              <w:spacing w:line="183" w:lineRule="exact"/>
              <w:ind w:left="141"/>
              <w:rPr>
                <w:sz w:val="18"/>
              </w:rPr>
            </w:pPr>
            <w:r>
              <w:rPr>
                <w:sz w:val="18"/>
              </w:rPr>
              <w:t>1366,77</w:t>
            </w:r>
          </w:p>
        </w:tc>
        <w:tc>
          <w:tcPr>
            <w:tcW w:w="1274" w:type="dxa"/>
            <w:shd w:val="clear" w:color="auto" w:fill="BCD5ED"/>
          </w:tcPr>
          <w:p>
            <w:pPr>
              <w:pStyle w:val="TableParagraph"/>
              <w:spacing w:line="183" w:lineRule="exact"/>
              <w:ind w:left="85" w:right="82"/>
              <w:jc w:val="center"/>
              <w:rPr>
                <w:sz w:val="18"/>
              </w:rPr>
            </w:pPr>
            <w:r>
              <w:rPr>
                <w:sz w:val="18"/>
              </w:rPr>
              <w:t>1366,77</w:t>
            </w:r>
          </w:p>
        </w:tc>
        <w:tc>
          <w:tcPr>
            <w:tcW w:w="341" w:type="dxa"/>
            <w:gridSpan w:val="2"/>
            <w:vMerge/>
            <w:tcBorders>
              <w:top w:val="nil"/>
              <w:bottom w:val="single" w:sz="6" w:space="0" w:color="497DBA"/>
              <w:right w:val="single" w:sz="6" w:space="0" w:color="497D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6" w:space="0" w:color="497D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2977" w:type="dxa"/>
          </w:tcPr>
          <w:p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Обращение с ТКО</w:t>
            </w:r>
          </w:p>
        </w:tc>
        <w:tc>
          <w:tcPr>
            <w:tcW w:w="852" w:type="dxa"/>
          </w:tcPr>
          <w:p>
            <w:pPr>
              <w:pStyle w:val="TableParagraph"/>
              <w:spacing w:line="183" w:lineRule="exact"/>
              <w:ind w:left="302" w:right="296"/>
              <w:jc w:val="center"/>
              <w:rPr>
                <w:sz w:val="18"/>
              </w:rPr>
            </w:pPr>
            <w:r>
              <w:rPr>
                <w:sz w:val="18"/>
              </w:rPr>
              <w:t>м3</w:t>
            </w:r>
          </w:p>
        </w:tc>
        <w:tc>
          <w:tcPr>
            <w:tcW w:w="835" w:type="dxa"/>
          </w:tcPr>
          <w:p>
            <w:pPr>
              <w:pStyle w:val="TableParagraph"/>
              <w:spacing w:line="183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76" w:type="dxa"/>
          </w:tcPr>
          <w:p>
            <w:pPr>
              <w:pStyle w:val="TableParagraph"/>
              <w:spacing w:line="183" w:lineRule="exact"/>
              <w:ind w:left="186"/>
              <w:rPr>
                <w:sz w:val="18"/>
              </w:rPr>
            </w:pPr>
            <w:r>
              <w:rPr>
                <w:sz w:val="18"/>
              </w:rPr>
              <w:t>718,33</w:t>
            </w:r>
          </w:p>
        </w:tc>
        <w:tc>
          <w:tcPr>
            <w:tcW w:w="1274" w:type="dxa"/>
          </w:tcPr>
          <w:p>
            <w:pPr>
              <w:pStyle w:val="TableParagraph"/>
              <w:spacing w:line="183" w:lineRule="exact"/>
              <w:ind w:left="85" w:right="82"/>
              <w:jc w:val="center"/>
              <w:rPr>
                <w:sz w:val="18"/>
              </w:rPr>
            </w:pPr>
            <w:r>
              <w:rPr>
                <w:sz w:val="18"/>
              </w:rPr>
              <w:t>287,33</w:t>
            </w:r>
          </w:p>
        </w:tc>
        <w:tc>
          <w:tcPr>
            <w:tcW w:w="2677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06" w:hRule="atLeast"/>
        </w:trPr>
        <w:tc>
          <w:tcPr>
            <w:tcW w:w="2977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Домофон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76" w:type="dxa"/>
          </w:tcPr>
          <w:p>
            <w:pPr>
              <w:pStyle w:val="TableParagraph"/>
              <w:ind w:left="278"/>
              <w:rPr>
                <w:sz w:val="18"/>
              </w:rPr>
            </w:pPr>
            <w:r>
              <w:rPr>
                <w:sz w:val="18"/>
              </w:rPr>
              <w:t>53,5</w:t>
            </w:r>
          </w:p>
        </w:tc>
        <w:tc>
          <w:tcPr>
            <w:tcW w:w="1274" w:type="dxa"/>
          </w:tcPr>
          <w:p>
            <w:pPr>
              <w:pStyle w:val="TableParagraph"/>
              <w:ind w:left="85" w:right="79"/>
              <w:jc w:val="center"/>
              <w:rPr>
                <w:sz w:val="18"/>
              </w:rPr>
            </w:pPr>
            <w:r>
              <w:rPr>
                <w:sz w:val="18"/>
              </w:rPr>
              <w:t>54,57</w:t>
            </w:r>
          </w:p>
        </w:tc>
        <w:tc>
          <w:tcPr>
            <w:tcW w:w="2677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297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Прочие расходы</w:t>
            </w:r>
          </w:p>
        </w:tc>
        <w:tc>
          <w:tcPr>
            <w:tcW w:w="852" w:type="dxa"/>
          </w:tcPr>
          <w:p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76" w:type="dxa"/>
          </w:tcPr>
          <w:p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77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977" w:type="dxa"/>
          </w:tcPr>
          <w:p>
            <w:pPr>
              <w:pStyle w:val="TableParagraph"/>
              <w:spacing w:line="200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00" w:lineRule="exact"/>
              <w:ind w:left="85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5 076,11</w:t>
            </w:r>
          </w:p>
        </w:tc>
        <w:tc>
          <w:tcPr>
            <w:tcW w:w="2677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43"/>
        <w:ind w:left="220" w:right="0" w:firstLine="0"/>
        <w:jc w:val="left"/>
        <w:rPr>
          <w:sz w:val="16"/>
        </w:rPr>
      </w:pPr>
      <w:r>
        <w:rPr>
          <w:sz w:val="16"/>
        </w:rPr>
        <w:t>*Расчет производится при неизменном наборе и объеме коммунальных услуг</w:t>
      </w:r>
    </w:p>
    <w:p>
      <w:pPr>
        <w:pStyle w:val="BodyText"/>
        <w:spacing w:before="8"/>
        <w:ind w:left="0" w:firstLine="0"/>
        <w:jc w:val="left"/>
        <w:rPr>
          <w:sz w:val="15"/>
        </w:rPr>
      </w:pPr>
    </w:p>
    <w:p>
      <w:pPr>
        <w:pStyle w:val="BodyText"/>
        <w:spacing w:line="276" w:lineRule="auto" w:before="1"/>
        <w:jc w:val="left"/>
      </w:pPr>
      <w:r>
        <w:rPr/>
        <w:t>В структуру платежного документа помимо коммунальных услуг, которые регулируются государством, входят плата за содержание жилого помещения</w:t>
      </w:r>
    </w:p>
    <w:p>
      <w:pPr>
        <w:spacing w:after="0" w:line="276" w:lineRule="auto"/>
        <w:jc w:val="left"/>
        <w:sectPr>
          <w:pgSz w:w="11910" w:h="16840"/>
          <w:pgMar w:header="712" w:footer="0" w:top="1040" w:bottom="280" w:left="1340" w:right="840"/>
        </w:sect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BodyText"/>
        <w:spacing w:line="276" w:lineRule="auto" w:before="89"/>
        <w:ind w:right="149" w:firstLine="0"/>
      </w:pPr>
      <w:r>
        <w:rPr/>
        <w:t>(включающая в себя плату за услуги, работы </w:t>
      </w:r>
      <w:r>
        <w:rPr>
          <w:spacing w:val="2"/>
        </w:rPr>
        <w:t>по </w:t>
      </w:r>
      <w:r>
        <w:rPr/>
        <w:t>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</w:t>
      </w:r>
      <w:r>
        <w:rPr>
          <w:spacing w:val="-4"/>
        </w:rPr>
        <w:t> </w:t>
      </w:r>
      <w:r>
        <w:rPr/>
        <w:t>капитальный.</w:t>
      </w:r>
    </w:p>
    <w:p>
      <w:pPr>
        <w:pStyle w:val="BodyText"/>
        <w:spacing w:line="276" w:lineRule="auto"/>
        <w:ind w:right="154"/>
      </w:pPr>
      <w:r>
        <w:rPr/>
        <w:t>Размер платы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 либо в договоре управления</w:t>
      </w:r>
      <w:r>
        <w:rPr>
          <w:spacing w:val="7"/>
        </w:rPr>
        <w:t> </w:t>
      </w:r>
      <w:r>
        <w:rPr/>
        <w:t>домом.</w:t>
      </w:r>
    </w:p>
    <w:p>
      <w:pPr>
        <w:pStyle w:val="BodyText"/>
        <w:spacing w:line="276" w:lineRule="auto" w:before="1"/>
        <w:ind w:right="158"/>
      </w:pPr>
      <w:r>
        <w:rPr/>
        <w:t>Размер платы следует уточнять в своей Управляющей компании либо в договоре управления</w:t>
      </w:r>
      <w:r>
        <w:rPr>
          <w:spacing w:val="7"/>
        </w:rPr>
        <w:t> </w:t>
      </w:r>
      <w:r>
        <w:rPr/>
        <w:t>домом.</w:t>
      </w:r>
    </w:p>
    <w:p>
      <w:pPr>
        <w:pStyle w:val="BodyText"/>
        <w:spacing w:line="276" w:lineRule="auto"/>
        <w:ind w:right="155"/>
      </w:pPr>
      <w:r>
        <w:rPr/>
        <w:t>Если при одинаковом наборе коммунальных услуг и сопоставимых объемах потребления рост платы превысит установленный предел роста платы, необходимо обраться в свою Управляющую компанию либо ТСЖ за разъяснениями.</w:t>
      </w:r>
    </w:p>
    <w:p>
      <w:pPr>
        <w:pStyle w:val="BodyText"/>
        <w:spacing w:line="276" w:lineRule="auto"/>
        <w:ind w:right="149"/>
      </w:pPr>
      <w:r>
        <w:rPr/>
        <w:t>Контроль за правильностью определения размера и внесения платы граждан за коммунальные услуги осуществляет Служба жилищного и строительного надзора Ханты-Мансийского автономного округа – Югры сайт: </w:t>
      </w:r>
      <w:hyperlink r:id="rId8">
        <w:r>
          <w:rPr/>
          <w:t>www.jsn.admhmao.ru.</w:t>
        </w:r>
      </w:hyperlink>
    </w:p>
    <w:p>
      <w:pPr>
        <w:pStyle w:val="BodyText"/>
        <w:spacing w:line="276" w:lineRule="auto"/>
        <w:ind w:right="153"/>
      </w:pPr>
      <w:r>
        <w:rPr/>
        <w:t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граждан».</w:t>
      </w:r>
    </w:p>
    <w:sectPr>
      <w:pgSz w:w="11910" w:h="16840"/>
      <w:pgMar w:header="712" w:footer="0" w:top="1040" w:bottom="280" w:left="13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450012pt;margin-top:34.608753pt;width:11.05pt;height:17.55pt;mso-position-horizontal-relative:page;mso-position-vertical-relative:page;z-index:-252433408" type="#_x0000_t202" filled="false" stroked="false">
          <v:textbox inset="0,0,0,0">
            <w:txbxContent>
              <w:p>
                <w:pPr>
                  <w:spacing w:before="9"/>
                  <w:ind w:left="4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220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70" w:hanging="315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21" w:hanging="315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71" w:hanging="315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22" w:hanging="315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973" w:hanging="315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23" w:hanging="315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874" w:hanging="315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25" w:hanging="315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0"/>
      <w:numFmt w:val="bullet"/>
      <w:lvlText w:val="о"/>
      <w:lvlJc w:val="left"/>
      <w:pPr>
        <w:ind w:left="220" w:hanging="238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70" w:hanging="23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21" w:hanging="23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071" w:hanging="23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22" w:hanging="23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973" w:hanging="23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923" w:hanging="23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874" w:hanging="23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825" w:hanging="238"/>
      </w:pPr>
      <w:rPr>
        <w:rFonts w:hint="default"/>
        <w:lang w:val="ru-RU" w:eastAsia="ru-RU" w:bidi="ru-RU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220" w:firstLine="566"/>
      <w:jc w:val="both"/>
    </w:pPr>
    <w:rPr>
      <w:rFonts w:ascii="Times New Roman" w:hAnsi="Times New Roman" w:eastAsia="Times New Roman" w:cs="Times New Roman"/>
      <w:sz w:val="26"/>
      <w:szCs w:val="26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767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220" w:right="150" w:firstLine="566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line="186" w:lineRule="exact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rst.admhmao.ru/" TargetMode="External"/><Relationship Id="rId6" Type="http://schemas.openxmlformats.org/officeDocument/2006/relationships/header" Target="header1.xml"/><Relationship Id="rId7" Type="http://schemas.openxmlformats.org/officeDocument/2006/relationships/image" Target="media/image1.jpeg"/><Relationship Id="rId8" Type="http://schemas.openxmlformats.org/officeDocument/2006/relationships/hyperlink" Target="http://www.jsn.admhmao.ru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CherkasovaAL</dc:creator>
  <dcterms:created xsi:type="dcterms:W3CDTF">2019-07-03T03:59:51Z</dcterms:created>
  <dcterms:modified xsi:type="dcterms:W3CDTF">2019-07-03T03:59:51Z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2019-07-03T00:00:00Z</vt:filetime>
  </property>
</Properties>
</file>