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drawings/drawing1.xml" ContentType="application/vnd.openxmlformats-officedocument.drawingml.chartshapes+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theme/themeOverride1.xml" ContentType="application/vnd.openxmlformats-officedocument.themeOverride+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A94" w:rsidRPr="00D9598F" w:rsidRDefault="00AE0A94" w:rsidP="00AE0A94">
      <w:pPr>
        <w:pStyle w:val="11"/>
        <w:ind w:left="-360"/>
        <w:jc w:val="center"/>
        <w:rPr>
          <w:b/>
          <w:sz w:val="28"/>
          <w:szCs w:val="28"/>
        </w:rPr>
      </w:pPr>
      <w:r w:rsidRPr="00D9598F">
        <w:rPr>
          <w:b/>
          <w:sz w:val="28"/>
          <w:szCs w:val="28"/>
        </w:rPr>
        <w:t>ФЕДЕРАЛЬНАЯ СЛУЖБА ПО НАДЗОРУ В СФЕРЕ ЗАЩИТЫ ПРАВ ПОТРЕБИТЕЛЕЙ И БЛАГОПОЛУЧИЯ ЧЕЛОВЕКА</w:t>
      </w:r>
    </w:p>
    <w:p w:rsidR="00AE0A94" w:rsidRDefault="00AE0A94" w:rsidP="00AE0A94">
      <w:pPr>
        <w:pStyle w:val="11"/>
        <w:jc w:val="center"/>
      </w:pPr>
    </w:p>
    <w:p w:rsidR="00AE0A94" w:rsidRDefault="00AE0A94" w:rsidP="00AE0A94">
      <w:pPr>
        <w:pStyle w:val="11"/>
        <w:jc w:val="center"/>
        <w:rPr>
          <w:b/>
        </w:rPr>
      </w:pPr>
      <w:r>
        <w:rPr>
          <w:b/>
        </w:rPr>
        <w:t xml:space="preserve">Управление Федеральной службы по надзору в сфере защиты прав потребителей и </w:t>
      </w:r>
    </w:p>
    <w:p w:rsidR="00AE0A94" w:rsidRDefault="00AE0A94" w:rsidP="00AE0A94">
      <w:pPr>
        <w:pStyle w:val="11"/>
        <w:jc w:val="center"/>
        <w:rPr>
          <w:b/>
        </w:rPr>
      </w:pPr>
      <w:r>
        <w:rPr>
          <w:b/>
        </w:rPr>
        <w:t>благополучия человека по ХМАО-Югре</w:t>
      </w:r>
    </w:p>
    <w:p w:rsidR="00AE0A94" w:rsidRDefault="00AE0A94" w:rsidP="00AE0A94">
      <w:pPr>
        <w:pStyle w:val="11"/>
        <w:jc w:val="center"/>
        <w:rPr>
          <w:b/>
        </w:rPr>
      </w:pPr>
    </w:p>
    <w:p w:rsidR="00AE0A94" w:rsidRDefault="00AE0A94" w:rsidP="00AE0A94">
      <w:pPr>
        <w:pStyle w:val="11"/>
        <w:jc w:val="center"/>
        <w:rPr>
          <w:b/>
        </w:rPr>
      </w:pPr>
    </w:p>
    <w:p w:rsidR="00AE0A94" w:rsidRDefault="00AE0A94" w:rsidP="00AE0A94">
      <w:pPr>
        <w:pStyle w:val="11"/>
        <w:jc w:val="center"/>
        <w:rPr>
          <w:b/>
          <w:sz w:val="32"/>
          <w:szCs w:val="32"/>
        </w:rPr>
      </w:pPr>
      <w:r w:rsidRPr="00D9598F">
        <w:rPr>
          <w:b/>
          <w:sz w:val="32"/>
          <w:szCs w:val="32"/>
        </w:rPr>
        <w:t>Территориальный отдел по г. Нефтеюганску</w:t>
      </w:r>
      <w:r>
        <w:rPr>
          <w:b/>
          <w:sz w:val="32"/>
          <w:szCs w:val="32"/>
        </w:rPr>
        <w:t>,</w:t>
      </w:r>
      <w:r w:rsidRPr="00C50BD5">
        <w:rPr>
          <w:b/>
          <w:sz w:val="32"/>
          <w:szCs w:val="32"/>
        </w:rPr>
        <w:t xml:space="preserve"> </w:t>
      </w:r>
      <w:r w:rsidRPr="00D9598F">
        <w:rPr>
          <w:b/>
          <w:sz w:val="32"/>
          <w:szCs w:val="32"/>
        </w:rPr>
        <w:t>Нефтеюганскому району и</w:t>
      </w:r>
      <w:r w:rsidRPr="00C50BD5">
        <w:rPr>
          <w:b/>
          <w:sz w:val="32"/>
          <w:szCs w:val="32"/>
        </w:rPr>
        <w:t xml:space="preserve"> </w:t>
      </w:r>
      <w:r w:rsidRPr="00D9598F">
        <w:rPr>
          <w:b/>
          <w:sz w:val="32"/>
          <w:szCs w:val="32"/>
        </w:rPr>
        <w:t>г.</w:t>
      </w:r>
      <w:r w:rsidRPr="00C50BD5">
        <w:rPr>
          <w:b/>
          <w:sz w:val="32"/>
          <w:szCs w:val="32"/>
        </w:rPr>
        <w:t xml:space="preserve"> </w:t>
      </w:r>
      <w:r w:rsidRPr="00D9598F">
        <w:rPr>
          <w:b/>
          <w:sz w:val="32"/>
          <w:szCs w:val="32"/>
        </w:rPr>
        <w:t>Пыть-Яху</w:t>
      </w:r>
    </w:p>
    <w:p w:rsidR="00AE0A94" w:rsidRPr="00D9598F" w:rsidRDefault="00AE0A94" w:rsidP="00AE0A94">
      <w:pPr>
        <w:pStyle w:val="11"/>
        <w:jc w:val="center"/>
        <w:rPr>
          <w:b/>
          <w:sz w:val="32"/>
          <w:szCs w:val="32"/>
        </w:rPr>
      </w:pPr>
    </w:p>
    <w:p w:rsidR="00AE0A94" w:rsidRDefault="00AE0A94" w:rsidP="00AE0A94">
      <w:pPr>
        <w:pStyle w:val="11"/>
        <w:rPr>
          <w:b/>
        </w:rPr>
      </w:pPr>
    </w:p>
    <w:p w:rsidR="00AE0A94" w:rsidRPr="006907C3" w:rsidRDefault="00AE0A94" w:rsidP="00AE0A94">
      <w:pPr>
        <w:jc w:val="center"/>
      </w:pPr>
    </w:p>
    <w:p w:rsidR="00AE0A94" w:rsidRPr="006907C3" w:rsidRDefault="00AE0A94" w:rsidP="00AE0A94">
      <w:pPr>
        <w:jc w:val="center"/>
      </w:pPr>
    </w:p>
    <w:p w:rsidR="00AE0A94" w:rsidRPr="006907C3" w:rsidRDefault="00AE0A94" w:rsidP="00AE0A94">
      <w:pPr>
        <w:jc w:val="center"/>
      </w:pPr>
    </w:p>
    <w:p w:rsidR="00AE0A94" w:rsidRPr="0069416E" w:rsidRDefault="00AE0A94" w:rsidP="00AE0A94">
      <w:pPr>
        <w:jc w:val="center"/>
        <w:rPr>
          <w:b/>
          <w:sz w:val="48"/>
          <w:szCs w:val="48"/>
        </w:rPr>
      </w:pPr>
      <w:r w:rsidRPr="0069416E">
        <w:rPr>
          <w:b/>
          <w:sz w:val="48"/>
          <w:szCs w:val="48"/>
        </w:rPr>
        <w:t xml:space="preserve">Материалы к </w:t>
      </w:r>
    </w:p>
    <w:p w:rsidR="00AE0A94" w:rsidRPr="0069416E" w:rsidRDefault="00AE0A94" w:rsidP="00AE0A94">
      <w:pPr>
        <w:jc w:val="center"/>
        <w:rPr>
          <w:sz w:val="36"/>
          <w:szCs w:val="36"/>
        </w:rPr>
      </w:pPr>
    </w:p>
    <w:p w:rsidR="00AE0A94" w:rsidRPr="0069416E" w:rsidRDefault="00AE0A94" w:rsidP="00AE0A94">
      <w:pPr>
        <w:pStyle w:val="1"/>
        <w:rPr>
          <w:b/>
          <w:sz w:val="52"/>
          <w:lang w:val="ru-RU"/>
        </w:rPr>
      </w:pPr>
      <w:r w:rsidRPr="0069416E">
        <w:rPr>
          <w:b/>
          <w:sz w:val="52"/>
          <w:lang w:val="ru-RU"/>
        </w:rPr>
        <w:t>ГОСУДАРСТВЕННОМУ ДОКЛАДУ</w:t>
      </w:r>
    </w:p>
    <w:p w:rsidR="00AE0A94" w:rsidRPr="0069416E" w:rsidRDefault="00AE0A94" w:rsidP="00AE0A94">
      <w:pPr>
        <w:jc w:val="center"/>
        <w:rPr>
          <w:b/>
          <w:sz w:val="40"/>
        </w:rPr>
      </w:pPr>
    </w:p>
    <w:p w:rsidR="00AE0A94" w:rsidRDefault="00AE0A94" w:rsidP="00AE0A94">
      <w:pPr>
        <w:jc w:val="center"/>
        <w:rPr>
          <w:b/>
          <w:sz w:val="40"/>
        </w:rPr>
      </w:pPr>
      <w:r>
        <w:rPr>
          <w:b/>
          <w:sz w:val="40"/>
        </w:rPr>
        <w:t>«О состоянии санитарно-эпидемиологи</w:t>
      </w:r>
      <w:r w:rsidR="003864C3">
        <w:rPr>
          <w:b/>
          <w:sz w:val="40"/>
        </w:rPr>
        <w:t xml:space="preserve">ческого благополучия населения </w:t>
      </w:r>
      <w:r>
        <w:rPr>
          <w:b/>
          <w:sz w:val="40"/>
        </w:rPr>
        <w:t xml:space="preserve">в городе Пыть-Ях   </w:t>
      </w:r>
    </w:p>
    <w:p w:rsidR="00AE0A94" w:rsidRDefault="00AE0A94" w:rsidP="00AE0A94">
      <w:pPr>
        <w:jc w:val="center"/>
        <w:rPr>
          <w:b/>
          <w:sz w:val="40"/>
        </w:rPr>
      </w:pPr>
      <w:r>
        <w:rPr>
          <w:b/>
          <w:sz w:val="40"/>
        </w:rPr>
        <w:t xml:space="preserve">в </w:t>
      </w:r>
      <w:proofErr w:type="gramStart"/>
      <w:r>
        <w:rPr>
          <w:b/>
          <w:sz w:val="40"/>
        </w:rPr>
        <w:t>2020  году</w:t>
      </w:r>
      <w:proofErr w:type="gramEnd"/>
      <w:r>
        <w:rPr>
          <w:b/>
          <w:sz w:val="40"/>
        </w:rPr>
        <w:t>»</w:t>
      </w:r>
    </w:p>
    <w:p w:rsidR="00AE0A94" w:rsidRDefault="00AE0A94" w:rsidP="00AE0A94">
      <w:pPr>
        <w:jc w:val="center"/>
        <w:rPr>
          <w:b/>
          <w:sz w:val="28"/>
        </w:rPr>
      </w:pPr>
    </w:p>
    <w:p w:rsidR="00AE0A94" w:rsidRDefault="00AE0A94" w:rsidP="00AE0A94">
      <w:pPr>
        <w:jc w:val="center"/>
        <w:rPr>
          <w:sz w:val="28"/>
        </w:rPr>
      </w:pPr>
    </w:p>
    <w:p w:rsidR="00AE0A94" w:rsidRDefault="00AE0A94" w:rsidP="00AE0A94">
      <w:pPr>
        <w:rPr>
          <w:sz w:val="28"/>
        </w:rPr>
      </w:pPr>
    </w:p>
    <w:p w:rsidR="00AE0A94" w:rsidRDefault="00AE0A94" w:rsidP="00AE0A94">
      <w:pPr>
        <w:rPr>
          <w:sz w:val="28"/>
        </w:rPr>
      </w:pPr>
    </w:p>
    <w:p w:rsidR="00AE0A94" w:rsidRDefault="00AE0A94" w:rsidP="00AE0A94">
      <w:pPr>
        <w:rPr>
          <w:sz w:val="28"/>
        </w:rPr>
      </w:pPr>
    </w:p>
    <w:p w:rsidR="00AE0A94" w:rsidRDefault="00AE0A94" w:rsidP="00AE0A94">
      <w:pPr>
        <w:rPr>
          <w:sz w:val="28"/>
        </w:rPr>
      </w:pPr>
    </w:p>
    <w:p w:rsidR="00AE0A94" w:rsidRDefault="00AE0A94" w:rsidP="00AE0A94">
      <w:pPr>
        <w:rPr>
          <w:sz w:val="28"/>
        </w:rPr>
      </w:pPr>
    </w:p>
    <w:p w:rsidR="00AE0A94" w:rsidRDefault="00AE0A94" w:rsidP="00AE0A94">
      <w:pPr>
        <w:jc w:val="center"/>
        <w:rPr>
          <w:b/>
        </w:rPr>
      </w:pPr>
      <w:r>
        <w:rPr>
          <w:b/>
        </w:rPr>
        <w:t>г. Нефтеюганск</w:t>
      </w:r>
    </w:p>
    <w:p w:rsidR="00AE0A94" w:rsidRDefault="00AE0A94" w:rsidP="00AE0A94">
      <w:pPr>
        <w:jc w:val="center"/>
        <w:rPr>
          <w:b/>
        </w:rPr>
      </w:pPr>
      <w:r>
        <w:rPr>
          <w:b/>
        </w:rPr>
        <w:t>2021</w:t>
      </w:r>
    </w:p>
    <w:p w:rsidR="00AE0A94" w:rsidRDefault="00AE0A94" w:rsidP="00AE0A94">
      <w:pPr>
        <w:jc w:val="center"/>
      </w:pPr>
      <w:r>
        <w:rPr>
          <w:b/>
        </w:rPr>
        <w:t xml:space="preserve"> год</w:t>
      </w:r>
    </w:p>
    <w:p w:rsidR="008F3AF5" w:rsidRDefault="008F3AF5" w:rsidP="00AE0A94">
      <w:pPr>
        <w:spacing w:after="0" w:line="240" w:lineRule="auto"/>
        <w:jc w:val="center"/>
        <w:rPr>
          <w:rFonts w:ascii="Times New Roman" w:hAnsi="Times New Roman" w:cs="Times New Roman"/>
          <w:b/>
          <w:sz w:val="24"/>
          <w:szCs w:val="24"/>
          <w:u w:val="single"/>
        </w:rPr>
      </w:pPr>
    </w:p>
    <w:p w:rsidR="008F3AF5" w:rsidRDefault="008F3AF5" w:rsidP="00AE0A94">
      <w:pPr>
        <w:spacing w:after="0" w:line="240" w:lineRule="auto"/>
        <w:jc w:val="center"/>
        <w:rPr>
          <w:rFonts w:ascii="Times New Roman" w:hAnsi="Times New Roman" w:cs="Times New Roman"/>
          <w:b/>
          <w:sz w:val="24"/>
          <w:szCs w:val="24"/>
          <w:u w:val="single"/>
        </w:rPr>
      </w:pPr>
    </w:p>
    <w:p w:rsidR="00964F92" w:rsidRDefault="00964F92" w:rsidP="00AE0A94">
      <w:pPr>
        <w:spacing w:after="0" w:line="240" w:lineRule="auto"/>
        <w:jc w:val="center"/>
        <w:rPr>
          <w:rFonts w:ascii="Times New Roman" w:hAnsi="Times New Roman" w:cs="Times New Roman"/>
          <w:b/>
          <w:sz w:val="24"/>
          <w:szCs w:val="24"/>
          <w:u w:val="single"/>
        </w:rPr>
      </w:pPr>
    </w:p>
    <w:p w:rsidR="00AE0A94" w:rsidRPr="00AE0A94" w:rsidRDefault="00AE0A94" w:rsidP="00AE0A94">
      <w:pPr>
        <w:spacing w:after="0" w:line="240" w:lineRule="auto"/>
        <w:jc w:val="center"/>
        <w:rPr>
          <w:rFonts w:ascii="Times New Roman" w:hAnsi="Times New Roman" w:cs="Times New Roman"/>
          <w:b/>
          <w:sz w:val="24"/>
          <w:szCs w:val="24"/>
          <w:u w:val="single"/>
        </w:rPr>
      </w:pPr>
      <w:r w:rsidRPr="00AE0A94">
        <w:rPr>
          <w:rFonts w:ascii="Times New Roman" w:hAnsi="Times New Roman" w:cs="Times New Roman"/>
          <w:b/>
          <w:sz w:val="24"/>
          <w:szCs w:val="24"/>
          <w:u w:val="single"/>
        </w:rPr>
        <w:lastRenderedPageBreak/>
        <w:t>Оглавление</w:t>
      </w:r>
    </w:p>
    <w:p w:rsidR="00AE0A94" w:rsidRPr="00AE0A94" w:rsidRDefault="00AE0A94" w:rsidP="00AE0A94">
      <w:pPr>
        <w:spacing w:after="0" w:line="240" w:lineRule="auto"/>
        <w:jc w:val="center"/>
        <w:rPr>
          <w:rFonts w:ascii="Times New Roman" w:hAnsi="Times New Roman" w:cs="Times New Roman"/>
          <w:sz w:val="24"/>
          <w:szCs w:val="24"/>
        </w:rPr>
      </w:pPr>
    </w:p>
    <w:p w:rsidR="00AE0A94" w:rsidRPr="00AE0A94" w:rsidRDefault="00AE0A94" w:rsidP="00AE0A94">
      <w:pPr>
        <w:spacing w:after="0" w:line="240" w:lineRule="auto"/>
        <w:jc w:val="both"/>
        <w:rPr>
          <w:rFonts w:ascii="Times New Roman" w:hAnsi="Times New Roman" w:cs="Times New Roman"/>
          <w:sz w:val="24"/>
          <w:szCs w:val="24"/>
        </w:rPr>
      </w:pPr>
      <w:proofErr w:type="gramStart"/>
      <w:r w:rsidRPr="00AE0A94">
        <w:rPr>
          <w:rFonts w:ascii="Times New Roman" w:hAnsi="Times New Roman" w:cs="Times New Roman"/>
          <w:sz w:val="24"/>
          <w:szCs w:val="24"/>
        </w:rPr>
        <w:t>Введение  …</w:t>
      </w:r>
      <w:proofErr w:type="gramEnd"/>
      <w:r w:rsidRPr="00AE0A94">
        <w:rPr>
          <w:rFonts w:ascii="Times New Roman" w:hAnsi="Times New Roman" w:cs="Times New Roman"/>
          <w:sz w:val="24"/>
          <w:szCs w:val="24"/>
        </w:rPr>
        <w:t>…………………………………………………………………………….…</w:t>
      </w:r>
      <w:r w:rsidR="003864C3">
        <w:rPr>
          <w:rFonts w:ascii="Times New Roman" w:hAnsi="Times New Roman" w:cs="Times New Roman"/>
          <w:sz w:val="24"/>
          <w:szCs w:val="24"/>
        </w:rPr>
        <w:t>4</w:t>
      </w:r>
      <w:r w:rsidRPr="00AE0A94">
        <w:rPr>
          <w:rFonts w:ascii="Times New Roman" w:hAnsi="Times New Roman" w:cs="Times New Roman"/>
          <w:sz w:val="24"/>
          <w:szCs w:val="24"/>
        </w:rPr>
        <w:t xml:space="preserve"> - </w:t>
      </w:r>
      <w:r w:rsidR="003864C3">
        <w:rPr>
          <w:rFonts w:ascii="Times New Roman" w:hAnsi="Times New Roman" w:cs="Times New Roman"/>
          <w:sz w:val="24"/>
          <w:szCs w:val="24"/>
        </w:rPr>
        <w:t>5</w:t>
      </w:r>
      <w:r w:rsidRPr="00AE0A94">
        <w:rPr>
          <w:rFonts w:ascii="Times New Roman" w:hAnsi="Times New Roman" w:cs="Times New Roman"/>
          <w:sz w:val="24"/>
          <w:szCs w:val="24"/>
        </w:rPr>
        <w:t xml:space="preserve"> </w:t>
      </w:r>
    </w:p>
    <w:p w:rsidR="00AE0A94" w:rsidRPr="00AE0A94" w:rsidRDefault="00AE0A94" w:rsidP="00AE0A94">
      <w:pPr>
        <w:spacing w:after="0" w:line="240" w:lineRule="auto"/>
        <w:jc w:val="both"/>
        <w:rPr>
          <w:rFonts w:ascii="Times New Roman" w:hAnsi="Times New Roman" w:cs="Times New Roman"/>
          <w:b/>
          <w:sz w:val="24"/>
          <w:szCs w:val="24"/>
        </w:rPr>
      </w:pPr>
      <w:r w:rsidRPr="00AE0A94">
        <w:rPr>
          <w:rFonts w:ascii="Times New Roman" w:hAnsi="Times New Roman" w:cs="Times New Roman"/>
          <w:sz w:val="24"/>
          <w:szCs w:val="24"/>
        </w:rPr>
        <w:t xml:space="preserve">Раздел </w:t>
      </w:r>
      <w:r w:rsidRPr="00AE0A94">
        <w:rPr>
          <w:rFonts w:ascii="Times New Roman" w:hAnsi="Times New Roman" w:cs="Times New Roman"/>
          <w:b/>
          <w:sz w:val="24"/>
          <w:szCs w:val="24"/>
        </w:rPr>
        <w:t>1. Результаты социально-гигиенического мониторинга за отчетный год и в динамике за последние три года.</w:t>
      </w:r>
    </w:p>
    <w:p w:rsidR="00AE0A94" w:rsidRPr="00AE0A94" w:rsidRDefault="00AE0A94" w:rsidP="00AE0A94">
      <w:pPr>
        <w:spacing w:after="0" w:line="240" w:lineRule="auto"/>
        <w:jc w:val="both"/>
        <w:rPr>
          <w:rFonts w:ascii="Times New Roman" w:hAnsi="Times New Roman" w:cs="Times New Roman"/>
          <w:b/>
          <w:sz w:val="24"/>
          <w:szCs w:val="24"/>
        </w:rPr>
      </w:pPr>
      <w:r w:rsidRPr="00AE0A94">
        <w:rPr>
          <w:rFonts w:ascii="Times New Roman" w:hAnsi="Times New Roman" w:cs="Times New Roman"/>
          <w:sz w:val="24"/>
          <w:szCs w:val="24"/>
        </w:rPr>
        <w:t>Глава 1.1. Состояние среды обитания и ее влияние на здоровье населения.</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1.1.1. Анализ состояния среды обитания в г. Пыть-Ях. ……………………</w:t>
      </w:r>
      <w:r w:rsidR="008F3AF5">
        <w:rPr>
          <w:rFonts w:ascii="Times New Roman" w:hAnsi="Times New Roman" w:cs="Times New Roman"/>
          <w:sz w:val="24"/>
          <w:szCs w:val="24"/>
        </w:rPr>
        <w:t xml:space="preserve">      </w:t>
      </w:r>
      <w:r w:rsidRPr="00AE0A94">
        <w:rPr>
          <w:rFonts w:ascii="Times New Roman" w:hAnsi="Times New Roman" w:cs="Times New Roman"/>
          <w:sz w:val="24"/>
          <w:szCs w:val="24"/>
        </w:rPr>
        <w:t xml:space="preserve">…….. </w:t>
      </w:r>
      <w:r w:rsidR="00F6135D">
        <w:rPr>
          <w:rFonts w:ascii="Times New Roman" w:hAnsi="Times New Roman" w:cs="Times New Roman"/>
          <w:sz w:val="24"/>
          <w:szCs w:val="24"/>
        </w:rPr>
        <w:t>5</w:t>
      </w:r>
      <w:r w:rsidRPr="00AE0A94">
        <w:rPr>
          <w:rFonts w:ascii="Times New Roman" w:hAnsi="Times New Roman" w:cs="Times New Roman"/>
          <w:sz w:val="24"/>
          <w:szCs w:val="24"/>
        </w:rPr>
        <w:t>-2</w:t>
      </w:r>
      <w:r w:rsidR="00F6135D">
        <w:rPr>
          <w:rFonts w:ascii="Times New Roman" w:hAnsi="Times New Roman" w:cs="Times New Roman"/>
          <w:sz w:val="24"/>
          <w:szCs w:val="24"/>
        </w:rPr>
        <w:t>1</w:t>
      </w:r>
      <w:r w:rsidRPr="00AE0A94">
        <w:rPr>
          <w:rFonts w:ascii="Times New Roman" w:hAnsi="Times New Roman" w:cs="Times New Roman"/>
          <w:sz w:val="24"/>
          <w:szCs w:val="24"/>
        </w:rPr>
        <w:t xml:space="preserve">  </w:t>
      </w:r>
    </w:p>
    <w:p w:rsidR="00AE0A94" w:rsidRPr="00AE0A94" w:rsidRDefault="00AE0A94" w:rsidP="00AE0A94">
      <w:pPr>
        <w:numPr>
          <w:ilvl w:val="3"/>
          <w:numId w:val="1"/>
        </w:num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Состояние атмосф</w:t>
      </w:r>
      <w:r w:rsidR="008F3AF5">
        <w:rPr>
          <w:rFonts w:ascii="Times New Roman" w:hAnsi="Times New Roman" w:cs="Times New Roman"/>
          <w:sz w:val="24"/>
          <w:szCs w:val="24"/>
        </w:rPr>
        <w:t xml:space="preserve">ерного воздуха ……………………………………  </w:t>
      </w:r>
      <w:r w:rsidR="003864C3">
        <w:rPr>
          <w:rFonts w:ascii="Times New Roman" w:hAnsi="Times New Roman" w:cs="Times New Roman"/>
          <w:sz w:val="24"/>
          <w:szCs w:val="24"/>
        </w:rPr>
        <w:t>………   5</w:t>
      </w:r>
      <w:r w:rsidRPr="00AE0A94">
        <w:rPr>
          <w:rFonts w:ascii="Times New Roman" w:hAnsi="Times New Roman" w:cs="Times New Roman"/>
          <w:sz w:val="24"/>
          <w:szCs w:val="24"/>
        </w:rPr>
        <w:t>-</w:t>
      </w:r>
      <w:r w:rsidR="003864C3">
        <w:rPr>
          <w:rFonts w:ascii="Times New Roman" w:hAnsi="Times New Roman" w:cs="Times New Roman"/>
          <w:sz w:val="24"/>
          <w:szCs w:val="24"/>
        </w:rPr>
        <w:t>6</w:t>
      </w:r>
    </w:p>
    <w:p w:rsidR="00AE0A94" w:rsidRPr="00AE0A94" w:rsidRDefault="00AE0A94" w:rsidP="00AE0A94">
      <w:pPr>
        <w:numPr>
          <w:ilvl w:val="3"/>
          <w:numId w:val="1"/>
        </w:num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 xml:space="preserve">Состояние водоснабжения………………………………………………………. </w:t>
      </w:r>
      <w:r w:rsidR="003864C3">
        <w:rPr>
          <w:rFonts w:ascii="Times New Roman" w:hAnsi="Times New Roman" w:cs="Times New Roman"/>
          <w:sz w:val="24"/>
          <w:szCs w:val="24"/>
        </w:rPr>
        <w:t>6</w:t>
      </w:r>
      <w:r w:rsidRPr="00AE0A94">
        <w:rPr>
          <w:rFonts w:ascii="Times New Roman" w:hAnsi="Times New Roman" w:cs="Times New Roman"/>
          <w:sz w:val="24"/>
          <w:szCs w:val="24"/>
        </w:rPr>
        <w:t>-</w:t>
      </w:r>
      <w:r w:rsidR="003864C3">
        <w:rPr>
          <w:rFonts w:ascii="Times New Roman" w:hAnsi="Times New Roman" w:cs="Times New Roman"/>
          <w:sz w:val="24"/>
          <w:szCs w:val="24"/>
        </w:rPr>
        <w:t>12</w:t>
      </w:r>
    </w:p>
    <w:p w:rsidR="00AE0A94" w:rsidRPr="00AE0A94" w:rsidRDefault="00AE0A94" w:rsidP="00AE0A94">
      <w:pPr>
        <w:numPr>
          <w:ilvl w:val="3"/>
          <w:numId w:val="1"/>
        </w:num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Состояние почвы…………………………………………………………</w:t>
      </w:r>
      <w:r w:rsidR="008F3AF5">
        <w:rPr>
          <w:rFonts w:ascii="Times New Roman" w:hAnsi="Times New Roman" w:cs="Times New Roman"/>
          <w:sz w:val="24"/>
          <w:szCs w:val="24"/>
        </w:rPr>
        <w:t xml:space="preserve"> </w:t>
      </w:r>
      <w:proofErr w:type="gramStart"/>
      <w:r w:rsidRPr="00AE0A94">
        <w:rPr>
          <w:rFonts w:ascii="Times New Roman" w:hAnsi="Times New Roman" w:cs="Times New Roman"/>
          <w:sz w:val="24"/>
          <w:szCs w:val="24"/>
        </w:rPr>
        <w:t>…….</w:t>
      </w:r>
      <w:proofErr w:type="gramEnd"/>
      <w:r w:rsidRPr="00AE0A94">
        <w:rPr>
          <w:rFonts w:ascii="Times New Roman" w:hAnsi="Times New Roman" w:cs="Times New Roman"/>
          <w:sz w:val="24"/>
          <w:szCs w:val="24"/>
        </w:rPr>
        <w:t xml:space="preserve">.  </w:t>
      </w:r>
      <w:r w:rsidR="003864C3">
        <w:rPr>
          <w:rFonts w:ascii="Times New Roman" w:hAnsi="Times New Roman" w:cs="Times New Roman"/>
          <w:sz w:val="24"/>
          <w:szCs w:val="24"/>
        </w:rPr>
        <w:t>12</w:t>
      </w:r>
      <w:r w:rsidRPr="00AE0A94">
        <w:rPr>
          <w:rFonts w:ascii="Times New Roman" w:hAnsi="Times New Roman" w:cs="Times New Roman"/>
          <w:sz w:val="24"/>
          <w:szCs w:val="24"/>
        </w:rPr>
        <w:t>-1</w:t>
      </w:r>
      <w:r w:rsidR="003864C3">
        <w:rPr>
          <w:rFonts w:ascii="Times New Roman" w:hAnsi="Times New Roman" w:cs="Times New Roman"/>
          <w:sz w:val="24"/>
          <w:szCs w:val="24"/>
        </w:rPr>
        <w:t>3</w:t>
      </w:r>
    </w:p>
    <w:p w:rsidR="00AE0A94" w:rsidRPr="00AE0A94" w:rsidRDefault="00AE0A94" w:rsidP="00AE0A94">
      <w:pPr>
        <w:numPr>
          <w:ilvl w:val="3"/>
          <w:numId w:val="1"/>
        </w:num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Состояние радиационной обстановки…………………………………</w:t>
      </w:r>
      <w:r w:rsidR="008F3AF5">
        <w:rPr>
          <w:rFonts w:ascii="Times New Roman" w:hAnsi="Times New Roman" w:cs="Times New Roman"/>
          <w:sz w:val="24"/>
          <w:szCs w:val="24"/>
        </w:rPr>
        <w:t xml:space="preserve"> </w:t>
      </w:r>
      <w:r w:rsidR="003864C3">
        <w:rPr>
          <w:rFonts w:ascii="Times New Roman" w:hAnsi="Times New Roman" w:cs="Times New Roman"/>
          <w:sz w:val="24"/>
          <w:szCs w:val="24"/>
        </w:rPr>
        <w:t>………  13-21</w:t>
      </w:r>
    </w:p>
    <w:p w:rsidR="00AE0A94" w:rsidRPr="00AE0A94" w:rsidRDefault="00AE0A94" w:rsidP="00AE0A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E0A94">
        <w:rPr>
          <w:rFonts w:ascii="Times New Roman" w:hAnsi="Times New Roman" w:cs="Times New Roman"/>
          <w:sz w:val="24"/>
          <w:szCs w:val="24"/>
        </w:rPr>
        <w:t xml:space="preserve">1.1.2. </w:t>
      </w:r>
      <w:proofErr w:type="gramStart"/>
      <w:r w:rsidRPr="00AE0A94">
        <w:rPr>
          <w:rFonts w:ascii="Times New Roman" w:hAnsi="Times New Roman" w:cs="Times New Roman"/>
          <w:sz w:val="24"/>
          <w:szCs w:val="24"/>
        </w:rPr>
        <w:t>Приоритетные  санитарно</w:t>
      </w:r>
      <w:proofErr w:type="gramEnd"/>
      <w:r w:rsidRPr="00AE0A94">
        <w:rPr>
          <w:rFonts w:ascii="Times New Roman" w:hAnsi="Times New Roman" w:cs="Times New Roman"/>
          <w:sz w:val="24"/>
          <w:szCs w:val="24"/>
        </w:rPr>
        <w:t>-эпидемиологические и социальные факторы, формирующие негативные тенденции в состоянии здоровья населения г. Пыть-Ях…………………………………………………………………………..………</w:t>
      </w:r>
      <w:r w:rsidR="008F3AF5">
        <w:rPr>
          <w:rFonts w:ascii="Times New Roman" w:hAnsi="Times New Roman" w:cs="Times New Roman"/>
          <w:sz w:val="24"/>
          <w:szCs w:val="24"/>
        </w:rPr>
        <w:t xml:space="preserve">  </w:t>
      </w:r>
      <w:r w:rsidR="00F6135D">
        <w:rPr>
          <w:rFonts w:ascii="Times New Roman" w:hAnsi="Times New Roman" w:cs="Times New Roman"/>
          <w:sz w:val="24"/>
          <w:szCs w:val="24"/>
        </w:rPr>
        <w:t xml:space="preserve">……. </w:t>
      </w:r>
      <w:r w:rsidRPr="00AE0A94">
        <w:rPr>
          <w:rFonts w:ascii="Times New Roman" w:hAnsi="Times New Roman" w:cs="Times New Roman"/>
          <w:sz w:val="24"/>
          <w:szCs w:val="24"/>
        </w:rPr>
        <w:t>2</w:t>
      </w:r>
      <w:r w:rsidR="003864C3">
        <w:rPr>
          <w:rFonts w:ascii="Times New Roman" w:hAnsi="Times New Roman" w:cs="Times New Roman"/>
          <w:sz w:val="24"/>
          <w:szCs w:val="24"/>
        </w:rPr>
        <w:t>1</w:t>
      </w:r>
      <w:r w:rsidRPr="00AE0A94">
        <w:rPr>
          <w:rFonts w:ascii="Times New Roman" w:hAnsi="Times New Roman" w:cs="Times New Roman"/>
          <w:sz w:val="24"/>
          <w:szCs w:val="24"/>
        </w:rPr>
        <w:t>-2</w:t>
      </w:r>
      <w:r w:rsidR="00F6135D">
        <w:rPr>
          <w:rFonts w:ascii="Times New Roman" w:hAnsi="Times New Roman" w:cs="Times New Roman"/>
          <w:sz w:val="24"/>
          <w:szCs w:val="24"/>
        </w:rPr>
        <w:t>7</w:t>
      </w:r>
    </w:p>
    <w:p w:rsid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Глава 1.2 Анализ состояния заболеваемости массовыми неинфекционными (отравлениями) и приоритетными заболеваниями в связи с вредным воздействием факторов среды обитания населения г. Пыть-Ях……………………………</w:t>
      </w:r>
      <w:r>
        <w:rPr>
          <w:rFonts w:ascii="Times New Roman" w:hAnsi="Times New Roman" w:cs="Times New Roman"/>
          <w:sz w:val="24"/>
          <w:szCs w:val="24"/>
        </w:rPr>
        <w:t xml:space="preserve">                          </w:t>
      </w:r>
      <w:r w:rsidR="008F3AF5">
        <w:rPr>
          <w:rFonts w:ascii="Times New Roman" w:hAnsi="Times New Roman" w:cs="Times New Roman"/>
          <w:sz w:val="24"/>
          <w:szCs w:val="24"/>
        </w:rPr>
        <w:t xml:space="preserve">                             </w:t>
      </w:r>
      <w:proofErr w:type="gramStart"/>
      <w:r w:rsidR="008F3AF5">
        <w:rPr>
          <w:rFonts w:ascii="Times New Roman" w:hAnsi="Times New Roman" w:cs="Times New Roman"/>
          <w:sz w:val="24"/>
          <w:szCs w:val="24"/>
        </w:rPr>
        <w:t xml:space="preserve">  </w:t>
      </w:r>
      <w:r w:rsidRPr="00AE0A94">
        <w:rPr>
          <w:rFonts w:ascii="Times New Roman" w:hAnsi="Times New Roman" w:cs="Times New Roman"/>
          <w:sz w:val="24"/>
          <w:szCs w:val="24"/>
        </w:rPr>
        <w:t>.</w:t>
      </w:r>
      <w:proofErr w:type="gramEnd"/>
      <w:r w:rsidR="00F6135D">
        <w:rPr>
          <w:rFonts w:ascii="Times New Roman" w:hAnsi="Times New Roman" w:cs="Times New Roman"/>
          <w:sz w:val="24"/>
          <w:szCs w:val="24"/>
        </w:rPr>
        <w:t xml:space="preserve">  </w:t>
      </w:r>
      <w:r w:rsidRPr="00AE0A94">
        <w:rPr>
          <w:rFonts w:ascii="Times New Roman" w:hAnsi="Times New Roman" w:cs="Times New Roman"/>
          <w:sz w:val="24"/>
          <w:szCs w:val="24"/>
        </w:rPr>
        <w:t>..</w:t>
      </w:r>
      <w:r w:rsidR="00F6135D">
        <w:rPr>
          <w:rFonts w:ascii="Times New Roman" w:hAnsi="Times New Roman" w:cs="Times New Roman"/>
          <w:sz w:val="24"/>
          <w:szCs w:val="24"/>
        </w:rPr>
        <w:t>27</w:t>
      </w:r>
      <w:r w:rsidRPr="00AE0A94">
        <w:rPr>
          <w:rFonts w:ascii="Times New Roman" w:hAnsi="Times New Roman" w:cs="Times New Roman"/>
          <w:sz w:val="24"/>
          <w:szCs w:val="24"/>
        </w:rPr>
        <w:t xml:space="preserve">- </w:t>
      </w:r>
      <w:r w:rsidR="00F6135D">
        <w:rPr>
          <w:rFonts w:ascii="Times New Roman" w:hAnsi="Times New Roman" w:cs="Times New Roman"/>
          <w:sz w:val="24"/>
          <w:szCs w:val="24"/>
        </w:rPr>
        <w:t>48</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 xml:space="preserve">1.2.1. Анализ состояния заболеваемости массовыми неинфекционными (отравлениями) и приоритетными заболеваниями в связи с вредным воздействием факторов среды обитания населения г. Пыть-Ях </w:t>
      </w:r>
      <w:proofErr w:type="gramStart"/>
      <w:r w:rsidRPr="00AE0A94">
        <w:rPr>
          <w:rFonts w:ascii="Times New Roman" w:hAnsi="Times New Roman" w:cs="Times New Roman"/>
          <w:sz w:val="24"/>
          <w:szCs w:val="24"/>
        </w:rPr>
        <w:t xml:space="preserve"> .…</w:t>
      </w:r>
      <w:proofErr w:type="gramEnd"/>
      <w:r w:rsidRPr="00AE0A94">
        <w:rPr>
          <w:rFonts w:ascii="Times New Roman" w:hAnsi="Times New Roman" w:cs="Times New Roman"/>
          <w:sz w:val="24"/>
          <w:szCs w:val="24"/>
        </w:rPr>
        <w:t>……………………..……</w:t>
      </w:r>
      <w:r>
        <w:rPr>
          <w:rFonts w:ascii="Times New Roman" w:hAnsi="Times New Roman" w:cs="Times New Roman"/>
          <w:sz w:val="24"/>
          <w:szCs w:val="24"/>
        </w:rPr>
        <w:t xml:space="preserve">                                              </w:t>
      </w:r>
      <w:r w:rsidRPr="00AE0A94">
        <w:rPr>
          <w:rFonts w:ascii="Times New Roman" w:hAnsi="Times New Roman" w:cs="Times New Roman"/>
          <w:sz w:val="24"/>
          <w:szCs w:val="24"/>
        </w:rPr>
        <w:t>…</w:t>
      </w:r>
      <w:r w:rsidR="00F6135D">
        <w:rPr>
          <w:rFonts w:ascii="Times New Roman" w:hAnsi="Times New Roman" w:cs="Times New Roman"/>
          <w:sz w:val="24"/>
          <w:szCs w:val="24"/>
        </w:rPr>
        <w:t xml:space="preserve">  …27</w:t>
      </w:r>
      <w:r w:rsidRPr="00AE0A94">
        <w:rPr>
          <w:rFonts w:ascii="Times New Roman" w:hAnsi="Times New Roman" w:cs="Times New Roman"/>
          <w:sz w:val="24"/>
          <w:szCs w:val="24"/>
        </w:rPr>
        <w:t>-4</w:t>
      </w:r>
      <w:r w:rsidR="00F6135D">
        <w:rPr>
          <w:rFonts w:ascii="Times New Roman" w:hAnsi="Times New Roman" w:cs="Times New Roman"/>
          <w:sz w:val="24"/>
          <w:szCs w:val="24"/>
        </w:rPr>
        <w:t>4</w:t>
      </w:r>
      <w:r w:rsidRPr="00AE0A94">
        <w:rPr>
          <w:rFonts w:ascii="Times New Roman" w:hAnsi="Times New Roman" w:cs="Times New Roman"/>
          <w:sz w:val="24"/>
          <w:szCs w:val="24"/>
        </w:rPr>
        <w:t xml:space="preserve"> </w:t>
      </w:r>
    </w:p>
    <w:p w:rsidR="00AE0A94" w:rsidRPr="00AE0A94" w:rsidRDefault="00AE0A94" w:rsidP="00AE0A94">
      <w:pPr>
        <w:spacing w:after="0" w:line="240" w:lineRule="auto"/>
        <w:jc w:val="both"/>
        <w:rPr>
          <w:rFonts w:ascii="Times New Roman" w:hAnsi="Times New Roman" w:cs="Times New Roman"/>
          <w:sz w:val="24"/>
          <w:szCs w:val="24"/>
        </w:rPr>
      </w:pPr>
      <w:proofErr w:type="gramStart"/>
      <w:r w:rsidRPr="00AE0A94">
        <w:rPr>
          <w:rFonts w:ascii="Times New Roman" w:hAnsi="Times New Roman" w:cs="Times New Roman"/>
          <w:sz w:val="24"/>
          <w:szCs w:val="24"/>
        </w:rPr>
        <w:t>1.2.2  Результаты</w:t>
      </w:r>
      <w:proofErr w:type="gramEnd"/>
      <w:r w:rsidRPr="00AE0A94">
        <w:rPr>
          <w:rFonts w:ascii="Times New Roman" w:hAnsi="Times New Roman" w:cs="Times New Roman"/>
          <w:sz w:val="24"/>
          <w:szCs w:val="24"/>
        </w:rPr>
        <w:t xml:space="preserve"> токсикологического мониторинга  в г. Пыть-Ях……</w:t>
      </w:r>
      <w:r>
        <w:rPr>
          <w:rFonts w:ascii="Times New Roman" w:hAnsi="Times New Roman" w:cs="Times New Roman"/>
          <w:sz w:val="24"/>
          <w:szCs w:val="24"/>
        </w:rPr>
        <w:t xml:space="preserve">         </w:t>
      </w:r>
      <w:r w:rsidRPr="00AE0A94">
        <w:rPr>
          <w:rFonts w:ascii="Times New Roman" w:hAnsi="Times New Roman" w:cs="Times New Roman"/>
          <w:sz w:val="24"/>
          <w:szCs w:val="24"/>
        </w:rPr>
        <w:t>…….</w:t>
      </w:r>
      <w:r w:rsidR="00F6135D">
        <w:rPr>
          <w:rFonts w:ascii="Times New Roman" w:hAnsi="Times New Roman" w:cs="Times New Roman"/>
          <w:sz w:val="24"/>
          <w:szCs w:val="24"/>
        </w:rPr>
        <w:t xml:space="preserve">   </w:t>
      </w:r>
      <w:r w:rsidRPr="00AE0A94">
        <w:rPr>
          <w:rFonts w:ascii="Times New Roman" w:hAnsi="Times New Roman" w:cs="Times New Roman"/>
          <w:sz w:val="24"/>
          <w:szCs w:val="24"/>
        </w:rPr>
        <w:t xml:space="preserve"> 4</w:t>
      </w:r>
      <w:r w:rsidR="00F6135D">
        <w:rPr>
          <w:rFonts w:ascii="Times New Roman" w:hAnsi="Times New Roman" w:cs="Times New Roman"/>
          <w:sz w:val="24"/>
          <w:szCs w:val="24"/>
        </w:rPr>
        <w:t>4</w:t>
      </w:r>
      <w:r w:rsidRPr="00AE0A94">
        <w:rPr>
          <w:rFonts w:ascii="Times New Roman" w:hAnsi="Times New Roman" w:cs="Times New Roman"/>
          <w:sz w:val="24"/>
          <w:szCs w:val="24"/>
        </w:rPr>
        <w:t>-</w:t>
      </w:r>
      <w:r w:rsidR="00F6135D">
        <w:rPr>
          <w:rFonts w:ascii="Times New Roman" w:hAnsi="Times New Roman" w:cs="Times New Roman"/>
          <w:sz w:val="24"/>
          <w:szCs w:val="24"/>
        </w:rPr>
        <w:t>45</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1.2.3 Сведения о профессиональной заболеваемости в г. Пыть-Ях………….</w:t>
      </w:r>
      <w:r>
        <w:rPr>
          <w:rFonts w:ascii="Times New Roman" w:hAnsi="Times New Roman" w:cs="Times New Roman"/>
          <w:sz w:val="24"/>
          <w:szCs w:val="24"/>
        </w:rPr>
        <w:t xml:space="preserve">          </w:t>
      </w:r>
      <w:r w:rsidRPr="00AE0A94">
        <w:rPr>
          <w:rFonts w:ascii="Times New Roman" w:hAnsi="Times New Roman" w:cs="Times New Roman"/>
          <w:sz w:val="24"/>
          <w:szCs w:val="24"/>
        </w:rPr>
        <w:t xml:space="preserve"> </w:t>
      </w:r>
      <w:r w:rsidR="00F6135D">
        <w:rPr>
          <w:rFonts w:ascii="Times New Roman" w:hAnsi="Times New Roman" w:cs="Times New Roman"/>
          <w:sz w:val="24"/>
          <w:szCs w:val="24"/>
        </w:rPr>
        <w:t xml:space="preserve"> </w:t>
      </w:r>
      <w:r w:rsidRPr="00AE0A94">
        <w:rPr>
          <w:rFonts w:ascii="Times New Roman" w:hAnsi="Times New Roman" w:cs="Times New Roman"/>
          <w:sz w:val="24"/>
          <w:szCs w:val="24"/>
        </w:rPr>
        <w:t xml:space="preserve"> </w:t>
      </w:r>
      <w:r w:rsidR="00F6135D">
        <w:rPr>
          <w:rFonts w:ascii="Times New Roman" w:hAnsi="Times New Roman" w:cs="Times New Roman"/>
          <w:sz w:val="24"/>
          <w:szCs w:val="24"/>
        </w:rPr>
        <w:t>45</w:t>
      </w:r>
      <w:r w:rsidRPr="00AE0A94">
        <w:rPr>
          <w:rFonts w:ascii="Times New Roman" w:hAnsi="Times New Roman" w:cs="Times New Roman"/>
          <w:sz w:val="24"/>
          <w:szCs w:val="24"/>
        </w:rPr>
        <w:t>-</w:t>
      </w:r>
      <w:r w:rsidR="00F6135D">
        <w:rPr>
          <w:rFonts w:ascii="Times New Roman" w:hAnsi="Times New Roman" w:cs="Times New Roman"/>
          <w:sz w:val="24"/>
          <w:szCs w:val="24"/>
        </w:rPr>
        <w:t>48</w:t>
      </w:r>
      <w:r w:rsidRPr="00AE0A94">
        <w:rPr>
          <w:rFonts w:ascii="Times New Roman" w:hAnsi="Times New Roman" w:cs="Times New Roman"/>
          <w:sz w:val="24"/>
          <w:szCs w:val="24"/>
        </w:rPr>
        <w:t xml:space="preserve"> </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Глава 1.3. Сведения об инфекционной и паразитарной заболеваемости населения г. Пыть-</w:t>
      </w:r>
      <w:proofErr w:type="gramStart"/>
      <w:r w:rsidRPr="00AE0A94">
        <w:rPr>
          <w:rFonts w:ascii="Times New Roman" w:hAnsi="Times New Roman" w:cs="Times New Roman"/>
          <w:sz w:val="24"/>
          <w:szCs w:val="24"/>
        </w:rPr>
        <w:t>Ях  .</w:t>
      </w:r>
      <w:proofErr w:type="gramEnd"/>
      <w:r w:rsidRPr="00AE0A94">
        <w:rPr>
          <w:rFonts w:ascii="Times New Roman" w:hAnsi="Times New Roman" w:cs="Times New Roman"/>
          <w:sz w:val="24"/>
          <w:szCs w:val="24"/>
        </w:rPr>
        <w:t xml:space="preserve"> …………………………………………………</w:t>
      </w:r>
      <w:r>
        <w:rPr>
          <w:rFonts w:ascii="Times New Roman" w:hAnsi="Times New Roman" w:cs="Times New Roman"/>
          <w:sz w:val="24"/>
          <w:szCs w:val="24"/>
        </w:rPr>
        <w:t xml:space="preserve">        </w:t>
      </w:r>
      <w:r w:rsidR="00F6135D">
        <w:rPr>
          <w:rFonts w:ascii="Times New Roman" w:hAnsi="Times New Roman" w:cs="Times New Roman"/>
          <w:sz w:val="24"/>
          <w:szCs w:val="24"/>
        </w:rPr>
        <w:t xml:space="preserve">…………  </w:t>
      </w:r>
      <w:r w:rsidRPr="004F742E">
        <w:rPr>
          <w:rFonts w:ascii="Times New Roman" w:hAnsi="Times New Roman" w:cs="Times New Roman"/>
          <w:sz w:val="24"/>
          <w:szCs w:val="24"/>
        </w:rPr>
        <w:t xml:space="preserve">………….              </w:t>
      </w:r>
      <w:r w:rsidR="004F742E" w:rsidRPr="004F742E">
        <w:rPr>
          <w:rFonts w:ascii="Times New Roman" w:hAnsi="Times New Roman" w:cs="Times New Roman"/>
          <w:sz w:val="24"/>
          <w:szCs w:val="24"/>
        </w:rPr>
        <w:t>48</w:t>
      </w:r>
      <w:r w:rsidRPr="004F742E">
        <w:rPr>
          <w:rFonts w:ascii="Times New Roman" w:hAnsi="Times New Roman" w:cs="Times New Roman"/>
          <w:sz w:val="24"/>
          <w:szCs w:val="24"/>
        </w:rPr>
        <w:t>-</w:t>
      </w:r>
      <w:r w:rsidR="004F742E" w:rsidRPr="004F742E">
        <w:rPr>
          <w:rFonts w:ascii="Times New Roman" w:hAnsi="Times New Roman" w:cs="Times New Roman"/>
          <w:sz w:val="24"/>
          <w:szCs w:val="24"/>
        </w:rPr>
        <w:t>51</w:t>
      </w:r>
      <w:r w:rsidRPr="00AE0A94">
        <w:rPr>
          <w:rFonts w:ascii="Times New Roman" w:hAnsi="Times New Roman" w:cs="Times New Roman"/>
          <w:sz w:val="24"/>
          <w:szCs w:val="24"/>
        </w:rPr>
        <w:t xml:space="preserve">  </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1.3.1 Инфекционные заболевания, управляемые средствами специфической профилактики…………………</w:t>
      </w:r>
      <w:r>
        <w:rPr>
          <w:rFonts w:ascii="Times New Roman" w:hAnsi="Times New Roman" w:cs="Times New Roman"/>
          <w:sz w:val="24"/>
          <w:szCs w:val="24"/>
        </w:rPr>
        <w:t xml:space="preserve"> </w:t>
      </w:r>
      <w:r w:rsidRPr="00AE0A94">
        <w:rPr>
          <w:rFonts w:ascii="Times New Roman" w:hAnsi="Times New Roman" w:cs="Times New Roman"/>
          <w:sz w:val="24"/>
          <w:szCs w:val="24"/>
        </w:rPr>
        <w:t xml:space="preserve">……………………………………………………….  </w:t>
      </w:r>
      <w:r w:rsidR="004F742E">
        <w:rPr>
          <w:rFonts w:ascii="Times New Roman" w:hAnsi="Times New Roman" w:cs="Times New Roman"/>
          <w:sz w:val="24"/>
          <w:szCs w:val="24"/>
        </w:rPr>
        <w:t>51</w:t>
      </w:r>
      <w:r w:rsidRPr="00AE0A94">
        <w:rPr>
          <w:rFonts w:ascii="Times New Roman" w:hAnsi="Times New Roman" w:cs="Times New Roman"/>
          <w:sz w:val="24"/>
          <w:szCs w:val="24"/>
        </w:rPr>
        <w:t>-</w:t>
      </w:r>
      <w:r w:rsidR="00F6135D">
        <w:rPr>
          <w:rFonts w:ascii="Times New Roman" w:hAnsi="Times New Roman" w:cs="Times New Roman"/>
          <w:sz w:val="24"/>
          <w:szCs w:val="24"/>
        </w:rPr>
        <w:t>5</w:t>
      </w:r>
      <w:r w:rsidR="004F742E">
        <w:rPr>
          <w:rFonts w:ascii="Times New Roman" w:hAnsi="Times New Roman" w:cs="Times New Roman"/>
          <w:sz w:val="24"/>
          <w:szCs w:val="24"/>
        </w:rPr>
        <w:t>3</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1.3.2 Полиомиелит…………………………………………………</w:t>
      </w:r>
      <w:r>
        <w:rPr>
          <w:rFonts w:ascii="Times New Roman" w:hAnsi="Times New Roman" w:cs="Times New Roman"/>
          <w:sz w:val="24"/>
          <w:szCs w:val="24"/>
        </w:rPr>
        <w:t xml:space="preserve">         </w:t>
      </w:r>
      <w:r w:rsidRPr="00AE0A94">
        <w:rPr>
          <w:rFonts w:ascii="Times New Roman" w:hAnsi="Times New Roman" w:cs="Times New Roman"/>
          <w:sz w:val="24"/>
          <w:szCs w:val="24"/>
        </w:rPr>
        <w:t xml:space="preserve">…………….  </w:t>
      </w:r>
      <w:r w:rsidR="00F6135D">
        <w:rPr>
          <w:rFonts w:ascii="Times New Roman" w:hAnsi="Times New Roman" w:cs="Times New Roman"/>
          <w:sz w:val="24"/>
          <w:szCs w:val="24"/>
        </w:rPr>
        <w:t>5</w:t>
      </w:r>
      <w:r w:rsidR="004F742E">
        <w:rPr>
          <w:rFonts w:ascii="Times New Roman" w:hAnsi="Times New Roman" w:cs="Times New Roman"/>
          <w:sz w:val="24"/>
          <w:szCs w:val="24"/>
        </w:rPr>
        <w:t>3</w:t>
      </w:r>
      <w:r w:rsidRPr="00AE0A94">
        <w:rPr>
          <w:rFonts w:ascii="Times New Roman" w:hAnsi="Times New Roman" w:cs="Times New Roman"/>
          <w:sz w:val="24"/>
          <w:szCs w:val="24"/>
        </w:rPr>
        <w:t>-</w:t>
      </w:r>
      <w:r w:rsidR="00F6135D">
        <w:rPr>
          <w:rFonts w:ascii="Times New Roman" w:hAnsi="Times New Roman" w:cs="Times New Roman"/>
          <w:sz w:val="24"/>
          <w:szCs w:val="24"/>
        </w:rPr>
        <w:t>5</w:t>
      </w:r>
      <w:r w:rsidR="004F742E">
        <w:rPr>
          <w:rFonts w:ascii="Times New Roman" w:hAnsi="Times New Roman" w:cs="Times New Roman"/>
          <w:sz w:val="24"/>
          <w:szCs w:val="24"/>
        </w:rPr>
        <w:t>4</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1.3.3 Энтеровирусная инфекция…………………………………………</w:t>
      </w:r>
      <w:r>
        <w:rPr>
          <w:rFonts w:ascii="Times New Roman" w:hAnsi="Times New Roman" w:cs="Times New Roman"/>
          <w:sz w:val="24"/>
          <w:szCs w:val="24"/>
        </w:rPr>
        <w:t xml:space="preserve">         </w:t>
      </w:r>
      <w:r w:rsidRPr="00AE0A94">
        <w:rPr>
          <w:rFonts w:ascii="Times New Roman" w:hAnsi="Times New Roman" w:cs="Times New Roman"/>
          <w:sz w:val="24"/>
          <w:szCs w:val="24"/>
        </w:rPr>
        <w:t xml:space="preserve">……… </w:t>
      </w:r>
      <w:r w:rsidR="00F6135D">
        <w:rPr>
          <w:rFonts w:ascii="Times New Roman" w:hAnsi="Times New Roman" w:cs="Times New Roman"/>
          <w:sz w:val="24"/>
          <w:szCs w:val="24"/>
        </w:rPr>
        <w:t>5</w:t>
      </w:r>
      <w:r w:rsidR="004F742E">
        <w:rPr>
          <w:rFonts w:ascii="Times New Roman" w:hAnsi="Times New Roman" w:cs="Times New Roman"/>
          <w:sz w:val="24"/>
          <w:szCs w:val="24"/>
        </w:rPr>
        <w:t>4</w:t>
      </w:r>
      <w:r w:rsidRPr="00AE0A94">
        <w:rPr>
          <w:rFonts w:ascii="Times New Roman" w:hAnsi="Times New Roman" w:cs="Times New Roman"/>
          <w:sz w:val="24"/>
          <w:szCs w:val="24"/>
        </w:rPr>
        <w:t>-</w:t>
      </w:r>
      <w:r w:rsidR="00F6135D">
        <w:rPr>
          <w:rFonts w:ascii="Times New Roman" w:hAnsi="Times New Roman" w:cs="Times New Roman"/>
          <w:sz w:val="24"/>
          <w:szCs w:val="24"/>
        </w:rPr>
        <w:t>55</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1.3.4 Безопасность иммунизации………………………………………………</w:t>
      </w:r>
      <w:r>
        <w:rPr>
          <w:rFonts w:ascii="Times New Roman" w:hAnsi="Times New Roman" w:cs="Times New Roman"/>
          <w:sz w:val="24"/>
          <w:szCs w:val="24"/>
        </w:rPr>
        <w:t xml:space="preserve">      </w:t>
      </w:r>
      <w:r w:rsidR="008F3AF5">
        <w:rPr>
          <w:rFonts w:ascii="Times New Roman" w:hAnsi="Times New Roman" w:cs="Times New Roman"/>
          <w:sz w:val="24"/>
          <w:szCs w:val="24"/>
        </w:rPr>
        <w:t xml:space="preserve">   </w:t>
      </w:r>
      <w:r w:rsidRPr="00AE0A94">
        <w:rPr>
          <w:rFonts w:ascii="Times New Roman" w:hAnsi="Times New Roman" w:cs="Times New Roman"/>
          <w:sz w:val="24"/>
          <w:szCs w:val="24"/>
        </w:rPr>
        <w:t xml:space="preserve">   </w:t>
      </w:r>
      <w:r w:rsidR="00F6135D">
        <w:rPr>
          <w:rFonts w:ascii="Times New Roman" w:hAnsi="Times New Roman" w:cs="Times New Roman"/>
          <w:sz w:val="24"/>
          <w:szCs w:val="24"/>
        </w:rPr>
        <w:t>55</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1.3.5 Грипп и ОРВИ………………………………………………………</w:t>
      </w:r>
      <w:r>
        <w:rPr>
          <w:rFonts w:ascii="Times New Roman" w:hAnsi="Times New Roman" w:cs="Times New Roman"/>
          <w:sz w:val="24"/>
          <w:szCs w:val="24"/>
        </w:rPr>
        <w:t xml:space="preserve">         </w:t>
      </w:r>
      <w:r w:rsidRPr="00AE0A94">
        <w:rPr>
          <w:rFonts w:ascii="Times New Roman" w:hAnsi="Times New Roman" w:cs="Times New Roman"/>
          <w:sz w:val="24"/>
          <w:szCs w:val="24"/>
        </w:rPr>
        <w:t xml:space="preserve">……… </w:t>
      </w:r>
      <w:r w:rsidR="00F6135D">
        <w:rPr>
          <w:rFonts w:ascii="Times New Roman" w:hAnsi="Times New Roman" w:cs="Times New Roman"/>
          <w:sz w:val="24"/>
          <w:szCs w:val="24"/>
        </w:rPr>
        <w:t>55</w:t>
      </w:r>
      <w:r w:rsidRPr="00AE0A94">
        <w:rPr>
          <w:rFonts w:ascii="Times New Roman" w:hAnsi="Times New Roman" w:cs="Times New Roman"/>
          <w:sz w:val="24"/>
          <w:szCs w:val="24"/>
        </w:rPr>
        <w:t>-</w:t>
      </w:r>
      <w:r w:rsidR="00F6135D">
        <w:rPr>
          <w:rFonts w:ascii="Times New Roman" w:hAnsi="Times New Roman" w:cs="Times New Roman"/>
          <w:sz w:val="24"/>
          <w:szCs w:val="24"/>
        </w:rPr>
        <w:t>57</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1.3.6 Вирусные гепатиты……………………………………………………</w:t>
      </w:r>
      <w:r>
        <w:rPr>
          <w:rFonts w:ascii="Times New Roman" w:hAnsi="Times New Roman" w:cs="Times New Roman"/>
          <w:sz w:val="24"/>
          <w:szCs w:val="24"/>
        </w:rPr>
        <w:t xml:space="preserve">        </w:t>
      </w:r>
      <w:r w:rsidR="00F6135D">
        <w:rPr>
          <w:rFonts w:ascii="Times New Roman" w:hAnsi="Times New Roman" w:cs="Times New Roman"/>
          <w:sz w:val="24"/>
          <w:szCs w:val="24"/>
        </w:rPr>
        <w:t xml:space="preserve">…… </w:t>
      </w:r>
      <w:r w:rsidRPr="00AE0A94">
        <w:rPr>
          <w:rFonts w:ascii="Times New Roman" w:hAnsi="Times New Roman" w:cs="Times New Roman"/>
          <w:sz w:val="24"/>
          <w:szCs w:val="24"/>
        </w:rPr>
        <w:t>5</w:t>
      </w:r>
      <w:r w:rsidR="00F6135D">
        <w:rPr>
          <w:rFonts w:ascii="Times New Roman" w:hAnsi="Times New Roman" w:cs="Times New Roman"/>
          <w:sz w:val="24"/>
          <w:szCs w:val="24"/>
        </w:rPr>
        <w:t>7</w:t>
      </w:r>
      <w:r w:rsidRPr="00AE0A94">
        <w:rPr>
          <w:rFonts w:ascii="Times New Roman" w:hAnsi="Times New Roman" w:cs="Times New Roman"/>
          <w:sz w:val="24"/>
          <w:szCs w:val="24"/>
        </w:rPr>
        <w:t>-</w:t>
      </w:r>
      <w:r w:rsidR="00F6135D">
        <w:rPr>
          <w:rFonts w:ascii="Times New Roman" w:hAnsi="Times New Roman" w:cs="Times New Roman"/>
          <w:sz w:val="24"/>
          <w:szCs w:val="24"/>
        </w:rPr>
        <w:t>59</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1.3.7 Инфекция, связанные с оказанием медицинской помощи…………</w:t>
      </w:r>
      <w:r>
        <w:rPr>
          <w:rFonts w:ascii="Times New Roman" w:hAnsi="Times New Roman" w:cs="Times New Roman"/>
          <w:sz w:val="24"/>
          <w:szCs w:val="24"/>
        </w:rPr>
        <w:t xml:space="preserve">       </w:t>
      </w:r>
      <w:r w:rsidRPr="00AE0A94">
        <w:rPr>
          <w:rFonts w:ascii="Times New Roman" w:hAnsi="Times New Roman" w:cs="Times New Roman"/>
          <w:sz w:val="24"/>
          <w:szCs w:val="24"/>
        </w:rPr>
        <w:t>…</w:t>
      </w:r>
      <w:r w:rsidR="008F3AF5">
        <w:rPr>
          <w:rFonts w:ascii="Times New Roman" w:hAnsi="Times New Roman" w:cs="Times New Roman"/>
          <w:sz w:val="24"/>
          <w:szCs w:val="24"/>
        </w:rPr>
        <w:t xml:space="preserve"> </w:t>
      </w:r>
      <w:r w:rsidRPr="00AE0A94">
        <w:rPr>
          <w:rFonts w:ascii="Times New Roman" w:hAnsi="Times New Roman" w:cs="Times New Roman"/>
          <w:sz w:val="24"/>
          <w:szCs w:val="24"/>
        </w:rPr>
        <w:t xml:space="preserve">…  </w:t>
      </w:r>
      <w:r w:rsidR="00F6135D">
        <w:rPr>
          <w:rFonts w:ascii="Times New Roman" w:hAnsi="Times New Roman" w:cs="Times New Roman"/>
          <w:sz w:val="24"/>
          <w:szCs w:val="24"/>
        </w:rPr>
        <w:t>59</w:t>
      </w:r>
      <w:r w:rsidRPr="00AE0A94">
        <w:rPr>
          <w:rFonts w:ascii="Times New Roman" w:hAnsi="Times New Roman" w:cs="Times New Roman"/>
          <w:sz w:val="24"/>
          <w:szCs w:val="24"/>
        </w:rPr>
        <w:t>-</w:t>
      </w:r>
      <w:r w:rsidR="00F6135D">
        <w:rPr>
          <w:rFonts w:ascii="Times New Roman" w:hAnsi="Times New Roman" w:cs="Times New Roman"/>
          <w:sz w:val="24"/>
          <w:szCs w:val="24"/>
        </w:rPr>
        <w:t>60</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1.3.8 Острые кишечные инфекции…………………………………</w:t>
      </w:r>
      <w:r>
        <w:rPr>
          <w:rFonts w:ascii="Times New Roman" w:hAnsi="Times New Roman" w:cs="Times New Roman"/>
          <w:sz w:val="24"/>
          <w:szCs w:val="24"/>
        </w:rPr>
        <w:t xml:space="preserve">        </w:t>
      </w:r>
      <w:r w:rsidRPr="00AE0A94">
        <w:rPr>
          <w:rFonts w:ascii="Times New Roman" w:hAnsi="Times New Roman" w:cs="Times New Roman"/>
          <w:sz w:val="24"/>
          <w:szCs w:val="24"/>
        </w:rPr>
        <w:t>………</w:t>
      </w:r>
      <w:r w:rsidR="008F3AF5">
        <w:rPr>
          <w:rFonts w:ascii="Times New Roman" w:hAnsi="Times New Roman" w:cs="Times New Roman"/>
          <w:sz w:val="24"/>
          <w:szCs w:val="24"/>
        </w:rPr>
        <w:t xml:space="preserve"> </w:t>
      </w:r>
      <w:r w:rsidRPr="00AE0A94">
        <w:rPr>
          <w:rFonts w:ascii="Times New Roman" w:hAnsi="Times New Roman" w:cs="Times New Roman"/>
          <w:sz w:val="24"/>
          <w:szCs w:val="24"/>
        </w:rPr>
        <w:t xml:space="preserve">…..   </w:t>
      </w:r>
      <w:r w:rsidR="00F6135D">
        <w:rPr>
          <w:rFonts w:ascii="Times New Roman" w:hAnsi="Times New Roman" w:cs="Times New Roman"/>
          <w:sz w:val="24"/>
          <w:szCs w:val="24"/>
        </w:rPr>
        <w:t>60</w:t>
      </w:r>
      <w:r w:rsidRPr="00AE0A94">
        <w:rPr>
          <w:rFonts w:ascii="Times New Roman" w:hAnsi="Times New Roman" w:cs="Times New Roman"/>
          <w:sz w:val="24"/>
          <w:szCs w:val="24"/>
        </w:rPr>
        <w:t>-</w:t>
      </w:r>
      <w:r w:rsidR="00F6135D">
        <w:rPr>
          <w:rFonts w:ascii="Times New Roman" w:hAnsi="Times New Roman" w:cs="Times New Roman"/>
          <w:sz w:val="24"/>
          <w:szCs w:val="24"/>
        </w:rPr>
        <w:t>62</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1.3.9 Природно-очаговые и зооантропонозные инфекции……………</w:t>
      </w:r>
      <w:r>
        <w:rPr>
          <w:rFonts w:ascii="Times New Roman" w:hAnsi="Times New Roman" w:cs="Times New Roman"/>
          <w:sz w:val="24"/>
          <w:szCs w:val="24"/>
        </w:rPr>
        <w:t xml:space="preserve">        </w:t>
      </w:r>
      <w:r w:rsidRPr="00AE0A94">
        <w:rPr>
          <w:rFonts w:ascii="Times New Roman" w:hAnsi="Times New Roman" w:cs="Times New Roman"/>
          <w:sz w:val="24"/>
          <w:szCs w:val="24"/>
        </w:rPr>
        <w:t xml:space="preserve">……….  </w:t>
      </w:r>
      <w:r w:rsidR="00F6135D">
        <w:rPr>
          <w:rFonts w:ascii="Times New Roman" w:hAnsi="Times New Roman" w:cs="Times New Roman"/>
          <w:sz w:val="24"/>
          <w:szCs w:val="24"/>
        </w:rPr>
        <w:t>62</w:t>
      </w:r>
      <w:r w:rsidRPr="00AE0A94">
        <w:rPr>
          <w:rFonts w:ascii="Times New Roman" w:hAnsi="Times New Roman" w:cs="Times New Roman"/>
          <w:sz w:val="24"/>
          <w:szCs w:val="24"/>
        </w:rPr>
        <w:t>-</w:t>
      </w:r>
      <w:r w:rsidR="00F6135D">
        <w:rPr>
          <w:rFonts w:ascii="Times New Roman" w:hAnsi="Times New Roman" w:cs="Times New Roman"/>
          <w:sz w:val="24"/>
          <w:szCs w:val="24"/>
        </w:rPr>
        <w:t>65</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1.3.10 Социально-обусловленные инфекции………………………</w:t>
      </w:r>
      <w:r>
        <w:rPr>
          <w:rFonts w:ascii="Times New Roman" w:hAnsi="Times New Roman" w:cs="Times New Roman"/>
          <w:sz w:val="24"/>
          <w:szCs w:val="24"/>
        </w:rPr>
        <w:t xml:space="preserve">        </w:t>
      </w:r>
      <w:r w:rsidRPr="00AE0A94">
        <w:rPr>
          <w:rFonts w:ascii="Times New Roman" w:hAnsi="Times New Roman" w:cs="Times New Roman"/>
          <w:sz w:val="24"/>
          <w:szCs w:val="24"/>
        </w:rPr>
        <w:t xml:space="preserve">…………… </w:t>
      </w:r>
      <w:r w:rsidR="00F6135D">
        <w:rPr>
          <w:rFonts w:ascii="Times New Roman" w:hAnsi="Times New Roman" w:cs="Times New Roman"/>
          <w:sz w:val="24"/>
          <w:szCs w:val="24"/>
        </w:rPr>
        <w:t>65</w:t>
      </w:r>
      <w:r w:rsidRPr="00AE0A94">
        <w:rPr>
          <w:rFonts w:ascii="Times New Roman" w:hAnsi="Times New Roman" w:cs="Times New Roman"/>
          <w:sz w:val="24"/>
          <w:szCs w:val="24"/>
        </w:rPr>
        <w:t>-</w:t>
      </w:r>
      <w:r w:rsidR="00F6135D">
        <w:rPr>
          <w:rFonts w:ascii="Times New Roman" w:hAnsi="Times New Roman" w:cs="Times New Roman"/>
          <w:sz w:val="24"/>
          <w:szCs w:val="24"/>
        </w:rPr>
        <w:t>74</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1.3.11 Паразитарные заболевания……………………………</w:t>
      </w:r>
      <w:r>
        <w:rPr>
          <w:rFonts w:ascii="Times New Roman" w:hAnsi="Times New Roman" w:cs="Times New Roman"/>
          <w:sz w:val="24"/>
          <w:szCs w:val="24"/>
        </w:rPr>
        <w:t xml:space="preserve">        </w:t>
      </w:r>
      <w:r w:rsidRPr="00AE0A94">
        <w:rPr>
          <w:rFonts w:ascii="Times New Roman" w:hAnsi="Times New Roman" w:cs="Times New Roman"/>
          <w:sz w:val="24"/>
          <w:szCs w:val="24"/>
        </w:rPr>
        <w:t xml:space="preserve">………………….. </w:t>
      </w:r>
      <w:r w:rsidR="00F6135D">
        <w:rPr>
          <w:rFonts w:ascii="Times New Roman" w:hAnsi="Times New Roman" w:cs="Times New Roman"/>
          <w:sz w:val="24"/>
          <w:szCs w:val="24"/>
        </w:rPr>
        <w:t>74</w:t>
      </w:r>
      <w:r w:rsidRPr="00AE0A94">
        <w:rPr>
          <w:rFonts w:ascii="Times New Roman" w:hAnsi="Times New Roman" w:cs="Times New Roman"/>
          <w:sz w:val="24"/>
          <w:szCs w:val="24"/>
        </w:rPr>
        <w:t>-</w:t>
      </w:r>
      <w:r w:rsidR="00F6135D">
        <w:rPr>
          <w:rFonts w:ascii="Times New Roman" w:hAnsi="Times New Roman" w:cs="Times New Roman"/>
          <w:sz w:val="24"/>
          <w:szCs w:val="24"/>
        </w:rPr>
        <w:t>78</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1.3.12 Санитарная охрана территорий……………………………………</w:t>
      </w:r>
      <w:r>
        <w:rPr>
          <w:rFonts w:ascii="Times New Roman" w:hAnsi="Times New Roman" w:cs="Times New Roman"/>
          <w:sz w:val="24"/>
          <w:szCs w:val="24"/>
        </w:rPr>
        <w:t xml:space="preserve">         </w:t>
      </w:r>
      <w:r w:rsidRPr="00AE0A94">
        <w:rPr>
          <w:rFonts w:ascii="Times New Roman" w:hAnsi="Times New Roman" w:cs="Times New Roman"/>
          <w:sz w:val="24"/>
          <w:szCs w:val="24"/>
        </w:rPr>
        <w:t>……...</w:t>
      </w:r>
      <w:r w:rsidR="00F6135D">
        <w:rPr>
          <w:rFonts w:ascii="Times New Roman" w:hAnsi="Times New Roman" w:cs="Times New Roman"/>
          <w:sz w:val="24"/>
          <w:szCs w:val="24"/>
        </w:rPr>
        <w:t>78</w:t>
      </w:r>
      <w:r w:rsidRPr="00AE0A94">
        <w:rPr>
          <w:rFonts w:ascii="Times New Roman" w:hAnsi="Times New Roman" w:cs="Times New Roman"/>
          <w:sz w:val="24"/>
          <w:szCs w:val="24"/>
        </w:rPr>
        <w:t>-</w:t>
      </w:r>
      <w:r w:rsidR="00F6135D">
        <w:rPr>
          <w:rFonts w:ascii="Times New Roman" w:hAnsi="Times New Roman" w:cs="Times New Roman"/>
          <w:sz w:val="24"/>
          <w:szCs w:val="24"/>
        </w:rPr>
        <w:t>82</w:t>
      </w:r>
    </w:p>
    <w:p w:rsidR="00AE0A94" w:rsidRPr="00AE0A94" w:rsidRDefault="00AE0A94" w:rsidP="00AE0A94">
      <w:pPr>
        <w:spacing w:after="0" w:line="240" w:lineRule="auto"/>
        <w:jc w:val="both"/>
        <w:rPr>
          <w:rFonts w:ascii="Times New Roman" w:hAnsi="Times New Roman" w:cs="Times New Roman"/>
          <w:b/>
          <w:sz w:val="24"/>
          <w:szCs w:val="24"/>
        </w:rPr>
      </w:pPr>
      <w:r w:rsidRPr="00AE0A94">
        <w:rPr>
          <w:rFonts w:ascii="Times New Roman" w:hAnsi="Times New Roman" w:cs="Times New Roman"/>
          <w:b/>
          <w:sz w:val="24"/>
          <w:szCs w:val="24"/>
        </w:rPr>
        <w:t xml:space="preserve">Раздел 2. Основные меры по улучшению состояния среды обитания и здоровья населения, </w:t>
      </w:r>
      <w:proofErr w:type="gramStart"/>
      <w:r w:rsidRPr="00AE0A94">
        <w:rPr>
          <w:rFonts w:ascii="Times New Roman" w:hAnsi="Times New Roman" w:cs="Times New Roman"/>
          <w:b/>
          <w:sz w:val="24"/>
          <w:szCs w:val="24"/>
        </w:rPr>
        <w:t>принятые  ТО</w:t>
      </w:r>
      <w:proofErr w:type="gramEnd"/>
      <w:r w:rsidRPr="00AE0A94">
        <w:rPr>
          <w:rFonts w:ascii="Times New Roman" w:hAnsi="Times New Roman" w:cs="Times New Roman"/>
          <w:b/>
          <w:sz w:val="24"/>
          <w:szCs w:val="24"/>
        </w:rPr>
        <w:t xml:space="preserve"> Роспотребнадзора Ханты-Мансийского автономного округа-Югры.</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 xml:space="preserve">Глава 2.1. Основные меры по улучшению состояния среды обитания </w:t>
      </w:r>
      <w:proofErr w:type="gramStart"/>
      <w:r w:rsidRPr="00AE0A94">
        <w:rPr>
          <w:rFonts w:ascii="Times New Roman" w:hAnsi="Times New Roman" w:cs="Times New Roman"/>
          <w:sz w:val="24"/>
          <w:szCs w:val="24"/>
        </w:rPr>
        <w:t>населения  г.</w:t>
      </w:r>
      <w:proofErr w:type="gramEnd"/>
      <w:r w:rsidRPr="00AE0A94">
        <w:rPr>
          <w:rFonts w:ascii="Times New Roman" w:hAnsi="Times New Roman" w:cs="Times New Roman"/>
          <w:sz w:val="24"/>
          <w:szCs w:val="24"/>
        </w:rPr>
        <w:t xml:space="preserve"> Пыть-Ях.…</w:t>
      </w:r>
      <w:r>
        <w:rPr>
          <w:rFonts w:ascii="Times New Roman" w:hAnsi="Times New Roman" w:cs="Times New Roman"/>
          <w:sz w:val="24"/>
          <w:szCs w:val="24"/>
        </w:rPr>
        <w:t xml:space="preserve">      </w:t>
      </w:r>
      <w:r w:rsidRPr="00D274B0">
        <w:rPr>
          <w:rFonts w:ascii="Times New Roman" w:hAnsi="Times New Roman" w:cs="Times New Roman"/>
          <w:sz w:val="24"/>
          <w:szCs w:val="24"/>
        </w:rPr>
        <w:t>…………………………                   …………………………</w:t>
      </w:r>
      <w:r w:rsidR="00D274B0" w:rsidRPr="00D274B0">
        <w:rPr>
          <w:rFonts w:ascii="Times New Roman" w:hAnsi="Times New Roman" w:cs="Times New Roman"/>
          <w:sz w:val="24"/>
          <w:szCs w:val="24"/>
        </w:rPr>
        <w:t xml:space="preserve">                        </w:t>
      </w:r>
      <w:r w:rsidRPr="00D274B0">
        <w:rPr>
          <w:rFonts w:ascii="Times New Roman" w:hAnsi="Times New Roman" w:cs="Times New Roman"/>
          <w:sz w:val="24"/>
          <w:szCs w:val="24"/>
        </w:rPr>
        <w:t xml:space="preserve"> </w:t>
      </w:r>
      <w:r w:rsidR="00D274B0" w:rsidRPr="00D274B0">
        <w:rPr>
          <w:rFonts w:ascii="Times New Roman" w:hAnsi="Times New Roman" w:cs="Times New Roman"/>
          <w:sz w:val="24"/>
          <w:szCs w:val="24"/>
        </w:rPr>
        <w:t>82</w:t>
      </w:r>
      <w:r w:rsidRPr="00D274B0">
        <w:rPr>
          <w:rFonts w:ascii="Times New Roman" w:hAnsi="Times New Roman" w:cs="Times New Roman"/>
          <w:sz w:val="24"/>
          <w:szCs w:val="24"/>
        </w:rPr>
        <w:t xml:space="preserve">- </w:t>
      </w:r>
      <w:r w:rsidR="00D274B0" w:rsidRPr="00D274B0">
        <w:rPr>
          <w:rFonts w:ascii="Times New Roman" w:hAnsi="Times New Roman" w:cs="Times New Roman"/>
          <w:sz w:val="24"/>
          <w:szCs w:val="24"/>
        </w:rPr>
        <w:t>125</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 xml:space="preserve">2.1.1 Результаты деятельности в области охраны </w:t>
      </w:r>
      <w:proofErr w:type="gramStart"/>
      <w:r w:rsidRPr="00AE0A94">
        <w:rPr>
          <w:rFonts w:ascii="Times New Roman" w:hAnsi="Times New Roman" w:cs="Times New Roman"/>
          <w:sz w:val="24"/>
          <w:szCs w:val="24"/>
        </w:rPr>
        <w:t>атмосферного  воздуха</w:t>
      </w:r>
      <w:proofErr w:type="gramEnd"/>
      <w:r w:rsidRPr="00AE0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0A94">
        <w:rPr>
          <w:rFonts w:ascii="Times New Roman" w:hAnsi="Times New Roman" w:cs="Times New Roman"/>
          <w:sz w:val="24"/>
          <w:szCs w:val="24"/>
        </w:rPr>
        <w:t>…</w:t>
      </w:r>
      <w:r w:rsidR="004F742E">
        <w:rPr>
          <w:rFonts w:ascii="Times New Roman" w:hAnsi="Times New Roman" w:cs="Times New Roman"/>
          <w:sz w:val="24"/>
          <w:szCs w:val="24"/>
        </w:rPr>
        <w:t>82</w:t>
      </w:r>
      <w:r w:rsidRPr="00AE0A94">
        <w:rPr>
          <w:rFonts w:ascii="Times New Roman" w:hAnsi="Times New Roman" w:cs="Times New Roman"/>
          <w:sz w:val="24"/>
          <w:szCs w:val="24"/>
        </w:rPr>
        <w:t>-</w:t>
      </w:r>
      <w:r w:rsidR="004F742E">
        <w:rPr>
          <w:rFonts w:ascii="Times New Roman" w:hAnsi="Times New Roman" w:cs="Times New Roman"/>
          <w:sz w:val="24"/>
          <w:szCs w:val="24"/>
        </w:rPr>
        <w:t>84</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 xml:space="preserve">2.1.2 Результаты деятельности </w:t>
      </w:r>
      <w:proofErr w:type="gramStart"/>
      <w:r w:rsidRPr="00AE0A94">
        <w:rPr>
          <w:rFonts w:ascii="Times New Roman" w:hAnsi="Times New Roman" w:cs="Times New Roman"/>
          <w:sz w:val="24"/>
          <w:szCs w:val="24"/>
        </w:rPr>
        <w:t>по  улучшению</w:t>
      </w:r>
      <w:proofErr w:type="gramEnd"/>
      <w:r w:rsidRPr="00AE0A94">
        <w:rPr>
          <w:rFonts w:ascii="Times New Roman" w:hAnsi="Times New Roman" w:cs="Times New Roman"/>
          <w:sz w:val="24"/>
          <w:szCs w:val="24"/>
        </w:rPr>
        <w:t xml:space="preserve"> питьевой воды………</w:t>
      </w:r>
      <w:r>
        <w:rPr>
          <w:rFonts w:ascii="Times New Roman" w:hAnsi="Times New Roman" w:cs="Times New Roman"/>
          <w:sz w:val="24"/>
          <w:szCs w:val="24"/>
        </w:rPr>
        <w:t xml:space="preserve">           </w:t>
      </w:r>
      <w:r w:rsidRPr="00AE0A94">
        <w:rPr>
          <w:rFonts w:ascii="Times New Roman" w:hAnsi="Times New Roman" w:cs="Times New Roman"/>
          <w:sz w:val="24"/>
          <w:szCs w:val="24"/>
        </w:rPr>
        <w:t>………</w:t>
      </w:r>
      <w:r w:rsidR="004F742E">
        <w:rPr>
          <w:rFonts w:ascii="Times New Roman" w:hAnsi="Times New Roman" w:cs="Times New Roman"/>
          <w:sz w:val="24"/>
          <w:szCs w:val="24"/>
        </w:rPr>
        <w:t>84</w:t>
      </w:r>
      <w:r w:rsidRPr="00AE0A94">
        <w:rPr>
          <w:rFonts w:ascii="Times New Roman" w:hAnsi="Times New Roman" w:cs="Times New Roman"/>
          <w:sz w:val="24"/>
          <w:szCs w:val="24"/>
        </w:rPr>
        <w:t>-</w:t>
      </w:r>
      <w:r w:rsidR="004F742E">
        <w:rPr>
          <w:rFonts w:ascii="Times New Roman" w:hAnsi="Times New Roman" w:cs="Times New Roman"/>
          <w:sz w:val="24"/>
          <w:szCs w:val="24"/>
        </w:rPr>
        <w:t>118</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2.1.3 Результаты деятельности по улучшению состояния почвы ……</w:t>
      </w:r>
      <w:r>
        <w:rPr>
          <w:rFonts w:ascii="Times New Roman" w:hAnsi="Times New Roman" w:cs="Times New Roman"/>
          <w:sz w:val="24"/>
          <w:szCs w:val="24"/>
        </w:rPr>
        <w:t xml:space="preserve">             </w:t>
      </w:r>
      <w:r w:rsidRPr="00AE0A94">
        <w:rPr>
          <w:rFonts w:ascii="Times New Roman" w:hAnsi="Times New Roman" w:cs="Times New Roman"/>
          <w:sz w:val="24"/>
          <w:szCs w:val="24"/>
        </w:rPr>
        <w:t xml:space="preserve">……  </w:t>
      </w:r>
      <w:r w:rsidR="004F742E">
        <w:rPr>
          <w:rFonts w:ascii="Times New Roman" w:hAnsi="Times New Roman" w:cs="Times New Roman"/>
          <w:sz w:val="24"/>
          <w:szCs w:val="24"/>
        </w:rPr>
        <w:t>118</w:t>
      </w:r>
      <w:r w:rsidRPr="00AE0A94">
        <w:rPr>
          <w:rFonts w:ascii="Times New Roman" w:hAnsi="Times New Roman" w:cs="Times New Roman"/>
          <w:sz w:val="24"/>
          <w:szCs w:val="24"/>
        </w:rPr>
        <w:t>-</w:t>
      </w:r>
      <w:r w:rsidR="004F742E">
        <w:rPr>
          <w:rFonts w:ascii="Times New Roman" w:hAnsi="Times New Roman" w:cs="Times New Roman"/>
          <w:sz w:val="24"/>
          <w:szCs w:val="24"/>
        </w:rPr>
        <w:t>125</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 xml:space="preserve">Глава 2.2. Основные меры по профилактике массовых </w:t>
      </w:r>
      <w:proofErr w:type="gramStart"/>
      <w:r w:rsidRPr="00AE0A94">
        <w:rPr>
          <w:rFonts w:ascii="Times New Roman" w:hAnsi="Times New Roman" w:cs="Times New Roman"/>
          <w:sz w:val="24"/>
          <w:szCs w:val="24"/>
        </w:rPr>
        <w:t>неинфекционных  (</w:t>
      </w:r>
      <w:proofErr w:type="gramEnd"/>
      <w:r w:rsidRPr="00AE0A94">
        <w:rPr>
          <w:rFonts w:ascii="Times New Roman" w:hAnsi="Times New Roman" w:cs="Times New Roman"/>
          <w:sz w:val="24"/>
          <w:szCs w:val="24"/>
        </w:rPr>
        <w:t>отравлений) и приоритетных заболеваний в связи с вредным воздействием факторов среды обитания населения в г. Пыть-Ях.…………………</w:t>
      </w:r>
      <w:r>
        <w:rPr>
          <w:rFonts w:ascii="Times New Roman" w:hAnsi="Times New Roman" w:cs="Times New Roman"/>
          <w:sz w:val="24"/>
          <w:szCs w:val="24"/>
        </w:rPr>
        <w:t xml:space="preserve">                                                        </w:t>
      </w:r>
      <w:r w:rsidR="004F742E">
        <w:rPr>
          <w:rFonts w:ascii="Times New Roman" w:hAnsi="Times New Roman" w:cs="Times New Roman"/>
          <w:sz w:val="24"/>
          <w:szCs w:val="24"/>
        </w:rPr>
        <w:t xml:space="preserve">………   </w:t>
      </w:r>
      <w:r w:rsidR="00D274B0" w:rsidRPr="00D274B0">
        <w:rPr>
          <w:rFonts w:ascii="Times New Roman" w:hAnsi="Times New Roman" w:cs="Times New Roman"/>
          <w:sz w:val="24"/>
          <w:szCs w:val="24"/>
        </w:rPr>
        <w:t>125</w:t>
      </w:r>
      <w:r w:rsidRPr="00D274B0">
        <w:rPr>
          <w:rFonts w:ascii="Times New Roman" w:hAnsi="Times New Roman" w:cs="Times New Roman"/>
          <w:sz w:val="24"/>
          <w:szCs w:val="24"/>
        </w:rPr>
        <w:t xml:space="preserve">- </w:t>
      </w:r>
      <w:r w:rsidR="00D274B0" w:rsidRPr="00D274B0">
        <w:rPr>
          <w:rFonts w:ascii="Times New Roman" w:hAnsi="Times New Roman" w:cs="Times New Roman"/>
          <w:sz w:val="24"/>
          <w:szCs w:val="24"/>
        </w:rPr>
        <w:t>146</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2.2.1 Результаты деятельности по безопасности питания ………</w:t>
      </w:r>
      <w:r>
        <w:rPr>
          <w:rFonts w:ascii="Times New Roman" w:hAnsi="Times New Roman" w:cs="Times New Roman"/>
          <w:sz w:val="24"/>
          <w:szCs w:val="24"/>
        </w:rPr>
        <w:t xml:space="preserve">            </w:t>
      </w:r>
      <w:r w:rsidRPr="00AE0A94">
        <w:rPr>
          <w:rFonts w:ascii="Times New Roman" w:hAnsi="Times New Roman" w:cs="Times New Roman"/>
          <w:sz w:val="24"/>
          <w:szCs w:val="24"/>
        </w:rPr>
        <w:t>…………...</w:t>
      </w:r>
      <w:r w:rsidR="00D274B0">
        <w:rPr>
          <w:rFonts w:ascii="Times New Roman" w:hAnsi="Times New Roman" w:cs="Times New Roman"/>
          <w:sz w:val="24"/>
          <w:szCs w:val="24"/>
        </w:rPr>
        <w:t>125</w:t>
      </w:r>
      <w:r w:rsidRPr="00AE0A94">
        <w:rPr>
          <w:rFonts w:ascii="Times New Roman" w:hAnsi="Times New Roman" w:cs="Times New Roman"/>
          <w:sz w:val="24"/>
          <w:szCs w:val="24"/>
        </w:rPr>
        <w:t>-1</w:t>
      </w:r>
      <w:r w:rsidR="00D274B0">
        <w:rPr>
          <w:rFonts w:ascii="Times New Roman" w:hAnsi="Times New Roman" w:cs="Times New Roman"/>
          <w:sz w:val="24"/>
          <w:szCs w:val="24"/>
        </w:rPr>
        <w:t>30</w:t>
      </w:r>
    </w:p>
    <w:p w:rsidR="00D274B0"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2.2.2 Результаты деятельности по безопасности условий труда…………</w:t>
      </w:r>
      <w:r>
        <w:rPr>
          <w:rFonts w:ascii="Times New Roman" w:hAnsi="Times New Roman" w:cs="Times New Roman"/>
          <w:sz w:val="24"/>
          <w:szCs w:val="24"/>
        </w:rPr>
        <w:t xml:space="preserve">            </w:t>
      </w:r>
      <w:r w:rsidRPr="00AE0A94">
        <w:rPr>
          <w:rFonts w:ascii="Times New Roman" w:hAnsi="Times New Roman" w:cs="Times New Roman"/>
          <w:sz w:val="24"/>
          <w:szCs w:val="24"/>
        </w:rPr>
        <w:t>….1</w:t>
      </w:r>
      <w:r w:rsidR="00D274B0">
        <w:rPr>
          <w:rFonts w:ascii="Times New Roman" w:hAnsi="Times New Roman" w:cs="Times New Roman"/>
          <w:sz w:val="24"/>
          <w:szCs w:val="24"/>
        </w:rPr>
        <w:t>30</w:t>
      </w:r>
      <w:r w:rsidRPr="00AE0A94">
        <w:rPr>
          <w:rFonts w:ascii="Times New Roman" w:hAnsi="Times New Roman" w:cs="Times New Roman"/>
          <w:sz w:val="24"/>
          <w:szCs w:val="24"/>
        </w:rPr>
        <w:t>-1</w:t>
      </w:r>
      <w:r w:rsidR="00D274B0">
        <w:rPr>
          <w:rFonts w:ascii="Times New Roman" w:hAnsi="Times New Roman" w:cs="Times New Roman"/>
          <w:sz w:val="24"/>
          <w:szCs w:val="24"/>
        </w:rPr>
        <w:t>33</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2.2.3 Результаты деятельности по безопасности условий воспитания и обучения детей и подростков …………………………………</w:t>
      </w:r>
      <w:r>
        <w:rPr>
          <w:rFonts w:ascii="Times New Roman" w:hAnsi="Times New Roman" w:cs="Times New Roman"/>
          <w:sz w:val="24"/>
          <w:szCs w:val="24"/>
        </w:rPr>
        <w:t xml:space="preserve">                                     </w:t>
      </w:r>
      <w:r w:rsidRPr="00AE0A94">
        <w:rPr>
          <w:rFonts w:ascii="Times New Roman" w:hAnsi="Times New Roman" w:cs="Times New Roman"/>
          <w:sz w:val="24"/>
          <w:szCs w:val="24"/>
        </w:rPr>
        <w:t>……</w:t>
      </w:r>
      <w:r w:rsidR="00D274B0">
        <w:rPr>
          <w:rFonts w:ascii="Times New Roman" w:hAnsi="Times New Roman" w:cs="Times New Roman"/>
          <w:sz w:val="24"/>
          <w:szCs w:val="24"/>
        </w:rPr>
        <w:t xml:space="preserve">  </w:t>
      </w:r>
      <w:r w:rsidRPr="00AE0A94">
        <w:rPr>
          <w:rFonts w:ascii="Times New Roman" w:hAnsi="Times New Roman" w:cs="Times New Roman"/>
          <w:sz w:val="24"/>
          <w:szCs w:val="24"/>
        </w:rPr>
        <w:t>…………</w:t>
      </w:r>
      <w:r>
        <w:rPr>
          <w:rFonts w:ascii="Times New Roman" w:hAnsi="Times New Roman" w:cs="Times New Roman"/>
          <w:sz w:val="24"/>
          <w:szCs w:val="24"/>
        </w:rPr>
        <w:t xml:space="preserve"> </w:t>
      </w:r>
      <w:r w:rsidRPr="00AE0A94">
        <w:rPr>
          <w:rFonts w:ascii="Times New Roman" w:hAnsi="Times New Roman" w:cs="Times New Roman"/>
          <w:sz w:val="24"/>
          <w:szCs w:val="24"/>
        </w:rPr>
        <w:t>.. 1</w:t>
      </w:r>
      <w:r w:rsidR="00D274B0">
        <w:rPr>
          <w:rFonts w:ascii="Times New Roman" w:hAnsi="Times New Roman" w:cs="Times New Roman"/>
          <w:sz w:val="24"/>
          <w:szCs w:val="24"/>
        </w:rPr>
        <w:t>34</w:t>
      </w:r>
      <w:r w:rsidRPr="00AE0A94">
        <w:rPr>
          <w:rFonts w:ascii="Times New Roman" w:hAnsi="Times New Roman" w:cs="Times New Roman"/>
          <w:sz w:val="24"/>
          <w:szCs w:val="24"/>
        </w:rPr>
        <w:t>-1</w:t>
      </w:r>
      <w:r w:rsidR="00D274B0">
        <w:rPr>
          <w:rFonts w:ascii="Times New Roman" w:hAnsi="Times New Roman" w:cs="Times New Roman"/>
          <w:sz w:val="24"/>
          <w:szCs w:val="24"/>
        </w:rPr>
        <w:t>46</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 xml:space="preserve">Глава 2.3. Основные </w:t>
      </w:r>
      <w:proofErr w:type="gramStart"/>
      <w:r w:rsidRPr="00AE0A94">
        <w:rPr>
          <w:rFonts w:ascii="Times New Roman" w:hAnsi="Times New Roman" w:cs="Times New Roman"/>
          <w:sz w:val="24"/>
          <w:szCs w:val="24"/>
        </w:rPr>
        <w:t>меры  по</w:t>
      </w:r>
      <w:proofErr w:type="gramEnd"/>
      <w:r w:rsidRPr="00AE0A94">
        <w:rPr>
          <w:rFonts w:ascii="Times New Roman" w:hAnsi="Times New Roman" w:cs="Times New Roman"/>
          <w:sz w:val="24"/>
          <w:szCs w:val="24"/>
        </w:rPr>
        <w:t xml:space="preserve"> профилактике инфекционной и паразитарной заболеваемости населения в г. Пыть-Ях.………………………………………</w:t>
      </w:r>
      <w:r>
        <w:rPr>
          <w:rFonts w:ascii="Times New Roman" w:hAnsi="Times New Roman" w:cs="Times New Roman"/>
          <w:sz w:val="24"/>
          <w:szCs w:val="24"/>
        </w:rPr>
        <w:t xml:space="preserve">          </w:t>
      </w:r>
      <w:r w:rsidR="008F3AF5">
        <w:rPr>
          <w:rFonts w:ascii="Times New Roman" w:hAnsi="Times New Roman" w:cs="Times New Roman"/>
          <w:sz w:val="24"/>
          <w:szCs w:val="24"/>
        </w:rPr>
        <w:t xml:space="preserve">                             </w:t>
      </w:r>
      <w:r w:rsidR="00D274B0">
        <w:rPr>
          <w:rFonts w:ascii="Times New Roman" w:hAnsi="Times New Roman" w:cs="Times New Roman"/>
          <w:sz w:val="24"/>
          <w:szCs w:val="24"/>
        </w:rPr>
        <w:t>146</w:t>
      </w:r>
      <w:r w:rsidRPr="00AE0A94">
        <w:rPr>
          <w:rFonts w:ascii="Times New Roman" w:hAnsi="Times New Roman" w:cs="Times New Roman"/>
          <w:sz w:val="24"/>
          <w:szCs w:val="24"/>
        </w:rPr>
        <w:t>-</w:t>
      </w:r>
      <w:r w:rsidR="00D274B0">
        <w:rPr>
          <w:rFonts w:ascii="Times New Roman" w:hAnsi="Times New Roman" w:cs="Times New Roman"/>
          <w:sz w:val="24"/>
          <w:szCs w:val="24"/>
        </w:rPr>
        <w:t>147</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lastRenderedPageBreak/>
        <w:t xml:space="preserve">Глава 2.4 Принятые санкции за нарушения </w:t>
      </w:r>
      <w:proofErr w:type="gramStart"/>
      <w:r w:rsidRPr="00AE0A94">
        <w:rPr>
          <w:rFonts w:ascii="Times New Roman" w:hAnsi="Times New Roman" w:cs="Times New Roman"/>
          <w:sz w:val="24"/>
          <w:szCs w:val="24"/>
        </w:rPr>
        <w:t>санитарного  законодательства</w:t>
      </w:r>
      <w:proofErr w:type="gramEnd"/>
      <w:r w:rsidRPr="00AE0A94">
        <w:rPr>
          <w:rFonts w:ascii="Times New Roman" w:hAnsi="Times New Roman" w:cs="Times New Roman"/>
          <w:sz w:val="24"/>
          <w:szCs w:val="24"/>
        </w:rPr>
        <w:t>.</w:t>
      </w:r>
      <w:r>
        <w:rPr>
          <w:rFonts w:ascii="Times New Roman" w:hAnsi="Times New Roman" w:cs="Times New Roman"/>
          <w:sz w:val="24"/>
          <w:szCs w:val="24"/>
        </w:rPr>
        <w:t xml:space="preserve">           </w:t>
      </w:r>
      <w:r w:rsidR="008F3AF5">
        <w:rPr>
          <w:rFonts w:ascii="Times New Roman" w:hAnsi="Times New Roman" w:cs="Times New Roman"/>
          <w:sz w:val="24"/>
          <w:szCs w:val="24"/>
        </w:rPr>
        <w:t xml:space="preserve"> </w:t>
      </w:r>
      <w:r>
        <w:rPr>
          <w:rFonts w:ascii="Times New Roman" w:hAnsi="Times New Roman" w:cs="Times New Roman"/>
          <w:sz w:val="24"/>
          <w:szCs w:val="24"/>
        </w:rPr>
        <w:t xml:space="preserve"> </w:t>
      </w:r>
      <w:r w:rsidR="00D274B0">
        <w:rPr>
          <w:rFonts w:ascii="Times New Roman" w:hAnsi="Times New Roman" w:cs="Times New Roman"/>
          <w:sz w:val="24"/>
          <w:szCs w:val="24"/>
        </w:rPr>
        <w:t>147</w:t>
      </w:r>
      <w:r w:rsidRPr="00AE0A94">
        <w:rPr>
          <w:rFonts w:ascii="Times New Roman" w:hAnsi="Times New Roman" w:cs="Times New Roman"/>
          <w:sz w:val="24"/>
          <w:szCs w:val="24"/>
        </w:rPr>
        <w:t>-1</w:t>
      </w:r>
      <w:r w:rsidR="00D274B0">
        <w:rPr>
          <w:rFonts w:ascii="Times New Roman" w:hAnsi="Times New Roman" w:cs="Times New Roman"/>
          <w:sz w:val="24"/>
          <w:szCs w:val="24"/>
        </w:rPr>
        <w:t>52</w:t>
      </w:r>
      <w:r w:rsidRPr="00AE0A94">
        <w:rPr>
          <w:rFonts w:ascii="Times New Roman" w:hAnsi="Times New Roman" w:cs="Times New Roman"/>
          <w:sz w:val="24"/>
          <w:szCs w:val="24"/>
        </w:rPr>
        <w:t xml:space="preserve">                                                                    </w:t>
      </w:r>
    </w:p>
    <w:p w:rsidR="00AE0A94" w:rsidRPr="00AE0A94" w:rsidRDefault="00AE0A94" w:rsidP="00AE0A94">
      <w:pPr>
        <w:spacing w:after="0" w:line="240" w:lineRule="auto"/>
        <w:jc w:val="both"/>
        <w:rPr>
          <w:rFonts w:ascii="Times New Roman" w:hAnsi="Times New Roman" w:cs="Times New Roman"/>
          <w:b/>
          <w:sz w:val="24"/>
          <w:szCs w:val="24"/>
        </w:rPr>
      </w:pPr>
      <w:r w:rsidRPr="00AE0A94">
        <w:rPr>
          <w:rFonts w:ascii="Times New Roman" w:hAnsi="Times New Roman" w:cs="Times New Roman"/>
          <w:b/>
          <w:sz w:val="24"/>
          <w:szCs w:val="24"/>
        </w:rPr>
        <w:t>Раздел 3. Достигнутые результаты улучшения санитарно-эпидемиологической обстановки, имеющиеся проблемные вопросы при обеспечении санитарно-эпидемиологического благополучия и намечаемые меры по их решению в г. Пыть-Ях.</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 xml:space="preserve">Глава 3.1. Анализ и оценка эффективности достижения индикативных показателей деятельности по улучшению санитарно-эпидемиологического благополучия населения </w:t>
      </w:r>
      <w:proofErr w:type="gramStart"/>
      <w:r w:rsidRPr="00AE0A94">
        <w:rPr>
          <w:rFonts w:ascii="Times New Roman" w:hAnsi="Times New Roman" w:cs="Times New Roman"/>
          <w:sz w:val="24"/>
          <w:szCs w:val="24"/>
        </w:rPr>
        <w:t>в  г.</w:t>
      </w:r>
      <w:proofErr w:type="gramEnd"/>
      <w:r w:rsidRPr="00AE0A94">
        <w:rPr>
          <w:rFonts w:ascii="Times New Roman" w:hAnsi="Times New Roman" w:cs="Times New Roman"/>
          <w:sz w:val="24"/>
          <w:szCs w:val="24"/>
        </w:rPr>
        <w:t xml:space="preserve"> Пыть-Ях…………………………………………………………</w:t>
      </w:r>
      <w:r>
        <w:rPr>
          <w:rFonts w:ascii="Times New Roman" w:hAnsi="Times New Roman" w:cs="Times New Roman"/>
          <w:sz w:val="24"/>
          <w:szCs w:val="24"/>
        </w:rPr>
        <w:t xml:space="preserve">                               </w:t>
      </w:r>
      <w:r w:rsidRPr="00AE0A94">
        <w:rPr>
          <w:rFonts w:ascii="Times New Roman" w:hAnsi="Times New Roman" w:cs="Times New Roman"/>
          <w:sz w:val="24"/>
          <w:szCs w:val="24"/>
        </w:rPr>
        <w:t>…</w:t>
      </w:r>
      <w:r w:rsidR="00D274B0">
        <w:rPr>
          <w:rFonts w:ascii="Times New Roman" w:hAnsi="Times New Roman" w:cs="Times New Roman"/>
          <w:sz w:val="24"/>
          <w:szCs w:val="24"/>
        </w:rPr>
        <w:t xml:space="preserve">  152</w:t>
      </w:r>
      <w:r w:rsidRPr="00AE0A94">
        <w:rPr>
          <w:rFonts w:ascii="Times New Roman" w:hAnsi="Times New Roman" w:cs="Times New Roman"/>
          <w:sz w:val="24"/>
          <w:szCs w:val="24"/>
        </w:rPr>
        <w:t>-</w:t>
      </w:r>
      <w:r w:rsidR="00D274B0">
        <w:rPr>
          <w:rFonts w:ascii="Times New Roman" w:hAnsi="Times New Roman" w:cs="Times New Roman"/>
          <w:sz w:val="24"/>
          <w:szCs w:val="24"/>
        </w:rPr>
        <w:t>155</w:t>
      </w:r>
      <w:r w:rsidRPr="00AE0A94">
        <w:rPr>
          <w:rFonts w:ascii="Times New Roman" w:hAnsi="Times New Roman" w:cs="Times New Roman"/>
          <w:sz w:val="24"/>
          <w:szCs w:val="24"/>
        </w:rPr>
        <w:t xml:space="preserve"> </w:t>
      </w:r>
    </w:p>
    <w:p w:rsidR="00AE0A94" w:rsidRPr="00AE0A94" w:rsidRDefault="00AE0A94" w:rsidP="00AE0A94">
      <w:pPr>
        <w:spacing w:after="0" w:line="240" w:lineRule="auto"/>
        <w:jc w:val="both"/>
        <w:rPr>
          <w:rFonts w:ascii="Times New Roman" w:hAnsi="Times New Roman" w:cs="Times New Roman"/>
          <w:sz w:val="24"/>
          <w:szCs w:val="24"/>
        </w:rPr>
      </w:pPr>
      <w:r w:rsidRPr="00AE0A94">
        <w:rPr>
          <w:rFonts w:ascii="Times New Roman" w:hAnsi="Times New Roman" w:cs="Times New Roman"/>
          <w:sz w:val="24"/>
          <w:szCs w:val="24"/>
        </w:rPr>
        <w:t xml:space="preserve">Глава 3.2. Проблемные вопросы при обеспечении санитарно-эпидемиологического благополучия </w:t>
      </w:r>
      <w:proofErr w:type="gramStart"/>
      <w:r w:rsidRPr="00AE0A94">
        <w:rPr>
          <w:rFonts w:ascii="Times New Roman" w:hAnsi="Times New Roman" w:cs="Times New Roman"/>
          <w:sz w:val="24"/>
          <w:szCs w:val="24"/>
        </w:rPr>
        <w:t>населения  и</w:t>
      </w:r>
      <w:proofErr w:type="gramEnd"/>
      <w:r w:rsidRPr="00AE0A94">
        <w:rPr>
          <w:rFonts w:ascii="Times New Roman" w:hAnsi="Times New Roman" w:cs="Times New Roman"/>
          <w:sz w:val="24"/>
          <w:szCs w:val="24"/>
        </w:rPr>
        <w:t xml:space="preserve"> намечаемые меры по их решению в г. Пыть-Ях……… 1</w:t>
      </w:r>
      <w:r w:rsidR="00D274B0">
        <w:rPr>
          <w:rFonts w:ascii="Times New Roman" w:hAnsi="Times New Roman" w:cs="Times New Roman"/>
          <w:sz w:val="24"/>
          <w:szCs w:val="24"/>
        </w:rPr>
        <w:t>55</w:t>
      </w:r>
      <w:r w:rsidRPr="00AE0A94">
        <w:rPr>
          <w:rFonts w:ascii="Times New Roman" w:hAnsi="Times New Roman" w:cs="Times New Roman"/>
          <w:sz w:val="24"/>
          <w:szCs w:val="24"/>
        </w:rPr>
        <w:t>-1</w:t>
      </w:r>
      <w:r w:rsidR="00D274B0">
        <w:rPr>
          <w:rFonts w:ascii="Times New Roman" w:hAnsi="Times New Roman" w:cs="Times New Roman"/>
          <w:sz w:val="24"/>
          <w:szCs w:val="24"/>
        </w:rPr>
        <w:t>58</w:t>
      </w:r>
      <w:r w:rsidRPr="00AE0A94">
        <w:rPr>
          <w:rFonts w:ascii="Times New Roman" w:hAnsi="Times New Roman" w:cs="Times New Roman"/>
          <w:sz w:val="24"/>
          <w:szCs w:val="24"/>
        </w:rPr>
        <w:t xml:space="preserve"> </w:t>
      </w:r>
    </w:p>
    <w:p w:rsidR="00AE0A94" w:rsidRPr="00AE0A94" w:rsidRDefault="00AE0A94" w:rsidP="00AE0A94">
      <w:pPr>
        <w:spacing w:after="0" w:line="240" w:lineRule="auto"/>
        <w:jc w:val="both"/>
        <w:rPr>
          <w:rFonts w:ascii="Times New Roman" w:hAnsi="Times New Roman" w:cs="Times New Roman"/>
          <w:b/>
          <w:sz w:val="24"/>
          <w:szCs w:val="24"/>
        </w:rPr>
      </w:pPr>
      <w:r w:rsidRPr="00AE0A94">
        <w:rPr>
          <w:rFonts w:ascii="Times New Roman" w:hAnsi="Times New Roman" w:cs="Times New Roman"/>
          <w:b/>
          <w:sz w:val="24"/>
          <w:szCs w:val="24"/>
        </w:rPr>
        <w:t>Раздел 4. Заключение……………………………………………</w:t>
      </w:r>
      <w:r>
        <w:rPr>
          <w:rFonts w:ascii="Times New Roman" w:hAnsi="Times New Roman" w:cs="Times New Roman"/>
          <w:b/>
          <w:sz w:val="24"/>
          <w:szCs w:val="24"/>
        </w:rPr>
        <w:t xml:space="preserve">         </w:t>
      </w:r>
      <w:r w:rsidRPr="00AE0A94">
        <w:rPr>
          <w:rFonts w:ascii="Times New Roman" w:hAnsi="Times New Roman" w:cs="Times New Roman"/>
          <w:b/>
          <w:sz w:val="24"/>
          <w:szCs w:val="24"/>
        </w:rPr>
        <w:t>………</w:t>
      </w:r>
      <w:r w:rsidR="00D274B0">
        <w:rPr>
          <w:rFonts w:ascii="Times New Roman" w:hAnsi="Times New Roman" w:cs="Times New Roman"/>
          <w:b/>
          <w:sz w:val="24"/>
          <w:szCs w:val="24"/>
        </w:rPr>
        <w:t xml:space="preserve">   </w:t>
      </w:r>
      <w:r w:rsidRPr="00AE0A94">
        <w:rPr>
          <w:rFonts w:ascii="Times New Roman" w:hAnsi="Times New Roman" w:cs="Times New Roman"/>
          <w:b/>
          <w:sz w:val="24"/>
          <w:szCs w:val="24"/>
        </w:rPr>
        <w:t xml:space="preserve">…… </w:t>
      </w:r>
      <w:r w:rsidRPr="00AE0A94">
        <w:rPr>
          <w:rFonts w:ascii="Times New Roman" w:hAnsi="Times New Roman" w:cs="Times New Roman"/>
          <w:sz w:val="24"/>
          <w:szCs w:val="24"/>
        </w:rPr>
        <w:t>1</w:t>
      </w:r>
      <w:r w:rsidR="00D274B0">
        <w:rPr>
          <w:rFonts w:ascii="Times New Roman" w:hAnsi="Times New Roman" w:cs="Times New Roman"/>
          <w:sz w:val="24"/>
          <w:szCs w:val="24"/>
        </w:rPr>
        <w:t>58</w:t>
      </w:r>
      <w:r w:rsidRPr="00AE0A94">
        <w:rPr>
          <w:rFonts w:ascii="Times New Roman" w:hAnsi="Times New Roman" w:cs="Times New Roman"/>
          <w:sz w:val="24"/>
          <w:szCs w:val="24"/>
        </w:rPr>
        <w:t>-1</w:t>
      </w:r>
      <w:r w:rsidR="00D274B0">
        <w:rPr>
          <w:rFonts w:ascii="Times New Roman" w:hAnsi="Times New Roman" w:cs="Times New Roman"/>
          <w:sz w:val="24"/>
          <w:szCs w:val="24"/>
        </w:rPr>
        <w:t>67</w:t>
      </w:r>
      <w:r w:rsidRPr="00AE0A94">
        <w:rPr>
          <w:rFonts w:ascii="Times New Roman" w:hAnsi="Times New Roman" w:cs="Times New Roman"/>
          <w:b/>
          <w:sz w:val="24"/>
          <w:szCs w:val="24"/>
        </w:rPr>
        <w:t xml:space="preserve"> </w:t>
      </w:r>
    </w:p>
    <w:p w:rsidR="00D66531" w:rsidRPr="00AE0A94" w:rsidRDefault="00D66531" w:rsidP="00AE0A94">
      <w:pPr>
        <w:spacing w:after="0" w:line="240" w:lineRule="auto"/>
        <w:rPr>
          <w:rFonts w:ascii="Times New Roman" w:hAnsi="Times New Roman" w:cs="Times New Roman"/>
          <w:sz w:val="24"/>
          <w:szCs w:val="24"/>
        </w:rPr>
      </w:pPr>
    </w:p>
    <w:p w:rsidR="00AE0A94" w:rsidRPr="00AE0A94" w:rsidRDefault="00AE0A94" w:rsidP="00AE0A94">
      <w:pPr>
        <w:spacing w:after="0" w:line="240" w:lineRule="auto"/>
        <w:rPr>
          <w:rFonts w:ascii="Times New Roman" w:hAnsi="Times New Roman" w:cs="Times New Roman"/>
          <w:sz w:val="24"/>
          <w:szCs w:val="24"/>
        </w:rPr>
      </w:pPr>
    </w:p>
    <w:p w:rsidR="00AE0A94" w:rsidRDefault="00AE0A94"/>
    <w:p w:rsidR="00AE0A94" w:rsidRDefault="00AE0A94"/>
    <w:p w:rsidR="00AE0A94" w:rsidRDefault="00AE0A94"/>
    <w:p w:rsidR="00AE0A94" w:rsidRDefault="00AE0A94"/>
    <w:p w:rsidR="00AE0A94" w:rsidRDefault="00AE0A94"/>
    <w:p w:rsidR="00AE0A94" w:rsidRDefault="00AE0A94"/>
    <w:p w:rsidR="00AE0A94" w:rsidRDefault="00AE0A94"/>
    <w:p w:rsidR="00AE0A94" w:rsidRDefault="00AE0A94"/>
    <w:p w:rsidR="00AE0A94" w:rsidRDefault="00AE0A94"/>
    <w:p w:rsidR="00AE0A94" w:rsidRDefault="00AE0A94"/>
    <w:p w:rsidR="00AE0A94" w:rsidRDefault="00AE0A94"/>
    <w:p w:rsidR="00AE0A94" w:rsidRDefault="00AE0A94"/>
    <w:p w:rsidR="00AE0A94" w:rsidRDefault="00AE0A94"/>
    <w:p w:rsidR="00AE0A94" w:rsidRDefault="00AE0A94"/>
    <w:p w:rsidR="00AE0A94" w:rsidRDefault="00AE0A94"/>
    <w:p w:rsidR="00AE0A94" w:rsidRDefault="00AE0A94"/>
    <w:p w:rsidR="00AE0A94" w:rsidRDefault="00AE0A94"/>
    <w:p w:rsidR="00AE0A94" w:rsidRDefault="00AE0A94"/>
    <w:p w:rsidR="00AE0A94" w:rsidRDefault="00AE0A94"/>
    <w:p w:rsidR="00AE0A94" w:rsidRDefault="00AE0A94"/>
    <w:p w:rsidR="00AE0A94" w:rsidRDefault="00AE0A94"/>
    <w:p w:rsidR="00AE0A94" w:rsidRDefault="00AE0A94"/>
    <w:p w:rsidR="004F742E" w:rsidRDefault="004F742E" w:rsidP="008F3AF5">
      <w:pPr>
        <w:spacing w:after="0" w:line="240" w:lineRule="auto"/>
        <w:jc w:val="center"/>
        <w:rPr>
          <w:rFonts w:ascii="Times New Roman" w:hAnsi="Times New Roman" w:cs="Times New Roman"/>
          <w:b/>
          <w:sz w:val="24"/>
          <w:szCs w:val="24"/>
          <w:u w:val="single"/>
        </w:rPr>
      </w:pPr>
    </w:p>
    <w:p w:rsidR="00D274B0" w:rsidRDefault="00D274B0" w:rsidP="008F3AF5">
      <w:pPr>
        <w:spacing w:after="0" w:line="240" w:lineRule="auto"/>
        <w:jc w:val="center"/>
        <w:rPr>
          <w:rFonts w:ascii="Times New Roman" w:hAnsi="Times New Roman" w:cs="Times New Roman"/>
          <w:b/>
          <w:sz w:val="24"/>
          <w:szCs w:val="24"/>
          <w:u w:val="single"/>
        </w:rPr>
      </w:pPr>
    </w:p>
    <w:p w:rsidR="00D274B0" w:rsidRDefault="00D274B0" w:rsidP="008F3AF5">
      <w:pPr>
        <w:spacing w:after="0" w:line="240" w:lineRule="auto"/>
        <w:jc w:val="center"/>
        <w:rPr>
          <w:rFonts w:ascii="Times New Roman" w:hAnsi="Times New Roman" w:cs="Times New Roman"/>
          <w:b/>
          <w:sz w:val="24"/>
          <w:szCs w:val="24"/>
          <w:u w:val="single"/>
        </w:rPr>
      </w:pPr>
    </w:p>
    <w:p w:rsidR="00D274B0" w:rsidRDefault="00D274B0" w:rsidP="008F3AF5">
      <w:pPr>
        <w:spacing w:after="0" w:line="240" w:lineRule="auto"/>
        <w:jc w:val="center"/>
        <w:rPr>
          <w:rFonts w:ascii="Times New Roman" w:hAnsi="Times New Roman" w:cs="Times New Roman"/>
          <w:b/>
          <w:sz w:val="24"/>
          <w:szCs w:val="24"/>
          <w:u w:val="single"/>
        </w:rPr>
      </w:pPr>
    </w:p>
    <w:p w:rsidR="00D274B0" w:rsidRDefault="00D274B0" w:rsidP="008F3AF5">
      <w:pPr>
        <w:spacing w:after="0" w:line="240" w:lineRule="auto"/>
        <w:jc w:val="center"/>
        <w:rPr>
          <w:rFonts w:ascii="Times New Roman" w:hAnsi="Times New Roman" w:cs="Times New Roman"/>
          <w:b/>
          <w:sz w:val="24"/>
          <w:szCs w:val="24"/>
          <w:u w:val="single"/>
        </w:rPr>
      </w:pPr>
    </w:p>
    <w:p w:rsidR="00D274B0" w:rsidRDefault="00D274B0" w:rsidP="008F3AF5">
      <w:pPr>
        <w:spacing w:after="0" w:line="240" w:lineRule="auto"/>
        <w:jc w:val="center"/>
        <w:rPr>
          <w:rFonts w:ascii="Times New Roman" w:hAnsi="Times New Roman" w:cs="Times New Roman"/>
          <w:b/>
          <w:sz w:val="24"/>
          <w:szCs w:val="24"/>
          <w:u w:val="single"/>
        </w:rPr>
      </w:pPr>
    </w:p>
    <w:p w:rsidR="004F742E" w:rsidRDefault="004F742E" w:rsidP="008F3AF5">
      <w:pPr>
        <w:spacing w:after="0" w:line="240" w:lineRule="auto"/>
        <w:jc w:val="center"/>
        <w:rPr>
          <w:rFonts w:ascii="Times New Roman" w:hAnsi="Times New Roman" w:cs="Times New Roman"/>
          <w:b/>
          <w:sz w:val="24"/>
          <w:szCs w:val="24"/>
          <w:u w:val="single"/>
        </w:rPr>
      </w:pPr>
    </w:p>
    <w:p w:rsidR="008F3AF5" w:rsidRPr="008F3AF5" w:rsidRDefault="008F3AF5" w:rsidP="008F3AF5">
      <w:pPr>
        <w:spacing w:after="0" w:line="240" w:lineRule="auto"/>
        <w:jc w:val="center"/>
        <w:rPr>
          <w:rFonts w:ascii="Times New Roman" w:hAnsi="Times New Roman" w:cs="Times New Roman"/>
          <w:b/>
          <w:sz w:val="24"/>
          <w:szCs w:val="24"/>
          <w:u w:val="single"/>
        </w:rPr>
      </w:pPr>
      <w:r w:rsidRPr="008F3AF5">
        <w:rPr>
          <w:rFonts w:ascii="Times New Roman" w:hAnsi="Times New Roman" w:cs="Times New Roman"/>
          <w:b/>
          <w:sz w:val="24"/>
          <w:szCs w:val="24"/>
          <w:u w:val="single"/>
        </w:rPr>
        <w:t>Введение</w:t>
      </w:r>
    </w:p>
    <w:p w:rsidR="008F3AF5" w:rsidRPr="008F3AF5" w:rsidRDefault="008F3AF5" w:rsidP="008F3AF5">
      <w:pPr>
        <w:spacing w:after="0" w:line="240" w:lineRule="auto"/>
        <w:jc w:val="center"/>
        <w:rPr>
          <w:rFonts w:ascii="Times New Roman" w:hAnsi="Times New Roman" w:cs="Times New Roman"/>
          <w:sz w:val="24"/>
          <w:szCs w:val="24"/>
        </w:rPr>
      </w:pPr>
    </w:p>
    <w:p w:rsidR="008F3AF5" w:rsidRPr="008F3AF5" w:rsidRDefault="008F3AF5" w:rsidP="008F3AF5">
      <w:pPr>
        <w:spacing w:after="0" w:line="240" w:lineRule="auto"/>
        <w:jc w:val="both"/>
        <w:rPr>
          <w:rFonts w:ascii="Times New Roman" w:hAnsi="Times New Roman" w:cs="Times New Roman"/>
          <w:sz w:val="24"/>
          <w:szCs w:val="24"/>
        </w:rPr>
      </w:pPr>
      <w:r w:rsidRPr="008F3AF5">
        <w:rPr>
          <w:rFonts w:ascii="Times New Roman" w:hAnsi="Times New Roman" w:cs="Times New Roman"/>
          <w:sz w:val="24"/>
          <w:szCs w:val="24"/>
        </w:rPr>
        <w:tab/>
        <w:t>В соответствии с Указом Президента Российской Федерации от 09 марта 2004 года № 314 «О системе и структуре федеральных органов власти» проведена реорганизация госсанэпидслужбы Ханты-Мансийского автономного округа – Югры.  Путем слияния с Госторгинспекцией создана новая структура - Управление Федеральной службы по надзору в сфере защиты прав потребителей и благополучия человека по Ханты-Мансийскому автономному округу-Югре. Финансирование вновь образованного органа ведется из федерального бюджета.</w:t>
      </w:r>
    </w:p>
    <w:p w:rsidR="008F3AF5" w:rsidRPr="008F3AF5" w:rsidRDefault="008F3AF5" w:rsidP="008F3AF5">
      <w:pPr>
        <w:spacing w:after="0" w:line="240" w:lineRule="auto"/>
        <w:jc w:val="both"/>
        <w:rPr>
          <w:rFonts w:ascii="Times New Roman" w:hAnsi="Times New Roman" w:cs="Times New Roman"/>
          <w:sz w:val="24"/>
          <w:szCs w:val="24"/>
        </w:rPr>
      </w:pPr>
      <w:r w:rsidRPr="008F3AF5">
        <w:rPr>
          <w:rFonts w:ascii="Times New Roman" w:hAnsi="Times New Roman" w:cs="Times New Roman"/>
          <w:sz w:val="24"/>
          <w:szCs w:val="24"/>
        </w:rPr>
        <w:tab/>
        <w:t xml:space="preserve">Численность работников существенно сократилась, в то время как число поставленных перед нами задач значительно возросло. </w:t>
      </w:r>
    </w:p>
    <w:p w:rsidR="008F3AF5" w:rsidRPr="008F3AF5" w:rsidRDefault="008F3AF5" w:rsidP="008F3AF5">
      <w:pPr>
        <w:spacing w:after="0" w:line="240" w:lineRule="auto"/>
        <w:jc w:val="both"/>
        <w:rPr>
          <w:rFonts w:ascii="Times New Roman" w:hAnsi="Times New Roman" w:cs="Times New Roman"/>
          <w:sz w:val="24"/>
          <w:szCs w:val="24"/>
        </w:rPr>
      </w:pPr>
      <w:r w:rsidRPr="008F3AF5">
        <w:rPr>
          <w:rFonts w:ascii="Times New Roman" w:hAnsi="Times New Roman" w:cs="Times New Roman"/>
          <w:sz w:val="24"/>
          <w:szCs w:val="24"/>
        </w:rPr>
        <w:tab/>
        <w:t>В целом санитарно-эпидемиологическая обстановка на территории Нефтеюганского региона, благодаря действиям органов местного самоуправления и работникам службы, оценивается стабильной.</w:t>
      </w:r>
    </w:p>
    <w:p w:rsidR="008F3AF5" w:rsidRPr="008F3AF5" w:rsidRDefault="008F3AF5" w:rsidP="008F3AF5">
      <w:pPr>
        <w:spacing w:after="0" w:line="240" w:lineRule="auto"/>
        <w:jc w:val="both"/>
        <w:rPr>
          <w:rFonts w:ascii="Times New Roman" w:hAnsi="Times New Roman" w:cs="Times New Roman"/>
          <w:sz w:val="24"/>
          <w:szCs w:val="24"/>
        </w:rPr>
      </w:pPr>
      <w:r w:rsidRPr="008F3AF5">
        <w:rPr>
          <w:rFonts w:ascii="Times New Roman" w:hAnsi="Times New Roman" w:cs="Times New Roman"/>
          <w:sz w:val="24"/>
          <w:szCs w:val="24"/>
        </w:rPr>
        <w:tab/>
        <w:t xml:space="preserve">Основными </w:t>
      </w:r>
      <w:proofErr w:type="gramStart"/>
      <w:r w:rsidRPr="008F3AF5">
        <w:rPr>
          <w:rFonts w:ascii="Times New Roman" w:hAnsi="Times New Roman" w:cs="Times New Roman"/>
          <w:sz w:val="24"/>
          <w:szCs w:val="24"/>
        </w:rPr>
        <w:t>приоритетными  направлениями</w:t>
      </w:r>
      <w:proofErr w:type="gramEnd"/>
      <w:r w:rsidRPr="008F3AF5">
        <w:rPr>
          <w:rFonts w:ascii="Times New Roman" w:hAnsi="Times New Roman" w:cs="Times New Roman"/>
          <w:sz w:val="24"/>
          <w:szCs w:val="24"/>
        </w:rPr>
        <w:t xml:space="preserve"> деятельности ТО РПН на 2017 год являлись:</w:t>
      </w:r>
    </w:p>
    <w:p w:rsidR="008F3AF5" w:rsidRPr="008F3AF5" w:rsidRDefault="008F3AF5" w:rsidP="008F3AF5">
      <w:pPr>
        <w:spacing w:after="0" w:line="240" w:lineRule="auto"/>
        <w:ind w:firstLine="567"/>
        <w:jc w:val="both"/>
        <w:rPr>
          <w:rFonts w:ascii="Times New Roman" w:hAnsi="Times New Roman" w:cs="Times New Roman"/>
          <w:sz w:val="24"/>
          <w:szCs w:val="24"/>
        </w:rPr>
      </w:pPr>
      <w:r w:rsidRPr="008F3AF5">
        <w:rPr>
          <w:rFonts w:ascii="Times New Roman" w:hAnsi="Times New Roman" w:cs="Times New Roman"/>
          <w:sz w:val="24"/>
          <w:szCs w:val="24"/>
        </w:rPr>
        <w:t xml:space="preserve">1. Реализация законодательства, направленного на совершенствование федерального государственного контроля и надзора в области обеспечения санитарно-эпидемиологического благополучия населения и защиты прав потребителей </w:t>
      </w:r>
      <w:r w:rsidRPr="008F3AF5">
        <w:rPr>
          <w:rFonts w:ascii="Times New Roman" w:hAnsi="Times New Roman" w:cs="Times New Roman"/>
          <w:bCs/>
          <w:sz w:val="24"/>
          <w:szCs w:val="24"/>
        </w:rPr>
        <w:t>в Нефтеюгаском регионе</w:t>
      </w:r>
      <w:r w:rsidRPr="008F3AF5">
        <w:rPr>
          <w:rFonts w:ascii="Times New Roman" w:hAnsi="Times New Roman" w:cs="Times New Roman"/>
          <w:sz w:val="24"/>
          <w:szCs w:val="24"/>
        </w:rPr>
        <w:t>, реализация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F3AF5" w:rsidRPr="008F3AF5" w:rsidRDefault="008F3AF5" w:rsidP="008F3AF5">
      <w:pPr>
        <w:spacing w:after="0" w:line="240" w:lineRule="auto"/>
        <w:ind w:firstLine="567"/>
        <w:jc w:val="both"/>
        <w:rPr>
          <w:rFonts w:ascii="Times New Roman" w:hAnsi="Times New Roman" w:cs="Times New Roman"/>
          <w:bCs/>
          <w:sz w:val="24"/>
          <w:szCs w:val="24"/>
        </w:rPr>
      </w:pPr>
      <w:r w:rsidRPr="008F3AF5">
        <w:rPr>
          <w:rFonts w:ascii="Times New Roman" w:hAnsi="Times New Roman" w:cs="Times New Roman"/>
          <w:bCs/>
          <w:sz w:val="24"/>
          <w:szCs w:val="24"/>
        </w:rPr>
        <w:t xml:space="preserve">2. </w:t>
      </w:r>
      <w:r w:rsidRPr="008F3AF5">
        <w:rPr>
          <w:rFonts w:ascii="Times New Roman" w:hAnsi="Times New Roman" w:cs="Times New Roman"/>
          <w:sz w:val="24"/>
          <w:szCs w:val="24"/>
        </w:rPr>
        <w:t>Реализация концепции формирования электронного правительства, переход на предоставление отдельных государственных услуг в электронном виде, внедрение информационных технологий в деятельность ТО.</w:t>
      </w:r>
    </w:p>
    <w:p w:rsidR="008F3AF5" w:rsidRPr="008F3AF5" w:rsidRDefault="008F3AF5" w:rsidP="008F3AF5">
      <w:pPr>
        <w:spacing w:after="0" w:line="240" w:lineRule="auto"/>
        <w:ind w:firstLine="567"/>
        <w:jc w:val="both"/>
        <w:rPr>
          <w:rFonts w:ascii="Times New Roman" w:hAnsi="Times New Roman" w:cs="Times New Roman"/>
          <w:bCs/>
          <w:sz w:val="24"/>
          <w:szCs w:val="24"/>
        </w:rPr>
      </w:pPr>
      <w:r w:rsidRPr="008F3AF5">
        <w:rPr>
          <w:rFonts w:ascii="Times New Roman" w:hAnsi="Times New Roman" w:cs="Times New Roman"/>
          <w:bCs/>
          <w:sz w:val="24"/>
          <w:szCs w:val="24"/>
        </w:rPr>
        <w:t xml:space="preserve">3. </w:t>
      </w:r>
      <w:r w:rsidRPr="008F3AF5">
        <w:rPr>
          <w:rFonts w:ascii="Times New Roman" w:hAnsi="Times New Roman" w:cs="Times New Roman"/>
          <w:sz w:val="24"/>
          <w:szCs w:val="24"/>
        </w:rPr>
        <w:t>Реализация Концепции Административной реформы, Концепции социально-экономического развития Российской Федерации до 2020 года, Концепции демографической политики Российской Федерации до 2025 года, Основных направлений деятельности Правительства Российской Федерации на период до 2012 года, приоритетного национального проекта «Здоровье», Соглашения таможенного союза по санитарным мерам.</w:t>
      </w:r>
    </w:p>
    <w:p w:rsidR="008F3AF5" w:rsidRPr="008F3AF5" w:rsidRDefault="008F3AF5" w:rsidP="008F3AF5">
      <w:pPr>
        <w:spacing w:after="0" w:line="240" w:lineRule="auto"/>
        <w:ind w:firstLine="567"/>
        <w:jc w:val="both"/>
        <w:rPr>
          <w:rFonts w:ascii="Times New Roman" w:hAnsi="Times New Roman" w:cs="Times New Roman"/>
          <w:bCs/>
          <w:sz w:val="24"/>
          <w:szCs w:val="24"/>
        </w:rPr>
      </w:pPr>
      <w:r w:rsidRPr="008F3AF5">
        <w:rPr>
          <w:rFonts w:ascii="Times New Roman" w:hAnsi="Times New Roman" w:cs="Times New Roman"/>
          <w:bCs/>
          <w:sz w:val="24"/>
          <w:szCs w:val="24"/>
        </w:rPr>
        <w:t xml:space="preserve">4. </w:t>
      </w:r>
      <w:r w:rsidRPr="008F3AF5">
        <w:rPr>
          <w:rFonts w:ascii="Times New Roman" w:hAnsi="Times New Roman" w:cs="Times New Roman"/>
          <w:sz w:val="24"/>
          <w:szCs w:val="24"/>
        </w:rPr>
        <w:t>Совершенствование деятельности ТО Управления Роспотребнадзора по Ханты-Мансийскому автономному округу – Югре в условиях субсидиарного финансирования, реализации ведомственных целевых программ, эффективное расходование бюджетных средств.</w:t>
      </w:r>
    </w:p>
    <w:p w:rsidR="008F3AF5" w:rsidRPr="008F3AF5" w:rsidRDefault="008F3AF5" w:rsidP="008F3AF5">
      <w:pPr>
        <w:spacing w:after="0" w:line="240" w:lineRule="auto"/>
        <w:ind w:firstLine="567"/>
        <w:jc w:val="both"/>
        <w:rPr>
          <w:rFonts w:ascii="Times New Roman" w:hAnsi="Times New Roman" w:cs="Times New Roman"/>
          <w:bCs/>
          <w:sz w:val="24"/>
          <w:szCs w:val="24"/>
        </w:rPr>
      </w:pPr>
      <w:r w:rsidRPr="008F3AF5">
        <w:rPr>
          <w:rFonts w:ascii="Times New Roman" w:hAnsi="Times New Roman" w:cs="Times New Roman"/>
          <w:bCs/>
          <w:sz w:val="24"/>
          <w:szCs w:val="24"/>
        </w:rPr>
        <w:t xml:space="preserve">5. </w:t>
      </w:r>
      <w:r w:rsidRPr="008F3AF5">
        <w:rPr>
          <w:rFonts w:ascii="Times New Roman" w:hAnsi="Times New Roman" w:cs="Times New Roman"/>
          <w:sz w:val="24"/>
          <w:szCs w:val="24"/>
        </w:rPr>
        <w:t>Оптимизация федерального государственного санитарно-эпидемиологического надзора.</w:t>
      </w:r>
    </w:p>
    <w:p w:rsidR="008F3AF5" w:rsidRPr="008F3AF5" w:rsidRDefault="008F3AF5" w:rsidP="008F3AF5">
      <w:pPr>
        <w:spacing w:after="0" w:line="240" w:lineRule="auto"/>
        <w:ind w:firstLine="567"/>
        <w:jc w:val="both"/>
        <w:rPr>
          <w:rFonts w:ascii="Times New Roman" w:hAnsi="Times New Roman" w:cs="Times New Roman"/>
          <w:bCs/>
          <w:sz w:val="24"/>
          <w:szCs w:val="24"/>
        </w:rPr>
      </w:pPr>
      <w:r w:rsidRPr="008F3AF5">
        <w:rPr>
          <w:rFonts w:ascii="Times New Roman" w:hAnsi="Times New Roman" w:cs="Times New Roman"/>
          <w:bCs/>
          <w:sz w:val="24"/>
          <w:szCs w:val="24"/>
        </w:rPr>
        <w:t xml:space="preserve">6. </w:t>
      </w:r>
      <w:r w:rsidRPr="008F3AF5">
        <w:rPr>
          <w:rFonts w:ascii="Times New Roman" w:hAnsi="Times New Roman" w:cs="Times New Roman"/>
          <w:sz w:val="24"/>
          <w:szCs w:val="24"/>
        </w:rPr>
        <w:t>Совершенствование федерального государственного эпидемиологического надзора, обеспечение биологической безопасности населения Нефтеюганского региона.</w:t>
      </w:r>
    </w:p>
    <w:p w:rsidR="008F3AF5" w:rsidRPr="008F3AF5" w:rsidRDefault="008F3AF5" w:rsidP="008F3AF5">
      <w:pPr>
        <w:spacing w:after="0" w:line="240" w:lineRule="auto"/>
        <w:ind w:firstLine="567"/>
        <w:jc w:val="both"/>
        <w:rPr>
          <w:rFonts w:ascii="Times New Roman" w:hAnsi="Times New Roman" w:cs="Times New Roman"/>
          <w:bCs/>
          <w:sz w:val="24"/>
          <w:szCs w:val="24"/>
        </w:rPr>
      </w:pPr>
      <w:r w:rsidRPr="008F3AF5">
        <w:rPr>
          <w:rFonts w:ascii="Times New Roman" w:hAnsi="Times New Roman" w:cs="Times New Roman"/>
          <w:bCs/>
          <w:sz w:val="24"/>
          <w:szCs w:val="24"/>
        </w:rPr>
        <w:t xml:space="preserve">7. </w:t>
      </w:r>
      <w:r w:rsidRPr="008F3AF5">
        <w:rPr>
          <w:rFonts w:ascii="Times New Roman" w:hAnsi="Times New Roman" w:cs="Times New Roman"/>
          <w:sz w:val="24"/>
          <w:szCs w:val="24"/>
        </w:rPr>
        <w:t>Совершенствование федерального государственного надзора в области защиты прав потребителей, реализация планов и программ взаимодействия с гражданским обществом в сфере защиты прав потребителей.</w:t>
      </w:r>
    </w:p>
    <w:p w:rsidR="008F3AF5" w:rsidRPr="008F3AF5" w:rsidRDefault="008F3AF5" w:rsidP="008F3AF5">
      <w:pPr>
        <w:pStyle w:val="a4"/>
        <w:tabs>
          <w:tab w:val="left" w:pos="770"/>
        </w:tabs>
        <w:spacing w:before="0" w:beforeAutospacing="0" w:after="0" w:afterAutospacing="0"/>
        <w:ind w:firstLine="550"/>
        <w:jc w:val="both"/>
      </w:pPr>
      <w:r w:rsidRPr="008F3AF5">
        <w:t>Основные направления деятельности предполагают реализацию мероприятий, обеспечивающих решение задач ТО Управления Роспотребнадзора - Югре по исполнению государственных функций в установленной сфере деятельности.</w:t>
      </w:r>
    </w:p>
    <w:p w:rsidR="008F3AF5" w:rsidRPr="008F3AF5" w:rsidRDefault="008F3AF5" w:rsidP="008F3AF5">
      <w:pPr>
        <w:spacing w:after="0" w:line="240" w:lineRule="auto"/>
        <w:ind w:firstLine="567"/>
        <w:jc w:val="both"/>
        <w:rPr>
          <w:rFonts w:ascii="Times New Roman" w:hAnsi="Times New Roman" w:cs="Times New Roman"/>
          <w:sz w:val="24"/>
          <w:szCs w:val="24"/>
        </w:rPr>
      </w:pPr>
      <w:r w:rsidRPr="008F3AF5">
        <w:rPr>
          <w:rFonts w:ascii="Times New Roman" w:hAnsi="Times New Roman" w:cs="Times New Roman"/>
          <w:sz w:val="24"/>
          <w:szCs w:val="24"/>
        </w:rPr>
        <w:t xml:space="preserve">Данные направления деятельности позволили стабилизировать инфекционную заболеваемость, а в некоторых случаях, добиться ее полного исчезновения по инфекциям управляемыми средствами вакцинопрофилактики - дифтерией, полиомиелитом, корью, коклюш. </w:t>
      </w:r>
    </w:p>
    <w:p w:rsidR="008F3AF5" w:rsidRPr="008F3AF5" w:rsidRDefault="008F3AF5" w:rsidP="008F3AF5">
      <w:pPr>
        <w:suppressAutoHyphens/>
        <w:spacing w:after="0" w:line="240" w:lineRule="auto"/>
        <w:jc w:val="both"/>
        <w:rPr>
          <w:rFonts w:ascii="Times New Roman" w:hAnsi="Times New Roman" w:cs="Times New Roman"/>
          <w:sz w:val="24"/>
          <w:szCs w:val="24"/>
        </w:rPr>
      </w:pPr>
      <w:r w:rsidRPr="008F3AF5">
        <w:rPr>
          <w:rFonts w:ascii="Times New Roman" w:hAnsi="Times New Roman" w:cs="Times New Roman"/>
          <w:sz w:val="24"/>
          <w:szCs w:val="24"/>
        </w:rPr>
        <w:tab/>
        <w:t xml:space="preserve">Комплекс организационных и управленческих мер позволил стабилизировать ряд негативных тенденции, а по ряду показателей добиться улучшения. Так, благодаря мерам, принятым госсанэпидслужбой увеличилось число объектов </w:t>
      </w:r>
      <w:r w:rsidRPr="008F3AF5">
        <w:rPr>
          <w:rFonts w:ascii="Times New Roman" w:hAnsi="Times New Roman" w:cs="Times New Roman"/>
          <w:sz w:val="24"/>
          <w:szCs w:val="24"/>
          <w:lang w:val="en-US"/>
        </w:rPr>
        <w:t>I</w:t>
      </w:r>
      <w:r w:rsidRPr="008F3AF5">
        <w:rPr>
          <w:rFonts w:ascii="Times New Roman" w:hAnsi="Times New Roman" w:cs="Times New Roman"/>
          <w:sz w:val="24"/>
          <w:szCs w:val="24"/>
        </w:rPr>
        <w:t xml:space="preserve"> и </w:t>
      </w:r>
      <w:r w:rsidRPr="008F3AF5">
        <w:rPr>
          <w:rFonts w:ascii="Times New Roman" w:hAnsi="Times New Roman" w:cs="Times New Roman"/>
          <w:sz w:val="24"/>
          <w:szCs w:val="24"/>
          <w:lang w:val="en-US"/>
        </w:rPr>
        <w:t>II</w:t>
      </w:r>
      <w:r w:rsidRPr="008F3AF5">
        <w:rPr>
          <w:rFonts w:ascii="Times New Roman" w:hAnsi="Times New Roman" w:cs="Times New Roman"/>
          <w:sz w:val="24"/>
          <w:szCs w:val="24"/>
        </w:rPr>
        <w:t xml:space="preserve"> групп (благополучных в санитарно-эпидемиологическом отношении) за счет снижения объектов третьей (неблагополучной). </w:t>
      </w:r>
    </w:p>
    <w:p w:rsidR="008F3AF5" w:rsidRPr="008F3AF5" w:rsidRDefault="008F3AF5" w:rsidP="008F3AF5">
      <w:pPr>
        <w:spacing w:after="0" w:line="240" w:lineRule="auto"/>
        <w:ind w:firstLine="720"/>
        <w:jc w:val="both"/>
        <w:rPr>
          <w:rFonts w:ascii="Times New Roman" w:hAnsi="Times New Roman" w:cs="Times New Roman"/>
          <w:sz w:val="24"/>
          <w:szCs w:val="24"/>
        </w:rPr>
      </w:pPr>
      <w:r w:rsidRPr="008F3AF5">
        <w:rPr>
          <w:rFonts w:ascii="Times New Roman" w:hAnsi="Times New Roman" w:cs="Times New Roman"/>
          <w:sz w:val="24"/>
          <w:szCs w:val="24"/>
        </w:rPr>
        <w:lastRenderedPageBreak/>
        <w:t xml:space="preserve">Прослеживается положительная тенденция улучшения качества и безопасности продовольственного сырья и продуктов питания. Реализованы намеченные мероприятия по оздоровлению и летнему отдыху детей. </w:t>
      </w:r>
    </w:p>
    <w:p w:rsidR="008F3AF5" w:rsidRPr="008F3AF5" w:rsidRDefault="008F3AF5" w:rsidP="008F3AF5">
      <w:pPr>
        <w:spacing w:after="0" w:line="240" w:lineRule="auto"/>
        <w:ind w:firstLine="720"/>
        <w:jc w:val="both"/>
        <w:rPr>
          <w:rFonts w:ascii="Times New Roman" w:hAnsi="Times New Roman" w:cs="Times New Roman"/>
          <w:sz w:val="24"/>
          <w:szCs w:val="24"/>
        </w:rPr>
      </w:pPr>
      <w:r w:rsidRPr="008F3AF5">
        <w:rPr>
          <w:rFonts w:ascii="Times New Roman" w:hAnsi="Times New Roman" w:cs="Times New Roman"/>
          <w:sz w:val="24"/>
          <w:szCs w:val="24"/>
        </w:rPr>
        <w:t xml:space="preserve">Вместе с тем, новые задачи Управления Роспотребнадзора - защита прав потребителей, требуют концентрации всех сил и энергии от работников службы для достижения поставленных целей. </w:t>
      </w:r>
    </w:p>
    <w:p w:rsidR="008F3AF5" w:rsidRPr="005019AD" w:rsidRDefault="008F3AF5" w:rsidP="008F3AF5">
      <w:pPr>
        <w:tabs>
          <w:tab w:val="left" w:pos="1701"/>
        </w:tabs>
        <w:spacing w:before="240" w:after="120"/>
        <w:ind w:left="1080"/>
        <w:jc w:val="center"/>
        <w:rPr>
          <w:rFonts w:ascii="Times New Roman" w:hAnsi="Times New Roman" w:cs="Times New Roman"/>
          <w:b/>
          <w:bCs/>
          <w:sz w:val="28"/>
          <w:szCs w:val="28"/>
          <w:u w:val="double"/>
        </w:rPr>
      </w:pPr>
      <w:bookmarkStart w:id="0" w:name="OLE_LINK6"/>
      <w:bookmarkStart w:id="1" w:name="OLE_LINK7"/>
      <w:r w:rsidRPr="005019AD">
        <w:rPr>
          <w:rFonts w:ascii="Times New Roman" w:hAnsi="Times New Roman" w:cs="Times New Roman"/>
          <w:b/>
          <w:bCs/>
          <w:sz w:val="28"/>
          <w:szCs w:val="28"/>
          <w:u w:val="double"/>
        </w:rPr>
        <w:t xml:space="preserve">Раздел 1. </w:t>
      </w:r>
      <w:proofErr w:type="gramStart"/>
      <w:r w:rsidRPr="005019AD">
        <w:rPr>
          <w:rFonts w:ascii="Times New Roman" w:hAnsi="Times New Roman" w:cs="Times New Roman"/>
          <w:b/>
          <w:bCs/>
          <w:sz w:val="28"/>
          <w:szCs w:val="28"/>
          <w:u w:val="double"/>
        </w:rPr>
        <w:t>Результаты  социально</w:t>
      </w:r>
      <w:proofErr w:type="gramEnd"/>
      <w:r w:rsidRPr="005019AD">
        <w:rPr>
          <w:rFonts w:ascii="Times New Roman" w:hAnsi="Times New Roman" w:cs="Times New Roman"/>
          <w:b/>
          <w:bCs/>
          <w:sz w:val="28"/>
          <w:szCs w:val="28"/>
          <w:u w:val="double"/>
        </w:rPr>
        <w:t>-гигиенического мониторинга за отчетный год и в динамике за последние три года по территории города Пыть-Ях.</w:t>
      </w:r>
    </w:p>
    <w:p w:rsidR="008F3AF5" w:rsidRPr="005019AD" w:rsidRDefault="008F3AF5" w:rsidP="008F3AF5">
      <w:pPr>
        <w:tabs>
          <w:tab w:val="left" w:pos="1701"/>
        </w:tabs>
        <w:spacing w:before="240" w:after="120"/>
        <w:jc w:val="center"/>
        <w:rPr>
          <w:rFonts w:ascii="Times New Roman" w:hAnsi="Times New Roman" w:cs="Times New Roman"/>
          <w:b/>
          <w:bCs/>
          <w:sz w:val="26"/>
          <w:szCs w:val="26"/>
        </w:rPr>
      </w:pPr>
      <w:proofErr w:type="gramStart"/>
      <w:r w:rsidRPr="005019AD">
        <w:rPr>
          <w:rFonts w:ascii="Times New Roman" w:hAnsi="Times New Roman" w:cs="Times New Roman"/>
          <w:b/>
          <w:bCs/>
          <w:sz w:val="26"/>
          <w:szCs w:val="26"/>
        </w:rPr>
        <w:t>Глава  1.1</w:t>
      </w:r>
      <w:proofErr w:type="gramEnd"/>
      <w:r w:rsidRPr="005019AD">
        <w:rPr>
          <w:rFonts w:ascii="Times New Roman" w:hAnsi="Times New Roman" w:cs="Times New Roman"/>
          <w:b/>
          <w:bCs/>
          <w:sz w:val="26"/>
          <w:szCs w:val="26"/>
        </w:rPr>
        <w:t>. Состояние среды обитания  и ее влияние на здоровье населения.</w:t>
      </w:r>
    </w:p>
    <w:p w:rsidR="008F3AF5" w:rsidRPr="005019AD" w:rsidRDefault="008F3AF5" w:rsidP="005019AD">
      <w:pPr>
        <w:tabs>
          <w:tab w:val="left" w:pos="1701"/>
        </w:tabs>
        <w:spacing w:before="240" w:after="120"/>
        <w:jc w:val="both"/>
        <w:rPr>
          <w:rFonts w:ascii="Times New Roman" w:hAnsi="Times New Roman" w:cs="Times New Roman"/>
          <w:b/>
          <w:bCs/>
          <w:sz w:val="26"/>
          <w:szCs w:val="26"/>
        </w:rPr>
      </w:pPr>
      <w:r w:rsidRPr="005019AD">
        <w:rPr>
          <w:rFonts w:ascii="Times New Roman" w:hAnsi="Times New Roman" w:cs="Times New Roman"/>
          <w:b/>
          <w:bCs/>
          <w:sz w:val="26"/>
          <w:szCs w:val="26"/>
        </w:rPr>
        <w:t xml:space="preserve">1.1.1.Анализ </w:t>
      </w:r>
      <w:proofErr w:type="gramStart"/>
      <w:r w:rsidRPr="005019AD">
        <w:rPr>
          <w:rFonts w:ascii="Times New Roman" w:hAnsi="Times New Roman" w:cs="Times New Roman"/>
          <w:b/>
          <w:bCs/>
          <w:sz w:val="26"/>
          <w:szCs w:val="26"/>
        </w:rPr>
        <w:t>состояния  заболеваемости</w:t>
      </w:r>
      <w:proofErr w:type="gramEnd"/>
      <w:r w:rsidRPr="005019AD">
        <w:rPr>
          <w:rFonts w:ascii="Times New Roman" w:hAnsi="Times New Roman" w:cs="Times New Roman"/>
          <w:b/>
          <w:bCs/>
          <w:sz w:val="26"/>
          <w:szCs w:val="26"/>
        </w:rPr>
        <w:t xml:space="preserve"> массовыми инфекционными (отравлениями) и приоритетными заболеваниями в связи с вредным воздействием факторов среды обитания.</w:t>
      </w:r>
    </w:p>
    <w:p w:rsidR="008F3AF5" w:rsidRPr="005019AD" w:rsidRDefault="008F3AF5" w:rsidP="005019AD">
      <w:pPr>
        <w:tabs>
          <w:tab w:val="left" w:pos="1701"/>
        </w:tabs>
        <w:spacing w:before="240" w:after="120"/>
        <w:jc w:val="both"/>
        <w:rPr>
          <w:rFonts w:ascii="Times New Roman" w:hAnsi="Times New Roman" w:cs="Times New Roman"/>
          <w:b/>
          <w:bCs/>
          <w:sz w:val="26"/>
          <w:szCs w:val="26"/>
        </w:rPr>
      </w:pPr>
      <w:r w:rsidRPr="005019AD">
        <w:rPr>
          <w:rFonts w:ascii="Times New Roman" w:hAnsi="Times New Roman" w:cs="Times New Roman"/>
          <w:b/>
          <w:bCs/>
          <w:sz w:val="26"/>
          <w:szCs w:val="26"/>
        </w:rPr>
        <w:t xml:space="preserve">1.1.1.1. Состояние атмосферного </w:t>
      </w:r>
      <w:proofErr w:type="gramStart"/>
      <w:r w:rsidRPr="005019AD">
        <w:rPr>
          <w:rFonts w:ascii="Times New Roman" w:hAnsi="Times New Roman" w:cs="Times New Roman"/>
          <w:b/>
          <w:bCs/>
          <w:sz w:val="26"/>
          <w:szCs w:val="26"/>
        </w:rPr>
        <w:t>воздуха  населенных</w:t>
      </w:r>
      <w:proofErr w:type="gramEnd"/>
      <w:r w:rsidRPr="005019AD">
        <w:rPr>
          <w:rFonts w:ascii="Times New Roman" w:hAnsi="Times New Roman" w:cs="Times New Roman"/>
          <w:b/>
          <w:bCs/>
          <w:sz w:val="26"/>
          <w:szCs w:val="26"/>
        </w:rPr>
        <w:t xml:space="preserve"> мест</w:t>
      </w:r>
    </w:p>
    <w:p w:rsidR="008F3AF5" w:rsidRPr="005019AD" w:rsidRDefault="008F3AF5" w:rsidP="008F3AF5">
      <w:pPr>
        <w:pStyle w:val="a7"/>
        <w:ind w:firstLine="709"/>
        <w:jc w:val="both"/>
        <w:rPr>
          <w:sz w:val="24"/>
          <w:szCs w:val="24"/>
        </w:rPr>
      </w:pPr>
      <w:r w:rsidRPr="005019AD">
        <w:rPr>
          <w:sz w:val="24"/>
          <w:szCs w:val="24"/>
        </w:rPr>
        <w:t xml:space="preserve">Основными загрязняющими атмосферный воздух примесями являются: диоксид азота, диоксид серы, оксид углерода, углеводороды, летучие органические вещества. </w:t>
      </w:r>
    </w:p>
    <w:p w:rsidR="008F3AF5" w:rsidRPr="005019AD" w:rsidRDefault="008F3AF5" w:rsidP="008F3AF5">
      <w:pPr>
        <w:ind w:firstLine="708"/>
        <w:jc w:val="right"/>
        <w:rPr>
          <w:rFonts w:ascii="Times New Roman" w:hAnsi="Times New Roman" w:cs="Times New Roman"/>
        </w:rPr>
      </w:pPr>
      <w:r w:rsidRPr="005019AD">
        <w:rPr>
          <w:rFonts w:ascii="Times New Roman" w:hAnsi="Times New Roman" w:cs="Times New Roman"/>
        </w:rPr>
        <w:t>Таблица №1</w:t>
      </w:r>
    </w:p>
    <w:p w:rsidR="008F3AF5" w:rsidRPr="005019AD" w:rsidRDefault="008F3AF5" w:rsidP="008F3AF5">
      <w:pPr>
        <w:ind w:firstLine="708"/>
        <w:jc w:val="center"/>
        <w:rPr>
          <w:rFonts w:ascii="Times New Roman" w:hAnsi="Times New Roman" w:cs="Times New Roman"/>
          <w:b/>
          <w:bCs/>
        </w:rPr>
      </w:pPr>
      <w:r w:rsidRPr="005019AD">
        <w:rPr>
          <w:rFonts w:ascii="Times New Roman" w:hAnsi="Times New Roman" w:cs="Times New Roman"/>
          <w:b/>
          <w:bCs/>
        </w:rPr>
        <w:t>Исследование атмосферного воздуха на территории г. Пыть-Ях в 2018-2020 г.г.</w:t>
      </w:r>
    </w:p>
    <w:tbl>
      <w:tblPr>
        <w:tblpPr w:leftFromText="180" w:rightFromText="180" w:vertAnchor="text" w:horzAnchor="margin" w:tblpX="-23" w:tblpY="17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8"/>
        <w:gridCol w:w="659"/>
        <w:gridCol w:w="659"/>
        <w:gridCol w:w="659"/>
        <w:gridCol w:w="634"/>
        <w:gridCol w:w="737"/>
        <w:gridCol w:w="606"/>
        <w:gridCol w:w="567"/>
        <w:gridCol w:w="984"/>
        <w:gridCol w:w="851"/>
      </w:tblGrid>
      <w:tr w:rsidR="008F3AF5" w:rsidRPr="00B518D3" w:rsidTr="00630798">
        <w:trPr>
          <w:cantSplit/>
        </w:trPr>
        <w:tc>
          <w:tcPr>
            <w:tcW w:w="3108" w:type="dxa"/>
            <w:vMerge w:val="restart"/>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Наименование определяемых веществ</w:t>
            </w:r>
          </w:p>
        </w:tc>
        <w:tc>
          <w:tcPr>
            <w:tcW w:w="1977" w:type="dxa"/>
            <w:gridSpan w:val="3"/>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2018г.</w:t>
            </w:r>
          </w:p>
        </w:tc>
        <w:tc>
          <w:tcPr>
            <w:tcW w:w="1977" w:type="dxa"/>
            <w:gridSpan w:val="3"/>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2019г..</w:t>
            </w:r>
          </w:p>
        </w:tc>
        <w:tc>
          <w:tcPr>
            <w:tcW w:w="2402" w:type="dxa"/>
            <w:gridSpan w:val="3"/>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 xml:space="preserve">2020г. </w:t>
            </w:r>
          </w:p>
        </w:tc>
      </w:tr>
      <w:tr w:rsidR="008F3AF5" w:rsidRPr="00B518D3" w:rsidTr="00630798">
        <w:trPr>
          <w:cantSplit/>
        </w:trPr>
        <w:tc>
          <w:tcPr>
            <w:tcW w:w="3108" w:type="dxa"/>
            <w:vMerge/>
          </w:tcPr>
          <w:p w:rsidR="008F3AF5" w:rsidRPr="005019AD" w:rsidRDefault="008F3AF5" w:rsidP="00630798">
            <w:pPr>
              <w:rPr>
                <w:rFonts w:ascii="Times New Roman" w:hAnsi="Times New Roman" w:cs="Times New Roman"/>
              </w:rPr>
            </w:pP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кол-во</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не ст.</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 не ст.</w:t>
            </w:r>
          </w:p>
        </w:tc>
        <w:tc>
          <w:tcPr>
            <w:tcW w:w="63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кол-во</w:t>
            </w:r>
          </w:p>
        </w:tc>
        <w:tc>
          <w:tcPr>
            <w:tcW w:w="737"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не ст.</w:t>
            </w:r>
          </w:p>
        </w:tc>
        <w:tc>
          <w:tcPr>
            <w:tcW w:w="606"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 не ст.</w:t>
            </w:r>
          </w:p>
        </w:tc>
        <w:tc>
          <w:tcPr>
            <w:tcW w:w="567"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кол-во</w:t>
            </w:r>
          </w:p>
        </w:tc>
        <w:tc>
          <w:tcPr>
            <w:tcW w:w="98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не ст.</w:t>
            </w:r>
          </w:p>
        </w:tc>
        <w:tc>
          <w:tcPr>
            <w:tcW w:w="851"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 не ст.</w:t>
            </w:r>
          </w:p>
        </w:tc>
      </w:tr>
      <w:tr w:rsidR="008F3AF5" w:rsidRPr="00B518D3" w:rsidTr="00630798">
        <w:trPr>
          <w:trHeight w:val="249"/>
        </w:trPr>
        <w:tc>
          <w:tcPr>
            <w:tcW w:w="3108" w:type="dxa"/>
            <w:vAlign w:val="center"/>
          </w:tcPr>
          <w:p w:rsidR="008F3AF5" w:rsidRPr="005019AD" w:rsidRDefault="008F3AF5" w:rsidP="00630798">
            <w:pPr>
              <w:rPr>
                <w:rFonts w:ascii="Times New Roman" w:hAnsi="Times New Roman" w:cs="Times New Roman"/>
              </w:rPr>
            </w:pPr>
            <w:r w:rsidRPr="005019AD">
              <w:rPr>
                <w:rFonts w:ascii="Times New Roman" w:hAnsi="Times New Roman" w:cs="Times New Roman"/>
              </w:rPr>
              <w:t>взвешенные вещества</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18</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3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18</w:t>
            </w:r>
          </w:p>
        </w:tc>
        <w:tc>
          <w:tcPr>
            <w:tcW w:w="737"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06"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567" w:type="dxa"/>
          </w:tcPr>
          <w:p w:rsidR="008F3AF5" w:rsidRPr="005019AD" w:rsidRDefault="008F3AF5" w:rsidP="00630798">
            <w:pPr>
              <w:jc w:val="center"/>
              <w:rPr>
                <w:rFonts w:ascii="Times New Roman" w:hAnsi="Times New Roman" w:cs="Times New Roman"/>
                <w:sz w:val="16"/>
                <w:szCs w:val="16"/>
              </w:rPr>
            </w:pPr>
            <w:r w:rsidRPr="005019AD">
              <w:rPr>
                <w:rFonts w:ascii="Times New Roman" w:hAnsi="Times New Roman" w:cs="Times New Roman"/>
                <w:sz w:val="16"/>
                <w:szCs w:val="16"/>
              </w:rPr>
              <w:t>66</w:t>
            </w:r>
          </w:p>
          <w:p w:rsidR="008F3AF5" w:rsidRPr="005019AD" w:rsidRDefault="008F3AF5" w:rsidP="00630798">
            <w:pPr>
              <w:jc w:val="center"/>
              <w:rPr>
                <w:rFonts w:ascii="Times New Roman" w:hAnsi="Times New Roman" w:cs="Times New Roman"/>
              </w:rPr>
            </w:pPr>
          </w:p>
        </w:tc>
        <w:tc>
          <w:tcPr>
            <w:tcW w:w="98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851"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r>
      <w:tr w:rsidR="008F3AF5" w:rsidRPr="00B518D3" w:rsidTr="00630798">
        <w:trPr>
          <w:trHeight w:val="249"/>
        </w:trPr>
        <w:tc>
          <w:tcPr>
            <w:tcW w:w="3108" w:type="dxa"/>
            <w:vAlign w:val="center"/>
          </w:tcPr>
          <w:p w:rsidR="008F3AF5" w:rsidRPr="005019AD" w:rsidRDefault="008F3AF5" w:rsidP="00630798">
            <w:pPr>
              <w:rPr>
                <w:rFonts w:ascii="Times New Roman" w:hAnsi="Times New Roman" w:cs="Times New Roman"/>
              </w:rPr>
            </w:pPr>
            <w:r w:rsidRPr="005019AD">
              <w:rPr>
                <w:rFonts w:ascii="Times New Roman" w:hAnsi="Times New Roman" w:cs="Times New Roman"/>
              </w:rPr>
              <w:t>сера диоксид</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18</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3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9</w:t>
            </w:r>
          </w:p>
        </w:tc>
        <w:tc>
          <w:tcPr>
            <w:tcW w:w="737"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06"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567"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66</w:t>
            </w:r>
          </w:p>
        </w:tc>
        <w:tc>
          <w:tcPr>
            <w:tcW w:w="98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851"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r>
      <w:tr w:rsidR="008F3AF5" w:rsidRPr="00B518D3" w:rsidTr="00630798">
        <w:trPr>
          <w:trHeight w:val="249"/>
        </w:trPr>
        <w:tc>
          <w:tcPr>
            <w:tcW w:w="3108" w:type="dxa"/>
            <w:vAlign w:val="center"/>
          </w:tcPr>
          <w:p w:rsidR="008F3AF5" w:rsidRPr="005019AD" w:rsidRDefault="008F3AF5" w:rsidP="00630798">
            <w:pPr>
              <w:rPr>
                <w:rFonts w:ascii="Times New Roman" w:hAnsi="Times New Roman" w:cs="Times New Roman"/>
              </w:rPr>
            </w:pPr>
            <w:r w:rsidRPr="005019AD">
              <w:rPr>
                <w:rFonts w:ascii="Times New Roman" w:hAnsi="Times New Roman" w:cs="Times New Roman"/>
              </w:rPr>
              <w:t>азота диоксид</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18</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3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9</w:t>
            </w:r>
          </w:p>
        </w:tc>
        <w:tc>
          <w:tcPr>
            <w:tcW w:w="737"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06"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567"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66</w:t>
            </w:r>
          </w:p>
        </w:tc>
        <w:tc>
          <w:tcPr>
            <w:tcW w:w="98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851"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r>
      <w:tr w:rsidR="008F3AF5" w:rsidRPr="00B518D3" w:rsidTr="00630798">
        <w:trPr>
          <w:trHeight w:val="249"/>
        </w:trPr>
        <w:tc>
          <w:tcPr>
            <w:tcW w:w="3108" w:type="dxa"/>
            <w:vAlign w:val="center"/>
          </w:tcPr>
          <w:p w:rsidR="008F3AF5" w:rsidRPr="005019AD" w:rsidRDefault="008F3AF5" w:rsidP="00630798">
            <w:pPr>
              <w:rPr>
                <w:rFonts w:ascii="Times New Roman" w:hAnsi="Times New Roman" w:cs="Times New Roman"/>
              </w:rPr>
            </w:pPr>
            <w:r w:rsidRPr="005019AD">
              <w:rPr>
                <w:rFonts w:ascii="Times New Roman" w:hAnsi="Times New Roman" w:cs="Times New Roman"/>
              </w:rPr>
              <w:t>гидроксибензол (фенол)</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18</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3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18</w:t>
            </w:r>
          </w:p>
        </w:tc>
        <w:tc>
          <w:tcPr>
            <w:tcW w:w="737"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06"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567"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69</w:t>
            </w:r>
          </w:p>
        </w:tc>
        <w:tc>
          <w:tcPr>
            <w:tcW w:w="98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851"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r>
      <w:tr w:rsidR="008F3AF5" w:rsidRPr="00B518D3" w:rsidTr="00630798">
        <w:trPr>
          <w:trHeight w:val="249"/>
        </w:trPr>
        <w:tc>
          <w:tcPr>
            <w:tcW w:w="3108" w:type="dxa"/>
            <w:vAlign w:val="center"/>
          </w:tcPr>
          <w:p w:rsidR="008F3AF5" w:rsidRPr="005019AD" w:rsidRDefault="008F3AF5" w:rsidP="00630798">
            <w:pPr>
              <w:rPr>
                <w:rFonts w:ascii="Times New Roman" w:hAnsi="Times New Roman" w:cs="Times New Roman"/>
              </w:rPr>
            </w:pPr>
            <w:r w:rsidRPr="005019AD">
              <w:rPr>
                <w:rFonts w:ascii="Times New Roman" w:hAnsi="Times New Roman" w:cs="Times New Roman"/>
              </w:rPr>
              <w:t>формальдегид</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18</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3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18</w:t>
            </w:r>
          </w:p>
        </w:tc>
        <w:tc>
          <w:tcPr>
            <w:tcW w:w="737"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06"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567"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69</w:t>
            </w:r>
          </w:p>
        </w:tc>
        <w:tc>
          <w:tcPr>
            <w:tcW w:w="98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851"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r>
      <w:tr w:rsidR="008F3AF5" w:rsidRPr="00B518D3" w:rsidTr="00630798">
        <w:trPr>
          <w:trHeight w:val="249"/>
        </w:trPr>
        <w:tc>
          <w:tcPr>
            <w:tcW w:w="3108" w:type="dxa"/>
            <w:vAlign w:val="center"/>
          </w:tcPr>
          <w:p w:rsidR="008F3AF5" w:rsidRPr="005019AD" w:rsidRDefault="008F3AF5" w:rsidP="00630798">
            <w:pPr>
              <w:rPr>
                <w:rFonts w:ascii="Times New Roman" w:hAnsi="Times New Roman" w:cs="Times New Roman"/>
              </w:rPr>
            </w:pPr>
            <w:r w:rsidRPr="005019AD">
              <w:rPr>
                <w:rFonts w:ascii="Times New Roman" w:hAnsi="Times New Roman" w:cs="Times New Roman"/>
              </w:rPr>
              <w:t>углерод оксид</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9</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3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18</w:t>
            </w:r>
          </w:p>
        </w:tc>
        <w:tc>
          <w:tcPr>
            <w:tcW w:w="737"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06"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567"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66</w:t>
            </w:r>
          </w:p>
        </w:tc>
        <w:tc>
          <w:tcPr>
            <w:tcW w:w="98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851"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r>
      <w:tr w:rsidR="008F3AF5" w:rsidRPr="00B518D3" w:rsidTr="00630798">
        <w:trPr>
          <w:trHeight w:val="249"/>
        </w:trPr>
        <w:tc>
          <w:tcPr>
            <w:tcW w:w="3108" w:type="dxa"/>
            <w:vAlign w:val="center"/>
          </w:tcPr>
          <w:p w:rsidR="008F3AF5" w:rsidRPr="005019AD" w:rsidRDefault="008F3AF5" w:rsidP="00630798">
            <w:pPr>
              <w:rPr>
                <w:rFonts w:ascii="Times New Roman" w:hAnsi="Times New Roman" w:cs="Times New Roman"/>
              </w:rPr>
            </w:pPr>
            <w:r w:rsidRPr="005019AD">
              <w:rPr>
                <w:rFonts w:ascii="Times New Roman" w:hAnsi="Times New Roman" w:cs="Times New Roman"/>
              </w:rPr>
              <w:t>Азота оксид</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9</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3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18</w:t>
            </w:r>
          </w:p>
        </w:tc>
        <w:tc>
          <w:tcPr>
            <w:tcW w:w="737"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06"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567"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66</w:t>
            </w:r>
          </w:p>
        </w:tc>
        <w:tc>
          <w:tcPr>
            <w:tcW w:w="98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851"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r>
      <w:tr w:rsidR="008F3AF5" w:rsidRPr="00B518D3" w:rsidTr="00630798">
        <w:trPr>
          <w:trHeight w:val="249"/>
        </w:trPr>
        <w:tc>
          <w:tcPr>
            <w:tcW w:w="3108" w:type="dxa"/>
            <w:vAlign w:val="center"/>
          </w:tcPr>
          <w:p w:rsidR="008F3AF5" w:rsidRPr="005019AD" w:rsidRDefault="008F3AF5" w:rsidP="00630798">
            <w:pPr>
              <w:rPr>
                <w:rFonts w:ascii="Times New Roman" w:hAnsi="Times New Roman" w:cs="Times New Roman"/>
              </w:rPr>
            </w:pPr>
            <w:r w:rsidRPr="005019AD">
              <w:rPr>
                <w:rFonts w:ascii="Times New Roman" w:hAnsi="Times New Roman" w:cs="Times New Roman"/>
              </w:rPr>
              <w:t xml:space="preserve">Тяжелые металлы </w:t>
            </w:r>
            <w:proofErr w:type="gramStart"/>
            <w:r w:rsidRPr="005019AD">
              <w:rPr>
                <w:rFonts w:ascii="Times New Roman" w:hAnsi="Times New Roman" w:cs="Times New Roman"/>
              </w:rPr>
              <w:t>( свинец</w:t>
            </w:r>
            <w:proofErr w:type="gramEnd"/>
            <w:r w:rsidRPr="005019AD">
              <w:rPr>
                <w:rFonts w:ascii="Times New Roman" w:hAnsi="Times New Roman" w:cs="Times New Roman"/>
              </w:rPr>
              <w:t>)</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9</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3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737"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06"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567"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98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851"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r>
      <w:tr w:rsidR="008F3AF5" w:rsidRPr="00B518D3" w:rsidTr="00630798">
        <w:trPr>
          <w:trHeight w:val="249"/>
        </w:trPr>
        <w:tc>
          <w:tcPr>
            <w:tcW w:w="3108" w:type="dxa"/>
            <w:vAlign w:val="center"/>
          </w:tcPr>
          <w:p w:rsidR="008F3AF5" w:rsidRPr="005019AD" w:rsidRDefault="008F3AF5" w:rsidP="00630798">
            <w:pPr>
              <w:rPr>
                <w:rFonts w:ascii="Times New Roman" w:hAnsi="Times New Roman" w:cs="Times New Roman"/>
              </w:rPr>
            </w:pPr>
            <w:r w:rsidRPr="005019AD">
              <w:rPr>
                <w:rFonts w:ascii="Times New Roman" w:hAnsi="Times New Roman" w:cs="Times New Roman"/>
              </w:rPr>
              <w:t>Дигидросульфат</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9</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3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737"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06"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567"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98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851"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r>
      <w:tr w:rsidR="008F3AF5" w:rsidRPr="00B518D3" w:rsidTr="00630798">
        <w:trPr>
          <w:trHeight w:val="249"/>
        </w:trPr>
        <w:tc>
          <w:tcPr>
            <w:tcW w:w="3108" w:type="dxa"/>
            <w:vAlign w:val="center"/>
          </w:tcPr>
          <w:p w:rsidR="008F3AF5" w:rsidRPr="005019AD" w:rsidRDefault="008F3AF5" w:rsidP="00630798">
            <w:pPr>
              <w:rPr>
                <w:rFonts w:ascii="Times New Roman" w:hAnsi="Times New Roman" w:cs="Times New Roman"/>
              </w:rPr>
            </w:pPr>
            <w:r w:rsidRPr="005019AD">
              <w:rPr>
                <w:rFonts w:ascii="Times New Roman" w:hAnsi="Times New Roman" w:cs="Times New Roman"/>
              </w:rPr>
              <w:t>Сероуглерод</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9</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3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737"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06"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567"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98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851"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r>
      <w:tr w:rsidR="008F3AF5" w:rsidRPr="00B518D3" w:rsidTr="00630798">
        <w:trPr>
          <w:trHeight w:val="249"/>
        </w:trPr>
        <w:tc>
          <w:tcPr>
            <w:tcW w:w="3108" w:type="dxa"/>
            <w:vAlign w:val="center"/>
          </w:tcPr>
          <w:p w:rsidR="008F3AF5" w:rsidRPr="005019AD" w:rsidRDefault="008F3AF5" w:rsidP="00630798">
            <w:pPr>
              <w:rPr>
                <w:rFonts w:ascii="Times New Roman" w:hAnsi="Times New Roman" w:cs="Times New Roman"/>
              </w:rPr>
            </w:pPr>
            <w:r w:rsidRPr="005019AD">
              <w:rPr>
                <w:rFonts w:ascii="Times New Roman" w:hAnsi="Times New Roman" w:cs="Times New Roman"/>
              </w:rPr>
              <w:t>ВСЕГО проб</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135</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59"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3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108</w:t>
            </w:r>
          </w:p>
        </w:tc>
        <w:tc>
          <w:tcPr>
            <w:tcW w:w="737"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606"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567"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468</w:t>
            </w:r>
          </w:p>
        </w:tc>
        <w:tc>
          <w:tcPr>
            <w:tcW w:w="984"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c>
          <w:tcPr>
            <w:tcW w:w="851" w:type="dxa"/>
          </w:tcPr>
          <w:p w:rsidR="008F3AF5" w:rsidRPr="005019AD" w:rsidRDefault="008F3AF5" w:rsidP="00630798">
            <w:pPr>
              <w:jc w:val="center"/>
              <w:rPr>
                <w:rFonts w:ascii="Times New Roman" w:hAnsi="Times New Roman" w:cs="Times New Roman"/>
              </w:rPr>
            </w:pPr>
            <w:r w:rsidRPr="005019AD">
              <w:rPr>
                <w:rFonts w:ascii="Times New Roman" w:hAnsi="Times New Roman" w:cs="Times New Roman"/>
              </w:rPr>
              <w:t>0</w:t>
            </w:r>
          </w:p>
        </w:tc>
      </w:tr>
    </w:tbl>
    <w:p w:rsidR="008F3AF5" w:rsidRDefault="008F3AF5" w:rsidP="008F3AF5">
      <w:pPr>
        <w:jc w:val="both"/>
        <w:rPr>
          <w:sz w:val="24"/>
          <w:szCs w:val="24"/>
          <w:highlight w:val="yellow"/>
        </w:rPr>
      </w:pPr>
    </w:p>
    <w:p w:rsidR="008F3AF5" w:rsidRDefault="008F3AF5" w:rsidP="008F3AF5">
      <w:pPr>
        <w:jc w:val="both"/>
        <w:rPr>
          <w:sz w:val="24"/>
          <w:szCs w:val="24"/>
          <w:highlight w:val="yellow"/>
        </w:rPr>
      </w:pPr>
    </w:p>
    <w:p w:rsidR="008F3AF5" w:rsidRDefault="008F3AF5" w:rsidP="008F3AF5">
      <w:pPr>
        <w:jc w:val="both"/>
        <w:rPr>
          <w:sz w:val="24"/>
          <w:szCs w:val="24"/>
          <w:highlight w:val="yellow"/>
        </w:rPr>
      </w:pPr>
    </w:p>
    <w:p w:rsidR="008F3AF5" w:rsidRDefault="005019AD" w:rsidP="008F3AF5">
      <w:pPr>
        <w:jc w:val="both"/>
        <w:rPr>
          <w:sz w:val="24"/>
          <w:szCs w:val="24"/>
          <w:highlight w:val="yellow"/>
        </w:rPr>
      </w:pPr>
      <w:r w:rsidRPr="003B159D">
        <w:rPr>
          <w:noProof/>
          <w:highlight w:val="yellow"/>
          <w:lang w:eastAsia="ru-RU"/>
        </w:rPr>
        <w:lastRenderedPageBreak/>
        <w:drawing>
          <wp:anchor distT="0" distB="0" distL="114300" distR="114300" simplePos="0" relativeHeight="251659264" behindDoc="0" locked="0" layoutInCell="1" allowOverlap="1">
            <wp:simplePos x="0" y="0"/>
            <wp:positionH relativeFrom="column">
              <wp:posOffset>-71755</wp:posOffset>
            </wp:positionH>
            <wp:positionV relativeFrom="paragraph">
              <wp:posOffset>246380</wp:posOffset>
            </wp:positionV>
            <wp:extent cx="5736590" cy="2763520"/>
            <wp:effectExtent l="0" t="0" r="0" b="635"/>
            <wp:wrapNone/>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8F3AF5" w:rsidRDefault="008F3AF5" w:rsidP="008F3AF5">
      <w:pPr>
        <w:jc w:val="both"/>
        <w:rPr>
          <w:sz w:val="24"/>
          <w:szCs w:val="24"/>
          <w:highlight w:val="yellow"/>
        </w:rPr>
      </w:pPr>
    </w:p>
    <w:p w:rsidR="008F3AF5" w:rsidRDefault="008F3AF5" w:rsidP="008F3AF5">
      <w:pPr>
        <w:jc w:val="both"/>
        <w:rPr>
          <w:sz w:val="24"/>
          <w:szCs w:val="24"/>
          <w:highlight w:val="yellow"/>
        </w:rPr>
      </w:pPr>
    </w:p>
    <w:p w:rsidR="008F3AF5" w:rsidRDefault="008F3AF5" w:rsidP="008F3AF5">
      <w:pPr>
        <w:jc w:val="both"/>
        <w:rPr>
          <w:sz w:val="24"/>
          <w:szCs w:val="24"/>
          <w:highlight w:val="yellow"/>
        </w:rPr>
      </w:pPr>
    </w:p>
    <w:p w:rsidR="008F3AF5" w:rsidRDefault="008F3AF5" w:rsidP="008F3AF5">
      <w:pPr>
        <w:jc w:val="both"/>
        <w:rPr>
          <w:sz w:val="24"/>
          <w:szCs w:val="24"/>
          <w:highlight w:val="yellow"/>
        </w:rPr>
      </w:pPr>
    </w:p>
    <w:p w:rsidR="008F3AF5" w:rsidRDefault="008F3AF5" w:rsidP="008F3AF5">
      <w:pPr>
        <w:jc w:val="both"/>
        <w:rPr>
          <w:sz w:val="24"/>
          <w:szCs w:val="24"/>
          <w:highlight w:val="yellow"/>
        </w:rPr>
      </w:pPr>
    </w:p>
    <w:p w:rsidR="008F3AF5" w:rsidRDefault="008F3AF5" w:rsidP="008F3AF5">
      <w:pPr>
        <w:jc w:val="both"/>
        <w:rPr>
          <w:sz w:val="24"/>
          <w:szCs w:val="24"/>
          <w:highlight w:val="yellow"/>
        </w:rPr>
      </w:pPr>
    </w:p>
    <w:p w:rsidR="008F3AF5" w:rsidRDefault="008F3AF5" w:rsidP="008F3AF5">
      <w:pPr>
        <w:jc w:val="both"/>
        <w:rPr>
          <w:sz w:val="24"/>
          <w:szCs w:val="24"/>
          <w:highlight w:val="yellow"/>
        </w:rPr>
      </w:pPr>
    </w:p>
    <w:p w:rsidR="008F3AF5" w:rsidRPr="003B159D" w:rsidRDefault="008F3AF5" w:rsidP="008F3AF5">
      <w:pPr>
        <w:jc w:val="both"/>
        <w:rPr>
          <w:sz w:val="24"/>
          <w:szCs w:val="24"/>
          <w:highlight w:val="yellow"/>
        </w:rPr>
      </w:pPr>
    </w:p>
    <w:p w:rsidR="008F3AF5" w:rsidRPr="003B159D" w:rsidRDefault="008F3AF5" w:rsidP="008F3AF5">
      <w:pPr>
        <w:pStyle w:val="24"/>
        <w:spacing w:line="240" w:lineRule="auto"/>
        <w:ind w:left="0"/>
        <w:rPr>
          <w:sz w:val="24"/>
          <w:szCs w:val="24"/>
          <w:highlight w:val="yellow"/>
        </w:rPr>
      </w:pPr>
    </w:p>
    <w:p w:rsidR="008F3AF5" w:rsidRPr="003B159D" w:rsidRDefault="008F3AF5" w:rsidP="008F3AF5">
      <w:pPr>
        <w:pStyle w:val="24"/>
        <w:spacing w:line="240" w:lineRule="auto"/>
        <w:ind w:left="0"/>
        <w:rPr>
          <w:sz w:val="24"/>
          <w:szCs w:val="24"/>
          <w:highlight w:val="yellow"/>
        </w:rPr>
      </w:pPr>
    </w:p>
    <w:p w:rsidR="008F3AF5" w:rsidRPr="005019AD" w:rsidRDefault="008F3AF5" w:rsidP="008F3AF5">
      <w:pPr>
        <w:jc w:val="center"/>
        <w:rPr>
          <w:rFonts w:ascii="Times New Roman" w:hAnsi="Times New Roman" w:cs="Times New Roman"/>
        </w:rPr>
      </w:pPr>
      <w:r w:rsidRPr="005019AD">
        <w:rPr>
          <w:rFonts w:ascii="Times New Roman" w:hAnsi="Times New Roman" w:cs="Times New Roman"/>
          <w:b/>
          <w:bCs/>
        </w:rPr>
        <w:t>Рис. №1.</w:t>
      </w:r>
      <w:r w:rsidRPr="005019AD">
        <w:rPr>
          <w:rFonts w:ascii="Times New Roman" w:hAnsi="Times New Roman" w:cs="Times New Roman"/>
        </w:rPr>
        <w:t xml:space="preserve"> Санитарно-химические исследования проб атмосферного воздуха.</w:t>
      </w:r>
    </w:p>
    <w:p w:rsidR="008F3AF5" w:rsidRPr="005019AD" w:rsidRDefault="008F3AF5" w:rsidP="005019AD">
      <w:pPr>
        <w:spacing w:after="0" w:line="240" w:lineRule="auto"/>
        <w:jc w:val="both"/>
        <w:rPr>
          <w:rFonts w:ascii="Times New Roman" w:hAnsi="Times New Roman" w:cs="Times New Roman"/>
          <w:sz w:val="24"/>
          <w:szCs w:val="24"/>
        </w:rPr>
      </w:pPr>
      <w:r w:rsidRPr="005019AD">
        <w:rPr>
          <w:rFonts w:ascii="Times New Roman" w:hAnsi="Times New Roman" w:cs="Times New Roman"/>
          <w:sz w:val="24"/>
          <w:szCs w:val="24"/>
        </w:rPr>
        <w:t xml:space="preserve">     В 2020 году ИЛЦ ФФБУЗ </w:t>
      </w:r>
      <w:r w:rsidRPr="005019AD">
        <w:rPr>
          <w:rFonts w:ascii="Times New Roman" w:hAnsi="Times New Roman" w:cs="Times New Roman"/>
          <w:bCs/>
          <w:sz w:val="23"/>
          <w:szCs w:val="23"/>
        </w:rPr>
        <w:t xml:space="preserve">«Центр гигиены и </w:t>
      </w:r>
      <w:proofErr w:type="gramStart"/>
      <w:r w:rsidRPr="005019AD">
        <w:rPr>
          <w:rFonts w:ascii="Times New Roman" w:hAnsi="Times New Roman" w:cs="Times New Roman"/>
          <w:bCs/>
          <w:sz w:val="23"/>
          <w:szCs w:val="23"/>
        </w:rPr>
        <w:t>эпидемиологии  в</w:t>
      </w:r>
      <w:proofErr w:type="gramEnd"/>
      <w:r w:rsidRPr="005019AD">
        <w:rPr>
          <w:rFonts w:ascii="Times New Roman" w:hAnsi="Times New Roman" w:cs="Times New Roman"/>
          <w:bCs/>
          <w:sz w:val="23"/>
          <w:szCs w:val="23"/>
        </w:rPr>
        <w:t xml:space="preserve"> Ханты-Мансийском автономном округе – Югре в городе Нефтеюганске и Нефтеюганском районе и в городе Пыть –Яхе»</w:t>
      </w:r>
      <w:r w:rsidRPr="005019AD">
        <w:rPr>
          <w:rFonts w:ascii="Times New Roman" w:hAnsi="Times New Roman" w:cs="Times New Roman"/>
          <w:sz w:val="24"/>
          <w:szCs w:val="24"/>
        </w:rPr>
        <w:t xml:space="preserve"> проводились исследования  атмосферного воздуха на территории г. Пыть-Ях в рамках программы мониторинговых наблюдений за факторами среды обитания для социально-гигиенического мониторинга, по заявкам юридических лиц.  За </w:t>
      </w:r>
      <w:proofErr w:type="gramStart"/>
      <w:r w:rsidRPr="005019AD">
        <w:rPr>
          <w:rFonts w:ascii="Times New Roman" w:hAnsi="Times New Roman" w:cs="Times New Roman"/>
          <w:sz w:val="24"/>
          <w:szCs w:val="24"/>
        </w:rPr>
        <w:t>период  с</w:t>
      </w:r>
      <w:proofErr w:type="gramEnd"/>
      <w:r w:rsidRPr="005019AD">
        <w:rPr>
          <w:rFonts w:ascii="Times New Roman" w:hAnsi="Times New Roman" w:cs="Times New Roman"/>
          <w:sz w:val="24"/>
          <w:szCs w:val="24"/>
        </w:rPr>
        <w:t xml:space="preserve"> 2018-20209гг. проб с превышением предельно-допустимых концентраций в исследуемых мониторинговых точках не зарегистрировано.  В динамике по сравнению с 2018г, 2019годом в 2020 году отмечается </w:t>
      </w:r>
      <w:proofErr w:type="gramStart"/>
      <w:r w:rsidRPr="005019AD">
        <w:rPr>
          <w:rFonts w:ascii="Times New Roman" w:hAnsi="Times New Roman" w:cs="Times New Roman"/>
          <w:sz w:val="24"/>
          <w:szCs w:val="24"/>
        </w:rPr>
        <w:t>увеличение  объемов</w:t>
      </w:r>
      <w:proofErr w:type="gramEnd"/>
      <w:r w:rsidRPr="005019AD">
        <w:rPr>
          <w:rFonts w:ascii="Times New Roman" w:hAnsi="Times New Roman" w:cs="Times New Roman"/>
          <w:sz w:val="24"/>
          <w:szCs w:val="24"/>
        </w:rPr>
        <w:t xml:space="preserve"> лабораторных испытаний на  246% и  233% соответственно.</w:t>
      </w:r>
    </w:p>
    <w:p w:rsidR="008F3AF5" w:rsidRPr="005019AD" w:rsidRDefault="008F3AF5" w:rsidP="005019AD">
      <w:pPr>
        <w:spacing w:after="0" w:line="240" w:lineRule="auto"/>
        <w:jc w:val="both"/>
        <w:rPr>
          <w:rFonts w:ascii="Times New Roman" w:hAnsi="Times New Roman" w:cs="Times New Roman"/>
          <w:sz w:val="24"/>
          <w:szCs w:val="24"/>
        </w:rPr>
      </w:pPr>
      <w:r w:rsidRPr="005019AD">
        <w:rPr>
          <w:rFonts w:ascii="Times New Roman" w:hAnsi="Times New Roman" w:cs="Times New Roman"/>
          <w:sz w:val="24"/>
          <w:szCs w:val="24"/>
        </w:rPr>
        <w:t xml:space="preserve"> В 2018-2020гг. превышения    содержания вредных веществ в точках мониторинговых наблюдений и </w:t>
      </w:r>
      <w:proofErr w:type="gramStart"/>
      <w:r w:rsidRPr="005019AD">
        <w:rPr>
          <w:rFonts w:ascii="Times New Roman" w:hAnsi="Times New Roman" w:cs="Times New Roman"/>
          <w:sz w:val="24"/>
          <w:szCs w:val="24"/>
        </w:rPr>
        <w:t>в  атмосферном</w:t>
      </w:r>
      <w:proofErr w:type="gramEnd"/>
      <w:r w:rsidRPr="005019AD">
        <w:rPr>
          <w:rFonts w:ascii="Times New Roman" w:hAnsi="Times New Roman" w:cs="Times New Roman"/>
          <w:sz w:val="24"/>
          <w:szCs w:val="24"/>
        </w:rPr>
        <w:t xml:space="preserve"> воздухе  в местах проведения измерений не установлено.</w:t>
      </w:r>
    </w:p>
    <w:p w:rsidR="008F3AF5" w:rsidRPr="005019AD" w:rsidRDefault="008F3AF5" w:rsidP="005019AD">
      <w:pPr>
        <w:tabs>
          <w:tab w:val="left" w:pos="1701"/>
        </w:tabs>
        <w:spacing w:before="240" w:after="120"/>
        <w:rPr>
          <w:rFonts w:ascii="Times New Roman" w:hAnsi="Times New Roman" w:cs="Times New Roman"/>
          <w:b/>
          <w:bCs/>
          <w:sz w:val="26"/>
          <w:szCs w:val="26"/>
        </w:rPr>
      </w:pPr>
      <w:r w:rsidRPr="005019AD">
        <w:rPr>
          <w:rFonts w:ascii="Times New Roman" w:hAnsi="Times New Roman" w:cs="Times New Roman"/>
          <w:b/>
          <w:bCs/>
          <w:sz w:val="26"/>
          <w:szCs w:val="26"/>
        </w:rPr>
        <w:t>1.1.1.2. Состояние водоснабжения</w:t>
      </w:r>
    </w:p>
    <w:p w:rsidR="008F3AF5" w:rsidRPr="005019AD" w:rsidRDefault="008F3AF5" w:rsidP="008F3AF5">
      <w:pPr>
        <w:pStyle w:val="22"/>
        <w:spacing w:before="240" w:after="120"/>
        <w:ind w:firstLine="709"/>
        <w:jc w:val="both"/>
        <w:rPr>
          <w:bCs/>
          <w:sz w:val="24"/>
          <w:szCs w:val="24"/>
        </w:rPr>
      </w:pPr>
      <w:r w:rsidRPr="005019AD">
        <w:rPr>
          <w:bCs/>
          <w:sz w:val="24"/>
          <w:szCs w:val="24"/>
        </w:rPr>
        <w:t xml:space="preserve">Водоснабжение города Пыть-Ях осуществляется из подземных источников. В   г. Пыть-Ях- имеется  5 водозаборов.. Артезианских скважин в г. Пыть-Ях </w:t>
      </w:r>
      <w:r w:rsidRPr="005019AD">
        <w:rPr>
          <w:bCs/>
          <w:sz w:val="24"/>
          <w:szCs w:val="24"/>
          <w:lang w:val="ru-RU"/>
        </w:rPr>
        <w:t>42</w:t>
      </w:r>
      <w:r w:rsidRPr="005019AD">
        <w:rPr>
          <w:bCs/>
          <w:sz w:val="24"/>
          <w:szCs w:val="24"/>
        </w:rPr>
        <w:t>, из них 39 коммунальных 6 ведомственных. Водоносный горизонт размещен на глубине 280-300 метров. Скважины оборудованы глубинными насосами размещенными на глубине 100 метров. Зона строгого режима артскважин ограждена, благоустроена. На оголовках скважин оборудованы павильоны и содержатся под замком, устроены краны для отбора воды, скважины размещены на территориях:</w:t>
      </w:r>
    </w:p>
    <w:p w:rsidR="008F3AF5" w:rsidRPr="005019AD" w:rsidRDefault="008F3AF5" w:rsidP="006A23B3">
      <w:pPr>
        <w:numPr>
          <w:ilvl w:val="0"/>
          <w:numId w:val="5"/>
        </w:numPr>
        <w:spacing w:after="0" w:line="240" w:lineRule="auto"/>
        <w:ind w:left="1069"/>
        <w:jc w:val="both"/>
        <w:rPr>
          <w:rFonts w:ascii="Times New Roman" w:hAnsi="Times New Roman" w:cs="Times New Roman"/>
          <w:sz w:val="24"/>
          <w:szCs w:val="24"/>
        </w:rPr>
      </w:pPr>
      <w:r w:rsidRPr="005019AD">
        <w:rPr>
          <w:rFonts w:ascii="Times New Roman" w:hAnsi="Times New Roman" w:cs="Times New Roman"/>
          <w:sz w:val="24"/>
          <w:szCs w:val="24"/>
        </w:rPr>
        <w:t>ВОС-1</w:t>
      </w:r>
      <w:r w:rsidRPr="005019AD">
        <w:rPr>
          <w:rFonts w:ascii="Times New Roman" w:hAnsi="Times New Roman" w:cs="Times New Roman"/>
          <w:sz w:val="24"/>
          <w:szCs w:val="24"/>
        </w:rPr>
        <w:tab/>
      </w:r>
      <w:r w:rsidRPr="005019AD">
        <w:rPr>
          <w:rFonts w:ascii="Times New Roman" w:hAnsi="Times New Roman" w:cs="Times New Roman"/>
          <w:sz w:val="24"/>
          <w:szCs w:val="24"/>
        </w:rPr>
        <w:tab/>
      </w:r>
      <w:r w:rsidRPr="005019AD">
        <w:rPr>
          <w:rFonts w:ascii="Times New Roman" w:hAnsi="Times New Roman" w:cs="Times New Roman"/>
          <w:sz w:val="24"/>
          <w:szCs w:val="24"/>
        </w:rPr>
        <w:tab/>
      </w:r>
      <w:r w:rsidRPr="005019AD">
        <w:rPr>
          <w:rFonts w:ascii="Times New Roman" w:hAnsi="Times New Roman" w:cs="Times New Roman"/>
          <w:sz w:val="24"/>
          <w:szCs w:val="24"/>
        </w:rPr>
        <w:tab/>
        <w:t xml:space="preserve">9 </w:t>
      </w:r>
      <w:proofErr w:type="gramStart"/>
      <w:r w:rsidRPr="005019AD">
        <w:rPr>
          <w:rFonts w:ascii="Times New Roman" w:hAnsi="Times New Roman" w:cs="Times New Roman"/>
          <w:sz w:val="24"/>
          <w:szCs w:val="24"/>
        </w:rPr>
        <w:t>действующие( 1</w:t>
      </w:r>
      <w:proofErr w:type="gramEnd"/>
      <w:r w:rsidRPr="005019AD">
        <w:rPr>
          <w:rFonts w:ascii="Times New Roman" w:hAnsi="Times New Roman" w:cs="Times New Roman"/>
          <w:sz w:val="24"/>
          <w:szCs w:val="24"/>
        </w:rPr>
        <w:t xml:space="preserve"> на ликвидации)</w:t>
      </w:r>
    </w:p>
    <w:p w:rsidR="008F3AF5" w:rsidRPr="005019AD" w:rsidRDefault="008F3AF5" w:rsidP="006A23B3">
      <w:pPr>
        <w:numPr>
          <w:ilvl w:val="0"/>
          <w:numId w:val="5"/>
        </w:numPr>
        <w:spacing w:after="0" w:line="240" w:lineRule="auto"/>
        <w:ind w:left="1069"/>
        <w:jc w:val="both"/>
        <w:rPr>
          <w:rFonts w:ascii="Times New Roman" w:hAnsi="Times New Roman" w:cs="Times New Roman"/>
          <w:sz w:val="24"/>
          <w:szCs w:val="24"/>
        </w:rPr>
      </w:pPr>
      <w:r w:rsidRPr="005019AD">
        <w:rPr>
          <w:rFonts w:ascii="Times New Roman" w:hAnsi="Times New Roman" w:cs="Times New Roman"/>
          <w:sz w:val="24"/>
          <w:szCs w:val="24"/>
        </w:rPr>
        <w:t>ВОС-2</w:t>
      </w:r>
      <w:r w:rsidRPr="005019AD">
        <w:rPr>
          <w:rFonts w:ascii="Times New Roman" w:hAnsi="Times New Roman" w:cs="Times New Roman"/>
          <w:sz w:val="24"/>
          <w:szCs w:val="24"/>
        </w:rPr>
        <w:tab/>
      </w:r>
      <w:r w:rsidRPr="005019AD">
        <w:rPr>
          <w:rFonts w:ascii="Times New Roman" w:hAnsi="Times New Roman" w:cs="Times New Roman"/>
          <w:sz w:val="24"/>
          <w:szCs w:val="24"/>
        </w:rPr>
        <w:tab/>
      </w:r>
      <w:r w:rsidRPr="005019AD">
        <w:rPr>
          <w:rFonts w:ascii="Times New Roman" w:hAnsi="Times New Roman" w:cs="Times New Roman"/>
          <w:sz w:val="24"/>
          <w:szCs w:val="24"/>
        </w:rPr>
        <w:tab/>
      </w:r>
      <w:r w:rsidRPr="005019AD">
        <w:rPr>
          <w:rFonts w:ascii="Times New Roman" w:hAnsi="Times New Roman" w:cs="Times New Roman"/>
          <w:sz w:val="24"/>
          <w:szCs w:val="24"/>
        </w:rPr>
        <w:tab/>
        <w:t>8 действующие</w:t>
      </w:r>
    </w:p>
    <w:p w:rsidR="008F3AF5" w:rsidRPr="005019AD" w:rsidRDefault="008F3AF5" w:rsidP="006A23B3">
      <w:pPr>
        <w:numPr>
          <w:ilvl w:val="0"/>
          <w:numId w:val="5"/>
        </w:numPr>
        <w:spacing w:after="0" w:line="240" w:lineRule="auto"/>
        <w:ind w:left="1069"/>
        <w:jc w:val="both"/>
        <w:rPr>
          <w:rFonts w:ascii="Times New Roman" w:hAnsi="Times New Roman" w:cs="Times New Roman"/>
          <w:sz w:val="24"/>
          <w:szCs w:val="24"/>
        </w:rPr>
      </w:pPr>
      <w:r w:rsidRPr="005019AD">
        <w:rPr>
          <w:rFonts w:ascii="Times New Roman" w:hAnsi="Times New Roman" w:cs="Times New Roman"/>
          <w:sz w:val="24"/>
          <w:szCs w:val="24"/>
        </w:rPr>
        <w:t>ВОС-3</w:t>
      </w:r>
      <w:r w:rsidRPr="005019AD">
        <w:rPr>
          <w:rFonts w:ascii="Times New Roman" w:hAnsi="Times New Roman" w:cs="Times New Roman"/>
          <w:sz w:val="24"/>
          <w:szCs w:val="24"/>
        </w:rPr>
        <w:tab/>
      </w:r>
      <w:r w:rsidRPr="005019AD">
        <w:rPr>
          <w:rFonts w:ascii="Times New Roman" w:hAnsi="Times New Roman" w:cs="Times New Roman"/>
          <w:sz w:val="24"/>
          <w:szCs w:val="24"/>
        </w:rPr>
        <w:tab/>
      </w:r>
      <w:r w:rsidRPr="005019AD">
        <w:rPr>
          <w:rFonts w:ascii="Times New Roman" w:hAnsi="Times New Roman" w:cs="Times New Roman"/>
          <w:sz w:val="24"/>
          <w:szCs w:val="24"/>
        </w:rPr>
        <w:tab/>
      </w:r>
      <w:r w:rsidRPr="005019AD">
        <w:rPr>
          <w:rFonts w:ascii="Times New Roman" w:hAnsi="Times New Roman" w:cs="Times New Roman"/>
          <w:sz w:val="24"/>
          <w:szCs w:val="24"/>
        </w:rPr>
        <w:tab/>
        <w:t>20 действующие</w:t>
      </w:r>
    </w:p>
    <w:p w:rsidR="008F3AF5" w:rsidRPr="005019AD" w:rsidRDefault="008F3AF5" w:rsidP="006A23B3">
      <w:pPr>
        <w:numPr>
          <w:ilvl w:val="0"/>
          <w:numId w:val="5"/>
        </w:numPr>
        <w:spacing w:after="0" w:line="240" w:lineRule="auto"/>
        <w:ind w:left="1069"/>
        <w:jc w:val="both"/>
        <w:rPr>
          <w:rFonts w:ascii="Times New Roman" w:hAnsi="Times New Roman" w:cs="Times New Roman"/>
          <w:sz w:val="24"/>
          <w:szCs w:val="24"/>
        </w:rPr>
      </w:pPr>
      <w:r w:rsidRPr="005019AD">
        <w:rPr>
          <w:rFonts w:ascii="Times New Roman" w:hAnsi="Times New Roman" w:cs="Times New Roman"/>
          <w:sz w:val="24"/>
          <w:szCs w:val="24"/>
        </w:rPr>
        <w:t>ВОС-4</w:t>
      </w:r>
      <w:r w:rsidRPr="005019AD">
        <w:rPr>
          <w:rFonts w:ascii="Times New Roman" w:hAnsi="Times New Roman" w:cs="Times New Roman"/>
          <w:sz w:val="24"/>
          <w:szCs w:val="24"/>
        </w:rPr>
        <w:tab/>
      </w:r>
      <w:r w:rsidRPr="005019AD">
        <w:rPr>
          <w:rFonts w:ascii="Times New Roman" w:hAnsi="Times New Roman" w:cs="Times New Roman"/>
          <w:sz w:val="24"/>
          <w:szCs w:val="24"/>
        </w:rPr>
        <w:tab/>
      </w:r>
      <w:r w:rsidRPr="005019AD">
        <w:rPr>
          <w:rFonts w:ascii="Times New Roman" w:hAnsi="Times New Roman" w:cs="Times New Roman"/>
          <w:sz w:val="24"/>
          <w:szCs w:val="24"/>
        </w:rPr>
        <w:tab/>
      </w:r>
      <w:r w:rsidRPr="005019AD">
        <w:rPr>
          <w:rFonts w:ascii="Times New Roman" w:hAnsi="Times New Roman" w:cs="Times New Roman"/>
          <w:sz w:val="24"/>
          <w:szCs w:val="24"/>
        </w:rPr>
        <w:tab/>
        <w:t>5 действующие</w:t>
      </w:r>
    </w:p>
    <w:p w:rsidR="008F3AF5" w:rsidRPr="005019AD" w:rsidRDefault="008F3AF5" w:rsidP="006A23B3">
      <w:pPr>
        <w:numPr>
          <w:ilvl w:val="0"/>
          <w:numId w:val="5"/>
        </w:numPr>
        <w:spacing w:after="0" w:line="240" w:lineRule="auto"/>
        <w:ind w:left="1069"/>
        <w:jc w:val="both"/>
        <w:rPr>
          <w:rFonts w:ascii="Times New Roman" w:hAnsi="Times New Roman" w:cs="Times New Roman"/>
          <w:sz w:val="24"/>
          <w:szCs w:val="24"/>
        </w:rPr>
      </w:pPr>
      <w:r w:rsidRPr="005019AD">
        <w:rPr>
          <w:rFonts w:ascii="Times New Roman" w:hAnsi="Times New Roman" w:cs="Times New Roman"/>
          <w:sz w:val="24"/>
          <w:szCs w:val="24"/>
        </w:rPr>
        <w:t>ЮБ ГПЗ</w:t>
      </w:r>
      <w:r w:rsidRPr="005019AD">
        <w:rPr>
          <w:rFonts w:ascii="Times New Roman" w:hAnsi="Times New Roman" w:cs="Times New Roman"/>
          <w:sz w:val="24"/>
          <w:szCs w:val="24"/>
        </w:rPr>
        <w:tab/>
      </w:r>
      <w:r w:rsidRPr="005019AD">
        <w:rPr>
          <w:rFonts w:ascii="Times New Roman" w:hAnsi="Times New Roman" w:cs="Times New Roman"/>
          <w:sz w:val="24"/>
          <w:szCs w:val="24"/>
        </w:rPr>
        <w:tab/>
      </w:r>
      <w:r w:rsidRPr="005019AD">
        <w:rPr>
          <w:rFonts w:ascii="Times New Roman" w:hAnsi="Times New Roman" w:cs="Times New Roman"/>
          <w:sz w:val="24"/>
          <w:szCs w:val="24"/>
        </w:rPr>
        <w:tab/>
      </w:r>
      <w:r w:rsidRPr="005019AD">
        <w:rPr>
          <w:rFonts w:ascii="Times New Roman" w:hAnsi="Times New Roman" w:cs="Times New Roman"/>
          <w:sz w:val="24"/>
          <w:szCs w:val="24"/>
        </w:rPr>
        <w:tab/>
        <w:t>6 действующие</w:t>
      </w:r>
    </w:p>
    <w:p w:rsidR="008F3AF5" w:rsidRPr="005019AD" w:rsidRDefault="008F3AF5" w:rsidP="005019AD">
      <w:pPr>
        <w:spacing w:after="0" w:line="240" w:lineRule="auto"/>
        <w:jc w:val="both"/>
        <w:rPr>
          <w:rFonts w:ascii="Times New Roman" w:hAnsi="Times New Roman" w:cs="Times New Roman"/>
          <w:sz w:val="24"/>
          <w:szCs w:val="24"/>
        </w:rPr>
      </w:pPr>
      <w:r w:rsidRPr="005019AD">
        <w:rPr>
          <w:rFonts w:ascii="Times New Roman" w:hAnsi="Times New Roman" w:cs="Times New Roman"/>
          <w:sz w:val="24"/>
          <w:szCs w:val="24"/>
        </w:rPr>
        <w:t>Эксплуатирующая скважина в п. Друж</w:t>
      </w:r>
      <w:r w:rsidR="005019AD">
        <w:rPr>
          <w:rFonts w:ascii="Times New Roman" w:hAnsi="Times New Roman" w:cs="Times New Roman"/>
          <w:sz w:val="24"/>
          <w:szCs w:val="24"/>
        </w:rPr>
        <w:t xml:space="preserve">ба не обслуживается, в связи с </w:t>
      </w:r>
      <w:r w:rsidRPr="005019AD">
        <w:rPr>
          <w:rFonts w:ascii="Times New Roman" w:hAnsi="Times New Roman" w:cs="Times New Roman"/>
          <w:sz w:val="24"/>
          <w:szCs w:val="24"/>
        </w:rPr>
        <w:t>уходом с данной территории ООО «Сервис-плюс».</w:t>
      </w:r>
    </w:p>
    <w:p w:rsidR="008F3AF5" w:rsidRPr="005019AD" w:rsidRDefault="008F3AF5" w:rsidP="005019AD">
      <w:pPr>
        <w:spacing w:before="120" w:after="0" w:line="240" w:lineRule="auto"/>
        <w:jc w:val="right"/>
        <w:rPr>
          <w:rFonts w:ascii="Times New Roman" w:hAnsi="Times New Roman" w:cs="Times New Roman"/>
        </w:rPr>
      </w:pPr>
      <w:r w:rsidRPr="005019AD">
        <w:rPr>
          <w:rFonts w:ascii="Times New Roman" w:hAnsi="Times New Roman" w:cs="Times New Roman"/>
        </w:rPr>
        <w:t>Таблица № 2</w:t>
      </w:r>
    </w:p>
    <w:p w:rsidR="008F3AF5" w:rsidRPr="005019AD" w:rsidRDefault="008F3AF5" w:rsidP="005019AD">
      <w:pPr>
        <w:spacing w:after="0" w:line="240" w:lineRule="auto"/>
        <w:jc w:val="center"/>
        <w:rPr>
          <w:rFonts w:ascii="Times New Roman" w:hAnsi="Times New Roman" w:cs="Times New Roman"/>
          <w:b/>
          <w:bCs/>
        </w:rPr>
      </w:pPr>
      <w:r w:rsidRPr="005019AD">
        <w:rPr>
          <w:rFonts w:ascii="Times New Roman" w:hAnsi="Times New Roman" w:cs="Times New Roman"/>
          <w:b/>
          <w:bCs/>
        </w:rPr>
        <w:t>Показатели качества питьевой воды в г. Пыть-</w:t>
      </w:r>
      <w:proofErr w:type="gramStart"/>
      <w:r w:rsidRPr="005019AD">
        <w:rPr>
          <w:rFonts w:ascii="Times New Roman" w:hAnsi="Times New Roman" w:cs="Times New Roman"/>
          <w:b/>
          <w:bCs/>
        </w:rPr>
        <w:t>Ях  за</w:t>
      </w:r>
      <w:proofErr w:type="gramEnd"/>
      <w:r w:rsidRPr="005019AD">
        <w:rPr>
          <w:rFonts w:ascii="Times New Roman" w:hAnsi="Times New Roman" w:cs="Times New Roman"/>
          <w:b/>
          <w:bCs/>
        </w:rPr>
        <w:t xml:space="preserve"> 2018-2020 г.г.</w:t>
      </w:r>
    </w:p>
    <w:tbl>
      <w:tblPr>
        <w:tblW w:w="99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2948"/>
        <w:gridCol w:w="596"/>
        <w:gridCol w:w="781"/>
        <w:gridCol w:w="636"/>
        <w:gridCol w:w="781"/>
        <w:gridCol w:w="782"/>
        <w:gridCol w:w="781"/>
        <w:gridCol w:w="491"/>
        <w:gridCol w:w="781"/>
        <w:gridCol w:w="637"/>
      </w:tblGrid>
      <w:tr w:rsidR="008F3AF5" w:rsidRPr="005019AD" w:rsidTr="005019AD">
        <w:tc>
          <w:tcPr>
            <w:tcW w:w="697" w:type="dxa"/>
            <w:vMerge w:val="restart"/>
          </w:tcPr>
          <w:p w:rsidR="008F3AF5" w:rsidRPr="005019AD" w:rsidRDefault="008F3AF5" w:rsidP="005019AD">
            <w:pPr>
              <w:pStyle w:val="a7"/>
              <w:ind w:firstLine="0"/>
              <w:rPr>
                <w:sz w:val="22"/>
                <w:szCs w:val="22"/>
                <w:lang w:val="ru-RU" w:eastAsia="ru-RU"/>
              </w:rPr>
            </w:pPr>
            <w:r w:rsidRPr="005019AD">
              <w:rPr>
                <w:sz w:val="22"/>
                <w:szCs w:val="22"/>
                <w:lang w:val="ru-RU" w:eastAsia="ru-RU"/>
              </w:rPr>
              <w:t>Год</w:t>
            </w:r>
          </w:p>
        </w:tc>
        <w:tc>
          <w:tcPr>
            <w:tcW w:w="2948" w:type="dxa"/>
            <w:vMerge w:val="restart"/>
          </w:tcPr>
          <w:p w:rsidR="008F3AF5" w:rsidRPr="005019AD" w:rsidRDefault="008F3AF5" w:rsidP="005019AD">
            <w:pPr>
              <w:pStyle w:val="a7"/>
              <w:ind w:firstLine="0"/>
              <w:rPr>
                <w:sz w:val="22"/>
                <w:szCs w:val="22"/>
                <w:lang w:val="ru-RU" w:eastAsia="ru-RU"/>
              </w:rPr>
            </w:pPr>
            <w:r w:rsidRPr="005019AD">
              <w:rPr>
                <w:sz w:val="22"/>
                <w:szCs w:val="22"/>
                <w:lang w:val="ru-RU" w:eastAsia="ru-RU"/>
              </w:rPr>
              <w:t>Наименование</w:t>
            </w:r>
          </w:p>
        </w:tc>
        <w:tc>
          <w:tcPr>
            <w:tcW w:w="6266" w:type="dxa"/>
            <w:gridSpan w:val="9"/>
          </w:tcPr>
          <w:p w:rsidR="008F3AF5" w:rsidRPr="005019AD" w:rsidRDefault="008F3AF5" w:rsidP="005019AD">
            <w:pPr>
              <w:pStyle w:val="a7"/>
              <w:ind w:firstLine="0"/>
              <w:jc w:val="center"/>
              <w:rPr>
                <w:sz w:val="22"/>
                <w:szCs w:val="22"/>
                <w:lang w:val="ru-RU" w:eastAsia="ru-RU"/>
              </w:rPr>
            </w:pPr>
            <w:r w:rsidRPr="005019AD">
              <w:rPr>
                <w:sz w:val="22"/>
                <w:szCs w:val="22"/>
                <w:lang w:val="ru-RU" w:eastAsia="ru-RU"/>
              </w:rPr>
              <w:t>Исследование проб</w:t>
            </w:r>
          </w:p>
        </w:tc>
      </w:tr>
      <w:tr w:rsidR="008F3AF5" w:rsidRPr="005019AD" w:rsidTr="005019AD">
        <w:tc>
          <w:tcPr>
            <w:tcW w:w="697" w:type="dxa"/>
            <w:vMerge/>
          </w:tcPr>
          <w:p w:rsidR="008F3AF5" w:rsidRPr="005019AD" w:rsidRDefault="008F3AF5" w:rsidP="005019AD">
            <w:pPr>
              <w:pStyle w:val="a7"/>
              <w:ind w:firstLine="0"/>
              <w:rPr>
                <w:sz w:val="22"/>
                <w:szCs w:val="22"/>
                <w:lang w:val="ru-RU" w:eastAsia="ru-RU"/>
              </w:rPr>
            </w:pPr>
          </w:p>
        </w:tc>
        <w:tc>
          <w:tcPr>
            <w:tcW w:w="2948" w:type="dxa"/>
            <w:vMerge/>
          </w:tcPr>
          <w:p w:rsidR="008F3AF5" w:rsidRPr="005019AD" w:rsidRDefault="008F3AF5" w:rsidP="005019AD">
            <w:pPr>
              <w:pStyle w:val="a7"/>
              <w:ind w:firstLine="0"/>
              <w:rPr>
                <w:sz w:val="22"/>
                <w:szCs w:val="22"/>
                <w:lang w:val="ru-RU" w:eastAsia="ru-RU"/>
              </w:rPr>
            </w:pPr>
          </w:p>
        </w:tc>
        <w:tc>
          <w:tcPr>
            <w:tcW w:w="2013" w:type="dxa"/>
            <w:gridSpan w:val="3"/>
          </w:tcPr>
          <w:p w:rsidR="008F3AF5" w:rsidRPr="005019AD" w:rsidRDefault="008F3AF5" w:rsidP="005019AD">
            <w:pPr>
              <w:pStyle w:val="a7"/>
              <w:ind w:firstLine="0"/>
              <w:jc w:val="center"/>
              <w:rPr>
                <w:sz w:val="22"/>
                <w:szCs w:val="22"/>
                <w:lang w:val="ru-RU" w:eastAsia="ru-RU"/>
              </w:rPr>
            </w:pPr>
            <w:r w:rsidRPr="005019AD">
              <w:rPr>
                <w:sz w:val="22"/>
                <w:szCs w:val="22"/>
                <w:lang w:val="ru-RU" w:eastAsia="ru-RU"/>
              </w:rPr>
              <w:t>по микробиологич.</w:t>
            </w:r>
          </w:p>
          <w:p w:rsidR="008F3AF5" w:rsidRPr="005019AD" w:rsidRDefault="008F3AF5" w:rsidP="005019AD">
            <w:pPr>
              <w:pStyle w:val="a7"/>
              <w:ind w:firstLine="0"/>
              <w:jc w:val="center"/>
              <w:rPr>
                <w:sz w:val="22"/>
                <w:szCs w:val="22"/>
                <w:lang w:val="ru-RU" w:eastAsia="ru-RU"/>
              </w:rPr>
            </w:pPr>
            <w:r w:rsidRPr="005019AD">
              <w:rPr>
                <w:sz w:val="22"/>
                <w:szCs w:val="22"/>
                <w:lang w:val="ru-RU" w:eastAsia="ru-RU"/>
              </w:rPr>
              <w:t>показателям</w:t>
            </w:r>
          </w:p>
        </w:tc>
        <w:tc>
          <w:tcPr>
            <w:tcW w:w="2344" w:type="dxa"/>
            <w:gridSpan w:val="3"/>
          </w:tcPr>
          <w:p w:rsidR="008F3AF5" w:rsidRPr="005019AD" w:rsidRDefault="008F3AF5" w:rsidP="005019AD">
            <w:pPr>
              <w:pStyle w:val="a7"/>
              <w:ind w:firstLine="0"/>
              <w:jc w:val="center"/>
              <w:rPr>
                <w:sz w:val="22"/>
                <w:szCs w:val="22"/>
                <w:lang w:val="ru-RU" w:eastAsia="ru-RU"/>
              </w:rPr>
            </w:pPr>
            <w:r w:rsidRPr="005019AD">
              <w:rPr>
                <w:sz w:val="22"/>
                <w:szCs w:val="22"/>
                <w:lang w:val="ru-RU" w:eastAsia="ru-RU"/>
              </w:rPr>
              <w:t xml:space="preserve">по </w:t>
            </w:r>
            <w:proofErr w:type="gramStart"/>
            <w:r w:rsidRPr="005019AD">
              <w:rPr>
                <w:sz w:val="22"/>
                <w:szCs w:val="22"/>
                <w:lang w:val="ru-RU" w:eastAsia="ru-RU"/>
              </w:rPr>
              <w:t>сан.–</w:t>
            </w:r>
            <w:proofErr w:type="gramEnd"/>
            <w:r w:rsidRPr="005019AD">
              <w:rPr>
                <w:sz w:val="22"/>
                <w:szCs w:val="22"/>
                <w:lang w:val="ru-RU" w:eastAsia="ru-RU"/>
              </w:rPr>
              <w:t xml:space="preserve"> хим.</w:t>
            </w:r>
          </w:p>
          <w:p w:rsidR="008F3AF5" w:rsidRPr="005019AD" w:rsidRDefault="008F3AF5" w:rsidP="005019AD">
            <w:pPr>
              <w:pStyle w:val="a7"/>
              <w:ind w:firstLine="0"/>
              <w:jc w:val="center"/>
              <w:rPr>
                <w:sz w:val="22"/>
                <w:szCs w:val="22"/>
                <w:lang w:val="ru-RU" w:eastAsia="ru-RU"/>
              </w:rPr>
            </w:pPr>
            <w:r w:rsidRPr="005019AD">
              <w:rPr>
                <w:sz w:val="22"/>
                <w:szCs w:val="22"/>
                <w:lang w:val="ru-RU" w:eastAsia="ru-RU"/>
              </w:rPr>
              <w:t>показателям</w:t>
            </w:r>
          </w:p>
        </w:tc>
        <w:tc>
          <w:tcPr>
            <w:tcW w:w="1909" w:type="dxa"/>
            <w:gridSpan w:val="3"/>
          </w:tcPr>
          <w:p w:rsidR="008F3AF5" w:rsidRPr="005019AD" w:rsidRDefault="008F3AF5" w:rsidP="005019AD">
            <w:pPr>
              <w:pStyle w:val="a7"/>
              <w:ind w:firstLine="0"/>
              <w:jc w:val="center"/>
              <w:rPr>
                <w:sz w:val="22"/>
                <w:szCs w:val="22"/>
                <w:lang w:val="ru-RU" w:eastAsia="ru-RU"/>
              </w:rPr>
            </w:pPr>
            <w:r w:rsidRPr="005019AD">
              <w:rPr>
                <w:sz w:val="22"/>
                <w:szCs w:val="22"/>
                <w:lang w:val="ru-RU" w:eastAsia="ru-RU"/>
              </w:rPr>
              <w:t>по радиологическим</w:t>
            </w:r>
          </w:p>
          <w:p w:rsidR="008F3AF5" w:rsidRPr="005019AD" w:rsidRDefault="008F3AF5" w:rsidP="005019AD">
            <w:pPr>
              <w:pStyle w:val="a7"/>
              <w:ind w:firstLine="0"/>
              <w:jc w:val="center"/>
              <w:rPr>
                <w:sz w:val="22"/>
                <w:szCs w:val="22"/>
                <w:lang w:val="ru-RU" w:eastAsia="ru-RU"/>
              </w:rPr>
            </w:pPr>
            <w:r w:rsidRPr="005019AD">
              <w:rPr>
                <w:sz w:val="22"/>
                <w:szCs w:val="22"/>
                <w:lang w:val="ru-RU" w:eastAsia="ru-RU"/>
              </w:rPr>
              <w:t>показателям</w:t>
            </w:r>
          </w:p>
        </w:tc>
      </w:tr>
      <w:tr w:rsidR="008F3AF5" w:rsidRPr="005019AD" w:rsidTr="005019AD">
        <w:trPr>
          <w:trHeight w:val="1879"/>
        </w:trPr>
        <w:tc>
          <w:tcPr>
            <w:tcW w:w="697" w:type="dxa"/>
            <w:vMerge/>
          </w:tcPr>
          <w:p w:rsidR="008F3AF5" w:rsidRPr="005019AD" w:rsidRDefault="008F3AF5" w:rsidP="005019AD">
            <w:pPr>
              <w:pStyle w:val="a7"/>
              <w:ind w:firstLine="0"/>
              <w:rPr>
                <w:sz w:val="22"/>
                <w:szCs w:val="22"/>
                <w:highlight w:val="yellow"/>
                <w:lang w:val="ru-RU" w:eastAsia="ru-RU"/>
              </w:rPr>
            </w:pPr>
          </w:p>
        </w:tc>
        <w:tc>
          <w:tcPr>
            <w:tcW w:w="2948" w:type="dxa"/>
            <w:vMerge/>
          </w:tcPr>
          <w:p w:rsidR="008F3AF5" w:rsidRPr="005019AD" w:rsidRDefault="008F3AF5" w:rsidP="005019AD">
            <w:pPr>
              <w:pStyle w:val="a7"/>
              <w:ind w:firstLine="0"/>
              <w:rPr>
                <w:sz w:val="22"/>
                <w:szCs w:val="22"/>
                <w:lang w:val="ru-RU" w:eastAsia="ru-RU"/>
              </w:rPr>
            </w:pPr>
          </w:p>
        </w:tc>
        <w:tc>
          <w:tcPr>
            <w:tcW w:w="596" w:type="dxa"/>
            <w:textDirection w:val="btLr"/>
          </w:tcPr>
          <w:p w:rsidR="008F3AF5" w:rsidRPr="005019AD" w:rsidRDefault="008F3AF5" w:rsidP="005019AD">
            <w:pPr>
              <w:spacing w:before="20" w:after="0" w:line="240" w:lineRule="auto"/>
              <w:ind w:left="113" w:right="113"/>
              <w:jc w:val="center"/>
              <w:rPr>
                <w:rFonts w:ascii="Times New Roman" w:hAnsi="Times New Roman" w:cs="Times New Roman"/>
              </w:rPr>
            </w:pPr>
            <w:r w:rsidRPr="005019AD">
              <w:rPr>
                <w:rFonts w:ascii="Times New Roman" w:hAnsi="Times New Roman" w:cs="Times New Roman"/>
              </w:rPr>
              <w:t>всего</w:t>
            </w:r>
          </w:p>
        </w:tc>
        <w:tc>
          <w:tcPr>
            <w:tcW w:w="781" w:type="dxa"/>
            <w:textDirection w:val="btLr"/>
          </w:tcPr>
          <w:p w:rsidR="008F3AF5" w:rsidRPr="005019AD" w:rsidRDefault="008F3AF5" w:rsidP="005019AD">
            <w:pPr>
              <w:spacing w:before="20" w:after="0" w:line="240" w:lineRule="auto"/>
              <w:ind w:left="113" w:right="113"/>
              <w:jc w:val="center"/>
              <w:rPr>
                <w:rFonts w:ascii="Times New Roman" w:hAnsi="Times New Roman" w:cs="Times New Roman"/>
              </w:rPr>
            </w:pPr>
            <w:r w:rsidRPr="005019AD">
              <w:rPr>
                <w:rFonts w:ascii="Times New Roman" w:hAnsi="Times New Roman" w:cs="Times New Roman"/>
              </w:rPr>
              <w:t>из них не отвечает нормам</w:t>
            </w:r>
          </w:p>
        </w:tc>
        <w:tc>
          <w:tcPr>
            <w:tcW w:w="636" w:type="dxa"/>
            <w:textDirection w:val="btLr"/>
            <w:vAlign w:val="center"/>
          </w:tcPr>
          <w:p w:rsidR="008F3AF5" w:rsidRPr="005019AD" w:rsidRDefault="008F3AF5" w:rsidP="005019AD">
            <w:pPr>
              <w:spacing w:before="20" w:after="0" w:line="240" w:lineRule="auto"/>
              <w:ind w:left="113" w:right="113"/>
              <w:jc w:val="center"/>
              <w:rPr>
                <w:rFonts w:ascii="Times New Roman" w:hAnsi="Times New Roman" w:cs="Times New Roman"/>
              </w:rPr>
            </w:pPr>
            <w:r w:rsidRPr="005019AD">
              <w:rPr>
                <w:rFonts w:ascii="Times New Roman" w:hAnsi="Times New Roman" w:cs="Times New Roman"/>
              </w:rPr>
              <w:t>%</w:t>
            </w:r>
          </w:p>
        </w:tc>
        <w:tc>
          <w:tcPr>
            <w:tcW w:w="781" w:type="dxa"/>
            <w:textDirection w:val="btLr"/>
          </w:tcPr>
          <w:p w:rsidR="008F3AF5" w:rsidRPr="005019AD" w:rsidRDefault="008F3AF5" w:rsidP="005019AD">
            <w:pPr>
              <w:spacing w:before="20" w:after="0" w:line="240" w:lineRule="auto"/>
              <w:ind w:left="113" w:right="113"/>
              <w:jc w:val="center"/>
              <w:rPr>
                <w:rFonts w:ascii="Times New Roman" w:hAnsi="Times New Roman" w:cs="Times New Roman"/>
              </w:rPr>
            </w:pPr>
            <w:r w:rsidRPr="005019AD">
              <w:rPr>
                <w:rFonts w:ascii="Times New Roman" w:hAnsi="Times New Roman" w:cs="Times New Roman"/>
              </w:rPr>
              <w:t>всего</w:t>
            </w:r>
          </w:p>
        </w:tc>
        <w:tc>
          <w:tcPr>
            <w:tcW w:w="782" w:type="dxa"/>
            <w:textDirection w:val="btLr"/>
          </w:tcPr>
          <w:p w:rsidR="008F3AF5" w:rsidRPr="005019AD" w:rsidRDefault="008F3AF5" w:rsidP="005019AD">
            <w:pPr>
              <w:spacing w:before="20" w:after="0" w:line="240" w:lineRule="auto"/>
              <w:ind w:left="113" w:right="113"/>
              <w:jc w:val="center"/>
              <w:rPr>
                <w:rFonts w:ascii="Times New Roman" w:hAnsi="Times New Roman" w:cs="Times New Roman"/>
              </w:rPr>
            </w:pPr>
            <w:r w:rsidRPr="005019AD">
              <w:rPr>
                <w:rFonts w:ascii="Times New Roman" w:hAnsi="Times New Roman" w:cs="Times New Roman"/>
              </w:rPr>
              <w:t>из них не отвечает нормам</w:t>
            </w:r>
          </w:p>
        </w:tc>
        <w:tc>
          <w:tcPr>
            <w:tcW w:w="781" w:type="dxa"/>
            <w:textDirection w:val="btLr"/>
            <w:vAlign w:val="center"/>
          </w:tcPr>
          <w:p w:rsidR="008F3AF5" w:rsidRPr="005019AD" w:rsidRDefault="008F3AF5" w:rsidP="005019AD">
            <w:pPr>
              <w:spacing w:before="20" w:after="0" w:line="240" w:lineRule="auto"/>
              <w:ind w:left="113" w:right="113"/>
              <w:jc w:val="center"/>
              <w:rPr>
                <w:rFonts w:ascii="Times New Roman" w:hAnsi="Times New Roman" w:cs="Times New Roman"/>
              </w:rPr>
            </w:pPr>
            <w:r w:rsidRPr="005019AD">
              <w:rPr>
                <w:rFonts w:ascii="Times New Roman" w:hAnsi="Times New Roman" w:cs="Times New Roman"/>
              </w:rPr>
              <w:t>%</w:t>
            </w:r>
          </w:p>
        </w:tc>
        <w:tc>
          <w:tcPr>
            <w:tcW w:w="491" w:type="dxa"/>
            <w:textDirection w:val="btLr"/>
          </w:tcPr>
          <w:p w:rsidR="008F3AF5" w:rsidRPr="005019AD" w:rsidRDefault="008F3AF5" w:rsidP="005019AD">
            <w:pPr>
              <w:spacing w:before="20" w:after="0" w:line="240" w:lineRule="auto"/>
              <w:ind w:left="113" w:right="113"/>
              <w:jc w:val="center"/>
              <w:rPr>
                <w:rFonts w:ascii="Times New Roman" w:hAnsi="Times New Roman" w:cs="Times New Roman"/>
              </w:rPr>
            </w:pPr>
            <w:r w:rsidRPr="005019AD">
              <w:rPr>
                <w:rFonts w:ascii="Times New Roman" w:hAnsi="Times New Roman" w:cs="Times New Roman"/>
              </w:rPr>
              <w:t>всего</w:t>
            </w:r>
          </w:p>
        </w:tc>
        <w:tc>
          <w:tcPr>
            <w:tcW w:w="781" w:type="dxa"/>
            <w:textDirection w:val="btLr"/>
          </w:tcPr>
          <w:p w:rsidR="008F3AF5" w:rsidRPr="005019AD" w:rsidRDefault="008F3AF5" w:rsidP="005019AD">
            <w:pPr>
              <w:spacing w:before="20" w:after="0" w:line="240" w:lineRule="auto"/>
              <w:ind w:left="113" w:right="113"/>
              <w:jc w:val="center"/>
              <w:rPr>
                <w:rFonts w:ascii="Times New Roman" w:hAnsi="Times New Roman" w:cs="Times New Roman"/>
              </w:rPr>
            </w:pPr>
            <w:r w:rsidRPr="005019AD">
              <w:rPr>
                <w:rFonts w:ascii="Times New Roman" w:hAnsi="Times New Roman" w:cs="Times New Roman"/>
              </w:rPr>
              <w:t>из них не отвечает нормам</w:t>
            </w:r>
          </w:p>
        </w:tc>
        <w:tc>
          <w:tcPr>
            <w:tcW w:w="637" w:type="dxa"/>
            <w:textDirection w:val="btLr"/>
            <w:vAlign w:val="center"/>
          </w:tcPr>
          <w:p w:rsidR="008F3AF5" w:rsidRPr="005019AD" w:rsidRDefault="008F3AF5" w:rsidP="005019AD">
            <w:pPr>
              <w:spacing w:before="20" w:after="0" w:line="240" w:lineRule="auto"/>
              <w:ind w:left="113" w:right="113"/>
              <w:jc w:val="center"/>
              <w:rPr>
                <w:rFonts w:ascii="Times New Roman" w:hAnsi="Times New Roman" w:cs="Times New Roman"/>
              </w:rPr>
            </w:pPr>
            <w:r w:rsidRPr="005019AD">
              <w:rPr>
                <w:rFonts w:ascii="Times New Roman" w:hAnsi="Times New Roman" w:cs="Times New Roman"/>
              </w:rPr>
              <w:t>%</w:t>
            </w:r>
          </w:p>
        </w:tc>
      </w:tr>
      <w:tr w:rsidR="008F3AF5" w:rsidRPr="005019AD" w:rsidTr="005019AD">
        <w:tc>
          <w:tcPr>
            <w:tcW w:w="697"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pStyle w:val="a7"/>
              <w:ind w:firstLine="0"/>
              <w:rPr>
                <w:sz w:val="22"/>
                <w:szCs w:val="22"/>
                <w:lang w:val="ru-RU" w:eastAsia="ru-RU"/>
              </w:rPr>
            </w:pPr>
            <w:r w:rsidRPr="005019AD">
              <w:rPr>
                <w:sz w:val="22"/>
                <w:szCs w:val="22"/>
                <w:lang w:val="ru-RU" w:eastAsia="ru-RU"/>
              </w:rPr>
              <w:t>2018</w:t>
            </w:r>
          </w:p>
        </w:tc>
        <w:tc>
          <w:tcPr>
            <w:tcW w:w="2948"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Подземные водоисточники Разводящая сеть и водопроводы</w:t>
            </w:r>
          </w:p>
        </w:tc>
        <w:tc>
          <w:tcPr>
            <w:tcW w:w="596"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178</w:t>
            </w:r>
          </w:p>
          <w:p w:rsidR="008F3AF5" w:rsidRPr="005019AD" w:rsidRDefault="008F3AF5" w:rsidP="005019AD">
            <w:pPr>
              <w:spacing w:before="20" w:after="0" w:line="240" w:lineRule="auto"/>
              <w:jc w:val="center"/>
              <w:rPr>
                <w:rFonts w:ascii="Times New Roman" w:hAnsi="Times New Roman" w:cs="Times New Roman"/>
              </w:rPr>
            </w:pPr>
          </w:p>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566</w:t>
            </w:r>
          </w:p>
        </w:tc>
        <w:tc>
          <w:tcPr>
            <w:tcW w:w="781"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0</w:t>
            </w:r>
          </w:p>
          <w:p w:rsidR="008F3AF5" w:rsidRPr="005019AD" w:rsidRDefault="008F3AF5" w:rsidP="005019AD">
            <w:pPr>
              <w:spacing w:before="20" w:after="0" w:line="240" w:lineRule="auto"/>
              <w:jc w:val="center"/>
              <w:rPr>
                <w:rFonts w:ascii="Times New Roman" w:hAnsi="Times New Roman" w:cs="Times New Roman"/>
              </w:rPr>
            </w:pPr>
          </w:p>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7</w:t>
            </w:r>
          </w:p>
        </w:tc>
        <w:tc>
          <w:tcPr>
            <w:tcW w:w="636"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0</w:t>
            </w:r>
          </w:p>
          <w:p w:rsidR="008F3AF5" w:rsidRPr="005019AD" w:rsidRDefault="008F3AF5" w:rsidP="005019AD">
            <w:pPr>
              <w:spacing w:before="20" w:after="0" w:line="240" w:lineRule="auto"/>
              <w:jc w:val="center"/>
              <w:rPr>
                <w:rFonts w:ascii="Times New Roman" w:hAnsi="Times New Roman" w:cs="Times New Roman"/>
              </w:rPr>
            </w:pPr>
          </w:p>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1,2</w:t>
            </w:r>
          </w:p>
        </w:tc>
        <w:tc>
          <w:tcPr>
            <w:tcW w:w="781"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44</w:t>
            </w:r>
          </w:p>
          <w:p w:rsidR="008F3AF5" w:rsidRPr="005019AD" w:rsidRDefault="008F3AF5" w:rsidP="005019AD">
            <w:pPr>
              <w:spacing w:before="20" w:after="0" w:line="240" w:lineRule="auto"/>
              <w:jc w:val="center"/>
              <w:rPr>
                <w:rFonts w:ascii="Times New Roman" w:hAnsi="Times New Roman" w:cs="Times New Roman"/>
              </w:rPr>
            </w:pPr>
          </w:p>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192</w:t>
            </w:r>
          </w:p>
        </w:tc>
        <w:tc>
          <w:tcPr>
            <w:tcW w:w="782"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30</w:t>
            </w:r>
          </w:p>
          <w:p w:rsidR="008F3AF5" w:rsidRPr="005019AD" w:rsidRDefault="008F3AF5" w:rsidP="005019AD">
            <w:pPr>
              <w:spacing w:before="20" w:after="0" w:line="240" w:lineRule="auto"/>
              <w:jc w:val="center"/>
              <w:rPr>
                <w:rFonts w:ascii="Times New Roman" w:hAnsi="Times New Roman" w:cs="Times New Roman"/>
              </w:rPr>
            </w:pPr>
          </w:p>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114</w:t>
            </w:r>
          </w:p>
        </w:tc>
        <w:tc>
          <w:tcPr>
            <w:tcW w:w="781"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68,2</w:t>
            </w:r>
          </w:p>
          <w:p w:rsidR="008F3AF5" w:rsidRPr="005019AD" w:rsidRDefault="008F3AF5" w:rsidP="005019AD">
            <w:pPr>
              <w:spacing w:before="20" w:after="0" w:line="240" w:lineRule="auto"/>
              <w:jc w:val="center"/>
              <w:rPr>
                <w:rFonts w:ascii="Times New Roman" w:hAnsi="Times New Roman" w:cs="Times New Roman"/>
              </w:rPr>
            </w:pPr>
          </w:p>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59,4</w:t>
            </w:r>
          </w:p>
        </w:tc>
        <w:tc>
          <w:tcPr>
            <w:tcW w:w="491"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pStyle w:val="a7"/>
              <w:ind w:firstLine="0"/>
              <w:jc w:val="center"/>
              <w:rPr>
                <w:sz w:val="22"/>
                <w:szCs w:val="22"/>
                <w:lang w:val="ru-RU" w:eastAsia="ru-RU"/>
              </w:rPr>
            </w:pPr>
            <w:r w:rsidRPr="005019AD">
              <w:rPr>
                <w:sz w:val="22"/>
                <w:szCs w:val="22"/>
                <w:lang w:val="ru-RU" w:eastAsia="ru-RU"/>
              </w:rPr>
              <w:t>28</w:t>
            </w:r>
          </w:p>
          <w:p w:rsidR="008F3AF5" w:rsidRPr="005019AD" w:rsidRDefault="008F3AF5" w:rsidP="005019AD">
            <w:pPr>
              <w:pStyle w:val="a7"/>
              <w:ind w:firstLine="0"/>
              <w:jc w:val="center"/>
              <w:rPr>
                <w:sz w:val="22"/>
                <w:szCs w:val="22"/>
                <w:lang w:val="ru-RU" w:eastAsia="ru-RU"/>
              </w:rPr>
            </w:pPr>
          </w:p>
          <w:p w:rsidR="008F3AF5" w:rsidRPr="005019AD" w:rsidRDefault="008F3AF5" w:rsidP="005019AD">
            <w:pPr>
              <w:pStyle w:val="a7"/>
              <w:ind w:firstLine="0"/>
              <w:jc w:val="center"/>
              <w:rPr>
                <w:sz w:val="22"/>
                <w:szCs w:val="22"/>
                <w:lang w:val="ru-RU" w:eastAsia="ru-RU"/>
              </w:rPr>
            </w:pPr>
            <w:r w:rsidRPr="005019AD">
              <w:rPr>
                <w:sz w:val="22"/>
                <w:szCs w:val="22"/>
                <w:lang w:val="ru-RU" w:eastAsia="ru-RU"/>
              </w:rPr>
              <w:t>5</w:t>
            </w:r>
          </w:p>
        </w:tc>
        <w:tc>
          <w:tcPr>
            <w:tcW w:w="781"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pStyle w:val="a7"/>
              <w:ind w:firstLine="0"/>
              <w:jc w:val="center"/>
              <w:rPr>
                <w:sz w:val="22"/>
                <w:szCs w:val="22"/>
                <w:lang w:val="ru-RU" w:eastAsia="ru-RU"/>
              </w:rPr>
            </w:pPr>
            <w:r w:rsidRPr="005019AD">
              <w:rPr>
                <w:sz w:val="22"/>
                <w:szCs w:val="22"/>
                <w:lang w:val="ru-RU" w:eastAsia="ru-RU"/>
              </w:rPr>
              <w:t>0</w:t>
            </w:r>
          </w:p>
          <w:p w:rsidR="008F3AF5" w:rsidRPr="005019AD" w:rsidRDefault="008F3AF5" w:rsidP="005019AD">
            <w:pPr>
              <w:pStyle w:val="a7"/>
              <w:ind w:firstLine="0"/>
              <w:jc w:val="center"/>
              <w:rPr>
                <w:sz w:val="22"/>
                <w:szCs w:val="22"/>
                <w:lang w:val="ru-RU" w:eastAsia="ru-RU"/>
              </w:rPr>
            </w:pPr>
          </w:p>
          <w:p w:rsidR="008F3AF5" w:rsidRPr="005019AD" w:rsidRDefault="008F3AF5" w:rsidP="005019AD">
            <w:pPr>
              <w:pStyle w:val="a7"/>
              <w:ind w:firstLine="0"/>
              <w:jc w:val="center"/>
              <w:rPr>
                <w:sz w:val="22"/>
                <w:szCs w:val="22"/>
                <w:lang w:val="ru-RU" w:eastAsia="ru-RU"/>
              </w:rPr>
            </w:pPr>
            <w:r w:rsidRPr="005019AD">
              <w:rPr>
                <w:sz w:val="22"/>
                <w:szCs w:val="22"/>
                <w:lang w:val="ru-RU" w:eastAsia="ru-RU"/>
              </w:rPr>
              <w:t>0</w:t>
            </w:r>
          </w:p>
        </w:tc>
        <w:tc>
          <w:tcPr>
            <w:tcW w:w="637"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pStyle w:val="a7"/>
              <w:ind w:firstLine="0"/>
              <w:jc w:val="center"/>
              <w:rPr>
                <w:sz w:val="22"/>
                <w:szCs w:val="22"/>
                <w:lang w:val="ru-RU" w:eastAsia="ru-RU"/>
              </w:rPr>
            </w:pPr>
            <w:r w:rsidRPr="005019AD">
              <w:rPr>
                <w:sz w:val="22"/>
                <w:szCs w:val="22"/>
                <w:lang w:val="ru-RU" w:eastAsia="ru-RU"/>
              </w:rPr>
              <w:t>0</w:t>
            </w:r>
          </w:p>
          <w:p w:rsidR="008F3AF5" w:rsidRPr="005019AD" w:rsidRDefault="008F3AF5" w:rsidP="005019AD">
            <w:pPr>
              <w:pStyle w:val="a7"/>
              <w:ind w:firstLine="0"/>
              <w:jc w:val="center"/>
              <w:rPr>
                <w:sz w:val="22"/>
                <w:szCs w:val="22"/>
                <w:lang w:val="ru-RU" w:eastAsia="ru-RU"/>
              </w:rPr>
            </w:pPr>
          </w:p>
          <w:p w:rsidR="008F3AF5" w:rsidRPr="005019AD" w:rsidRDefault="008F3AF5" w:rsidP="005019AD">
            <w:pPr>
              <w:pStyle w:val="a7"/>
              <w:ind w:firstLine="0"/>
              <w:jc w:val="center"/>
              <w:rPr>
                <w:sz w:val="22"/>
                <w:szCs w:val="22"/>
                <w:lang w:val="ru-RU" w:eastAsia="ru-RU"/>
              </w:rPr>
            </w:pPr>
            <w:r w:rsidRPr="005019AD">
              <w:rPr>
                <w:sz w:val="22"/>
                <w:szCs w:val="22"/>
                <w:lang w:val="ru-RU" w:eastAsia="ru-RU"/>
              </w:rPr>
              <w:t>0</w:t>
            </w:r>
          </w:p>
        </w:tc>
      </w:tr>
      <w:tr w:rsidR="008F3AF5" w:rsidRPr="005019AD" w:rsidTr="005019AD">
        <w:tc>
          <w:tcPr>
            <w:tcW w:w="697"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pStyle w:val="a7"/>
              <w:ind w:firstLine="0"/>
              <w:rPr>
                <w:sz w:val="22"/>
                <w:szCs w:val="22"/>
                <w:lang w:val="ru-RU" w:eastAsia="ru-RU"/>
              </w:rPr>
            </w:pPr>
            <w:r w:rsidRPr="005019AD">
              <w:rPr>
                <w:sz w:val="22"/>
                <w:szCs w:val="22"/>
                <w:lang w:val="ru-RU" w:eastAsia="ru-RU"/>
              </w:rPr>
              <w:t>2019</w:t>
            </w:r>
          </w:p>
        </w:tc>
        <w:tc>
          <w:tcPr>
            <w:tcW w:w="2948"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Подземные водоисточники Разводящая сеть и водопроводы</w:t>
            </w:r>
          </w:p>
        </w:tc>
        <w:tc>
          <w:tcPr>
            <w:tcW w:w="596"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70</w:t>
            </w:r>
          </w:p>
          <w:p w:rsidR="008F3AF5" w:rsidRPr="005019AD" w:rsidRDefault="008F3AF5" w:rsidP="005019AD">
            <w:pPr>
              <w:spacing w:before="20" w:after="0" w:line="240" w:lineRule="auto"/>
              <w:jc w:val="center"/>
              <w:rPr>
                <w:rFonts w:ascii="Times New Roman" w:hAnsi="Times New Roman" w:cs="Times New Roman"/>
              </w:rPr>
            </w:pPr>
          </w:p>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286</w:t>
            </w:r>
          </w:p>
        </w:tc>
        <w:tc>
          <w:tcPr>
            <w:tcW w:w="781"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2</w:t>
            </w:r>
          </w:p>
          <w:p w:rsidR="008F3AF5" w:rsidRPr="005019AD" w:rsidRDefault="008F3AF5" w:rsidP="005019AD">
            <w:pPr>
              <w:spacing w:before="20" w:after="0" w:line="240" w:lineRule="auto"/>
              <w:jc w:val="center"/>
              <w:rPr>
                <w:rFonts w:ascii="Times New Roman" w:hAnsi="Times New Roman" w:cs="Times New Roman"/>
              </w:rPr>
            </w:pPr>
          </w:p>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1</w:t>
            </w:r>
          </w:p>
        </w:tc>
        <w:tc>
          <w:tcPr>
            <w:tcW w:w="636"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2,9</w:t>
            </w:r>
          </w:p>
          <w:p w:rsidR="008F3AF5" w:rsidRPr="005019AD" w:rsidRDefault="008F3AF5" w:rsidP="005019AD">
            <w:pPr>
              <w:spacing w:before="20" w:after="0" w:line="240" w:lineRule="auto"/>
              <w:jc w:val="center"/>
              <w:rPr>
                <w:rFonts w:ascii="Times New Roman" w:hAnsi="Times New Roman" w:cs="Times New Roman"/>
              </w:rPr>
            </w:pPr>
          </w:p>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0,34</w:t>
            </w:r>
          </w:p>
        </w:tc>
        <w:tc>
          <w:tcPr>
            <w:tcW w:w="781"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37</w:t>
            </w:r>
          </w:p>
          <w:p w:rsidR="008F3AF5" w:rsidRPr="005019AD" w:rsidRDefault="008F3AF5" w:rsidP="005019AD">
            <w:pPr>
              <w:spacing w:before="20" w:after="0" w:line="240" w:lineRule="auto"/>
              <w:jc w:val="center"/>
              <w:rPr>
                <w:rFonts w:ascii="Times New Roman" w:hAnsi="Times New Roman" w:cs="Times New Roman"/>
              </w:rPr>
            </w:pPr>
          </w:p>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146</w:t>
            </w:r>
          </w:p>
        </w:tc>
        <w:tc>
          <w:tcPr>
            <w:tcW w:w="782"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12</w:t>
            </w:r>
          </w:p>
          <w:p w:rsidR="008F3AF5" w:rsidRPr="005019AD" w:rsidRDefault="008F3AF5" w:rsidP="005019AD">
            <w:pPr>
              <w:spacing w:before="20" w:after="0" w:line="240" w:lineRule="auto"/>
              <w:jc w:val="center"/>
              <w:rPr>
                <w:rFonts w:ascii="Times New Roman" w:hAnsi="Times New Roman" w:cs="Times New Roman"/>
              </w:rPr>
            </w:pPr>
          </w:p>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69</w:t>
            </w:r>
          </w:p>
        </w:tc>
        <w:tc>
          <w:tcPr>
            <w:tcW w:w="781"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32,5</w:t>
            </w:r>
          </w:p>
          <w:p w:rsidR="008F3AF5" w:rsidRPr="005019AD" w:rsidRDefault="008F3AF5" w:rsidP="005019AD">
            <w:pPr>
              <w:spacing w:before="20" w:after="0" w:line="240" w:lineRule="auto"/>
              <w:jc w:val="center"/>
              <w:rPr>
                <w:rFonts w:ascii="Times New Roman" w:hAnsi="Times New Roman" w:cs="Times New Roman"/>
              </w:rPr>
            </w:pPr>
          </w:p>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47,3</w:t>
            </w:r>
          </w:p>
        </w:tc>
        <w:tc>
          <w:tcPr>
            <w:tcW w:w="491"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pStyle w:val="a7"/>
              <w:ind w:firstLine="0"/>
              <w:jc w:val="center"/>
              <w:rPr>
                <w:sz w:val="22"/>
                <w:szCs w:val="22"/>
                <w:lang w:val="ru-RU" w:eastAsia="ru-RU"/>
              </w:rPr>
            </w:pPr>
            <w:r w:rsidRPr="005019AD">
              <w:rPr>
                <w:sz w:val="22"/>
                <w:szCs w:val="22"/>
                <w:lang w:val="ru-RU" w:eastAsia="ru-RU"/>
              </w:rPr>
              <w:t>11</w:t>
            </w:r>
          </w:p>
          <w:p w:rsidR="008F3AF5" w:rsidRPr="005019AD" w:rsidRDefault="008F3AF5" w:rsidP="005019AD">
            <w:pPr>
              <w:pStyle w:val="a7"/>
              <w:ind w:firstLine="0"/>
              <w:jc w:val="center"/>
              <w:rPr>
                <w:sz w:val="22"/>
                <w:szCs w:val="22"/>
                <w:lang w:val="ru-RU" w:eastAsia="ru-RU"/>
              </w:rPr>
            </w:pPr>
          </w:p>
          <w:p w:rsidR="008F3AF5" w:rsidRPr="005019AD" w:rsidRDefault="008F3AF5" w:rsidP="005019AD">
            <w:pPr>
              <w:pStyle w:val="a7"/>
              <w:ind w:firstLine="0"/>
              <w:jc w:val="center"/>
              <w:rPr>
                <w:sz w:val="22"/>
                <w:szCs w:val="22"/>
                <w:lang w:val="ru-RU" w:eastAsia="ru-RU"/>
              </w:rPr>
            </w:pPr>
            <w:r w:rsidRPr="005019AD">
              <w:rPr>
                <w:sz w:val="22"/>
                <w:szCs w:val="22"/>
                <w:lang w:val="ru-RU" w:eastAsia="ru-RU"/>
              </w:rPr>
              <w:t>1</w:t>
            </w:r>
          </w:p>
        </w:tc>
        <w:tc>
          <w:tcPr>
            <w:tcW w:w="781"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pStyle w:val="a7"/>
              <w:ind w:firstLine="0"/>
              <w:jc w:val="center"/>
              <w:rPr>
                <w:sz w:val="22"/>
                <w:szCs w:val="22"/>
                <w:lang w:val="ru-RU" w:eastAsia="ru-RU"/>
              </w:rPr>
            </w:pPr>
            <w:r w:rsidRPr="005019AD">
              <w:rPr>
                <w:sz w:val="22"/>
                <w:szCs w:val="22"/>
                <w:lang w:val="ru-RU" w:eastAsia="ru-RU"/>
              </w:rPr>
              <w:t>0</w:t>
            </w:r>
          </w:p>
          <w:p w:rsidR="008F3AF5" w:rsidRPr="005019AD" w:rsidRDefault="008F3AF5" w:rsidP="005019AD">
            <w:pPr>
              <w:pStyle w:val="a7"/>
              <w:ind w:firstLine="0"/>
              <w:jc w:val="center"/>
              <w:rPr>
                <w:sz w:val="22"/>
                <w:szCs w:val="22"/>
                <w:lang w:val="ru-RU" w:eastAsia="ru-RU"/>
              </w:rPr>
            </w:pPr>
          </w:p>
          <w:p w:rsidR="008F3AF5" w:rsidRPr="005019AD" w:rsidRDefault="008F3AF5" w:rsidP="005019AD">
            <w:pPr>
              <w:pStyle w:val="a7"/>
              <w:ind w:firstLine="0"/>
              <w:jc w:val="center"/>
              <w:rPr>
                <w:sz w:val="22"/>
                <w:szCs w:val="22"/>
                <w:lang w:val="ru-RU" w:eastAsia="ru-RU"/>
              </w:rPr>
            </w:pPr>
            <w:r w:rsidRPr="005019AD">
              <w:rPr>
                <w:sz w:val="22"/>
                <w:szCs w:val="22"/>
                <w:lang w:val="ru-RU" w:eastAsia="ru-RU"/>
              </w:rPr>
              <w:t>0</w:t>
            </w:r>
          </w:p>
        </w:tc>
        <w:tc>
          <w:tcPr>
            <w:tcW w:w="637"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pStyle w:val="a7"/>
              <w:ind w:firstLine="0"/>
              <w:jc w:val="center"/>
              <w:rPr>
                <w:sz w:val="22"/>
                <w:szCs w:val="22"/>
                <w:lang w:val="ru-RU" w:eastAsia="ru-RU"/>
              </w:rPr>
            </w:pPr>
            <w:r w:rsidRPr="005019AD">
              <w:rPr>
                <w:sz w:val="22"/>
                <w:szCs w:val="22"/>
                <w:lang w:val="ru-RU" w:eastAsia="ru-RU"/>
              </w:rPr>
              <w:t>0</w:t>
            </w:r>
          </w:p>
          <w:p w:rsidR="008F3AF5" w:rsidRPr="005019AD" w:rsidRDefault="008F3AF5" w:rsidP="005019AD">
            <w:pPr>
              <w:pStyle w:val="a7"/>
              <w:ind w:firstLine="0"/>
              <w:jc w:val="center"/>
              <w:rPr>
                <w:sz w:val="22"/>
                <w:szCs w:val="22"/>
                <w:lang w:val="ru-RU" w:eastAsia="ru-RU"/>
              </w:rPr>
            </w:pPr>
          </w:p>
          <w:p w:rsidR="008F3AF5" w:rsidRPr="005019AD" w:rsidRDefault="008F3AF5" w:rsidP="005019AD">
            <w:pPr>
              <w:pStyle w:val="a7"/>
              <w:ind w:firstLine="0"/>
              <w:jc w:val="center"/>
              <w:rPr>
                <w:sz w:val="22"/>
                <w:szCs w:val="22"/>
                <w:lang w:val="ru-RU" w:eastAsia="ru-RU"/>
              </w:rPr>
            </w:pPr>
            <w:r w:rsidRPr="005019AD">
              <w:rPr>
                <w:sz w:val="22"/>
                <w:szCs w:val="22"/>
                <w:lang w:val="ru-RU" w:eastAsia="ru-RU"/>
              </w:rPr>
              <w:t>0</w:t>
            </w:r>
          </w:p>
        </w:tc>
      </w:tr>
      <w:tr w:rsidR="008F3AF5" w:rsidRPr="005019AD" w:rsidTr="005019AD">
        <w:tc>
          <w:tcPr>
            <w:tcW w:w="697"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pStyle w:val="a7"/>
              <w:ind w:firstLine="0"/>
              <w:rPr>
                <w:sz w:val="22"/>
                <w:szCs w:val="22"/>
                <w:lang w:val="ru-RU" w:eastAsia="ru-RU"/>
              </w:rPr>
            </w:pPr>
            <w:r w:rsidRPr="005019AD">
              <w:rPr>
                <w:sz w:val="22"/>
                <w:szCs w:val="22"/>
                <w:lang w:val="ru-RU" w:eastAsia="ru-RU"/>
              </w:rPr>
              <w:t>2020</w:t>
            </w:r>
          </w:p>
        </w:tc>
        <w:tc>
          <w:tcPr>
            <w:tcW w:w="2948"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Подземные водоисточники Разводящая сеть и водопроводы</w:t>
            </w:r>
          </w:p>
        </w:tc>
        <w:tc>
          <w:tcPr>
            <w:tcW w:w="596"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59</w:t>
            </w:r>
          </w:p>
          <w:p w:rsidR="008F3AF5" w:rsidRPr="005019AD" w:rsidRDefault="008F3AF5" w:rsidP="005019AD">
            <w:pPr>
              <w:spacing w:before="20" w:after="0" w:line="240" w:lineRule="auto"/>
              <w:jc w:val="center"/>
              <w:rPr>
                <w:rFonts w:ascii="Times New Roman" w:hAnsi="Times New Roman" w:cs="Times New Roman"/>
              </w:rPr>
            </w:pPr>
          </w:p>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220</w:t>
            </w:r>
          </w:p>
        </w:tc>
        <w:tc>
          <w:tcPr>
            <w:tcW w:w="781"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3</w:t>
            </w:r>
          </w:p>
          <w:p w:rsidR="008F3AF5" w:rsidRPr="005019AD" w:rsidRDefault="008F3AF5" w:rsidP="005019AD">
            <w:pPr>
              <w:spacing w:before="20" w:after="0" w:line="240" w:lineRule="auto"/>
              <w:jc w:val="center"/>
              <w:rPr>
                <w:rFonts w:ascii="Times New Roman" w:hAnsi="Times New Roman" w:cs="Times New Roman"/>
              </w:rPr>
            </w:pPr>
          </w:p>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3</w:t>
            </w:r>
          </w:p>
        </w:tc>
        <w:tc>
          <w:tcPr>
            <w:tcW w:w="636"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5,08</w:t>
            </w:r>
          </w:p>
          <w:p w:rsidR="008F3AF5" w:rsidRPr="005019AD" w:rsidRDefault="008F3AF5" w:rsidP="005019AD">
            <w:pPr>
              <w:spacing w:before="20" w:after="0" w:line="240" w:lineRule="auto"/>
              <w:jc w:val="center"/>
              <w:rPr>
                <w:rFonts w:ascii="Times New Roman" w:hAnsi="Times New Roman" w:cs="Times New Roman"/>
              </w:rPr>
            </w:pPr>
          </w:p>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1,36</w:t>
            </w:r>
          </w:p>
        </w:tc>
        <w:tc>
          <w:tcPr>
            <w:tcW w:w="781"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89</w:t>
            </w:r>
          </w:p>
          <w:p w:rsidR="008F3AF5" w:rsidRPr="005019AD" w:rsidRDefault="008F3AF5" w:rsidP="005019AD">
            <w:pPr>
              <w:spacing w:before="20" w:after="0" w:line="240" w:lineRule="auto"/>
              <w:jc w:val="center"/>
              <w:rPr>
                <w:rFonts w:ascii="Times New Roman" w:hAnsi="Times New Roman" w:cs="Times New Roman"/>
              </w:rPr>
            </w:pPr>
          </w:p>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133</w:t>
            </w:r>
          </w:p>
        </w:tc>
        <w:tc>
          <w:tcPr>
            <w:tcW w:w="782"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56</w:t>
            </w:r>
          </w:p>
          <w:p w:rsidR="008F3AF5" w:rsidRPr="005019AD" w:rsidRDefault="008F3AF5" w:rsidP="005019AD">
            <w:pPr>
              <w:spacing w:before="20" w:after="0" w:line="240" w:lineRule="auto"/>
              <w:jc w:val="center"/>
              <w:rPr>
                <w:rFonts w:ascii="Times New Roman" w:hAnsi="Times New Roman" w:cs="Times New Roman"/>
              </w:rPr>
            </w:pPr>
          </w:p>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86</w:t>
            </w:r>
          </w:p>
        </w:tc>
        <w:tc>
          <w:tcPr>
            <w:tcW w:w="781"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62,9</w:t>
            </w:r>
          </w:p>
          <w:p w:rsidR="008F3AF5" w:rsidRPr="005019AD" w:rsidRDefault="008F3AF5" w:rsidP="005019AD">
            <w:pPr>
              <w:spacing w:before="20" w:after="0" w:line="240" w:lineRule="auto"/>
              <w:jc w:val="center"/>
              <w:rPr>
                <w:rFonts w:ascii="Times New Roman" w:hAnsi="Times New Roman" w:cs="Times New Roman"/>
              </w:rPr>
            </w:pPr>
          </w:p>
          <w:p w:rsidR="008F3AF5" w:rsidRPr="005019AD" w:rsidRDefault="008F3AF5" w:rsidP="005019AD">
            <w:pPr>
              <w:spacing w:before="20" w:after="0" w:line="240" w:lineRule="auto"/>
              <w:jc w:val="center"/>
              <w:rPr>
                <w:rFonts w:ascii="Times New Roman" w:hAnsi="Times New Roman" w:cs="Times New Roman"/>
              </w:rPr>
            </w:pPr>
            <w:r w:rsidRPr="005019AD">
              <w:rPr>
                <w:rFonts w:ascii="Times New Roman" w:hAnsi="Times New Roman" w:cs="Times New Roman"/>
              </w:rPr>
              <w:t>64,66</w:t>
            </w:r>
          </w:p>
        </w:tc>
        <w:tc>
          <w:tcPr>
            <w:tcW w:w="491"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pStyle w:val="a7"/>
              <w:ind w:firstLine="0"/>
              <w:jc w:val="center"/>
              <w:rPr>
                <w:sz w:val="22"/>
                <w:szCs w:val="22"/>
                <w:lang w:val="ru-RU" w:eastAsia="ru-RU"/>
              </w:rPr>
            </w:pPr>
            <w:r w:rsidRPr="005019AD">
              <w:rPr>
                <w:sz w:val="22"/>
                <w:szCs w:val="22"/>
                <w:lang w:val="ru-RU" w:eastAsia="ru-RU"/>
              </w:rPr>
              <w:t>18</w:t>
            </w:r>
          </w:p>
          <w:p w:rsidR="008F3AF5" w:rsidRPr="005019AD" w:rsidRDefault="008F3AF5" w:rsidP="005019AD">
            <w:pPr>
              <w:pStyle w:val="a7"/>
              <w:ind w:firstLine="0"/>
              <w:jc w:val="center"/>
              <w:rPr>
                <w:sz w:val="22"/>
                <w:szCs w:val="22"/>
                <w:lang w:val="ru-RU" w:eastAsia="ru-RU"/>
              </w:rPr>
            </w:pPr>
          </w:p>
          <w:p w:rsidR="008F3AF5" w:rsidRPr="005019AD" w:rsidRDefault="008F3AF5" w:rsidP="005019AD">
            <w:pPr>
              <w:pStyle w:val="a7"/>
              <w:ind w:firstLine="0"/>
              <w:jc w:val="center"/>
              <w:rPr>
                <w:sz w:val="22"/>
                <w:szCs w:val="22"/>
                <w:lang w:val="ru-RU" w:eastAsia="ru-RU"/>
              </w:rPr>
            </w:pPr>
            <w:r w:rsidRPr="005019AD">
              <w:rPr>
                <w:sz w:val="22"/>
                <w:szCs w:val="22"/>
                <w:lang w:val="ru-RU" w:eastAsia="ru-RU"/>
              </w:rPr>
              <w:t>3</w:t>
            </w:r>
          </w:p>
        </w:tc>
        <w:tc>
          <w:tcPr>
            <w:tcW w:w="781"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pStyle w:val="a7"/>
              <w:ind w:firstLine="0"/>
              <w:jc w:val="center"/>
              <w:rPr>
                <w:sz w:val="22"/>
                <w:szCs w:val="22"/>
                <w:lang w:val="ru-RU" w:eastAsia="ru-RU"/>
              </w:rPr>
            </w:pPr>
            <w:r w:rsidRPr="005019AD">
              <w:rPr>
                <w:sz w:val="22"/>
                <w:szCs w:val="22"/>
                <w:lang w:val="ru-RU" w:eastAsia="ru-RU"/>
              </w:rPr>
              <w:t>0</w:t>
            </w:r>
          </w:p>
          <w:p w:rsidR="008F3AF5" w:rsidRPr="005019AD" w:rsidRDefault="008F3AF5" w:rsidP="005019AD">
            <w:pPr>
              <w:pStyle w:val="a7"/>
              <w:ind w:firstLine="0"/>
              <w:jc w:val="center"/>
              <w:rPr>
                <w:sz w:val="22"/>
                <w:szCs w:val="22"/>
                <w:lang w:val="ru-RU" w:eastAsia="ru-RU"/>
              </w:rPr>
            </w:pPr>
          </w:p>
          <w:p w:rsidR="008F3AF5" w:rsidRPr="005019AD" w:rsidRDefault="008F3AF5" w:rsidP="005019AD">
            <w:pPr>
              <w:pStyle w:val="a7"/>
              <w:ind w:firstLine="0"/>
              <w:jc w:val="center"/>
              <w:rPr>
                <w:sz w:val="22"/>
                <w:szCs w:val="22"/>
                <w:lang w:val="ru-RU" w:eastAsia="ru-RU"/>
              </w:rPr>
            </w:pPr>
            <w:r w:rsidRPr="005019AD">
              <w:rPr>
                <w:sz w:val="22"/>
                <w:szCs w:val="22"/>
                <w:lang w:val="ru-RU" w:eastAsia="ru-RU"/>
              </w:rPr>
              <w:t>0</w:t>
            </w:r>
          </w:p>
        </w:tc>
        <w:tc>
          <w:tcPr>
            <w:tcW w:w="637" w:type="dxa"/>
            <w:tcBorders>
              <w:top w:val="single" w:sz="4" w:space="0" w:color="auto"/>
              <w:left w:val="single" w:sz="4" w:space="0" w:color="auto"/>
              <w:bottom w:val="single" w:sz="4" w:space="0" w:color="auto"/>
              <w:right w:val="single" w:sz="4" w:space="0" w:color="auto"/>
            </w:tcBorders>
          </w:tcPr>
          <w:p w:rsidR="008F3AF5" w:rsidRPr="005019AD" w:rsidRDefault="008F3AF5" w:rsidP="005019AD">
            <w:pPr>
              <w:pStyle w:val="a7"/>
              <w:ind w:firstLine="0"/>
              <w:jc w:val="center"/>
              <w:rPr>
                <w:sz w:val="22"/>
                <w:szCs w:val="22"/>
                <w:lang w:val="ru-RU" w:eastAsia="ru-RU"/>
              </w:rPr>
            </w:pPr>
            <w:r w:rsidRPr="005019AD">
              <w:rPr>
                <w:sz w:val="22"/>
                <w:szCs w:val="22"/>
                <w:lang w:val="ru-RU" w:eastAsia="ru-RU"/>
              </w:rPr>
              <w:t>0</w:t>
            </w:r>
          </w:p>
          <w:p w:rsidR="008F3AF5" w:rsidRPr="005019AD" w:rsidRDefault="008F3AF5" w:rsidP="005019AD">
            <w:pPr>
              <w:pStyle w:val="a7"/>
              <w:ind w:firstLine="0"/>
              <w:jc w:val="center"/>
              <w:rPr>
                <w:sz w:val="22"/>
                <w:szCs w:val="22"/>
                <w:lang w:val="ru-RU" w:eastAsia="ru-RU"/>
              </w:rPr>
            </w:pPr>
          </w:p>
          <w:p w:rsidR="008F3AF5" w:rsidRPr="005019AD" w:rsidRDefault="008F3AF5" w:rsidP="005019AD">
            <w:pPr>
              <w:pStyle w:val="a7"/>
              <w:ind w:firstLine="0"/>
              <w:jc w:val="center"/>
              <w:rPr>
                <w:sz w:val="22"/>
                <w:szCs w:val="22"/>
                <w:lang w:val="ru-RU" w:eastAsia="ru-RU"/>
              </w:rPr>
            </w:pPr>
            <w:r w:rsidRPr="005019AD">
              <w:rPr>
                <w:sz w:val="22"/>
                <w:szCs w:val="22"/>
                <w:lang w:val="ru-RU" w:eastAsia="ru-RU"/>
              </w:rPr>
              <w:t>0</w:t>
            </w:r>
          </w:p>
        </w:tc>
      </w:tr>
    </w:tbl>
    <w:p w:rsidR="008F3AF5" w:rsidRPr="005019AD" w:rsidRDefault="008F3AF5" w:rsidP="005019AD">
      <w:pPr>
        <w:pStyle w:val="a7"/>
        <w:jc w:val="both"/>
        <w:rPr>
          <w:sz w:val="24"/>
          <w:szCs w:val="24"/>
          <w:lang w:val="ru-RU"/>
        </w:rPr>
      </w:pPr>
      <w:r w:rsidRPr="005019AD">
        <w:rPr>
          <w:sz w:val="24"/>
          <w:szCs w:val="24"/>
          <w:lang w:val="ru-RU"/>
        </w:rPr>
        <w:t>П</w:t>
      </w:r>
      <w:r w:rsidRPr="005019AD">
        <w:rPr>
          <w:sz w:val="24"/>
          <w:szCs w:val="24"/>
        </w:rPr>
        <w:t>роизводительность</w:t>
      </w:r>
      <w:r w:rsidRPr="005019AD">
        <w:rPr>
          <w:sz w:val="24"/>
          <w:szCs w:val="24"/>
          <w:lang w:val="ru-RU"/>
        </w:rPr>
        <w:t xml:space="preserve"> по </w:t>
      </w:r>
      <w:proofErr w:type="gramStart"/>
      <w:r w:rsidRPr="005019AD">
        <w:rPr>
          <w:sz w:val="24"/>
          <w:szCs w:val="24"/>
          <w:lang w:val="ru-RU"/>
        </w:rPr>
        <w:t xml:space="preserve">лицензии </w:t>
      </w:r>
      <w:r w:rsidRPr="005019AD">
        <w:rPr>
          <w:sz w:val="24"/>
          <w:szCs w:val="24"/>
        </w:rPr>
        <w:t xml:space="preserve"> ВОС</w:t>
      </w:r>
      <w:proofErr w:type="gramEnd"/>
      <w:r w:rsidRPr="005019AD">
        <w:rPr>
          <w:sz w:val="24"/>
          <w:szCs w:val="24"/>
        </w:rPr>
        <w:t>-1-</w:t>
      </w:r>
      <w:r w:rsidRPr="005019AD">
        <w:rPr>
          <w:sz w:val="24"/>
          <w:szCs w:val="24"/>
          <w:lang w:val="ru-RU"/>
        </w:rPr>
        <w:t>6300</w:t>
      </w:r>
      <w:r w:rsidRPr="005019AD">
        <w:rPr>
          <w:sz w:val="24"/>
          <w:szCs w:val="24"/>
        </w:rPr>
        <w:t xml:space="preserve"> куб.м\сут.</w:t>
      </w:r>
      <w:r w:rsidRPr="005019AD">
        <w:rPr>
          <w:sz w:val="24"/>
          <w:szCs w:val="24"/>
          <w:lang w:val="ru-RU"/>
        </w:rPr>
        <w:t xml:space="preserve">, по факту.-1057624 куб м. в год;  </w:t>
      </w:r>
      <w:r w:rsidRPr="005019AD">
        <w:rPr>
          <w:sz w:val="24"/>
          <w:szCs w:val="24"/>
        </w:rPr>
        <w:t xml:space="preserve"> ВОС-2-2500 куб.м\сут.</w:t>
      </w:r>
      <w:r w:rsidRPr="005019AD">
        <w:rPr>
          <w:sz w:val="24"/>
          <w:szCs w:val="24"/>
          <w:lang w:val="ru-RU"/>
        </w:rPr>
        <w:t>( по проекту)- 3895</w:t>
      </w:r>
      <w:r w:rsidRPr="005019AD">
        <w:rPr>
          <w:sz w:val="24"/>
          <w:szCs w:val="24"/>
        </w:rPr>
        <w:t xml:space="preserve"> куб.м\сут, </w:t>
      </w:r>
      <w:r w:rsidRPr="005019AD">
        <w:rPr>
          <w:sz w:val="24"/>
          <w:szCs w:val="24"/>
          <w:lang w:val="ru-RU"/>
        </w:rPr>
        <w:t xml:space="preserve">по факту-1168217 куб м. в год;  </w:t>
      </w:r>
      <w:r w:rsidRPr="005019AD">
        <w:rPr>
          <w:sz w:val="24"/>
          <w:szCs w:val="24"/>
        </w:rPr>
        <w:t xml:space="preserve"> ВОС-3-</w:t>
      </w:r>
      <w:r w:rsidRPr="005019AD">
        <w:rPr>
          <w:sz w:val="24"/>
          <w:szCs w:val="24"/>
          <w:lang w:val="ru-RU"/>
        </w:rPr>
        <w:t>12</w:t>
      </w:r>
      <w:r w:rsidRPr="005019AD">
        <w:rPr>
          <w:sz w:val="24"/>
          <w:szCs w:val="24"/>
        </w:rPr>
        <w:t>000 куб.м\сут</w:t>
      </w:r>
      <w:r w:rsidRPr="005019AD">
        <w:rPr>
          <w:sz w:val="24"/>
          <w:szCs w:val="24"/>
          <w:lang w:val="ru-RU"/>
        </w:rPr>
        <w:t>, по факту.-1887755 куб . м.в год-</w:t>
      </w:r>
      <w:r w:rsidRPr="005019AD">
        <w:rPr>
          <w:sz w:val="24"/>
          <w:szCs w:val="24"/>
        </w:rPr>
        <w:t>, ВОС-4-</w:t>
      </w:r>
      <w:r w:rsidRPr="005019AD">
        <w:rPr>
          <w:sz w:val="24"/>
          <w:szCs w:val="24"/>
          <w:lang w:val="ru-RU"/>
        </w:rPr>
        <w:t xml:space="preserve">2210 </w:t>
      </w:r>
      <w:r w:rsidRPr="005019AD">
        <w:rPr>
          <w:sz w:val="24"/>
          <w:szCs w:val="24"/>
        </w:rPr>
        <w:t xml:space="preserve"> куб.м\сут.,</w:t>
      </w:r>
      <w:r w:rsidRPr="005019AD">
        <w:rPr>
          <w:sz w:val="24"/>
          <w:szCs w:val="24"/>
          <w:lang w:val="ru-RU"/>
        </w:rPr>
        <w:t xml:space="preserve"> по факту.-328929 куб . м.в год</w:t>
      </w:r>
      <w:r w:rsidRPr="005019AD">
        <w:rPr>
          <w:sz w:val="24"/>
          <w:szCs w:val="24"/>
        </w:rPr>
        <w:t xml:space="preserve"> ЮБ ГПЗ-1170,55 куб.м\сут.</w:t>
      </w:r>
    </w:p>
    <w:p w:rsidR="008F3AF5" w:rsidRPr="005019AD" w:rsidRDefault="008F3AF5" w:rsidP="005019AD">
      <w:pPr>
        <w:spacing w:after="0" w:line="240" w:lineRule="auto"/>
        <w:ind w:firstLine="709"/>
        <w:jc w:val="both"/>
        <w:rPr>
          <w:rFonts w:ascii="Times New Roman" w:hAnsi="Times New Roman" w:cs="Times New Roman"/>
          <w:sz w:val="24"/>
          <w:szCs w:val="24"/>
        </w:rPr>
      </w:pPr>
      <w:r w:rsidRPr="005019AD">
        <w:rPr>
          <w:rFonts w:ascii="Times New Roman" w:hAnsi="Times New Roman" w:cs="Times New Roman"/>
          <w:sz w:val="24"/>
          <w:szCs w:val="24"/>
        </w:rPr>
        <w:t xml:space="preserve">В 2018-2020г в городе </w:t>
      </w:r>
      <w:proofErr w:type="gramStart"/>
      <w:r w:rsidRPr="005019AD">
        <w:rPr>
          <w:rFonts w:ascii="Times New Roman" w:hAnsi="Times New Roman" w:cs="Times New Roman"/>
          <w:sz w:val="24"/>
          <w:szCs w:val="24"/>
        </w:rPr>
        <w:t>функционирует  водопроводов</w:t>
      </w:r>
      <w:proofErr w:type="gramEnd"/>
      <w:r w:rsidRPr="005019AD">
        <w:rPr>
          <w:rFonts w:ascii="Times New Roman" w:hAnsi="Times New Roman" w:cs="Times New Roman"/>
          <w:sz w:val="24"/>
          <w:szCs w:val="24"/>
        </w:rPr>
        <w:t xml:space="preserve">-4, в том числе 3 коммунальных и 1 ведомственный. Очистные сооружения на коммунальном водопроводе МУП «УГХ» установлены на ВОС-1. Имеются очистные сооружения </w:t>
      </w:r>
      <w:proofErr w:type="gramStart"/>
      <w:r w:rsidRPr="005019AD">
        <w:rPr>
          <w:rFonts w:ascii="Times New Roman" w:hAnsi="Times New Roman" w:cs="Times New Roman"/>
          <w:sz w:val="24"/>
          <w:szCs w:val="24"/>
        </w:rPr>
        <w:t>на  ВОС</w:t>
      </w:r>
      <w:proofErr w:type="gramEnd"/>
      <w:r w:rsidRPr="005019AD">
        <w:rPr>
          <w:rFonts w:ascii="Times New Roman" w:hAnsi="Times New Roman" w:cs="Times New Roman"/>
          <w:sz w:val="24"/>
          <w:szCs w:val="24"/>
        </w:rPr>
        <w:t xml:space="preserve"> АО «Сибур Тюмень Газ» (реорганизован ОАО «ЮБ ГПК».) </w:t>
      </w:r>
    </w:p>
    <w:p w:rsidR="008F3AF5" w:rsidRPr="005019AD" w:rsidRDefault="008F3AF5" w:rsidP="005019AD">
      <w:pPr>
        <w:spacing w:after="0" w:line="240" w:lineRule="auto"/>
        <w:ind w:firstLine="709"/>
        <w:jc w:val="both"/>
        <w:rPr>
          <w:rFonts w:ascii="Times New Roman" w:hAnsi="Times New Roman" w:cs="Times New Roman"/>
          <w:sz w:val="24"/>
          <w:szCs w:val="24"/>
        </w:rPr>
      </w:pPr>
      <w:r w:rsidRPr="005019AD">
        <w:rPr>
          <w:rFonts w:ascii="Times New Roman" w:hAnsi="Times New Roman" w:cs="Times New Roman"/>
          <w:sz w:val="24"/>
          <w:szCs w:val="24"/>
        </w:rPr>
        <w:t>В 2018</w:t>
      </w:r>
      <w:proofErr w:type="gramStart"/>
      <w:r w:rsidRPr="005019AD">
        <w:rPr>
          <w:rFonts w:ascii="Times New Roman" w:hAnsi="Times New Roman" w:cs="Times New Roman"/>
          <w:sz w:val="24"/>
          <w:szCs w:val="24"/>
        </w:rPr>
        <w:t>году  проводилась</w:t>
      </w:r>
      <w:proofErr w:type="gramEnd"/>
      <w:r w:rsidRPr="005019AD">
        <w:rPr>
          <w:rFonts w:ascii="Times New Roman" w:hAnsi="Times New Roman" w:cs="Times New Roman"/>
          <w:sz w:val="24"/>
          <w:szCs w:val="24"/>
        </w:rPr>
        <w:t xml:space="preserve"> пробная эксплуатация установки доочистки воды ВОС-4, не имевшая положительный исход. По результатам лабораторных испытаний   не был отрегулирован производственный процесс доочистки воды в связи с заниженной </w:t>
      </w:r>
      <w:proofErr w:type="gramStart"/>
      <w:r w:rsidRPr="005019AD">
        <w:rPr>
          <w:rFonts w:ascii="Times New Roman" w:hAnsi="Times New Roman" w:cs="Times New Roman"/>
          <w:sz w:val="24"/>
          <w:szCs w:val="24"/>
        </w:rPr>
        <w:t>мощностью  установок</w:t>
      </w:r>
      <w:proofErr w:type="gramEnd"/>
      <w:r w:rsidRPr="005019AD">
        <w:rPr>
          <w:rFonts w:ascii="Times New Roman" w:hAnsi="Times New Roman" w:cs="Times New Roman"/>
          <w:sz w:val="24"/>
          <w:szCs w:val="24"/>
        </w:rPr>
        <w:t>.</w:t>
      </w:r>
    </w:p>
    <w:p w:rsidR="008F3AF5" w:rsidRPr="005019AD" w:rsidRDefault="008F3AF5" w:rsidP="005019AD">
      <w:pPr>
        <w:spacing w:after="0" w:line="240" w:lineRule="auto"/>
        <w:ind w:firstLine="709"/>
        <w:jc w:val="both"/>
        <w:rPr>
          <w:rFonts w:ascii="Times New Roman" w:hAnsi="Times New Roman" w:cs="Times New Roman"/>
          <w:sz w:val="24"/>
          <w:szCs w:val="24"/>
        </w:rPr>
      </w:pPr>
      <w:r w:rsidRPr="005019AD">
        <w:rPr>
          <w:rFonts w:ascii="Times New Roman" w:hAnsi="Times New Roman" w:cs="Times New Roman"/>
          <w:sz w:val="24"/>
          <w:szCs w:val="24"/>
        </w:rPr>
        <w:t xml:space="preserve">В 2019году </w:t>
      </w:r>
      <w:proofErr w:type="gramStart"/>
      <w:r w:rsidRPr="005019AD">
        <w:rPr>
          <w:rFonts w:ascii="Times New Roman" w:hAnsi="Times New Roman" w:cs="Times New Roman"/>
          <w:sz w:val="24"/>
          <w:szCs w:val="24"/>
        </w:rPr>
        <w:t>состояние  водоочистных</w:t>
      </w:r>
      <w:proofErr w:type="gramEnd"/>
      <w:r w:rsidRPr="005019AD">
        <w:rPr>
          <w:rFonts w:ascii="Times New Roman" w:hAnsi="Times New Roman" w:cs="Times New Roman"/>
          <w:sz w:val="24"/>
          <w:szCs w:val="24"/>
        </w:rPr>
        <w:t xml:space="preserve"> сооружений не изменилось ввод в эксплуатацию ВОС-4 не был произведен. В 2020году проводится работа по реконструкции ВОС-1 </w:t>
      </w:r>
      <w:proofErr w:type="gramStart"/>
      <w:r w:rsidRPr="005019AD">
        <w:rPr>
          <w:rFonts w:ascii="Times New Roman" w:hAnsi="Times New Roman" w:cs="Times New Roman"/>
          <w:sz w:val="24"/>
          <w:szCs w:val="24"/>
        </w:rPr>
        <w:t>и  строительству</w:t>
      </w:r>
      <w:proofErr w:type="gramEnd"/>
      <w:r w:rsidRPr="005019AD">
        <w:rPr>
          <w:rFonts w:ascii="Times New Roman" w:hAnsi="Times New Roman" w:cs="Times New Roman"/>
          <w:sz w:val="24"/>
          <w:szCs w:val="24"/>
        </w:rPr>
        <w:t xml:space="preserve"> водоочистных сооружений  на ВОС-3 с   ликвидацией, после запуска ВОС-2 и ВОС-4. </w:t>
      </w:r>
    </w:p>
    <w:p w:rsidR="008F3AF5" w:rsidRPr="00993C9E" w:rsidRDefault="008F3AF5" w:rsidP="005019AD">
      <w:pPr>
        <w:spacing w:after="0" w:line="240" w:lineRule="auto"/>
        <w:ind w:firstLine="567"/>
        <w:jc w:val="both"/>
        <w:rPr>
          <w:sz w:val="24"/>
          <w:szCs w:val="24"/>
        </w:rPr>
      </w:pPr>
      <w:r w:rsidRPr="005019AD">
        <w:rPr>
          <w:rFonts w:ascii="Times New Roman" w:hAnsi="Times New Roman" w:cs="Times New Roman"/>
          <w:sz w:val="24"/>
          <w:szCs w:val="24"/>
        </w:rPr>
        <w:t>Вода нашего региона, в том числе и подземных источников, расположенных на территории города Пыть-</w:t>
      </w:r>
      <w:proofErr w:type="gramStart"/>
      <w:r w:rsidRPr="005019AD">
        <w:rPr>
          <w:rFonts w:ascii="Times New Roman" w:hAnsi="Times New Roman" w:cs="Times New Roman"/>
          <w:sz w:val="24"/>
          <w:szCs w:val="24"/>
        </w:rPr>
        <w:t>Ях,  характеризуется</w:t>
      </w:r>
      <w:proofErr w:type="gramEnd"/>
      <w:r w:rsidRPr="005019AD">
        <w:rPr>
          <w:rFonts w:ascii="Times New Roman" w:hAnsi="Times New Roman" w:cs="Times New Roman"/>
          <w:sz w:val="24"/>
          <w:szCs w:val="24"/>
        </w:rPr>
        <w:t xml:space="preserve"> повышенным содержанием железа, цветности, перманганатной окисляемости. Железо находится в подземных водах главным образом в виде дигидрокарбоната железа (II) Fе(НСОз)2. При контакте воды с воздухом железо окисляется, образуя гидроксид железа (III) — Fe(OH)3, придающий воде мутность и бурую окраску. При содержании в воде подземных источников железа в концентрации более 0,3—0,5 мл/л органолептические свойства воды ухудшаются, а при концентрации железа свыше 1—2 мг/л вода, кроме мутности и окраски, приобретает неприятный</w:t>
      </w:r>
      <w:r w:rsidRPr="001E33C1">
        <w:rPr>
          <w:sz w:val="24"/>
          <w:szCs w:val="24"/>
        </w:rPr>
        <w:t xml:space="preserve"> вяжущий привкус.</w:t>
      </w:r>
      <w:r w:rsidRPr="00993C9E">
        <w:rPr>
          <w:sz w:val="24"/>
          <w:szCs w:val="24"/>
        </w:rPr>
        <w:t xml:space="preserve"> </w:t>
      </w:r>
    </w:p>
    <w:p w:rsidR="008F3AF5" w:rsidRPr="003B159D" w:rsidRDefault="008F3AF5" w:rsidP="008F3AF5">
      <w:pPr>
        <w:pStyle w:val="a7"/>
        <w:rPr>
          <w:sz w:val="24"/>
          <w:szCs w:val="24"/>
          <w:highlight w:val="yellow"/>
        </w:rPr>
      </w:pPr>
      <w:r w:rsidRPr="003B159D">
        <w:rPr>
          <w:noProof/>
          <w:highlight w:val="yellow"/>
          <w:lang w:val="ru-RU" w:eastAsia="ru-RU"/>
        </w:rPr>
        <w:drawing>
          <wp:anchor distT="0" distB="0" distL="114300" distR="114300" simplePos="0" relativeHeight="251660288" behindDoc="0" locked="0" layoutInCell="1" allowOverlap="1">
            <wp:simplePos x="0" y="0"/>
            <wp:positionH relativeFrom="column">
              <wp:posOffset>-81280</wp:posOffset>
            </wp:positionH>
            <wp:positionV relativeFrom="paragraph">
              <wp:posOffset>177800</wp:posOffset>
            </wp:positionV>
            <wp:extent cx="6315710" cy="1483360"/>
            <wp:effectExtent l="0" t="1905" r="0" b="635"/>
            <wp:wrapNone/>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8F3AF5" w:rsidRPr="003B159D" w:rsidRDefault="008F3AF5" w:rsidP="008F3AF5">
      <w:pPr>
        <w:pStyle w:val="a7"/>
        <w:rPr>
          <w:sz w:val="24"/>
          <w:szCs w:val="24"/>
          <w:highlight w:val="yellow"/>
        </w:rPr>
      </w:pPr>
    </w:p>
    <w:p w:rsidR="008F3AF5" w:rsidRPr="003B159D" w:rsidRDefault="008F3AF5" w:rsidP="008F3AF5">
      <w:pPr>
        <w:pStyle w:val="a7"/>
        <w:rPr>
          <w:sz w:val="24"/>
          <w:szCs w:val="24"/>
          <w:highlight w:val="yellow"/>
        </w:rPr>
      </w:pPr>
    </w:p>
    <w:p w:rsidR="008F3AF5" w:rsidRPr="003B159D" w:rsidRDefault="008F3AF5" w:rsidP="008F3AF5">
      <w:pPr>
        <w:pStyle w:val="a7"/>
        <w:rPr>
          <w:sz w:val="24"/>
          <w:szCs w:val="24"/>
          <w:highlight w:val="yellow"/>
        </w:rPr>
      </w:pPr>
    </w:p>
    <w:p w:rsidR="008F3AF5" w:rsidRPr="003B159D" w:rsidRDefault="008F3AF5" w:rsidP="008F3AF5">
      <w:pPr>
        <w:pStyle w:val="a7"/>
        <w:rPr>
          <w:sz w:val="24"/>
          <w:szCs w:val="24"/>
          <w:highlight w:val="yellow"/>
        </w:rPr>
      </w:pPr>
    </w:p>
    <w:p w:rsidR="008F3AF5" w:rsidRPr="003B159D" w:rsidRDefault="008F3AF5" w:rsidP="008F3AF5">
      <w:pPr>
        <w:pStyle w:val="a7"/>
        <w:rPr>
          <w:sz w:val="24"/>
          <w:szCs w:val="24"/>
          <w:highlight w:val="yellow"/>
        </w:rPr>
      </w:pPr>
    </w:p>
    <w:p w:rsidR="008F3AF5" w:rsidRPr="003B159D" w:rsidRDefault="008F3AF5" w:rsidP="008F3AF5">
      <w:pPr>
        <w:pStyle w:val="a7"/>
        <w:rPr>
          <w:sz w:val="24"/>
          <w:szCs w:val="24"/>
          <w:highlight w:val="yellow"/>
        </w:rPr>
      </w:pPr>
    </w:p>
    <w:p w:rsidR="008F3AF5" w:rsidRPr="003B159D" w:rsidRDefault="008F3AF5" w:rsidP="008F3AF5">
      <w:pPr>
        <w:pStyle w:val="a7"/>
        <w:rPr>
          <w:sz w:val="24"/>
          <w:szCs w:val="24"/>
          <w:highlight w:val="yellow"/>
        </w:rPr>
      </w:pPr>
    </w:p>
    <w:p w:rsidR="008F3AF5" w:rsidRPr="003B159D" w:rsidRDefault="008F3AF5" w:rsidP="008F3AF5">
      <w:pPr>
        <w:pStyle w:val="a7"/>
        <w:ind w:firstLine="0"/>
        <w:rPr>
          <w:sz w:val="24"/>
          <w:szCs w:val="24"/>
          <w:highlight w:val="yellow"/>
          <w:lang w:val="ru-RU"/>
        </w:rPr>
      </w:pPr>
    </w:p>
    <w:p w:rsidR="008F3AF5" w:rsidRPr="003B159D" w:rsidRDefault="008F3AF5" w:rsidP="008F3AF5">
      <w:pPr>
        <w:pStyle w:val="a7"/>
        <w:ind w:firstLine="0"/>
        <w:rPr>
          <w:sz w:val="6"/>
          <w:szCs w:val="6"/>
          <w:highlight w:val="yellow"/>
        </w:rPr>
      </w:pPr>
    </w:p>
    <w:p w:rsidR="008F3AF5" w:rsidRPr="005019AD" w:rsidRDefault="008F3AF5" w:rsidP="008F3AF5">
      <w:pPr>
        <w:jc w:val="center"/>
        <w:rPr>
          <w:rFonts w:ascii="Times New Roman" w:hAnsi="Times New Roman" w:cs="Times New Roman"/>
        </w:rPr>
      </w:pPr>
      <w:r w:rsidRPr="005019AD">
        <w:rPr>
          <w:rFonts w:ascii="Times New Roman" w:hAnsi="Times New Roman" w:cs="Times New Roman"/>
          <w:b/>
          <w:bCs/>
        </w:rPr>
        <w:t>Рис. №2.</w:t>
      </w:r>
      <w:r w:rsidRPr="005019AD">
        <w:rPr>
          <w:rFonts w:ascii="Times New Roman" w:hAnsi="Times New Roman" w:cs="Times New Roman"/>
        </w:rPr>
        <w:t xml:space="preserve"> Динамика микробиологических исследований воды из разводящей сети и водопроводов за период 2018-2020г.г.</w:t>
      </w:r>
    </w:p>
    <w:p w:rsidR="008F3AF5" w:rsidRPr="00DE7C8D" w:rsidRDefault="008F3AF5" w:rsidP="008F3AF5"/>
    <w:p w:rsidR="008F3AF5" w:rsidRPr="005019AD" w:rsidRDefault="008F3AF5" w:rsidP="008F3AF5">
      <w:pPr>
        <w:pStyle w:val="a7"/>
        <w:jc w:val="both"/>
        <w:rPr>
          <w:sz w:val="24"/>
          <w:szCs w:val="24"/>
          <w:lang w:val="ru-RU"/>
        </w:rPr>
      </w:pPr>
      <w:r w:rsidRPr="005019AD">
        <w:rPr>
          <w:sz w:val="24"/>
          <w:szCs w:val="24"/>
          <w:lang w:val="ru-RU"/>
        </w:rPr>
        <w:lastRenderedPageBreak/>
        <w:t>В динамике, с</w:t>
      </w:r>
      <w:r w:rsidRPr="005019AD">
        <w:rPr>
          <w:sz w:val="24"/>
          <w:szCs w:val="24"/>
        </w:rPr>
        <w:t xml:space="preserve">огласно рис. №2, объем микробиологических исследований воды водопроводной из разводящей системы и </w:t>
      </w:r>
      <w:proofErr w:type="gramStart"/>
      <w:r w:rsidRPr="005019AD">
        <w:rPr>
          <w:sz w:val="24"/>
          <w:szCs w:val="24"/>
        </w:rPr>
        <w:t>водопроводов  в</w:t>
      </w:r>
      <w:proofErr w:type="gramEnd"/>
      <w:r w:rsidRPr="005019AD">
        <w:rPr>
          <w:sz w:val="24"/>
          <w:szCs w:val="24"/>
        </w:rPr>
        <w:t xml:space="preserve"> </w:t>
      </w:r>
      <w:r w:rsidRPr="005019AD">
        <w:rPr>
          <w:sz w:val="24"/>
          <w:szCs w:val="24"/>
          <w:lang w:val="ru-RU"/>
        </w:rPr>
        <w:t xml:space="preserve"> 2020году снизился, по сравнению с 2018 годом на 157%,по сравнению с 2019г на 89%, что объясняется о снижением количества исследований   юридических лиц ( МУП «УГХ»).</w:t>
      </w:r>
    </w:p>
    <w:p w:rsidR="008F3AF5" w:rsidRPr="005019AD" w:rsidRDefault="008F3AF5" w:rsidP="008F3AF5">
      <w:pPr>
        <w:pStyle w:val="a7"/>
        <w:jc w:val="both"/>
        <w:rPr>
          <w:sz w:val="24"/>
          <w:szCs w:val="24"/>
          <w:lang w:val="ru-RU"/>
        </w:rPr>
      </w:pPr>
      <w:r w:rsidRPr="005019AD">
        <w:rPr>
          <w:sz w:val="24"/>
          <w:szCs w:val="24"/>
          <w:lang w:val="ru-RU"/>
        </w:rPr>
        <w:t>В динамике 2018-2020 году п</w:t>
      </w:r>
      <w:r w:rsidRPr="005019AD">
        <w:rPr>
          <w:sz w:val="24"/>
          <w:szCs w:val="24"/>
        </w:rPr>
        <w:t xml:space="preserve">роцент проб воды несоответствующей требованиям по микробиологическим </w:t>
      </w:r>
      <w:proofErr w:type="gramStart"/>
      <w:r w:rsidRPr="005019AD">
        <w:rPr>
          <w:sz w:val="24"/>
          <w:szCs w:val="24"/>
        </w:rPr>
        <w:t>показателям  с</w:t>
      </w:r>
      <w:proofErr w:type="gramEnd"/>
      <w:r w:rsidRPr="005019AD">
        <w:rPr>
          <w:sz w:val="24"/>
          <w:szCs w:val="24"/>
        </w:rPr>
        <w:t xml:space="preserve"> разводящей  сети и водопроводов  </w:t>
      </w:r>
      <w:r w:rsidRPr="005019AD">
        <w:rPr>
          <w:sz w:val="24"/>
          <w:szCs w:val="24"/>
          <w:lang w:val="ru-RU"/>
        </w:rPr>
        <w:t>увеличился  и  составил 1,36% в 2020г, -в 2019г-0,34%, и регистрируется практически на уровне 2018г.</w:t>
      </w:r>
    </w:p>
    <w:p w:rsidR="008F3AF5" w:rsidRPr="005019AD" w:rsidRDefault="008F3AF5" w:rsidP="008F3AF5">
      <w:pPr>
        <w:pStyle w:val="a7"/>
        <w:jc w:val="both"/>
        <w:rPr>
          <w:sz w:val="24"/>
          <w:szCs w:val="24"/>
          <w:lang w:val="ru-RU"/>
        </w:rPr>
      </w:pPr>
      <w:r w:rsidRPr="005019AD">
        <w:rPr>
          <w:sz w:val="24"/>
          <w:szCs w:val="24"/>
          <w:lang w:val="ru-RU"/>
        </w:rPr>
        <w:t xml:space="preserve">В 2020году зарегистрирован рост количества проб воды, не соответствующей требованиям по микробиологическим показателям из подземных источников и </w:t>
      </w:r>
      <w:proofErr w:type="gramStart"/>
      <w:r w:rsidRPr="005019AD">
        <w:rPr>
          <w:sz w:val="24"/>
          <w:szCs w:val="24"/>
          <w:lang w:val="ru-RU"/>
        </w:rPr>
        <w:t>составил  5</w:t>
      </w:r>
      <w:proofErr w:type="gramEnd"/>
      <w:r w:rsidRPr="005019AD">
        <w:rPr>
          <w:sz w:val="24"/>
          <w:szCs w:val="24"/>
          <w:lang w:val="ru-RU"/>
        </w:rPr>
        <w:t>,8%, в 2019году-2,9%, тогда как в 2018 году несоответствующих проб не обнаружено, возможной причиной  снижения качества воды по микробиологическим показателям является ухудшение содержания ЗСО 1 пояса водоисточников.</w:t>
      </w:r>
    </w:p>
    <w:p w:rsidR="008F3AF5" w:rsidRPr="005019AD" w:rsidRDefault="008F3AF5" w:rsidP="008F3AF5">
      <w:pPr>
        <w:pStyle w:val="a7"/>
        <w:jc w:val="both"/>
        <w:rPr>
          <w:color w:val="000000"/>
          <w:sz w:val="24"/>
          <w:szCs w:val="24"/>
          <w:lang w:val="ru-RU"/>
        </w:rPr>
      </w:pPr>
      <w:r w:rsidRPr="005019AD">
        <w:rPr>
          <w:color w:val="000000"/>
          <w:sz w:val="24"/>
          <w:szCs w:val="24"/>
        </w:rPr>
        <w:t xml:space="preserve">Из рис.№3 видно: объем лабораторных санитарно-химических исследований питьевой воды из разводящей сети водопроводов  </w:t>
      </w:r>
      <w:r w:rsidRPr="005019AD">
        <w:rPr>
          <w:color w:val="000000"/>
          <w:sz w:val="24"/>
          <w:szCs w:val="24"/>
          <w:lang w:val="ru-RU"/>
        </w:rPr>
        <w:t xml:space="preserve">в  динамике снизился, 2020г, по сравнению с </w:t>
      </w:r>
      <w:r w:rsidRPr="005019AD">
        <w:rPr>
          <w:sz w:val="24"/>
          <w:szCs w:val="24"/>
          <w:lang w:val="ru-RU"/>
        </w:rPr>
        <w:t xml:space="preserve"> 2019 годом на 9,9%,по сравнению с 2018г на 33,2%</w:t>
      </w:r>
      <w:r w:rsidRPr="005019AD">
        <w:rPr>
          <w:color w:val="000000"/>
          <w:sz w:val="24"/>
          <w:szCs w:val="24"/>
          <w:lang w:val="ru-RU"/>
        </w:rPr>
        <w:t xml:space="preserve">.  </w:t>
      </w:r>
      <w:proofErr w:type="gramStart"/>
      <w:r w:rsidRPr="005019AD">
        <w:rPr>
          <w:color w:val="000000"/>
          <w:sz w:val="24"/>
          <w:szCs w:val="24"/>
          <w:lang w:val="ru-RU"/>
        </w:rPr>
        <w:t>В  2020</w:t>
      </w:r>
      <w:proofErr w:type="gramEnd"/>
      <w:r w:rsidRPr="005019AD">
        <w:rPr>
          <w:color w:val="000000"/>
          <w:sz w:val="24"/>
          <w:szCs w:val="24"/>
          <w:lang w:val="ru-RU"/>
        </w:rPr>
        <w:t>гг, по сравнению с 2019г  увеличился процент проб воды</w:t>
      </w:r>
      <w:r w:rsidRPr="005019AD">
        <w:rPr>
          <w:color w:val="000000"/>
          <w:sz w:val="24"/>
          <w:szCs w:val="24"/>
        </w:rPr>
        <w:t xml:space="preserve"> </w:t>
      </w:r>
      <w:r w:rsidRPr="005019AD">
        <w:rPr>
          <w:color w:val="000000"/>
          <w:sz w:val="24"/>
          <w:szCs w:val="24"/>
          <w:lang w:val="ru-RU"/>
        </w:rPr>
        <w:t xml:space="preserve">из разводящих сетей и водопроводов  </w:t>
      </w:r>
      <w:r w:rsidRPr="005019AD">
        <w:rPr>
          <w:color w:val="000000"/>
          <w:sz w:val="24"/>
          <w:szCs w:val="24"/>
        </w:rPr>
        <w:t>несоответствующих санитарно-гигиеническим нормативам</w:t>
      </w:r>
      <w:r w:rsidRPr="005019AD">
        <w:rPr>
          <w:color w:val="000000"/>
          <w:sz w:val="24"/>
          <w:szCs w:val="24"/>
          <w:lang w:val="ru-RU"/>
        </w:rPr>
        <w:t xml:space="preserve"> на 17,36 % по сравнению с 2019г и составил 64,66% , в 2018г- </w:t>
      </w:r>
      <w:r w:rsidRPr="005019AD">
        <w:rPr>
          <w:sz w:val="22"/>
          <w:szCs w:val="22"/>
        </w:rPr>
        <w:t>59,4</w:t>
      </w:r>
      <w:r w:rsidRPr="005019AD">
        <w:rPr>
          <w:sz w:val="22"/>
          <w:szCs w:val="22"/>
          <w:lang w:val="ru-RU"/>
        </w:rPr>
        <w:t>%</w:t>
      </w:r>
      <w:r w:rsidRPr="005019AD">
        <w:rPr>
          <w:color w:val="000000"/>
          <w:sz w:val="24"/>
          <w:szCs w:val="24"/>
          <w:lang w:val="ru-RU"/>
        </w:rPr>
        <w:t>.</w:t>
      </w:r>
    </w:p>
    <w:p w:rsidR="008F3AF5" w:rsidRPr="005019AD" w:rsidRDefault="008F3AF5" w:rsidP="008F3AF5">
      <w:pPr>
        <w:pStyle w:val="a7"/>
        <w:jc w:val="both"/>
        <w:rPr>
          <w:color w:val="000000"/>
          <w:sz w:val="24"/>
          <w:szCs w:val="24"/>
          <w:lang w:val="ru-RU"/>
        </w:rPr>
      </w:pPr>
      <w:r w:rsidRPr="005019AD">
        <w:rPr>
          <w:color w:val="000000"/>
          <w:sz w:val="24"/>
          <w:szCs w:val="24"/>
          <w:lang w:val="ru-RU"/>
        </w:rPr>
        <w:t>В 2019</w:t>
      </w:r>
      <w:proofErr w:type="gramStart"/>
      <w:r w:rsidRPr="005019AD">
        <w:rPr>
          <w:color w:val="000000"/>
          <w:sz w:val="24"/>
          <w:szCs w:val="24"/>
          <w:lang w:val="ru-RU"/>
        </w:rPr>
        <w:t>г( 3</w:t>
      </w:r>
      <w:proofErr w:type="gramEnd"/>
      <w:r w:rsidRPr="005019AD">
        <w:rPr>
          <w:color w:val="000000"/>
          <w:sz w:val="24"/>
          <w:szCs w:val="24"/>
          <w:lang w:val="ru-RU"/>
        </w:rPr>
        <w:t xml:space="preserve"> пробы), 2018году(6 проб)  в 100% исследуемых проб температура горячей  воды соответствовала требованиям в ДОУ города, тогда как в 2020г ( 2 пробы) температура горячей воды была занижена. В динамике </w:t>
      </w:r>
      <w:proofErr w:type="gramStart"/>
      <w:r w:rsidRPr="005019AD">
        <w:rPr>
          <w:color w:val="000000"/>
          <w:sz w:val="24"/>
          <w:szCs w:val="24"/>
          <w:lang w:val="ru-RU"/>
        </w:rPr>
        <w:t>регистрируется  снижение</w:t>
      </w:r>
      <w:proofErr w:type="gramEnd"/>
      <w:r w:rsidRPr="005019AD">
        <w:rPr>
          <w:color w:val="000000"/>
          <w:sz w:val="24"/>
          <w:szCs w:val="24"/>
          <w:lang w:val="ru-RU"/>
        </w:rPr>
        <w:t xml:space="preserve"> контроля, со стороны  руководителей ДОУ города  по  контролю, за обеспечением  в детских садах температурного режима мытья  кухонной и столовой посуды и может явиться одной из причин возникновения инфекционной заболеваемости, передающейся водным  и контактно-бытовым путем: с 6 проб соответствующих требованиям в 2018г до 2 проб не соответствующих требованиям в 2020г . </w:t>
      </w:r>
    </w:p>
    <w:p w:rsidR="008F3AF5" w:rsidRPr="005019AD" w:rsidRDefault="008F3AF5" w:rsidP="008F3AF5">
      <w:pPr>
        <w:jc w:val="both"/>
        <w:rPr>
          <w:rFonts w:ascii="Times New Roman" w:hAnsi="Times New Roman" w:cs="Times New Roman"/>
          <w:sz w:val="24"/>
          <w:szCs w:val="24"/>
        </w:rPr>
      </w:pPr>
      <w:r w:rsidRPr="005019AD">
        <w:rPr>
          <w:rFonts w:ascii="Times New Roman" w:hAnsi="Times New Roman" w:cs="Times New Roman"/>
          <w:sz w:val="24"/>
          <w:szCs w:val="24"/>
        </w:rPr>
        <w:t xml:space="preserve">         В 2020</w:t>
      </w:r>
      <w:proofErr w:type="gramStart"/>
      <w:r w:rsidRPr="005019AD">
        <w:rPr>
          <w:rFonts w:ascii="Times New Roman" w:hAnsi="Times New Roman" w:cs="Times New Roman"/>
          <w:sz w:val="24"/>
          <w:szCs w:val="24"/>
        </w:rPr>
        <w:t>году ,</w:t>
      </w:r>
      <w:proofErr w:type="gramEnd"/>
      <w:r w:rsidRPr="005019AD">
        <w:rPr>
          <w:rFonts w:ascii="Times New Roman" w:hAnsi="Times New Roman" w:cs="Times New Roman"/>
          <w:sz w:val="24"/>
          <w:szCs w:val="24"/>
        </w:rPr>
        <w:t xml:space="preserve"> по сравнению с 2019г объем лабораторных санитарно-химических исследований воды подземных источников  увеличился на 140%. Процент </w:t>
      </w:r>
      <w:proofErr w:type="gramStart"/>
      <w:r w:rsidRPr="005019AD">
        <w:rPr>
          <w:rFonts w:ascii="Times New Roman" w:hAnsi="Times New Roman" w:cs="Times New Roman"/>
          <w:sz w:val="24"/>
          <w:szCs w:val="24"/>
        </w:rPr>
        <w:t>проб  воды</w:t>
      </w:r>
      <w:proofErr w:type="gramEnd"/>
      <w:r w:rsidRPr="005019AD">
        <w:rPr>
          <w:rFonts w:ascii="Times New Roman" w:hAnsi="Times New Roman" w:cs="Times New Roman"/>
          <w:sz w:val="24"/>
          <w:szCs w:val="24"/>
        </w:rPr>
        <w:t xml:space="preserve"> подземных источников  несоответствующих требованиям санитарно-гигиенических нормативов в динамике  незначительно колеблется в диапазоне  </w:t>
      </w:r>
      <w:r w:rsidRPr="005019AD">
        <w:rPr>
          <w:rFonts w:ascii="Times New Roman" w:hAnsi="Times New Roman" w:cs="Times New Roman"/>
        </w:rPr>
        <w:t>64,66</w:t>
      </w:r>
      <w:r w:rsidRPr="005019AD">
        <w:rPr>
          <w:rFonts w:ascii="Times New Roman" w:hAnsi="Times New Roman" w:cs="Times New Roman"/>
          <w:sz w:val="24"/>
          <w:szCs w:val="24"/>
        </w:rPr>
        <w:t>%-2020г,  до 32,579 %-в  2019году составил ( процент несоответствующих проб снизился по причине проведения исследований только на тяжелые металлы).</w:t>
      </w:r>
    </w:p>
    <w:p w:rsidR="008F3AF5" w:rsidRPr="001A60D1" w:rsidRDefault="008F3AF5" w:rsidP="008F3AF5">
      <w:pPr>
        <w:jc w:val="both"/>
        <w:rPr>
          <w:b/>
          <w:bCs/>
          <w:highlight w:val="yellow"/>
        </w:rPr>
      </w:pPr>
      <w:bookmarkStart w:id="2" w:name="OLE_LINK22"/>
      <w:bookmarkStart w:id="3" w:name="OLE_LINK23"/>
      <w:r w:rsidRPr="001A60D1">
        <w:rPr>
          <w:noProof/>
          <w:highlight w:val="yellow"/>
          <w:lang w:eastAsia="ru-RU"/>
        </w:rPr>
        <w:drawing>
          <wp:anchor distT="0" distB="0" distL="114300" distR="114300" simplePos="0" relativeHeight="251661312" behindDoc="0" locked="0" layoutInCell="1" allowOverlap="1">
            <wp:simplePos x="0" y="0"/>
            <wp:positionH relativeFrom="column">
              <wp:posOffset>1101090</wp:posOffset>
            </wp:positionH>
            <wp:positionV relativeFrom="paragraph">
              <wp:posOffset>26035</wp:posOffset>
            </wp:positionV>
            <wp:extent cx="4454525" cy="1644650"/>
            <wp:effectExtent l="1270" t="3810" r="1905" b="0"/>
            <wp:wrapNone/>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8F3AF5" w:rsidRPr="001A60D1" w:rsidRDefault="008F3AF5" w:rsidP="008F3AF5">
      <w:pPr>
        <w:jc w:val="both"/>
        <w:rPr>
          <w:b/>
          <w:bCs/>
          <w:highlight w:val="yellow"/>
        </w:rPr>
      </w:pPr>
    </w:p>
    <w:p w:rsidR="008F3AF5" w:rsidRPr="001A60D1" w:rsidRDefault="008F3AF5" w:rsidP="008F3AF5">
      <w:pPr>
        <w:jc w:val="both"/>
        <w:rPr>
          <w:b/>
          <w:bCs/>
          <w:highlight w:val="yellow"/>
        </w:rPr>
      </w:pPr>
    </w:p>
    <w:p w:rsidR="008F3AF5" w:rsidRPr="001A60D1" w:rsidRDefault="008F3AF5" w:rsidP="008F3AF5">
      <w:pPr>
        <w:jc w:val="both"/>
        <w:rPr>
          <w:b/>
          <w:bCs/>
          <w:highlight w:val="yellow"/>
        </w:rPr>
      </w:pPr>
    </w:p>
    <w:p w:rsidR="008F3AF5" w:rsidRPr="001A60D1" w:rsidRDefault="008F3AF5" w:rsidP="008F3AF5">
      <w:pPr>
        <w:jc w:val="both"/>
        <w:rPr>
          <w:b/>
          <w:bCs/>
          <w:highlight w:val="yellow"/>
        </w:rPr>
      </w:pPr>
    </w:p>
    <w:p w:rsidR="008F3AF5" w:rsidRPr="001A60D1" w:rsidRDefault="008F3AF5" w:rsidP="008F3AF5">
      <w:pPr>
        <w:jc w:val="both"/>
        <w:rPr>
          <w:b/>
          <w:bCs/>
          <w:highlight w:val="yellow"/>
        </w:rPr>
      </w:pPr>
    </w:p>
    <w:p w:rsidR="008F3AF5" w:rsidRPr="005019AD" w:rsidRDefault="005019AD" w:rsidP="008F3AF5">
      <w:pPr>
        <w:jc w:val="both"/>
        <w:rPr>
          <w:rFonts w:ascii="Times New Roman" w:hAnsi="Times New Roman" w:cs="Times New Roman"/>
        </w:rPr>
      </w:pPr>
      <w:r w:rsidRPr="005019AD">
        <w:rPr>
          <w:rFonts w:ascii="Times New Roman" w:hAnsi="Times New Roman" w:cs="Times New Roman"/>
          <w:b/>
          <w:bCs/>
        </w:rPr>
        <w:t>Р</w:t>
      </w:r>
      <w:r w:rsidR="008F3AF5" w:rsidRPr="005019AD">
        <w:rPr>
          <w:rFonts w:ascii="Times New Roman" w:hAnsi="Times New Roman" w:cs="Times New Roman"/>
          <w:b/>
          <w:bCs/>
        </w:rPr>
        <w:t>ис. №3</w:t>
      </w:r>
      <w:bookmarkEnd w:id="2"/>
      <w:bookmarkEnd w:id="3"/>
      <w:r w:rsidR="008F3AF5" w:rsidRPr="005019AD">
        <w:rPr>
          <w:rFonts w:ascii="Times New Roman" w:hAnsi="Times New Roman" w:cs="Times New Roman"/>
          <w:b/>
          <w:bCs/>
        </w:rPr>
        <w:t>.</w:t>
      </w:r>
      <w:r w:rsidR="008F3AF5" w:rsidRPr="005019AD">
        <w:rPr>
          <w:rFonts w:ascii="Times New Roman" w:hAnsi="Times New Roman" w:cs="Times New Roman"/>
        </w:rPr>
        <w:t xml:space="preserve"> Динамика санитарно-химических исследований воды из разводящей сети и водопроводов за период 2018-2020 г.г.</w:t>
      </w:r>
    </w:p>
    <w:p w:rsidR="008F3AF5" w:rsidRDefault="008F3AF5" w:rsidP="005019AD">
      <w:pPr>
        <w:autoSpaceDE w:val="0"/>
        <w:autoSpaceDN w:val="0"/>
        <w:adjustRightInd w:val="0"/>
        <w:spacing w:after="0" w:line="240" w:lineRule="auto"/>
        <w:ind w:firstLine="708"/>
        <w:jc w:val="both"/>
        <w:rPr>
          <w:rFonts w:ascii="Times New Roman" w:hAnsi="Times New Roman" w:cs="Times New Roman"/>
          <w:sz w:val="24"/>
          <w:szCs w:val="24"/>
        </w:rPr>
      </w:pPr>
      <w:r w:rsidRPr="005019AD">
        <w:rPr>
          <w:rFonts w:ascii="Times New Roman" w:hAnsi="Times New Roman" w:cs="Times New Roman"/>
          <w:sz w:val="24"/>
          <w:szCs w:val="24"/>
        </w:rPr>
        <w:t>В 2018-2020гг. филиалом проводились исследования воды из артскважин и разводящей сети на соли тяжелых металлов. Все исследуемые пробы по показателям на содержание цинка, меди, свинца, кадмия соответствовали требованиям ГН 2.1.5.1315-03 «Предельно-допустимые концентрации химических веществ в воде водных объектов хозяйственно-питьевого и культурно-бытового водопользования»:</w:t>
      </w:r>
    </w:p>
    <w:p w:rsidR="005019AD" w:rsidRDefault="005019AD" w:rsidP="005019AD">
      <w:pPr>
        <w:autoSpaceDE w:val="0"/>
        <w:autoSpaceDN w:val="0"/>
        <w:adjustRightInd w:val="0"/>
        <w:spacing w:after="0" w:line="240" w:lineRule="auto"/>
        <w:jc w:val="both"/>
        <w:rPr>
          <w:rFonts w:ascii="Times New Roman" w:hAnsi="Times New Roman" w:cs="Times New Roman"/>
          <w:sz w:val="24"/>
          <w:szCs w:val="24"/>
        </w:rPr>
      </w:pPr>
    </w:p>
    <w:p w:rsidR="005019AD" w:rsidRPr="005019AD" w:rsidRDefault="005019AD" w:rsidP="005019AD">
      <w:pPr>
        <w:autoSpaceDE w:val="0"/>
        <w:autoSpaceDN w:val="0"/>
        <w:adjustRightInd w:val="0"/>
        <w:spacing w:after="0" w:line="240" w:lineRule="auto"/>
        <w:jc w:val="both"/>
        <w:rPr>
          <w:rFonts w:ascii="Times New Roman" w:hAnsi="Times New Roman" w:cs="Times New Roman"/>
          <w:sz w:val="24"/>
          <w:szCs w:val="24"/>
        </w:rPr>
      </w:pPr>
    </w:p>
    <w:p w:rsidR="008F3AF5" w:rsidRPr="001A60D1" w:rsidRDefault="008F3AF5" w:rsidP="008F3AF5">
      <w:pPr>
        <w:ind w:firstLine="709"/>
        <w:jc w:val="both"/>
        <w:rPr>
          <w:sz w:val="24"/>
          <w:szCs w:val="24"/>
          <w:highlight w:val="yellow"/>
        </w:rPr>
      </w:pPr>
    </w:p>
    <w:p w:rsidR="008F3AF5" w:rsidRPr="001A60D1" w:rsidRDefault="008F3AF5" w:rsidP="008F3AF5">
      <w:pPr>
        <w:ind w:firstLine="709"/>
        <w:jc w:val="both"/>
        <w:rPr>
          <w:sz w:val="24"/>
          <w:szCs w:val="24"/>
          <w:highlight w:val="yellow"/>
        </w:rPr>
      </w:pPr>
    </w:p>
    <w:p w:rsidR="008F3AF5" w:rsidRPr="001A60D1" w:rsidRDefault="005019AD" w:rsidP="008F3AF5">
      <w:pPr>
        <w:ind w:firstLine="709"/>
        <w:jc w:val="both"/>
        <w:rPr>
          <w:sz w:val="24"/>
          <w:szCs w:val="24"/>
          <w:highlight w:val="yellow"/>
        </w:rPr>
      </w:pPr>
      <w:r>
        <w:rPr>
          <w:noProof/>
          <w:sz w:val="24"/>
          <w:szCs w:val="24"/>
          <w:lang w:eastAsia="ru-RU"/>
        </w:rPr>
        <w:drawing>
          <wp:anchor distT="0" distB="0" distL="114300" distR="114300" simplePos="0" relativeHeight="251663360" behindDoc="0" locked="0" layoutInCell="1" allowOverlap="1">
            <wp:simplePos x="0" y="0"/>
            <wp:positionH relativeFrom="page">
              <wp:posOffset>1379855</wp:posOffset>
            </wp:positionH>
            <wp:positionV relativeFrom="paragraph">
              <wp:posOffset>15875</wp:posOffset>
            </wp:positionV>
            <wp:extent cx="5106035" cy="2074545"/>
            <wp:effectExtent l="0" t="0" r="18415" b="1905"/>
            <wp:wrapNone/>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8F3AF5" w:rsidRPr="001A60D1" w:rsidRDefault="008F3AF5" w:rsidP="008F3AF5">
      <w:pPr>
        <w:ind w:firstLine="709"/>
        <w:jc w:val="both"/>
        <w:rPr>
          <w:sz w:val="24"/>
          <w:szCs w:val="24"/>
          <w:highlight w:val="yellow"/>
        </w:rPr>
      </w:pPr>
    </w:p>
    <w:p w:rsidR="008F3AF5" w:rsidRPr="001A60D1" w:rsidRDefault="008F3AF5" w:rsidP="008F3AF5">
      <w:pPr>
        <w:ind w:firstLine="709"/>
        <w:jc w:val="both"/>
        <w:rPr>
          <w:sz w:val="24"/>
          <w:szCs w:val="24"/>
          <w:highlight w:val="yellow"/>
        </w:rPr>
      </w:pPr>
    </w:p>
    <w:p w:rsidR="008F3AF5" w:rsidRDefault="008F3AF5" w:rsidP="008F3AF5">
      <w:pPr>
        <w:ind w:firstLine="709"/>
        <w:jc w:val="both"/>
        <w:rPr>
          <w:sz w:val="24"/>
          <w:szCs w:val="24"/>
          <w:highlight w:val="yellow"/>
        </w:rPr>
      </w:pPr>
    </w:p>
    <w:p w:rsidR="008F3AF5" w:rsidRDefault="008F3AF5" w:rsidP="008F3AF5">
      <w:pPr>
        <w:ind w:firstLine="709"/>
        <w:jc w:val="both"/>
        <w:rPr>
          <w:sz w:val="24"/>
          <w:szCs w:val="24"/>
          <w:highlight w:val="yellow"/>
        </w:rPr>
      </w:pPr>
    </w:p>
    <w:p w:rsidR="008F3AF5" w:rsidRDefault="008F3AF5" w:rsidP="008F3AF5">
      <w:pPr>
        <w:ind w:firstLine="709"/>
        <w:jc w:val="both"/>
        <w:rPr>
          <w:sz w:val="24"/>
          <w:szCs w:val="24"/>
          <w:highlight w:val="yellow"/>
        </w:rPr>
      </w:pPr>
    </w:p>
    <w:p w:rsidR="005019AD" w:rsidRDefault="005019AD" w:rsidP="008F3AF5">
      <w:pPr>
        <w:jc w:val="center"/>
        <w:rPr>
          <w:b/>
          <w:bCs/>
        </w:rPr>
      </w:pPr>
    </w:p>
    <w:p w:rsidR="008F3AF5" w:rsidRPr="00324B19" w:rsidRDefault="008F3AF5" w:rsidP="008F3AF5">
      <w:pPr>
        <w:jc w:val="center"/>
      </w:pPr>
      <w:r w:rsidRPr="00324B19">
        <w:rPr>
          <w:b/>
          <w:bCs/>
        </w:rPr>
        <w:t>Рис. №4.</w:t>
      </w:r>
      <w:r w:rsidRPr="00324B19">
        <w:t xml:space="preserve"> Динамика радиологических исследований проб воды за период 2018-</w:t>
      </w:r>
      <w:proofErr w:type="gramStart"/>
      <w:r w:rsidRPr="00324B19">
        <w:t>2020  г.г.</w:t>
      </w:r>
      <w:proofErr w:type="gramEnd"/>
    </w:p>
    <w:p w:rsidR="008F3AF5" w:rsidRPr="001A60D1" w:rsidRDefault="008F3AF5" w:rsidP="008F3AF5">
      <w:pPr>
        <w:ind w:firstLine="709"/>
        <w:jc w:val="both"/>
        <w:rPr>
          <w:sz w:val="24"/>
          <w:szCs w:val="24"/>
          <w:highlight w:val="yellow"/>
        </w:rPr>
      </w:pPr>
    </w:p>
    <w:p w:rsidR="008F3AF5" w:rsidRPr="005019AD" w:rsidRDefault="008F3AF5" w:rsidP="005019AD">
      <w:pPr>
        <w:spacing w:after="0" w:line="240" w:lineRule="auto"/>
        <w:ind w:firstLine="709"/>
        <w:jc w:val="both"/>
        <w:rPr>
          <w:rFonts w:ascii="Times New Roman" w:hAnsi="Times New Roman" w:cs="Times New Roman"/>
          <w:sz w:val="24"/>
          <w:szCs w:val="24"/>
        </w:rPr>
      </w:pPr>
      <w:r w:rsidRPr="005019AD">
        <w:rPr>
          <w:rFonts w:ascii="Times New Roman" w:hAnsi="Times New Roman" w:cs="Times New Roman"/>
          <w:sz w:val="24"/>
          <w:szCs w:val="24"/>
        </w:rPr>
        <w:t xml:space="preserve">В 2018-2020гг. проводились ИЛЦ ФФБУЗ «ЦГиЭ в ХМАО-Югре в г. Нефтеюганске и Нефтеюганском районе и г. Пыть-Яхе» </w:t>
      </w:r>
      <w:proofErr w:type="gramStart"/>
      <w:r w:rsidRPr="005019AD">
        <w:rPr>
          <w:rFonts w:ascii="Times New Roman" w:hAnsi="Times New Roman" w:cs="Times New Roman"/>
          <w:sz w:val="24"/>
          <w:szCs w:val="24"/>
        </w:rPr>
        <w:t>исследования  воды</w:t>
      </w:r>
      <w:proofErr w:type="gramEnd"/>
      <w:r w:rsidRPr="005019AD">
        <w:rPr>
          <w:rFonts w:ascii="Times New Roman" w:hAnsi="Times New Roman" w:cs="Times New Roman"/>
          <w:sz w:val="24"/>
          <w:szCs w:val="24"/>
        </w:rPr>
        <w:t xml:space="preserve">  на суммарную альфа- и бета-активность , радон  из подземных источников,  разводящих сетей и водопроводов - исследования воды на суммарную альфа и бета-активность . В 2020году произошло увеличение   на 77%, по сравнению с 2019 г количества </w:t>
      </w:r>
      <w:proofErr w:type="gramStart"/>
      <w:r w:rsidRPr="005019AD">
        <w:rPr>
          <w:rFonts w:ascii="Times New Roman" w:hAnsi="Times New Roman" w:cs="Times New Roman"/>
          <w:sz w:val="24"/>
          <w:szCs w:val="24"/>
        </w:rPr>
        <w:t>проб  по</w:t>
      </w:r>
      <w:proofErr w:type="gramEnd"/>
      <w:r w:rsidRPr="005019AD">
        <w:rPr>
          <w:rFonts w:ascii="Times New Roman" w:hAnsi="Times New Roman" w:cs="Times New Roman"/>
          <w:sz w:val="24"/>
          <w:szCs w:val="24"/>
        </w:rPr>
        <w:t xml:space="preserve">  радиологическим показателям.</w:t>
      </w:r>
    </w:p>
    <w:p w:rsidR="008F3AF5" w:rsidRPr="005019AD" w:rsidRDefault="008F3AF5" w:rsidP="005019AD">
      <w:pPr>
        <w:pStyle w:val="22"/>
        <w:ind w:firstLine="709"/>
        <w:jc w:val="both"/>
        <w:rPr>
          <w:bCs/>
          <w:sz w:val="24"/>
          <w:szCs w:val="24"/>
          <w:lang w:val="ru-RU"/>
        </w:rPr>
      </w:pPr>
      <w:r w:rsidRPr="005019AD">
        <w:rPr>
          <w:bCs/>
          <w:sz w:val="24"/>
          <w:szCs w:val="24"/>
        </w:rPr>
        <w:t>100% исследуемых проб по радиологическим показателям не превышают показатели радиационной безопасности и  соответствуют требованиям СанПиН 2.1.4 1074 – 01 "Питьевая вода. Гигиенические требования к качеству воды централизованных систем питьевого водоснабжения. Контроль качества».</w:t>
      </w:r>
    </w:p>
    <w:p w:rsidR="008F3AF5" w:rsidRPr="005019AD" w:rsidRDefault="008F3AF5" w:rsidP="005019AD">
      <w:pPr>
        <w:autoSpaceDE w:val="0"/>
        <w:autoSpaceDN w:val="0"/>
        <w:adjustRightInd w:val="0"/>
        <w:spacing w:after="0" w:line="240" w:lineRule="auto"/>
        <w:jc w:val="both"/>
        <w:rPr>
          <w:rFonts w:ascii="Times New Roman" w:hAnsi="Times New Roman" w:cs="Times New Roman"/>
          <w:sz w:val="24"/>
          <w:szCs w:val="24"/>
        </w:rPr>
      </w:pPr>
      <w:r w:rsidRPr="005019AD">
        <w:rPr>
          <w:rFonts w:ascii="Times New Roman" w:hAnsi="Times New Roman" w:cs="Times New Roman"/>
          <w:sz w:val="24"/>
          <w:szCs w:val="24"/>
        </w:rPr>
        <w:t xml:space="preserve">     По санитарно-химически показателям вода питьевая, на выходе с ВОС, в магистральных и распределительных сетях города </w:t>
      </w:r>
      <w:proofErr w:type="gramStart"/>
      <w:r w:rsidRPr="005019AD">
        <w:rPr>
          <w:rFonts w:ascii="Times New Roman" w:hAnsi="Times New Roman" w:cs="Times New Roman"/>
          <w:sz w:val="24"/>
          <w:szCs w:val="24"/>
        </w:rPr>
        <w:t>город  по</w:t>
      </w:r>
      <w:proofErr w:type="gramEnd"/>
      <w:r w:rsidRPr="005019AD">
        <w:rPr>
          <w:rFonts w:ascii="Times New Roman" w:hAnsi="Times New Roman" w:cs="Times New Roman"/>
          <w:sz w:val="24"/>
          <w:szCs w:val="24"/>
        </w:rPr>
        <w:t xml:space="preserve"> результатам  проведенных лабораторных  исследований в рамках контрольно- надзорных мероприятий и  социально-гигиенического мониторинга за 2020год  не соответствуют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w:t>
      </w:r>
      <w:proofErr w:type="gramStart"/>
      <w:r w:rsidRPr="005019AD">
        <w:rPr>
          <w:rFonts w:ascii="Times New Roman" w:hAnsi="Times New Roman" w:cs="Times New Roman"/>
          <w:sz w:val="24"/>
          <w:szCs w:val="24"/>
        </w:rPr>
        <w:t>водоснабжения»  (</w:t>
      </w:r>
      <w:proofErr w:type="gramEnd"/>
      <w:r w:rsidRPr="005019AD">
        <w:rPr>
          <w:rFonts w:ascii="Times New Roman" w:hAnsi="Times New Roman" w:cs="Times New Roman"/>
          <w:sz w:val="24"/>
          <w:szCs w:val="24"/>
        </w:rPr>
        <w:t>с изменениями на 28 июня 2010г.),  ГН 2.1.5.1315-03 «Предельно-допустимые концентрации химических веществ в воде водных объектов хозяйственно-питьевого и культурно-бытового водопользования»:</w:t>
      </w:r>
    </w:p>
    <w:p w:rsidR="008F3AF5" w:rsidRPr="005019AD" w:rsidRDefault="008F3AF5" w:rsidP="005019AD">
      <w:pPr>
        <w:autoSpaceDE w:val="0"/>
        <w:autoSpaceDN w:val="0"/>
        <w:adjustRightInd w:val="0"/>
        <w:spacing w:after="0" w:line="240" w:lineRule="auto"/>
        <w:jc w:val="both"/>
        <w:rPr>
          <w:rFonts w:ascii="Times New Roman" w:hAnsi="Times New Roman" w:cs="Times New Roman"/>
          <w:sz w:val="24"/>
          <w:szCs w:val="24"/>
        </w:rPr>
      </w:pPr>
      <w:r w:rsidRPr="005019AD">
        <w:rPr>
          <w:rFonts w:ascii="Times New Roman" w:hAnsi="Times New Roman" w:cs="Times New Roman"/>
          <w:sz w:val="24"/>
          <w:szCs w:val="24"/>
        </w:rPr>
        <w:t xml:space="preserve">-на выходе с ВОС-1 -   по средним показателям: аммиак (по азоту), фториды, </w:t>
      </w:r>
      <w:proofErr w:type="gramStart"/>
      <w:r w:rsidRPr="005019AD">
        <w:rPr>
          <w:rFonts w:ascii="Times New Roman" w:hAnsi="Times New Roman" w:cs="Times New Roman"/>
          <w:sz w:val="24"/>
          <w:szCs w:val="24"/>
        </w:rPr>
        <w:t>железо ,мутность</w:t>
      </w:r>
      <w:proofErr w:type="gramEnd"/>
      <w:r w:rsidRPr="005019AD">
        <w:rPr>
          <w:rFonts w:ascii="Times New Roman" w:hAnsi="Times New Roman" w:cs="Times New Roman"/>
          <w:sz w:val="24"/>
          <w:szCs w:val="24"/>
        </w:rPr>
        <w:t>.</w:t>
      </w:r>
    </w:p>
    <w:p w:rsidR="008F3AF5" w:rsidRPr="005019AD" w:rsidRDefault="008F3AF5" w:rsidP="005019AD">
      <w:pPr>
        <w:autoSpaceDE w:val="0"/>
        <w:autoSpaceDN w:val="0"/>
        <w:adjustRightInd w:val="0"/>
        <w:spacing w:after="0" w:line="240" w:lineRule="auto"/>
        <w:jc w:val="both"/>
        <w:rPr>
          <w:rFonts w:ascii="Times New Roman" w:hAnsi="Times New Roman" w:cs="Times New Roman"/>
          <w:sz w:val="24"/>
          <w:szCs w:val="24"/>
        </w:rPr>
      </w:pPr>
      <w:r w:rsidRPr="005019AD">
        <w:rPr>
          <w:rFonts w:ascii="Times New Roman" w:hAnsi="Times New Roman" w:cs="Times New Roman"/>
          <w:sz w:val="24"/>
          <w:szCs w:val="24"/>
        </w:rPr>
        <w:t xml:space="preserve">-разводящей сети, (холодного </w:t>
      </w:r>
      <w:proofErr w:type="gramStart"/>
      <w:r w:rsidRPr="005019AD">
        <w:rPr>
          <w:rFonts w:ascii="Times New Roman" w:hAnsi="Times New Roman" w:cs="Times New Roman"/>
          <w:sz w:val="24"/>
          <w:szCs w:val="24"/>
        </w:rPr>
        <w:t>водоснабжения)-</w:t>
      </w:r>
      <w:proofErr w:type="gramEnd"/>
      <w:r w:rsidRPr="005019AD">
        <w:rPr>
          <w:rFonts w:ascii="Times New Roman" w:hAnsi="Times New Roman" w:cs="Times New Roman"/>
          <w:sz w:val="24"/>
          <w:szCs w:val="24"/>
        </w:rPr>
        <w:t xml:space="preserve"> по средним показателям: железо, мутность, цветность.</w:t>
      </w:r>
    </w:p>
    <w:p w:rsidR="008F3AF5" w:rsidRPr="005019AD" w:rsidRDefault="008F3AF5" w:rsidP="005019AD">
      <w:pPr>
        <w:autoSpaceDE w:val="0"/>
        <w:autoSpaceDN w:val="0"/>
        <w:adjustRightInd w:val="0"/>
        <w:spacing w:after="0" w:line="240" w:lineRule="auto"/>
        <w:jc w:val="both"/>
        <w:rPr>
          <w:rFonts w:ascii="Times New Roman" w:hAnsi="Times New Roman" w:cs="Times New Roman"/>
          <w:sz w:val="24"/>
          <w:szCs w:val="24"/>
        </w:rPr>
      </w:pPr>
      <w:r w:rsidRPr="005019AD">
        <w:rPr>
          <w:rFonts w:ascii="Times New Roman" w:hAnsi="Times New Roman" w:cs="Times New Roman"/>
          <w:sz w:val="24"/>
          <w:szCs w:val="24"/>
        </w:rPr>
        <w:t>-в магистральных сетях по средним показателям: железо.</w:t>
      </w:r>
    </w:p>
    <w:p w:rsidR="008F3AF5" w:rsidRPr="005019AD" w:rsidRDefault="008F3AF5" w:rsidP="005019AD">
      <w:pPr>
        <w:autoSpaceDE w:val="0"/>
        <w:autoSpaceDN w:val="0"/>
        <w:adjustRightInd w:val="0"/>
        <w:spacing w:after="0" w:line="240" w:lineRule="auto"/>
        <w:jc w:val="both"/>
        <w:rPr>
          <w:rFonts w:ascii="Times New Roman" w:hAnsi="Times New Roman" w:cs="Times New Roman"/>
          <w:sz w:val="24"/>
          <w:szCs w:val="24"/>
        </w:rPr>
      </w:pPr>
      <w:r w:rsidRPr="005019AD">
        <w:rPr>
          <w:rFonts w:ascii="Times New Roman" w:hAnsi="Times New Roman" w:cs="Times New Roman"/>
          <w:sz w:val="24"/>
          <w:szCs w:val="24"/>
        </w:rPr>
        <w:t xml:space="preserve">ВОС-1 </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sz w:val="24"/>
          <w:szCs w:val="24"/>
        </w:rPr>
        <w:t>-на выходе с ВОС-1 -   по средним показателям:</w:t>
      </w:r>
      <w:r w:rsidRPr="005019AD">
        <w:rPr>
          <w:rFonts w:ascii="Times New Roman" w:hAnsi="Times New Roman" w:cs="Times New Roman"/>
          <w:color w:val="000000"/>
          <w:sz w:val="24"/>
          <w:szCs w:val="24"/>
        </w:rPr>
        <w:t xml:space="preserve"> аммиак (по азоту), </w:t>
      </w:r>
      <w:proofErr w:type="gramStart"/>
      <w:r w:rsidRPr="005019AD">
        <w:rPr>
          <w:rFonts w:ascii="Times New Roman" w:hAnsi="Times New Roman" w:cs="Times New Roman"/>
          <w:color w:val="000000"/>
          <w:sz w:val="24"/>
          <w:szCs w:val="24"/>
        </w:rPr>
        <w:t>железо ,мутность</w:t>
      </w:r>
      <w:proofErr w:type="gramEnd"/>
      <w:r w:rsidRPr="005019AD">
        <w:rPr>
          <w:rFonts w:ascii="Times New Roman" w:hAnsi="Times New Roman" w:cs="Times New Roman"/>
          <w:color w:val="000000"/>
          <w:sz w:val="24"/>
          <w:szCs w:val="24"/>
        </w:rPr>
        <w:t>.</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sz w:val="24"/>
          <w:szCs w:val="24"/>
        </w:rPr>
        <w:t xml:space="preserve">-разводящей сети, (холодного </w:t>
      </w:r>
      <w:proofErr w:type="gramStart"/>
      <w:r w:rsidRPr="005019AD">
        <w:rPr>
          <w:rFonts w:ascii="Times New Roman" w:hAnsi="Times New Roman" w:cs="Times New Roman"/>
          <w:sz w:val="24"/>
          <w:szCs w:val="24"/>
        </w:rPr>
        <w:t>водоснабжения)-</w:t>
      </w:r>
      <w:proofErr w:type="gramEnd"/>
      <w:r w:rsidRPr="005019AD">
        <w:rPr>
          <w:rFonts w:ascii="Times New Roman" w:hAnsi="Times New Roman" w:cs="Times New Roman"/>
          <w:sz w:val="24"/>
          <w:szCs w:val="24"/>
        </w:rPr>
        <w:t xml:space="preserve"> по средним показателям: железо, </w:t>
      </w:r>
      <w:r w:rsidRPr="005019AD">
        <w:rPr>
          <w:rFonts w:ascii="Times New Roman" w:hAnsi="Times New Roman" w:cs="Times New Roman"/>
          <w:color w:val="000000"/>
          <w:sz w:val="24"/>
          <w:szCs w:val="24"/>
        </w:rPr>
        <w:t>мутность, цветность.</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color w:val="000000"/>
          <w:sz w:val="24"/>
          <w:szCs w:val="24"/>
        </w:rPr>
        <w:t>-в магистральных сетях</w:t>
      </w:r>
      <w:r w:rsidRPr="005019AD">
        <w:rPr>
          <w:rFonts w:ascii="Times New Roman" w:hAnsi="Times New Roman" w:cs="Times New Roman"/>
          <w:sz w:val="24"/>
          <w:szCs w:val="24"/>
        </w:rPr>
        <w:t xml:space="preserve"> по средним показателям: железо.</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sz w:val="24"/>
          <w:szCs w:val="24"/>
        </w:rPr>
        <w:t>ВОС-</w:t>
      </w:r>
      <w:proofErr w:type="gramStart"/>
      <w:r w:rsidRPr="005019AD">
        <w:rPr>
          <w:rFonts w:ascii="Times New Roman" w:hAnsi="Times New Roman" w:cs="Times New Roman"/>
          <w:sz w:val="24"/>
          <w:szCs w:val="24"/>
        </w:rPr>
        <w:t>2 :на</w:t>
      </w:r>
      <w:proofErr w:type="gramEnd"/>
      <w:r w:rsidRPr="005019AD">
        <w:rPr>
          <w:rFonts w:ascii="Times New Roman" w:hAnsi="Times New Roman" w:cs="Times New Roman"/>
          <w:sz w:val="24"/>
          <w:szCs w:val="24"/>
        </w:rPr>
        <w:t xml:space="preserve"> выходе с ВОС-2 -   по средним показателям:  о</w:t>
      </w:r>
      <w:r w:rsidRPr="005019AD">
        <w:rPr>
          <w:rFonts w:ascii="Times New Roman" w:hAnsi="Times New Roman" w:cs="Times New Roman"/>
          <w:color w:val="000000"/>
          <w:sz w:val="24"/>
          <w:szCs w:val="24"/>
        </w:rPr>
        <w:t>кисляемость перманганатная, железо, аммиак (по азоту),  привкус ,цветность, мутность;</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highlight w:val="yellow"/>
        </w:rPr>
      </w:pPr>
      <w:r w:rsidRPr="005019AD">
        <w:rPr>
          <w:rFonts w:ascii="Times New Roman" w:hAnsi="Times New Roman" w:cs="Times New Roman"/>
          <w:sz w:val="24"/>
          <w:szCs w:val="24"/>
        </w:rPr>
        <w:t xml:space="preserve">-из разводящей сети, (холодного водоснабжения) -   по средним показателям: </w:t>
      </w:r>
      <w:proofErr w:type="gramStart"/>
      <w:r w:rsidRPr="005019AD">
        <w:rPr>
          <w:rFonts w:ascii="Times New Roman" w:hAnsi="Times New Roman" w:cs="Times New Roman"/>
          <w:sz w:val="24"/>
          <w:szCs w:val="24"/>
        </w:rPr>
        <w:t>цветность,  о</w:t>
      </w:r>
      <w:r w:rsidRPr="005019AD">
        <w:rPr>
          <w:rFonts w:ascii="Times New Roman" w:hAnsi="Times New Roman" w:cs="Times New Roman"/>
          <w:color w:val="000000"/>
          <w:sz w:val="24"/>
          <w:szCs w:val="24"/>
        </w:rPr>
        <w:t>кисляемость</w:t>
      </w:r>
      <w:proofErr w:type="gramEnd"/>
      <w:r w:rsidRPr="005019AD">
        <w:rPr>
          <w:rFonts w:ascii="Times New Roman" w:hAnsi="Times New Roman" w:cs="Times New Roman"/>
          <w:color w:val="000000"/>
          <w:sz w:val="24"/>
          <w:szCs w:val="24"/>
        </w:rPr>
        <w:t xml:space="preserve"> перманганатная, железо, привкус ,мутность, запах при  60</w:t>
      </w:r>
      <w:r w:rsidRPr="005019AD">
        <w:rPr>
          <w:rFonts w:ascii="Times New Roman" w:hAnsi="Times New Roman" w:cs="Times New Roman"/>
          <w:color w:val="000000"/>
          <w:sz w:val="24"/>
          <w:szCs w:val="24"/>
          <w:vertAlign w:val="superscript"/>
        </w:rPr>
        <w:t>0</w:t>
      </w:r>
      <w:r w:rsidRPr="005019AD">
        <w:rPr>
          <w:rFonts w:ascii="Times New Roman" w:hAnsi="Times New Roman" w:cs="Times New Roman"/>
          <w:color w:val="000000"/>
          <w:sz w:val="24"/>
          <w:szCs w:val="24"/>
        </w:rPr>
        <w:t>С</w:t>
      </w:r>
    </w:p>
    <w:p w:rsidR="008F3AF5" w:rsidRPr="005019AD" w:rsidRDefault="008F3AF5" w:rsidP="005019AD">
      <w:pPr>
        <w:autoSpaceDE w:val="0"/>
        <w:autoSpaceDN w:val="0"/>
        <w:adjustRightInd w:val="0"/>
        <w:spacing w:after="0" w:line="240" w:lineRule="auto"/>
        <w:jc w:val="both"/>
        <w:rPr>
          <w:rFonts w:ascii="Times New Roman" w:hAnsi="Times New Roman" w:cs="Times New Roman"/>
          <w:sz w:val="24"/>
          <w:szCs w:val="24"/>
        </w:rPr>
      </w:pPr>
      <w:r w:rsidRPr="005019AD">
        <w:rPr>
          <w:rFonts w:ascii="Times New Roman" w:hAnsi="Times New Roman" w:cs="Times New Roman"/>
          <w:sz w:val="24"/>
          <w:szCs w:val="24"/>
        </w:rPr>
        <w:t xml:space="preserve">-на выходе с ВОС-3 - по средним </w:t>
      </w:r>
      <w:proofErr w:type="gramStart"/>
      <w:r w:rsidRPr="005019AD">
        <w:rPr>
          <w:rFonts w:ascii="Times New Roman" w:hAnsi="Times New Roman" w:cs="Times New Roman"/>
          <w:sz w:val="24"/>
          <w:szCs w:val="24"/>
        </w:rPr>
        <w:t>показателям:  аммиак</w:t>
      </w:r>
      <w:proofErr w:type="gramEnd"/>
      <w:r w:rsidRPr="005019AD">
        <w:rPr>
          <w:rFonts w:ascii="Times New Roman" w:hAnsi="Times New Roman" w:cs="Times New Roman"/>
          <w:sz w:val="24"/>
          <w:szCs w:val="24"/>
        </w:rPr>
        <w:t xml:space="preserve"> (по азоту), цветность, аммиак,  о</w:t>
      </w:r>
      <w:r w:rsidRPr="005019AD">
        <w:rPr>
          <w:rFonts w:ascii="Times New Roman" w:hAnsi="Times New Roman" w:cs="Times New Roman"/>
          <w:color w:val="000000"/>
          <w:sz w:val="24"/>
          <w:szCs w:val="24"/>
        </w:rPr>
        <w:t>кисляемость перманганатная, железо, привкус,</w:t>
      </w:r>
      <w:r w:rsidRPr="005019AD">
        <w:rPr>
          <w:rFonts w:ascii="Times New Roman" w:hAnsi="Times New Roman" w:cs="Times New Roman"/>
          <w:sz w:val="24"/>
          <w:szCs w:val="24"/>
        </w:rPr>
        <w:t xml:space="preserve"> </w:t>
      </w:r>
    </w:p>
    <w:p w:rsidR="008F3AF5" w:rsidRPr="005019AD" w:rsidRDefault="008F3AF5" w:rsidP="005019AD">
      <w:pPr>
        <w:autoSpaceDE w:val="0"/>
        <w:autoSpaceDN w:val="0"/>
        <w:adjustRightInd w:val="0"/>
        <w:spacing w:after="0" w:line="240" w:lineRule="auto"/>
        <w:jc w:val="both"/>
        <w:rPr>
          <w:rFonts w:ascii="Times New Roman" w:hAnsi="Times New Roman" w:cs="Times New Roman"/>
          <w:color w:val="000000"/>
          <w:sz w:val="24"/>
          <w:szCs w:val="24"/>
        </w:rPr>
      </w:pPr>
      <w:r w:rsidRPr="005019AD">
        <w:rPr>
          <w:rFonts w:ascii="Times New Roman" w:hAnsi="Times New Roman" w:cs="Times New Roman"/>
          <w:color w:val="000000"/>
          <w:sz w:val="24"/>
          <w:szCs w:val="24"/>
        </w:rPr>
        <w:t>-в магистральных сетях</w:t>
      </w:r>
      <w:r w:rsidRPr="005019AD">
        <w:rPr>
          <w:rFonts w:ascii="Times New Roman" w:hAnsi="Times New Roman" w:cs="Times New Roman"/>
          <w:sz w:val="24"/>
          <w:szCs w:val="24"/>
        </w:rPr>
        <w:t xml:space="preserve"> по средним </w:t>
      </w:r>
      <w:proofErr w:type="gramStart"/>
      <w:r w:rsidRPr="005019AD">
        <w:rPr>
          <w:rFonts w:ascii="Times New Roman" w:hAnsi="Times New Roman" w:cs="Times New Roman"/>
          <w:sz w:val="24"/>
          <w:szCs w:val="24"/>
        </w:rPr>
        <w:t>показателям:  аммиак</w:t>
      </w:r>
      <w:proofErr w:type="gramEnd"/>
      <w:r w:rsidRPr="005019AD">
        <w:rPr>
          <w:rFonts w:ascii="Times New Roman" w:hAnsi="Times New Roman" w:cs="Times New Roman"/>
          <w:sz w:val="24"/>
          <w:szCs w:val="24"/>
        </w:rPr>
        <w:t xml:space="preserve"> (по азоту), </w:t>
      </w:r>
      <w:r w:rsidRPr="005019AD">
        <w:rPr>
          <w:rFonts w:ascii="Times New Roman" w:hAnsi="Times New Roman" w:cs="Times New Roman"/>
          <w:color w:val="000000"/>
          <w:sz w:val="24"/>
          <w:szCs w:val="24"/>
        </w:rPr>
        <w:t xml:space="preserve">железо, </w:t>
      </w:r>
      <w:r w:rsidRPr="005019AD">
        <w:rPr>
          <w:rFonts w:ascii="Times New Roman" w:hAnsi="Times New Roman" w:cs="Times New Roman"/>
          <w:sz w:val="24"/>
          <w:szCs w:val="24"/>
        </w:rPr>
        <w:t>запах при 60 °C, о</w:t>
      </w:r>
      <w:r w:rsidRPr="005019AD">
        <w:rPr>
          <w:rFonts w:ascii="Times New Roman" w:hAnsi="Times New Roman" w:cs="Times New Roman"/>
          <w:color w:val="000000"/>
          <w:sz w:val="24"/>
          <w:szCs w:val="24"/>
        </w:rPr>
        <w:t>кисляемость перманганатная, мутность, привкус, цветность;</w:t>
      </w:r>
    </w:p>
    <w:p w:rsidR="008F3AF5" w:rsidRPr="005019AD" w:rsidRDefault="008F3AF5" w:rsidP="005019AD">
      <w:pPr>
        <w:autoSpaceDE w:val="0"/>
        <w:autoSpaceDN w:val="0"/>
        <w:adjustRightInd w:val="0"/>
        <w:spacing w:after="0" w:line="240" w:lineRule="auto"/>
        <w:jc w:val="both"/>
        <w:rPr>
          <w:rFonts w:ascii="Times New Roman" w:hAnsi="Times New Roman" w:cs="Times New Roman"/>
          <w:color w:val="000000"/>
          <w:sz w:val="24"/>
          <w:szCs w:val="24"/>
        </w:rPr>
      </w:pPr>
      <w:r w:rsidRPr="005019AD">
        <w:rPr>
          <w:rFonts w:ascii="Times New Roman" w:hAnsi="Times New Roman" w:cs="Times New Roman"/>
          <w:color w:val="000000"/>
          <w:sz w:val="24"/>
          <w:szCs w:val="24"/>
        </w:rPr>
        <w:lastRenderedPageBreak/>
        <w:t xml:space="preserve">ВОС-4 </w:t>
      </w:r>
      <w:r w:rsidRPr="005019AD">
        <w:rPr>
          <w:rFonts w:ascii="Times New Roman" w:hAnsi="Times New Roman" w:cs="Times New Roman"/>
          <w:sz w:val="24"/>
          <w:szCs w:val="24"/>
        </w:rPr>
        <w:t>на выходе с ВОС-</w:t>
      </w:r>
      <w:proofErr w:type="gramStart"/>
      <w:r w:rsidRPr="005019AD">
        <w:rPr>
          <w:rFonts w:ascii="Times New Roman" w:hAnsi="Times New Roman" w:cs="Times New Roman"/>
          <w:sz w:val="24"/>
          <w:szCs w:val="24"/>
        </w:rPr>
        <w:t>4  по</w:t>
      </w:r>
      <w:proofErr w:type="gramEnd"/>
      <w:r w:rsidRPr="005019AD">
        <w:rPr>
          <w:rFonts w:ascii="Times New Roman" w:hAnsi="Times New Roman" w:cs="Times New Roman"/>
          <w:sz w:val="24"/>
          <w:szCs w:val="24"/>
        </w:rPr>
        <w:t xml:space="preserve"> средним показателям:  запах при 20 °C ,запах при 60 °C , привкус, мутность.  </w:t>
      </w:r>
      <w:proofErr w:type="gramStart"/>
      <w:r w:rsidRPr="005019AD">
        <w:rPr>
          <w:rFonts w:ascii="Times New Roman" w:hAnsi="Times New Roman" w:cs="Times New Roman"/>
          <w:sz w:val="24"/>
          <w:szCs w:val="24"/>
        </w:rPr>
        <w:t xml:space="preserve">цветность,   </w:t>
      </w:r>
      <w:proofErr w:type="gramEnd"/>
      <w:r w:rsidRPr="005019AD">
        <w:rPr>
          <w:rFonts w:ascii="Times New Roman" w:hAnsi="Times New Roman" w:cs="Times New Roman"/>
          <w:sz w:val="24"/>
          <w:szCs w:val="24"/>
        </w:rPr>
        <w:t>о</w:t>
      </w:r>
      <w:r w:rsidRPr="005019AD">
        <w:rPr>
          <w:rFonts w:ascii="Times New Roman" w:hAnsi="Times New Roman" w:cs="Times New Roman"/>
          <w:color w:val="000000"/>
          <w:sz w:val="24"/>
          <w:szCs w:val="24"/>
        </w:rPr>
        <w:t>кисляемость перманганатная, железо, аммиак ( по азоту);</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sz w:val="24"/>
          <w:szCs w:val="24"/>
        </w:rPr>
        <w:t>-из разводящей сети (холодного водоснабжения) по средним показателям -   по средним показателям: запах при 60 °</w:t>
      </w:r>
      <w:proofErr w:type="gramStart"/>
      <w:r w:rsidRPr="005019AD">
        <w:rPr>
          <w:rFonts w:ascii="Times New Roman" w:hAnsi="Times New Roman" w:cs="Times New Roman"/>
          <w:sz w:val="24"/>
          <w:szCs w:val="24"/>
        </w:rPr>
        <w:t>C ,</w:t>
      </w:r>
      <w:proofErr w:type="gramEnd"/>
      <w:r w:rsidRPr="005019AD">
        <w:rPr>
          <w:rFonts w:ascii="Times New Roman" w:hAnsi="Times New Roman" w:cs="Times New Roman"/>
          <w:sz w:val="24"/>
          <w:szCs w:val="24"/>
        </w:rPr>
        <w:t xml:space="preserve"> привкус, мутность.  </w:t>
      </w:r>
      <w:proofErr w:type="gramStart"/>
      <w:r w:rsidRPr="005019AD">
        <w:rPr>
          <w:rFonts w:ascii="Times New Roman" w:hAnsi="Times New Roman" w:cs="Times New Roman"/>
          <w:sz w:val="24"/>
          <w:szCs w:val="24"/>
        </w:rPr>
        <w:t xml:space="preserve">цветность,   </w:t>
      </w:r>
      <w:proofErr w:type="gramEnd"/>
      <w:r w:rsidRPr="005019AD">
        <w:rPr>
          <w:rFonts w:ascii="Times New Roman" w:hAnsi="Times New Roman" w:cs="Times New Roman"/>
          <w:sz w:val="24"/>
          <w:szCs w:val="24"/>
        </w:rPr>
        <w:t>о</w:t>
      </w:r>
      <w:r w:rsidRPr="005019AD">
        <w:rPr>
          <w:rFonts w:ascii="Times New Roman" w:hAnsi="Times New Roman" w:cs="Times New Roman"/>
          <w:color w:val="000000"/>
          <w:sz w:val="24"/>
          <w:szCs w:val="24"/>
        </w:rPr>
        <w:t>кисляемость перманганатная, железо ;</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color w:val="000000"/>
          <w:sz w:val="24"/>
          <w:szCs w:val="24"/>
        </w:rPr>
        <w:t>-в магистральных сетях</w:t>
      </w:r>
      <w:r w:rsidRPr="005019AD">
        <w:rPr>
          <w:rFonts w:ascii="Times New Roman" w:hAnsi="Times New Roman" w:cs="Times New Roman"/>
          <w:sz w:val="24"/>
          <w:szCs w:val="24"/>
        </w:rPr>
        <w:t xml:space="preserve"> по средним показателям: по показателям: запах при 20 °</w:t>
      </w:r>
      <w:proofErr w:type="gramStart"/>
      <w:r w:rsidRPr="005019AD">
        <w:rPr>
          <w:rFonts w:ascii="Times New Roman" w:hAnsi="Times New Roman" w:cs="Times New Roman"/>
          <w:sz w:val="24"/>
          <w:szCs w:val="24"/>
        </w:rPr>
        <w:t>C ,запах</w:t>
      </w:r>
      <w:proofErr w:type="gramEnd"/>
      <w:r w:rsidRPr="005019AD">
        <w:rPr>
          <w:rFonts w:ascii="Times New Roman" w:hAnsi="Times New Roman" w:cs="Times New Roman"/>
          <w:sz w:val="24"/>
          <w:szCs w:val="24"/>
        </w:rPr>
        <w:t xml:space="preserve"> при 60 °C , привкус, мутность.  </w:t>
      </w:r>
      <w:proofErr w:type="gramStart"/>
      <w:r w:rsidRPr="005019AD">
        <w:rPr>
          <w:rFonts w:ascii="Times New Roman" w:hAnsi="Times New Roman" w:cs="Times New Roman"/>
          <w:sz w:val="24"/>
          <w:szCs w:val="24"/>
        </w:rPr>
        <w:t xml:space="preserve">цветность,   </w:t>
      </w:r>
      <w:proofErr w:type="gramEnd"/>
      <w:r w:rsidRPr="005019AD">
        <w:rPr>
          <w:rFonts w:ascii="Times New Roman" w:hAnsi="Times New Roman" w:cs="Times New Roman"/>
          <w:sz w:val="24"/>
          <w:szCs w:val="24"/>
        </w:rPr>
        <w:t>о</w:t>
      </w:r>
      <w:r w:rsidRPr="005019AD">
        <w:rPr>
          <w:rFonts w:ascii="Times New Roman" w:hAnsi="Times New Roman" w:cs="Times New Roman"/>
          <w:color w:val="000000"/>
          <w:sz w:val="24"/>
          <w:szCs w:val="24"/>
        </w:rPr>
        <w:t>кисляемость перманганатная, железо, аммиак ( по азоту);</w:t>
      </w:r>
    </w:p>
    <w:p w:rsidR="008F3AF5" w:rsidRPr="005019AD" w:rsidRDefault="008F3AF5" w:rsidP="005019AD">
      <w:pPr>
        <w:autoSpaceDE w:val="0"/>
        <w:autoSpaceDN w:val="0"/>
        <w:adjustRightInd w:val="0"/>
        <w:spacing w:after="0" w:line="240" w:lineRule="auto"/>
        <w:jc w:val="both"/>
        <w:rPr>
          <w:rFonts w:ascii="Times New Roman" w:hAnsi="Times New Roman" w:cs="Times New Roman"/>
          <w:b/>
          <w:sz w:val="24"/>
          <w:szCs w:val="24"/>
        </w:rPr>
      </w:pPr>
      <w:r w:rsidRPr="005019AD">
        <w:rPr>
          <w:rFonts w:ascii="Times New Roman" w:hAnsi="Times New Roman" w:cs="Times New Roman"/>
          <w:sz w:val="24"/>
          <w:szCs w:val="24"/>
        </w:rPr>
        <w:t xml:space="preserve">ВОС «Южно-Балыкского </w:t>
      </w:r>
      <w:proofErr w:type="gramStart"/>
      <w:r w:rsidRPr="005019AD">
        <w:rPr>
          <w:rFonts w:ascii="Times New Roman" w:hAnsi="Times New Roman" w:cs="Times New Roman"/>
          <w:sz w:val="24"/>
          <w:szCs w:val="24"/>
        </w:rPr>
        <w:t>ГПЗ»-</w:t>
      </w:r>
      <w:proofErr w:type="gramEnd"/>
      <w:r w:rsidRPr="005019AD">
        <w:rPr>
          <w:rFonts w:ascii="Times New Roman" w:hAnsi="Times New Roman" w:cs="Times New Roman"/>
          <w:sz w:val="24"/>
          <w:szCs w:val="24"/>
        </w:rPr>
        <w:t>филиал «СибурТюменьГаз</w:t>
      </w:r>
      <w:r w:rsidRPr="005019AD">
        <w:rPr>
          <w:rFonts w:ascii="Times New Roman" w:hAnsi="Times New Roman" w:cs="Times New Roman"/>
          <w:b/>
          <w:sz w:val="24"/>
          <w:szCs w:val="24"/>
        </w:rPr>
        <w:t xml:space="preserve">»: </w:t>
      </w:r>
    </w:p>
    <w:p w:rsidR="008F3AF5" w:rsidRPr="005019AD" w:rsidRDefault="008F3AF5" w:rsidP="005019AD">
      <w:pPr>
        <w:autoSpaceDE w:val="0"/>
        <w:autoSpaceDN w:val="0"/>
        <w:adjustRightInd w:val="0"/>
        <w:spacing w:after="0" w:line="240" w:lineRule="auto"/>
        <w:jc w:val="both"/>
        <w:rPr>
          <w:rFonts w:ascii="Times New Roman" w:hAnsi="Times New Roman" w:cs="Times New Roman"/>
          <w:color w:val="000000"/>
          <w:sz w:val="24"/>
          <w:szCs w:val="24"/>
        </w:rPr>
      </w:pPr>
      <w:r w:rsidRPr="005019AD">
        <w:rPr>
          <w:rFonts w:ascii="Times New Roman" w:hAnsi="Times New Roman" w:cs="Times New Roman"/>
          <w:sz w:val="24"/>
          <w:szCs w:val="24"/>
        </w:rPr>
        <w:t xml:space="preserve">-на выходе с ВОС по средним показателям: </w:t>
      </w:r>
      <w:r w:rsidRPr="005019AD">
        <w:rPr>
          <w:rFonts w:ascii="Times New Roman" w:hAnsi="Times New Roman" w:cs="Times New Roman"/>
          <w:color w:val="000000"/>
          <w:sz w:val="24"/>
          <w:szCs w:val="24"/>
        </w:rPr>
        <w:t>железо, мутность;</w:t>
      </w:r>
    </w:p>
    <w:p w:rsidR="008F3AF5" w:rsidRPr="005019AD" w:rsidRDefault="008F3AF5" w:rsidP="005019AD">
      <w:pPr>
        <w:autoSpaceDE w:val="0"/>
        <w:autoSpaceDN w:val="0"/>
        <w:adjustRightInd w:val="0"/>
        <w:spacing w:after="0" w:line="240" w:lineRule="auto"/>
        <w:jc w:val="both"/>
        <w:rPr>
          <w:rFonts w:ascii="Times New Roman" w:hAnsi="Times New Roman" w:cs="Times New Roman"/>
          <w:sz w:val="24"/>
          <w:szCs w:val="24"/>
        </w:rPr>
      </w:pPr>
      <w:r w:rsidRPr="005019AD">
        <w:rPr>
          <w:rFonts w:ascii="Times New Roman" w:hAnsi="Times New Roman" w:cs="Times New Roman"/>
          <w:sz w:val="24"/>
          <w:szCs w:val="24"/>
        </w:rPr>
        <w:t xml:space="preserve">-разводящей сети (холодного </w:t>
      </w:r>
      <w:proofErr w:type="gramStart"/>
      <w:r w:rsidRPr="005019AD">
        <w:rPr>
          <w:rFonts w:ascii="Times New Roman" w:hAnsi="Times New Roman" w:cs="Times New Roman"/>
          <w:sz w:val="24"/>
          <w:szCs w:val="24"/>
        </w:rPr>
        <w:t>водоснабжения)-</w:t>
      </w:r>
      <w:proofErr w:type="gramEnd"/>
      <w:r w:rsidRPr="005019AD">
        <w:rPr>
          <w:rFonts w:ascii="Times New Roman" w:hAnsi="Times New Roman" w:cs="Times New Roman"/>
          <w:sz w:val="24"/>
          <w:szCs w:val="24"/>
        </w:rPr>
        <w:t xml:space="preserve">   по средним показателям: окисляемость  перманганатная, цветность, мутность</w:t>
      </w:r>
      <w:r w:rsidRPr="005019AD">
        <w:rPr>
          <w:rFonts w:ascii="Times New Roman" w:hAnsi="Times New Roman" w:cs="Times New Roman"/>
          <w:color w:val="000000"/>
          <w:sz w:val="24"/>
          <w:szCs w:val="24"/>
        </w:rPr>
        <w:t>, железо, аммиак (по азоту),</w:t>
      </w:r>
      <w:r w:rsidRPr="005019AD">
        <w:rPr>
          <w:rFonts w:ascii="Times New Roman" w:hAnsi="Times New Roman" w:cs="Times New Roman"/>
          <w:sz w:val="24"/>
          <w:szCs w:val="24"/>
        </w:rPr>
        <w:t xml:space="preserve"> </w:t>
      </w:r>
    </w:p>
    <w:p w:rsidR="008F3AF5" w:rsidRPr="005019AD" w:rsidRDefault="008F3AF5" w:rsidP="005019AD">
      <w:pPr>
        <w:autoSpaceDE w:val="0"/>
        <w:autoSpaceDN w:val="0"/>
        <w:adjustRightInd w:val="0"/>
        <w:spacing w:after="0" w:line="240" w:lineRule="auto"/>
        <w:jc w:val="both"/>
        <w:rPr>
          <w:rFonts w:ascii="Times New Roman" w:hAnsi="Times New Roman" w:cs="Times New Roman"/>
          <w:color w:val="000000"/>
          <w:sz w:val="24"/>
          <w:szCs w:val="24"/>
        </w:rPr>
      </w:pPr>
      <w:r w:rsidRPr="005019AD">
        <w:rPr>
          <w:rFonts w:ascii="Times New Roman" w:hAnsi="Times New Roman" w:cs="Times New Roman"/>
          <w:color w:val="000000"/>
          <w:sz w:val="24"/>
          <w:szCs w:val="24"/>
        </w:rPr>
        <w:t>-из магистральных сетей-</w:t>
      </w:r>
      <w:r w:rsidRPr="005019AD">
        <w:rPr>
          <w:rFonts w:ascii="Times New Roman" w:hAnsi="Times New Roman" w:cs="Times New Roman"/>
          <w:sz w:val="24"/>
          <w:szCs w:val="24"/>
        </w:rPr>
        <w:t xml:space="preserve"> по средним </w:t>
      </w:r>
      <w:proofErr w:type="gramStart"/>
      <w:r w:rsidRPr="005019AD">
        <w:rPr>
          <w:rFonts w:ascii="Times New Roman" w:hAnsi="Times New Roman" w:cs="Times New Roman"/>
          <w:sz w:val="24"/>
          <w:szCs w:val="24"/>
        </w:rPr>
        <w:t xml:space="preserve">показателям:  </w:t>
      </w:r>
      <w:r w:rsidRPr="005019AD">
        <w:rPr>
          <w:rFonts w:ascii="Times New Roman" w:hAnsi="Times New Roman" w:cs="Times New Roman"/>
          <w:color w:val="000000"/>
          <w:sz w:val="24"/>
          <w:szCs w:val="24"/>
        </w:rPr>
        <w:t>железо</w:t>
      </w:r>
      <w:proofErr w:type="gramEnd"/>
      <w:r w:rsidRPr="005019AD">
        <w:rPr>
          <w:rFonts w:ascii="Times New Roman" w:hAnsi="Times New Roman" w:cs="Times New Roman"/>
          <w:color w:val="000000"/>
          <w:sz w:val="24"/>
          <w:szCs w:val="24"/>
        </w:rPr>
        <w:t>,</w:t>
      </w:r>
      <w:r w:rsidRPr="005019AD">
        <w:rPr>
          <w:rFonts w:ascii="Times New Roman" w:hAnsi="Times New Roman" w:cs="Times New Roman"/>
          <w:sz w:val="24"/>
          <w:szCs w:val="24"/>
        </w:rPr>
        <w:t xml:space="preserve"> цветность</w:t>
      </w:r>
      <w:r w:rsidRPr="005019AD">
        <w:rPr>
          <w:rFonts w:ascii="Times New Roman" w:hAnsi="Times New Roman" w:cs="Times New Roman"/>
          <w:color w:val="000000"/>
          <w:sz w:val="24"/>
          <w:szCs w:val="24"/>
        </w:rPr>
        <w:t>,  мутность, запах при 60</w:t>
      </w:r>
      <w:r w:rsidRPr="005019AD">
        <w:rPr>
          <w:rFonts w:ascii="Times New Roman" w:hAnsi="Times New Roman" w:cs="Times New Roman"/>
          <w:color w:val="000000"/>
          <w:sz w:val="24"/>
          <w:szCs w:val="24"/>
          <w:vertAlign w:val="superscript"/>
        </w:rPr>
        <w:t>0</w:t>
      </w:r>
      <w:r w:rsidRPr="005019AD">
        <w:rPr>
          <w:rFonts w:ascii="Times New Roman" w:hAnsi="Times New Roman" w:cs="Times New Roman"/>
          <w:color w:val="000000"/>
          <w:sz w:val="24"/>
          <w:szCs w:val="24"/>
        </w:rPr>
        <w:t>С;</w:t>
      </w:r>
    </w:p>
    <w:p w:rsidR="008F3AF5" w:rsidRPr="005019AD" w:rsidRDefault="008F3AF5" w:rsidP="005019AD">
      <w:pPr>
        <w:autoSpaceDE w:val="0"/>
        <w:autoSpaceDN w:val="0"/>
        <w:adjustRightInd w:val="0"/>
        <w:spacing w:after="0" w:line="240" w:lineRule="auto"/>
        <w:jc w:val="both"/>
        <w:rPr>
          <w:rFonts w:ascii="Times New Roman" w:hAnsi="Times New Roman" w:cs="Times New Roman"/>
          <w:sz w:val="24"/>
          <w:szCs w:val="24"/>
        </w:rPr>
      </w:pPr>
      <w:r w:rsidRPr="005019AD">
        <w:rPr>
          <w:rFonts w:ascii="Times New Roman" w:hAnsi="Times New Roman" w:cs="Times New Roman"/>
          <w:sz w:val="24"/>
          <w:szCs w:val="24"/>
        </w:rPr>
        <w:t xml:space="preserve">По санитарно-химически показателям вода питьевая, на выходе с ВОС, в магистральных и распределительных сетях города </w:t>
      </w:r>
      <w:proofErr w:type="gramStart"/>
      <w:r w:rsidRPr="005019AD">
        <w:rPr>
          <w:rFonts w:ascii="Times New Roman" w:hAnsi="Times New Roman" w:cs="Times New Roman"/>
          <w:sz w:val="24"/>
          <w:szCs w:val="24"/>
        </w:rPr>
        <w:t>город  по</w:t>
      </w:r>
      <w:proofErr w:type="gramEnd"/>
      <w:r w:rsidRPr="005019AD">
        <w:rPr>
          <w:rFonts w:ascii="Times New Roman" w:hAnsi="Times New Roman" w:cs="Times New Roman"/>
          <w:sz w:val="24"/>
          <w:szCs w:val="24"/>
        </w:rPr>
        <w:t xml:space="preserve"> результатам  проведенных лабораторных  исследований в рамках контрольно- надзорных мероприятий и  социально-гигиенического мониторинга за 2019год  не соответствуют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w:t>
      </w:r>
      <w:proofErr w:type="gramStart"/>
      <w:r w:rsidRPr="005019AD">
        <w:rPr>
          <w:rFonts w:ascii="Times New Roman" w:hAnsi="Times New Roman" w:cs="Times New Roman"/>
          <w:sz w:val="24"/>
          <w:szCs w:val="24"/>
        </w:rPr>
        <w:t>водоснабжения»  (</w:t>
      </w:r>
      <w:proofErr w:type="gramEnd"/>
      <w:r w:rsidRPr="005019AD">
        <w:rPr>
          <w:rFonts w:ascii="Times New Roman" w:hAnsi="Times New Roman" w:cs="Times New Roman"/>
          <w:sz w:val="24"/>
          <w:szCs w:val="24"/>
        </w:rPr>
        <w:t>с изменениями на 28 июня 2010г.),  ГН 2.1.5.1315-03 «Предельно-допустимые концентрации химических веществ в воде водных объектов хозяйственно-питьевого и культурно-бытового водопользования»:</w:t>
      </w:r>
    </w:p>
    <w:p w:rsidR="008F3AF5" w:rsidRPr="005019AD" w:rsidRDefault="008F3AF5" w:rsidP="005019AD">
      <w:pPr>
        <w:autoSpaceDE w:val="0"/>
        <w:autoSpaceDN w:val="0"/>
        <w:adjustRightInd w:val="0"/>
        <w:spacing w:after="0" w:line="240" w:lineRule="auto"/>
        <w:jc w:val="both"/>
        <w:rPr>
          <w:rFonts w:ascii="Times New Roman" w:hAnsi="Times New Roman" w:cs="Times New Roman"/>
          <w:sz w:val="24"/>
          <w:szCs w:val="24"/>
        </w:rPr>
      </w:pPr>
      <w:r w:rsidRPr="005019AD">
        <w:rPr>
          <w:rFonts w:ascii="Times New Roman" w:hAnsi="Times New Roman" w:cs="Times New Roman"/>
          <w:sz w:val="24"/>
          <w:szCs w:val="24"/>
        </w:rPr>
        <w:t>по ВОС-1:</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sz w:val="24"/>
          <w:szCs w:val="24"/>
        </w:rPr>
        <w:t>-на выходе с ВОС-1 -   по средним показателям:</w:t>
      </w:r>
      <w:r w:rsidRPr="005019AD">
        <w:rPr>
          <w:rFonts w:ascii="Times New Roman" w:hAnsi="Times New Roman" w:cs="Times New Roman"/>
          <w:color w:val="000000"/>
          <w:sz w:val="24"/>
          <w:szCs w:val="24"/>
        </w:rPr>
        <w:t xml:space="preserve"> окисляемость перманганатная;</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sz w:val="24"/>
          <w:szCs w:val="24"/>
        </w:rPr>
        <w:t xml:space="preserve">-разводящей сети, (холодного </w:t>
      </w:r>
      <w:proofErr w:type="gramStart"/>
      <w:r w:rsidRPr="005019AD">
        <w:rPr>
          <w:rFonts w:ascii="Times New Roman" w:hAnsi="Times New Roman" w:cs="Times New Roman"/>
          <w:sz w:val="24"/>
          <w:szCs w:val="24"/>
        </w:rPr>
        <w:t>водоснабжения)-</w:t>
      </w:r>
      <w:proofErr w:type="gramEnd"/>
      <w:r w:rsidRPr="005019AD">
        <w:rPr>
          <w:rFonts w:ascii="Times New Roman" w:hAnsi="Times New Roman" w:cs="Times New Roman"/>
          <w:sz w:val="24"/>
          <w:szCs w:val="24"/>
        </w:rPr>
        <w:t xml:space="preserve"> по средним показателям: аммиак (по азоту),железо, </w:t>
      </w:r>
      <w:r w:rsidRPr="005019AD">
        <w:rPr>
          <w:rFonts w:ascii="Times New Roman" w:hAnsi="Times New Roman" w:cs="Times New Roman"/>
          <w:color w:val="000000"/>
          <w:sz w:val="24"/>
          <w:szCs w:val="24"/>
        </w:rPr>
        <w:t>привкус, окисляемость перманганатная, мутность, цветность.</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color w:val="000000"/>
          <w:sz w:val="24"/>
          <w:szCs w:val="24"/>
        </w:rPr>
        <w:t>-в магистральных сетях</w:t>
      </w:r>
      <w:r w:rsidRPr="005019AD">
        <w:rPr>
          <w:rFonts w:ascii="Times New Roman" w:hAnsi="Times New Roman" w:cs="Times New Roman"/>
          <w:sz w:val="24"/>
          <w:szCs w:val="24"/>
        </w:rPr>
        <w:t xml:space="preserve"> по средним показателям: аммиак (по азоту),</w:t>
      </w:r>
      <w:r w:rsidRPr="005019AD">
        <w:rPr>
          <w:rFonts w:ascii="Times New Roman" w:hAnsi="Times New Roman" w:cs="Times New Roman"/>
          <w:color w:val="000000"/>
          <w:sz w:val="24"/>
          <w:szCs w:val="24"/>
        </w:rPr>
        <w:t xml:space="preserve"> окисляемость перманганатная, запах при 60</w:t>
      </w:r>
      <w:r w:rsidRPr="005019AD">
        <w:rPr>
          <w:rFonts w:ascii="Times New Roman" w:hAnsi="Times New Roman" w:cs="Times New Roman"/>
          <w:color w:val="000000"/>
          <w:sz w:val="24"/>
          <w:szCs w:val="24"/>
          <w:vertAlign w:val="superscript"/>
        </w:rPr>
        <w:t>0</w:t>
      </w:r>
      <w:proofErr w:type="gramStart"/>
      <w:r w:rsidRPr="005019AD">
        <w:rPr>
          <w:rFonts w:ascii="Times New Roman" w:hAnsi="Times New Roman" w:cs="Times New Roman"/>
          <w:color w:val="000000"/>
          <w:sz w:val="24"/>
          <w:szCs w:val="24"/>
        </w:rPr>
        <w:t>С,привкус</w:t>
      </w:r>
      <w:proofErr w:type="gramEnd"/>
      <w:r w:rsidRPr="005019AD">
        <w:rPr>
          <w:rFonts w:ascii="Times New Roman" w:hAnsi="Times New Roman" w:cs="Times New Roman"/>
          <w:color w:val="000000"/>
          <w:sz w:val="24"/>
          <w:szCs w:val="24"/>
        </w:rPr>
        <w:t>,цветность,</w:t>
      </w:r>
    </w:p>
    <w:p w:rsidR="008F3AF5" w:rsidRPr="005019AD" w:rsidRDefault="008F3AF5" w:rsidP="005019AD">
      <w:pPr>
        <w:autoSpaceDE w:val="0"/>
        <w:autoSpaceDN w:val="0"/>
        <w:adjustRightInd w:val="0"/>
        <w:spacing w:after="0" w:line="240" w:lineRule="auto"/>
        <w:jc w:val="both"/>
        <w:rPr>
          <w:rFonts w:ascii="Times New Roman" w:hAnsi="Times New Roman" w:cs="Times New Roman"/>
          <w:sz w:val="24"/>
          <w:szCs w:val="24"/>
        </w:rPr>
      </w:pPr>
      <w:r w:rsidRPr="005019AD">
        <w:rPr>
          <w:rFonts w:ascii="Times New Roman" w:hAnsi="Times New Roman" w:cs="Times New Roman"/>
          <w:sz w:val="24"/>
          <w:szCs w:val="24"/>
        </w:rPr>
        <w:t>по ВОС-2:</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sz w:val="24"/>
          <w:szCs w:val="24"/>
        </w:rPr>
        <w:t xml:space="preserve">-на выходе с ВОС-2 -   по средним </w:t>
      </w:r>
      <w:proofErr w:type="gramStart"/>
      <w:r w:rsidRPr="005019AD">
        <w:rPr>
          <w:rFonts w:ascii="Times New Roman" w:hAnsi="Times New Roman" w:cs="Times New Roman"/>
          <w:sz w:val="24"/>
          <w:szCs w:val="24"/>
        </w:rPr>
        <w:t>показателям:  цветность</w:t>
      </w:r>
      <w:proofErr w:type="gramEnd"/>
      <w:r w:rsidRPr="005019AD">
        <w:rPr>
          <w:rFonts w:ascii="Times New Roman" w:hAnsi="Times New Roman" w:cs="Times New Roman"/>
          <w:sz w:val="24"/>
          <w:szCs w:val="24"/>
        </w:rPr>
        <w:t>,  о</w:t>
      </w:r>
      <w:r w:rsidRPr="005019AD">
        <w:rPr>
          <w:rFonts w:ascii="Times New Roman" w:hAnsi="Times New Roman" w:cs="Times New Roman"/>
          <w:color w:val="000000"/>
          <w:sz w:val="24"/>
          <w:szCs w:val="24"/>
        </w:rPr>
        <w:t>кисляемость перманганатная, железо, аммиак (по азоту), запах при 60С</w:t>
      </w:r>
      <w:r w:rsidRPr="005019AD">
        <w:rPr>
          <w:rFonts w:ascii="Times New Roman" w:hAnsi="Times New Roman" w:cs="Times New Roman"/>
          <w:color w:val="000000"/>
          <w:sz w:val="24"/>
          <w:szCs w:val="24"/>
          <w:vertAlign w:val="superscript"/>
        </w:rPr>
        <w:t>0</w:t>
      </w:r>
      <w:r w:rsidRPr="005019AD">
        <w:rPr>
          <w:rFonts w:ascii="Times New Roman" w:hAnsi="Times New Roman" w:cs="Times New Roman"/>
          <w:color w:val="000000"/>
          <w:sz w:val="24"/>
          <w:szCs w:val="24"/>
        </w:rPr>
        <w:t>, привкус ,цветность, мутность;</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sz w:val="24"/>
          <w:szCs w:val="24"/>
        </w:rPr>
        <w:t>-из магистральных сетей -   по средним показателям: цветность, о</w:t>
      </w:r>
      <w:r w:rsidRPr="005019AD">
        <w:rPr>
          <w:rFonts w:ascii="Times New Roman" w:hAnsi="Times New Roman" w:cs="Times New Roman"/>
          <w:color w:val="000000"/>
          <w:sz w:val="24"/>
          <w:szCs w:val="24"/>
        </w:rPr>
        <w:t xml:space="preserve">кисляемость перманганатная, железо, аммиак (по азоту), </w:t>
      </w:r>
      <w:proofErr w:type="gramStart"/>
      <w:r w:rsidRPr="005019AD">
        <w:rPr>
          <w:rFonts w:ascii="Times New Roman" w:hAnsi="Times New Roman" w:cs="Times New Roman"/>
          <w:color w:val="000000"/>
          <w:sz w:val="24"/>
          <w:szCs w:val="24"/>
        </w:rPr>
        <w:t>привкус,мутность</w:t>
      </w:r>
      <w:proofErr w:type="gramEnd"/>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sz w:val="24"/>
          <w:szCs w:val="24"/>
        </w:rPr>
        <w:t xml:space="preserve">-из разводящей сети, (холодного водоснабжения) -   по средним показателям: </w:t>
      </w:r>
      <w:proofErr w:type="gramStart"/>
      <w:r w:rsidRPr="005019AD">
        <w:rPr>
          <w:rFonts w:ascii="Times New Roman" w:hAnsi="Times New Roman" w:cs="Times New Roman"/>
          <w:sz w:val="24"/>
          <w:szCs w:val="24"/>
        </w:rPr>
        <w:t>цветность,  о</w:t>
      </w:r>
      <w:r w:rsidRPr="005019AD">
        <w:rPr>
          <w:rFonts w:ascii="Times New Roman" w:hAnsi="Times New Roman" w:cs="Times New Roman"/>
          <w:color w:val="000000"/>
          <w:sz w:val="24"/>
          <w:szCs w:val="24"/>
        </w:rPr>
        <w:t>кисляемость</w:t>
      </w:r>
      <w:proofErr w:type="gramEnd"/>
      <w:r w:rsidRPr="005019AD">
        <w:rPr>
          <w:rFonts w:ascii="Times New Roman" w:hAnsi="Times New Roman" w:cs="Times New Roman"/>
          <w:color w:val="000000"/>
          <w:sz w:val="24"/>
          <w:szCs w:val="24"/>
        </w:rPr>
        <w:t xml:space="preserve"> перманганатная, железо, аммиак (по азоту), привкус,мутность;</w:t>
      </w:r>
    </w:p>
    <w:p w:rsidR="008F3AF5" w:rsidRPr="005019AD" w:rsidRDefault="008F3AF5" w:rsidP="005019AD">
      <w:pPr>
        <w:autoSpaceDE w:val="0"/>
        <w:autoSpaceDN w:val="0"/>
        <w:adjustRightInd w:val="0"/>
        <w:spacing w:after="0" w:line="240" w:lineRule="auto"/>
        <w:ind w:left="176"/>
        <w:jc w:val="both"/>
        <w:rPr>
          <w:rFonts w:ascii="Times New Roman" w:hAnsi="Times New Roman" w:cs="Times New Roman"/>
          <w:bCs/>
          <w:sz w:val="24"/>
          <w:szCs w:val="24"/>
        </w:rPr>
      </w:pPr>
      <w:r w:rsidRPr="005019AD">
        <w:rPr>
          <w:rFonts w:ascii="Times New Roman" w:hAnsi="Times New Roman" w:cs="Times New Roman"/>
          <w:bCs/>
          <w:sz w:val="24"/>
          <w:szCs w:val="24"/>
        </w:rPr>
        <w:t>по ВОС-3:</w:t>
      </w:r>
    </w:p>
    <w:p w:rsidR="008F3AF5" w:rsidRPr="005019AD" w:rsidRDefault="008F3AF5" w:rsidP="005019AD">
      <w:pPr>
        <w:autoSpaceDE w:val="0"/>
        <w:autoSpaceDN w:val="0"/>
        <w:adjustRightInd w:val="0"/>
        <w:spacing w:after="0" w:line="240" w:lineRule="auto"/>
        <w:jc w:val="both"/>
        <w:rPr>
          <w:rFonts w:ascii="Times New Roman" w:hAnsi="Times New Roman" w:cs="Times New Roman"/>
          <w:sz w:val="24"/>
          <w:szCs w:val="24"/>
        </w:rPr>
      </w:pPr>
      <w:r w:rsidRPr="005019AD">
        <w:rPr>
          <w:rFonts w:ascii="Times New Roman" w:hAnsi="Times New Roman" w:cs="Times New Roman"/>
          <w:sz w:val="24"/>
          <w:szCs w:val="24"/>
        </w:rPr>
        <w:t xml:space="preserve">-на выходе с ВОС-3 - по средним </w:t>
      </w:r>
      <w:proofErr w:type="gramStart"/>
      <w:r w:rsidRPr="005019AD">
        <w:rPr>
          <w:rFonts w:ascii="Times New Roman" w:hAnsi="Times New Roman" w:cs="Times New Roman"/>
          <w:sz w:val="24"/>
          <w:szCs w:val="24"/>
        </w:rPr>
        <w:t>показателям:  аммиак</w:t>
      </w:r>
      <w:proofErr w:type="gramEnd"/>
      <w:r w:rsidRPr="005019AD">
        <w:rPr>
          <w:rFonts w:ascii="Times New Roman" w:hAnsi="Times New Roman" w:cs="Times New Roman"/>
          <w:sz w:val="24"/>
          <w:szCs w:val="24"/>
        </w:rPr>
        <w:t xml:space="preserve"> (по азоту), цветность, аммиак,  о</w:t>
      </w:r>
      <w:r w:rsidRPr="005019AD">
        <w:rPr>
          <w:rFonts w:ascii="Times New Roman" w:hAnsi="Times New Roman" w:cs="Times New Roman"/>
          <w:color w:val="000000"/>
          <w:sz w:val="24"/>
          <w:szCs w:val="24"/>
        </w:rPr>
        <w:t>кисляемость перманганатная, железо, привкус,</w:t>
      </w:r>
      <w:r w:rsidRPr="005019AD">
        <w:rPr>
          <w:rFonts w:ascii="Times New Roman" w:hAnsi="Times New Roman" w:cs="Times New Roman"/>
          <w:sz w:val="24"/>
          <w:szCs w:val="24"/>
        </w:rPr>
        <w:t xml:space="preserve"> </w:t>
      </w:r>
    </w:p>
    <w:p w:rsidR="008F3AF5" w:rsidRPr="005019AD" w:rsidRDefault="008F3AF5" w:rsidP="005019AD">
      <w:pPr>
        <w:autoSpaceDE w:val="0"/>
        <w:autoSpaceDN w:val="0"/>
        <w:adjustRightInd w:val="0"/>
        <w:spacing w:after="0" w:line="240" w:lineRule="auto"/>
        <w:jc w:val="both"/>
        <w:rPr>
          <w:rFonts w:ascii="Times New Roman" w:hAnsi="Times New Roman" w:cs="Times New Roman"/>
          <w:color w:val="000000"/>
          <w:sz w:val="24"/>
          <w:szCs w:val="24"/>
        </w:rPr>
      </w:pPr>
      <w:r w:rsidRPr="005019AD">
        <w:rPr>
          <w:rFonts w:ascii="Times New Roman" w:hAnsi="Times New Roman" w:cs="Times New Roman"/>
          <w:sz w:val="24"/>
          <w:szCs w:val="24"/>
        </w:rPr>
        <w:t xml:space="preserve">-из разводящей сети, (холодного </w:t>
      </w:r>
      <w:proofErr w:type="gramStart"/>
      <w:r w:rsidRPr="005019AD">
        <w:rPr>
          <w:rFonts w:ascii="Times New Roman" w:hAnsi="Times New Roman" w:cs="Times New Roman"/>
          <w:sz w:val="24"/>
          <w:szCs w:val="24"/>
        </w:rPr>
        <w:t>водоснабжения)-</w:t>
      </w:r>
      <w:proofErr w:type="gramEnd"/>
      <w:r w:rsidRPr="005019AD">
        <w:rPr>
          <w:rFonts w:ascii="Times New Roman" w:hAnsi="Times New Roman" w:cs="Times New Roman"/>
          <w:sz w:val="24"/>
          <w:szCs w:val="24"/>
        </w:rPr>
        <w:t xml:space="preserve">  по средним показателям:  аммиак (по азоту), </w:t>
      </w:r>
      <w:r w:rsidRPr="005019AD">
        <w:rPr>
          <w:rFonts w:ascii="Times New Roman" w:hAnsi="Times New Roman" w:cs="Times New Roman"/>
          <w:color w:val="000000"/>
          <w:sz w:val="24"/>
          <w:szCs w:val="24"/>
        </w:rPr>
        <w:t xml:space="preserve">железо, </w:t>
      </w:r>
      <w:r w:rsidRPr="005019AD">
        <w:rPr>
          <w:rFonts w:ascii="Times New Roman" w:hAnsi="Times New Roman" w:cs="Times New Roman"/>
          <w:sz w:val="24"/>
          <w:szCs w:val="24"/>
        </w:rPr>
        <w:t>запах при 60 °C, о</w:t>
      </w:r>
      <w:r w:rsidRPr="005019AD">
        <w:rPr>
          <w:rFonts w:ascii="Times New Roman" w:hAnsi="Times New Roman" w:cs="Times New Roman"/>
          <w:color w:val="000000"/>
          <w:sz w:val="24"/>
          <w:szCs w:val="24"/>
        </w:rPr>
        <w:t>кисляемость перманганатная, мутность, привкус, цветность;</w:t>
      </w:r>
    </w:p>
    <w:p w:rsidR="008F3AF5" w:rsidRPr="005019AD" w:rsidRDefault="008F3AF5" w:rsidP="005019AD">
      <w:pPr>
        <w:autoSpaceDE w:val="0"/>
        <w:autoSpaceDN w:val="0"/>
        <w:adjustRightInd w:val="0"/>
        <w:spacing w:after="0" w:line="240" w:lineRule="auto"/>
        <w:jc w:val="both"/>
        <w:rPr>
          <w:rFonts w:ascii="Times New Roman" w:hAnsi="Times New Roman" w:cs="Times New Roman"/>
          <w:color w:val="000000"/>
          <w:sz w:val="24"/>
          <w:szCs w:val="24"/>
        </w:rPr>
      </w:pPr>
      <w:r w:rsidRPr="005019AD">
        <w:rPr>
          <w:rFonts w:ascii="Times New Roman" w:hAnsi="Times New Roman" w:cs="Times New Roman"/>
          <w:color w:val="000000"/>
          <w:sz w:val="24"/>
          <w:szCs w:val="24"/>
        </w:rPr>
        <w:t xml:space="preserve">-в магистральных </w:t>
      </w:r>
      <w:proofErr w:type="gramStart"/>
      <w:r w:rsidRPr="005019AD">
        <w:rPr>
          <w:rFonts w:ascii="Times New Roman" w:hAnsi="Times New Roman" w:cs="Times New Roman"/>
          <w:color w:val="000000"/>
          <w:sz w:val="24"/>
          <w:szCs w:val="24"/>
        </w:rPr>
        <w:t>сетях</w:t>
      </w:r>
      <w:r w:rsidRPr="005019AD">
        <w:rPr>
          <w:rFonts w:ascii="Times New Roman" w:hAnsi="Times New Roman" w:cs="Times New Roman"/>
          <w:sz w:val="24"/>
          <w:szCs w:val="24"/>
        </w:rPr>
        <w:t xml:space="preserve">  по</w:t>
      </w:r>
      <w:proofErr w:type="gramEnd"/>
      <w:r w:rsidRPr="005019AD">
        <w:rPr>
          <w:rFonts w:ascii="Times New Roman" w:hAnsi="Times New Roman" w:cs="Times New Roman"/>
          <w:sz w:val="24"/>
          <w:szCs w:val="24"/>
        </w:rPr>
        <w:t xml:space="preserve"> средним показателям: </w:t>
      </w:r>
      <w:r w:rsidRPr="005019AD">
        <w:rPr>
          <w:rFonts w:ascii="Times New Roman" w:hAnsi="Times New Roman" w:cs="Times New Roman"/>
          <w:color w:val="000000"/>
          <w:sz w:val="24"/>
          <w:szCs w:val="24"/>
        </w:rPr>
        <w:t xml:space="preserve">железо, </w:t>
      </w:r>
      <w:r w:rsidRPr="005019AD">
        <w:rPr>
          <w:rFonts w:ascii="Times New Roman" w:hAnsi="Times New Roman" w:cs="Times New Roman"/>
          <w:sz w:val="24"/>
          <w:szCs w:val="24"/>
        </w:rPr>
        <w:t>запах при 60 °C, о</w:t>
      </w:r>
      <w:r w:rsidRPr="005019AD">
        <w:rPr>
          <w:rFonts w:ascii="Times New Roman" w:hAnsi="Times New Roman" w:cs="Times New Roman"/>
          <w:color w:val="000000"/>
          <w:sz w:val="24"/>
          <w:szCs w:val="24"/>
        </w:rPr>
        <w:t>кисляемость перманганатная, привкус, цветность;</w:t>
      </w:r>
    </w:p>
    <w:p w:rsidR="008F3AF5" w:rsidRPr="005019AD" w:rsidRDefault="008F3AF5" w:rsidP="005019AD">
      <w:pPr>
        <w:autoSpaceDE w:val="0"/>
        <w:autoSpaceDN w:val="0"/>
        <w:adjustRightInd w:val="0"/>
        <w:spacing w:after="0" w:line="240" w:lineRule="auto"/>
        <w:jc w:val="both"/>
        <w:rPr>
          <w:rFonts w:ascii="Times New Roman" w:hAnsi="Times New Roman" w:cs="Times New Roman"/>
          <w:color w:val="000000"/>
          <w:sz w:val="24"/>
          <w:szCs w:val="24"/>
        </w:rPr>
      </w:pPr>
      <w:r w:rsidRPr="005019AD">
        <w:rPr>
          <w:rFonts w:ascii="Times New Roman" w:hAnsi="Times New Roman" w:cs="Times New Roman"/>
          <w:color w:val="000000"/>
          <w:sz w:val="24"/>
          <w:szCs w:val="24"/>
        </w:rPr>
        <w:t>по ВОС-4:</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sz w:val="24"/>
          <w:szCs w:val="24"/>
        </w:rPr>
        <w:t>-на выходе с ВОС-</w:t>
      </w:r>
      <w:proofErr w:type="gramStart"/>
      <w:r w:rsidRPr="005019AD">
        <w:rPr>
          <w:rFonts w:ascii="Times New Roman" w:hAnsi="Times New Roman" w:cs="Times New Roman"/>
          <w:sz w:val="24"/>
          <w:szCs w:val="24"/>
        </w:rPr>
        <w:t>4  по</w:t>
      </w:r>
      <w:proofErr w:type="gramEnd"/>
      <w:r w:rsidRPr="005019AD">
        <w:rPr>
          <w:rFonts w:ascii="Times New Roman" w:hAnsi="Times New Roman" w:cs="Times New Roman"/>
          <w:sz w:val="24"/>
          <w:szCs w:val="24"/>
        </w:rPr>
        <w:t xml:space="preserve"> средним показателям:  запах при 60 °C , привкус, мутность.  </w:t>
      </w:r>
      <w:proofErr w:type="gramStart"/>
      <w:r w:rsidRPr="005019AD">
        <w:rPr>
          <w:rFonts w:ascii="Times New Roman" w:hAnsi="Times New Roman" w:cs="Times New Roman"/>
          <w:sz w:val="24"/>
          <w:szCs w:val="24"/>
        </w:rPr>
        <w:t xml:space="preserve">цветность,   </w:t>
      </w:r>
      <w:proofErr w:type="gramEnd"/>
      <w:r w:rsidRPr="005019AD">
        <w:rPr>
          <w:rFonts w:ascii="Times New Roman" w:hAnsi="Times New Roman" w:cs="Times New Roman"/>
          <w:sz w:val="24"/>
          <w:szCs w:val="24"/>
        </w:rPr>
        <w:t>о</w:t>
      </w:r>
      <w:r w:rsidRPr="005019AD">
        <w:rPr>
          <w:rFonts w:ascii="Times New Roman" w:hAnsi="Times New Roman" w:cs="Times New Roman"/>
          <w:color w:val="000000"/>
          <w:sz w:val="24"/>
          <w:szCs w:val="24"/>
        </w:rPr>
        <w:t>кисляемость перманганатная, железо, аммиак ( по азоту);</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sz w:val="24"/>
          <w:szCs w:val="24"/>
        </w:rPr>
        <w:t>-из разводящей сети (горячего и холодного водоснабжения) -   по средним показателям: запах при 60 °</w:t>
      </w:r>
      <w:proofErr w:type="gramStart"/>
      <w:r w:rsidRPr="005019AD">
        <w:rPr>
          <w:rFonts w:ascii="Times New Roman" w:hAnsi="Times New Roman" w:cs="Times New Roman"/>
          <w:sz w:val="24"/>
          <w:szCs w:val="24"/>
        </w:rPr>
        <w:t>C ,</w:t>
      </w:r>
      <w:proofErr w:type="gramEnd"/>
      <w:r w:rsidRPr="005019AD">
        <w:rPr>
          <w:rFonts w:ascii="Times New Roman" w:hAnsi="Times New Roman" w:cs="Times New Roman"/>
          <w:sz w:val="24"/>
          <w:szCs w:val="24"/>
        </w:rPr>
        <w:t xml:space="preserve"> привкус, мутность.  </w:t>
      </w:r>
      <w:proofErr w:type="gramStart"/>
      <w:r w:rsidRPr="005019AD">
        <w:rPr>
          <w:rFonts w:ascii="Times New Roman" w:hAnsi="Times New Roman" w:cs="Times New Roman"/>
          <w:sz w:val="24"/>
          <w:szCs w:val="24"/>
        </w:rPr>
        <w:t xml:space="preserve">цветность,   </w:t>
      </w:r>
      <w:proofErr w:type="gramEnd"/>
      <w:r w:rsidRPr="005019AD">
        <w:rPr>
          <w:rFonts w:ascii="Times New Roman" w:hAnsi="Times New Roman" w:cs="Times New Roman"/>
          <w:sz w:val="24"/>
          <w:szCs w:val="24"/>
        </w:rPr>
        <w:t>о</w:t>
      </w:r>
      <w:r w:rsidRPr="005019AD">
        <w:rPr>
          <w:rFonts w:ascii="Times New Roman" w:hAnsi="Times New Roman" w:cs="Times New Roman"/>
          <w:color w:val="000000"/>
          <w:sz w:val="24"/>
          <w:szCs w:val="24"/>
        </w:rPr>
        <w:t>кисляемость перманганатная, железо, аммиак ( по азоту);</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color w:val="000000"/>
          <w:sz w:val="24"/>
          <w:szCs w:val="24"/>
        </w:rPr>
        <w:t>-в магистральных сетях</w:t>
      </w:r>
      <w:r w:rsidRPr="005019AD">
        <w:rPr>
          <w:rFonts w:ascii="Times New Roman" w:hAnsi="Times New Roman" w:cs="Times New Roman"/>
          <w:sz w:val="24"/>
          <w:szCs w:val="24"/>
        </w:rPr>
        <w:t xml:space="preserve"> по показателям: по показателям: запах при 60 °</w:t>
      </w:r>
      <w:proofErr w:type="gramStart"/>
      <w:r w:rsidRPr="005019AD">
        <w:rPr>
          <w:rFonts w:ascii="Times New Roman" w:hAnsi="Times New Roman" w:cs="Times New Roman"/>
          <w:sz w:val="24"/>
          <w:szCs w:val="24"/>
        </w:rPr>
        <w:t>C ,</w:t>
      </w:r>
      <w:proofErr w:type="gramEnd"/>
      <w:r w:rsidRPr="005019AD">
        <w:rPr>
          <w:rFonts w:ascii="Times New Roman" w:hAnsi="Times New Roman" w:cs="Times New Roman"/>
          <w:sz w:val="24"/>
          <w:szCs w:val="24"/>
        </w:rPr>
        <w:t xml:space="preserve"> привкус, цветность, мутность, о</w:t>
      </w:r>
      <w:r w:rsidRPr="005019AD">
        <w:rPr>
          <w:rFonts w:ascii="Times New Roman" w:hAnsi="Times New Roman" w:cs="Times New Roman"/>
          <w:color w:val="000000"/>
          <w:sz w:val="24"/>
          <w:szCs w:val="24"/>
        </w:rPr>
        <w:t>кисляемость перманганатная, железо, аммиак (по азоту);</w:t>
      </w:r>
    </w:p>
    <w:p w:rsidR="008F3AF5" w:rsidRPr="005019AD" w:rsidRDefault="008F3AF5" w:rsidP="005019AD">
      <w:pPr>
        <w:autoSpaceDE w:val="0"/>
        <w:autoSpaceDN w:val="0"/>
        <w:adjustRightInd w:val="0"/>
        <w:spacing w:after="0" w:line="240" w:lineRule="auto"/>
        <w:jc w:val="both"/>
        <w:rPr>
          <w:rFonts w:ascii="Times New Roman" w:hAnsi="Times New Roman" w:cs="Times New Roman"/>
          <w:color w:val="000000"/>
          <w:sz w:val="24"/>
          <w:szCs w:val="24"/>
        </w:rPr>
      </w:pPr>
      <w:r w:rsidRPr="005019AD">
        <w:rPr>
          <w:rFonts w:ascii="Times New Roman" w:hAnsi="Times New Roman" w:cs="Times New Roman"/>
          <w:sz w:val="24"/>
          <w:szCs w:val="24"/>
        </w:rPr>
        <w:t xml:space="preserve">на выходе с ВОС «Южно-Балыкского </w:t>
      </w:r>
      <w:proofErr w:type="gramStart"/>
      <w:r w:rsidRPr="005019AD">
        <w:rPr>
          <w:rFonts w:ascii="Times New Roman" w:hAnsi="Times New Roman" w:cs="Times New Roman"/>
          <w:sz w:val="24"/>
          <w:szCs w:val="24"/>
        </w:rPr>
        <w:t>ГПЗ»-</w:t>
      </w:r>
      <w:proofErr w:type="gramEnd"/>
      <w:r w:rsidRPr="005019AD">
        <w:rPr>
          <w:rFonts w:ascii="Times New Roman" w:hAnsi="Times New Roman" w:cs="Times New Roman"/>
          <w:sz w:val="24"/>
          <w:szCs w:val="24"/>
        </w:rPr>
        <w:t xml:space="preserve">филиал «СибурТюменьГаз» по средним показателям: </w:t>
      </w:r>
      <w:r w:rsidRPr="005019AD">
        <w:rPr>
          <w:rFonts w:ascii="Times New Roman" w:hAnsi="Times New Roman" w:cs="Times New Roman"/>
          <w:color w:val="000000"/>
          <w:sz w:val="24"/>
          <w:szCs w:val="24"/>
        </w:rPr>
        <w:t>железо, аммиак (по азоту);</w:t>
      </w:r>
    </w:p>
    <w:p w:rsidR="008F3AF5" w:rsidRPr="005019AD" w:rsidRDefault="008F3AF5" w:rsidP="005019AD">
      <w:pPr>
        <w:autoSpaceDE w:val="0"/>
        <w:autoSpaceDN w:val="0"/>
        <w:adjustRightInd w:val="0"/>
        <w:spacing w:after="0" w:line="240" w:lineRule="auto"/>
        <w:jc w:val="both"/>
        <w:rPr>
          <w:rFonts w:ascii="Times New Roman" w:hAnsi="Times New Roman" w:cs="Times New Roman"/>
          <w:color w:val="000000"/>
          <w:sz w:val="24"/>
          <w:szCs w:val="24"/>
        </w:rPr>
      </w:pPr>
      <w:r w:rsidRPr="005019AD">
        <w:rPr>
          <w:rFonts w:ascii="Times New Roman" w:hAnsi="Times New Roman" w:cs="Times New Roman"/>
          <w:sz w:val="24"/>
          <w:szCs w:val="24"/>
        </w:rPr>
        <w:lastRenderedPageBreak/>
        <w:t xml:space="preserve">-разводящей сети (холодного </w:t>
      </w:r>
      <w:proofErr w:type="gramStart"/>
      <w:r w:rsidRPr="005019AD">
        <w:rPr>
          <w:rFonts w:ascii="Times New Roman" w:hAnsi="Times New Roman" w:cs="Times New Roman"/>
          <w:sz w:val="24"/>
          <w:szCs w:val="24"/>
        </w:rPr>
        <w:t>водоснабжения)-</w:t>
      </w:r>
      <w:proofErr w:type="gramEnd"/>
      <w:r w:rsidRPr="005019AD">
        <w:rPr>
          <w:rFonts w:ascii="Times New Roman" w:hAnsi="Times New Roman" w:cs="Times New Roman"/>
          <w:sz w:val="24"/>
          <w:szCs w:val="24"/>
        </w:rPr>
        <w:t xml:space="preserve">   по средним показателям: окисляемость  перманганатная, цветность, мутность</w:t>
      </w:r>
      <w:r w:rsidRPr="005019AD">
        <w:rPr>
          <w:rFonts w:ascii="Times New Roman" w:hAnsi="Times New Roman" w:cs="Times New Roman"/>
          <w:color w:val="000000"/>
          <w:sz w:val="24"/>
          <w:szCs w:val="24"/>
        </w:rPr>
        <w:t>, железо, аммиак (по азоту),</w:t>
      </w:r>
      <w:r w:rsidRPr="005019AD">
        <w:rPr>
          <w:rFonts w:ascii="Times New Roman" w:hAnsi="Times New Roman" w:cs="Times New Roman"/>
          <w:sz w:val="24"/>
          <w:szCs w:val="24"/>
        </w:rPr>
        <w:t xml:space="preserve"> запах при 60 °C;</w:t>
      </w:r>
    </w:p>
    <w:p w:rsidR="008F3AF5" w:rsidRPr="005019AD" w:rsidRDefault="008F3AF5" w:rsidP="005019AD">
      <w:pPr>
        <w:autoSpaceDE w:val="0"/>
        <w:autoSpaceDN w:val="0"/>
        <w:adjustRightInd w:val="0"/>
        <w:spacing w:after="0" w:line="240" w:lineRule="auto"/>
        <w:jc w:val="both"/>
        <w:rPr>
          <w:rFonts w:ascii="Times New Roman" w:hAnsi="Times New Roman" w:cs="Times New Roman"/>
          <w:color w:val="000000"/>
          <w:sz w:val="24"/>
          <w:szCs w:val="24"/>
        </w:rPr>
      </w:pPr>
      <w:r w:rsidRPr="005019AD">
        <w:rPr>
          <w:rFonts w:ascii="Times New Roman" w:hAnsi="Times New Roman" w:cs="Times New Roman"/>
          <w:sz w:val="24"/>
          <w:szCs w:val="24"/>
        </w:rPr>
        <w:t xml:space="preserve"> -разводящей сети (горячего водоснабжения) -   по средним </w:t>
      </w:r>
      <w:proofErr w:type="gramStart"/>
      <w:r w:rsidRPr="005019AD">
        <w:rPr>
          <w:rFonts w:ascii="Times New Roman" w:hAnsi="Times New Roman" w:cs="Times New Roman"/>
          <w:sz w:val="24"/>
          <w:szCs w:val="24"/>
        </w:rPr>
        <w:t>показателям:  запах</w:t>
      </w:r>
      <w:proofErr w:type="gramEnd"/>
      <w:r w:rsidRPr="005019AD">
        <w:rPr>
          <w:rFonts w:ascii="Times New Roman" w:hAnsi="Times New Roman" w:cs="Times New Roman"/>
          <w:sz w:val="24"/>
          <w:szCs w:val="24"/>
        </w:rPr>
        <w:t xml:space="preserve"> при 60 °C, привкус, </w:t>
      </w:r>
      <w:r w:rsidRPr="005019AD">
        <w:rPr>
          <w:rFonts w:ascii="Times New Roman" w:hAnsi="Times New Roman" w:cs="Times New Roman"/>
          <w:color w:val="000000"/>
          <w:sz w:val="24"/>
          <w:szCs w:val="24"/>
        </w:rPr>
        <w:t xml:space="preserve"> железо,</w:t>
      </w:r>
      <w:r w:rsidRPr="005019AD">
        <w:rPr>
          <w:rFonts w:ascii="Times New Roman" w:hAnsi="Times New Roman" w:cs="Times New Roman"/>
          <w:sz w:val="24"/>
          <w:szCs w:val="24"/>
        </w:rPr>
        <w:t xml:space="preserve"> цветность</w:t>
      </w:r>
      <w:r w:rsidRPr="005019AD">
        <w:rPr>
          <w:rFonts w:ascii="Times New Roman" w:hAnsi="Times New Roman" w:cs="Times New Roman"/>
          <w:color w:val="000000"/>
          <w:sz w:val="24"/>
          <w:szCs w:val="24"/>
        </w:rPr>
        <w:t>, аммиак(по азоту),окисляемость перманганатная;</w:t>
      </w:r>
    </w:p>
    <w:p w:rsidR="008F3AF5" w:rsidRPr="005019AD" w:rsidRDefault="008F3AF5" w:rsidP="005019AD">
      <w:pPr>
        <w:autoSpaceDE w:val="0"/>
        <w:autoSpaceDN w:val="0"/>
        <w:adjustRightInd w:val="0"/>
        <w:spacing w:after="0" w:line="240" w:lineRule="auto"/>
        <w:jc w:val="both"/>
        <w:rPr>
          <w:rFonts w:ascii="Times New Roman" w:hAnsi="Times New Roman" w:cs="Times New Roman"/>
          <w:color w:val="000000"/>
          <w:sz w:val="24"/>
          <w:szCs w:val="24"/>
        </w:rPr>
      </w:pPr>
      <w:r w:rsidRPr="005019AD">
        <w:rPr>
          <w:rFonts w:ascii="Times New Roman" w:hAnsi="Times New Roman" w:cs="Times New Roman"/>
          <w:color w:val="000000"/>
          <w:sz w:val="24"/>
          <w:szCs w:val="24"/>
        </w:rPr>
        <w:t>-из магистральных сетей-</w:t>
      </w:r>
      <w:r w:rsidRPr="005019AD">
        <w:rPr>
          <w:rFonts w:ascii="Times New Roman" w:hAnsi="Times New Roman" w:cs="Times New Roman"/>
          <w:sz w:val="24"/>
          <w:szCs w:val="24"/>
        </w:rPr>
        <w:t xml:space="preserve"> по средним </w:t>
      </w:r>
      <w:proofErr w:type="gramStart"/>
      <w:r w:rsidRPr="005019AD">
        <w:rPr>
          <w:rFonts w:ascii="Times New Roman" w:hAnsi="Times New Roman" w:cs="Times New Roman"/>
          <w:sz w:val="24"/>
          <w:szCs w:val="24"/>
        </w:rPr>
        <w:t xml:space="preserve">показателям:  </w:t>
      </w:r>
      <w:r w:rsidRPr="005019AD">
        <w:rPr>
          <w:rFonts w:ascii="Times New Roman" w:hAnsi="Times New Roman" w:cs="Times New Roman"/>
          <w:color w:val="000000"/>
          <w:sz w:val="24"/>
          <w:szCs w:val="24"/>
        </w:rPr>
        <w:t>железо</w:t>
      </w:r>
      <w:proofErr w:type="gramEnd"/>
      <w:r w:rsidRPr="005019AD">
        <w:rPr>
          <w:rFonts w:ascii="Times New Roman" w:hAnsi="Times New Roman" w:cs="Times New Roman"/>
          <w:color w:val="000000"/>
          <w:sz w:val="24"/>
          <w:szCs w:val="24"/>
        </w:rPr>
        <w:t>,</w:t>
      </w:r>
      <w:r w:rsidRPr="005019AD">
        <w:rPr>
          <w:rFonts w:ascii="Times New Roman" w:hAnsi="Times New Roman" w:cs="Times New Roman"/>
          <w:sz w:val="24"/>
          <w:szCs w:val="24"/>
        </w:rPr>
        <w:t xml:space="preserve"> цветность</w:t>
      </w:r>
      <w:r w:rsidRPr="005019AD">
        <w:rPr>
          <w:rFonts w:ascii="Times New Roman" w:hAnsi="Times New Roman" w:cs="Times New Roman"/>
          <w:color w:val="000000"/>
          <w:sz w:val="24"/>
          <w:szCs w:val="24"/>
        </w:rPr>
        <w:t>, аммиак(по азоту),окисляемость перманганатная, мутность.</w:t>
      </w:r>
    </w:p>
    <w:p w:rsidR="008F3AF5" w:rsidRPr="005019AD" w:rsidRDefault="008F3AF5" w:rsidP="005019AD">
      <w:pPr>
        <w:autoSpaceDE w:val="0"/>
        <w:autoSpaceDN w:val="0"/>
        <w:adjustRightInd w:val="0"/>
        <w:spacing w:after="0" w:line="240" w:lineRule="auto"/>
        <w:jc w:val="both"/>
        <w:rPr>
          <w:rFonts w:ascii="Times New Roman" w:hAnsi="Times New Roman" w:cs="Times New Roman"/>
          <w:sz w:val="24"/>
          <w:szCs w:val="24"/>
        </w:rPr>
      </w:pPr>
      <w:r w:rsidRPr="005019AD">
        <w:rPr>
          <w:rFonts w:ascii="Times New Roman" w:hAnsi="Times New Roman" w:cs="Times New Roman"/>
          <w:sz w:val="24"/>
          <w:szCs w:val="24"/>
        </w:rPr>
        <w:t xml:space="preserve">     По санитарно-химически показателям вода питьевая, на выходе с ВОС, в магистральных и распределительных сетях города </w:t>
      </w:r>
      <w:proofErr w:type="gramStart"/>
      <w:r w:rsidRPr="005019AD">
        <w:rPr>
          <w:rFonts w:ascii="Times New Roman" w:hAnsi="Times New Roman" w:cs="Times New Roman"/>
          <w:sz w:val="24"/>
          <w:szCs w:val="24"/>
        </w:rPr>
        <w:t>город  по</w:t>
      </w:r>
      <w:proofErr w:type="gramEnd"/>
      <w:r w:rsidRPr="005019AD">
        <w:rPr>
          <w:rFonts w:ascii="Times New Roman" w:hAnsi="Times New Roman" w:cs="Times New Roman"/>
          <w:sz w:val="24"/>
          <w:szCs w:val="24"/>
        </w:rPr>
        <w:t xml:space="preserve"> результатам  проведенных лабораторных  исследований в рамках контрольно- надзорных мероприятий и  социально-гигиенического мониторинга за 2018год  не соответствуют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w:t>
      </w:r>
      <w:proofErr w:type="gramStart"/>
      <w:r w:rsidRPr="005019AD">
        <w:rPr>
          <w:rFonts w:ascii="Times New Roman" w:hAnsi="Times New Roman" w:cs="Times New Roman"/>
          <w:sz w:val="24"/>
          <w:szCs w:val="24"/>
        </w:rPr>
        <w:t>водоснабжения»  (</w:t>
      </w:r>
      <w:proofErr w:type="gramEnd"/>
      <w:r w:rsidRPr="005019AD">
        <w:rPr>
          <w:rFonts w:ascii="Times New Roman" w:hAnsi="Times New Roman" w:cs="Times New Roman"/>
          <w:sz w:val="24"/>
          <w:szCs w:val="24"/>
        </w:rPr>
        <w:t>с изменениями на 28 июня 2010г.),  ГН 2.1.5.1315-03 «Предельно-допустимые концентрации химических веществ в воде водных объектов хозяйственно-питьевого и культурно-бытового водопользования»:</w:t>
      </w:r>
    </w:p>
    <w:p w:rsidR="008F3AF5" w:rsidRPr="005019AD" w:rsidRDefault="008F3AF5" w:rsidP="005019AD">
      <w:pPr>
        <w:autoSpaceDE w:val="0"/>
        <w:autoSpaceDN w:val="0"/>
        <w:adjustRightInd w:val="0"/>
        <w:spacing w:after="0" w:line="240" w:lineRule="auto"/>
        <w:jc w:val="both"/>
        <w:rPr>
          <w:rFonts w:ascii="Times New Roman" w:hAnsi="Times New Roman" w:cs="Times New Roman"/>
          <w:sz w:val="24"/>
          <w:szCs w:val="24"/>
        </w:rPr>
      </w:pPr>
      <w:r w:rsidRPr="005019AD">
        <w:rPr>
          <w:rFonts w:ascii="Times New Roman" w:hAnsi="Times New Roman" w:cs="Times New Roman"/>
          <w:sz w:val="24"/>
          <w:szCs w:val="24"/>
        </w:rPr>
        <w:t>по ВОС-1:</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sz w:val="24"/>
          <w:szCs w:val="24"/>
        </w:rPr>
        <w:t>-на выходе с ВОС-1 -   по показателям:</w:t>
      </w:r>
      <w:r w:rsidRPr="005019AD">
        <w:rPr>
          <w:rFonts w:ascii="Times New Roman" w:hAnsi="Times New Roman" w:cs="Times New Roman"/>
          <w:color w:val="000000"/>
          <w:sz w:val="24"/>
          <w:szCs w:val="24"/>
        </w:rPr>
        <w:t xml:space="preserve"> цветность, окисляемость перманганатная, железо, аммиак (по азоту);</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sz w:val="24"/>
          <w:szCs w:val="24"/>
        </w:rPr>
        <w:t xml:space="preserve">-разводящей сети, (холодного </w:t>
      </w:r>
      <w:proofErr w:type="gramStart"/>
      <w:r w:rsidRPr="005019AD">
        <w:rPr>
          <w:rFonts w:ascii="Times New Roman" w:hAnsi="Times New Roman" w:cs="Times New Roman"/>
          <w:sz w:val="24"/>
          <w:szCs w:val="24"/>
        </w:rPr>
        <w:t>водоснабжения)-</w:t>
      </w:r>
      <w:proofErr w:type="gramEnd"/>
      <w:r w:rsidRPr="005019AD">
        <w:rPr>
          <w:rFonts w:ascii="Times New Roman" w:hAnsi="Times New Roman" w:cs="Times New Roman"/>
          <w:sz w:val="24"/>
          <w:szCs w:val="24"/>
        </w:rPr>
        <w:t xml:space="preserve"> по показателям: аммиак (по азоту), </w:t>
      </w:r>
      <w:r w:rsidRPr="005019AD">
        <w:rPr>
          <w:rFonts w:ascii="Times New Roman" w:hAnsi="Times New Roman" w:cs="Times New Roman"/>
          <w:color w:val="000000"/>
          <w:sz w:val="24"/>
          <w:szCs w:val="24"/>
        </w:rPr>
        <w:t xml:space="preserve">железо, привкус, </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color w:val="000000"/>
          <w:sz w:val="24"/>
          <w:szCs w:val="24"/>
        </w:rPr>
        <w:t>-в магистральных сетях</w:t>
      </w:r>
      <w:r w:rsidRPr="005019AD">
        <w:rPr>
          <w:rFonts w:ascii="Times New Roman" w:hAnsi="Times New Roman" w:cs="Times New Roman"/>
          <w:sz w:val="24"/>
          <w:szCs w:val="24"/>
        </w:rPr>
        <w:t xml:space="preserve"> по показателям: аммиак (по азоту),</w:t>
      </w:r>
      <w:r w:rsidRPr="005019AD">
        <w:rPr>
          <w:rFonts w:ascii="Times New Roman" w:hAnsi="Times New Roman" w:cs="Times New Roman"/>
          <w:color w:val="000000"/>
          <w:sz w:val="24"/>
          <w:szCs w:val="24"/>
        </w:rPr>
        <w:t xml:space="preserve"> железо, мутность.</w:t>
      </w:r>
    </w:p>
    <w:p w:rsidR="008F3AF5" w:rsidRPr="005019AD" w:rsidRDefault="008F3AF5" w:rsidP="005019AD">
      <w:pPr>
        <w:autoSpaceDE w:val="0"/>
        <w:autoSpaceDN w:val="0"/>
        <w:adjustRightInd w:val="0"/>
        <w:spacing w:after="0" w:line="240" w:lineRule="auto"/>
        <w:jc w:val="both"/>
        <w:rPr>
          <w:rFonts w:ascii="Times New Roman" w:hAnsi="Times New Roman" w:cs="Times New Roman"/>
          <w:color w:val="000000"/>
          <w:sz w:val="24"/>
          <w:szCs w:val="24"/>
        </w:rPr>
      </w:pPr>
      <w:r w:rsidRPr="005019AD">
        <w:rPr>
          <w:rFonts w:ascii="Times New Roman" w:hAnsi="Times New Roman" w:cs="Times New Roman"/>
          <w:color w:val="000000"/>
          <w:sz w:val="24"/>
          <w:szCs w:val="24"/>
        </w:rPr>
        <w:t>-по ВОС-</w:t>
      </w:r>
      <w:proofErr w:type="gramStart"/>
      <w:r w:rsidRPr="005019AD">
        <w:rPr>
          <w:rFonts w:ascii="Times New Roman" w:hAnsi="Times New Roman" w:cs="Times New Roman"/>
          <w:color w:val="000000"/>
          <w:sz w:val="24"/>
          <w:szCs w:val="24"/>
        </w:rPr>
        <w:t>2 :</w:t>
      </w:r>
      <w:proofErr w:type="gramEnd"/>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sz w:val="24"/>
          <w:szCs w:val="24"/>
        </w:rPr>
        <w:t xml:space="preserve">-на выходе с ВОС-2 -   по </w:t>
      </w:r>
      <w:proofErr w:type="gramStart"/>
      <w:r w:rsidRPr="005019AD">
        <w:rPr>
          <w:rFonts w:ascii="Times New Roman" w:hAnsi="Times New Roman" w:cs="Times New Roman"/>
          <w:sz w:val="24"/>
          <w:szCs w:val="24"/>
        </w:rPr>
        <w:t>показателям:  цветность</w:t>
      </w:r>
      <w:proofErr w:type="gramEnd"/>
      <w:r w:rsidRPr="005019AD">
        <w:rPr>
          <w:rFonts w:ascii="Times New Roman" w:hAnsi="Times New Roman" w:cs="Times New Roman"/>
          <w:sz w:val="24"/>
          <w:szCs w:val="24"/>
        </w:rPr>
        <w:t>,  о</w:t>
      </w:r>
      <w:r w:rsidRPr="005019AD">
        <w:rPr>
          <w:rFonts w:ascii="Times New Roman" w:hAnsi="Times New Roman" w:cs="Times New Roman"/>
          <w:color w:val="000000"/>
          <w:sz w:val="24"/>
          <w:szCs w:val="24"/>
        </w:rPr>
        <w:t>кисляемость перманганатная, железо, аммиак (по азоту), запах при 60С</w:t>
      </w:r>
      <w:r w:rsidRPr="005019AD">
        <w:rPr>
          <w:rFonts w:ascii="Times New Roman" w:hAnsi="Times New Roman" w:cs="Times New Roman"/>
          <w:color w:val="000000"/>
          <w:sz w:val="24"/>
          <w:szCs w:val="24"/>
          <w:vertAlign w:val="superscript"/>
        </w:rPr>
        <w:t>0</w:t>
      </w:r>
      <w:r w:rsidRPr="005019AD">
        <w:rPr>
          <w:rFonts w:ascii="Times New Roman" w:hAnsi="Times New Roman" w:cs="Times New Roman"/>
          <w:color w:val="000000"/>
          <w:sz w:val="24"/>
          <w:szCs w:val="24"/>
        </w:rPr>
        <w:t xml:space="preserve">, привкус </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sz w:val="24"/>
          <w:szCs w:val="24"/>
        </w:rPr>
        <w:t xml:space="preserve">-разводящей </w:t>
      </w:r>
      <w:proofErr w:type="gramStart"/>
      <w:r w:rsidRPr="005019AD">
        <w:rPr>
          <w:rFonts w:ascii="Times New Roman" w:hAnsi="Times New Roman" w:cs="Times New Roman"/>
          <w:sz w:val="24"/>
          <w:szCs w:val="24"/>
        </w:rPr>
        <w:t>сети,  (</w:t>
      </w:r>
      <w:proofErr w:type="gramEnd"/>
      <w:r w:rsidRPr="005019AD">
        <w:rPr>
          <w:rFonts w:ascii="Times New Roman" w:hAnsi="Times New Roman" w:cs="Times New Roman"/>
          <w:sz w:val="24"/>
          <w:szCs w:val="24"/>
        </w:rPr>
        <w:t>горячего водоснабжения) -   по показателям: запах при 60 °C, цветность, о</w:t>
      </w:r>
      <w:r w:rsidRPr="005019AD">
        <w:rPr>
          <w:rFonts w:ascii="Times New Roman" w:hAnsi="Times New Roman" w:cs="Times New Roman"/>
          <w:color w:val="000000"/>
          <w:sz w:val="24"/>
          <w:szCs w:val="24"/>
        </w:rPr>
        <w:t>кисляемость перманганатная, железо, аммиак (по азоту), привкус;</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sz w:val="24"/>
          <w:szCs w:val="24"/>
        </w:rPr>
        <w:t xml:space="preserve">-разводящей сети, (холодного водоснабжения) -   по показателям: запах при 60 °C, </w:t>
      </w:r>
      <w:proofErr w:type="gramStart"/>
      <w:r w:rsidRPr="005019AD">
        <w:rPr>
          <w:rFonts w:ascii="Times New Roman" w:hAnsi="Times New Roman" w:cs="Times New Roman"/>
          <w:sz w:val="24"/>
          <w:szCs w:val="24"/>
        </w:rPr>
        <w:t>цветность,  о</w:t>
      </w:r>
      <w:r w:rsidRPr="005019AD">
        <w:rPr>
          <w:rFonts w:ascii="Times New Roman" w:hAnsi="Times New Roman" w:cs="Times New Roman"/>
          <w:color w:val="000000"/>
          <w:sz w:val="24"/>
          <w:szCs w:val="24"/>
        </w:rPr>
        <w:t>кисляемость</w:t>
      </w:r>
      <w:proofErr w:type="gramEnd"/>
      <w:r w:rsidRPr="005019AD">
        <w:rPr>
          <w:rFonts w:ascii="Times New Roman" w:hAnsi="Times New Roman" w:cs="Times New Roman"/>
          <w:color w:val="000000"/>
          <w:sz w:val="24"/>
          <w:szCs w:val="24"/>
        </w:rPr>
        <w:t xml:space="preserve"> перманганатная, железо, аммиак (по азоту), привкус;</w:t>
      </w:r>
    </w:p>
    <w:p w:rsidR="008F3AF5" w:rsidRPr="005019AD" w:rsidRDefault="008F3AF5" w:rsidP="005019AD">
      <w:pPr>
        <w:autoSpaceDE w:val="0"/>
        <w:autoSpaceDN w:val="0"/>
        <w:adjustRightInd w:val="0"/>
        <w:spacing w:after="0" w:line="240" w:lineRule="auto"/>
        <w:rPr>
          <w:rFonts w:ascii="Times New Roman" w:hAnsi="Times New Roman" w:cs="Times New Roman"/>
          <w:color w:val="000000"/>
          <w:sz w:val="24"/>
          <w:szCs w:val="24"/>
        </w:rPr>
      </w:pPr>
      <w:r w:rsidRPr="005019AD">
        <w:rPr>
          <w:rFonts w:ascii="Times New Roman" w:hAnsi="Times New Roman" w:cs="Times New Roman"/>
          <w:color w:val="000000"/>
          <w:sz w:val="24"/>
          <w:szCs w:val="24"/>
        </w:rPr>
        <w:t>-по ВОС-3:</w:t>
      </w:r>
    </w:p>
    <w:p w:rsidR="008F3AF5" w:rsidRPr="005019AD" w:rsidRDefault="008F3AF5" w:rsidP="005019AD">
      <w:pPr>
        <w:autoSpaceDE w:val="0"/>
        <w:autoSpaceDN w:val="0"/>
        <w:adjustRightInd w:val="0"/>
        <w:spacing w:after="0" w:line="240" w:lineRule="auto"/>
        <w:jc w:val="both"/>
        <w:rPr>
          <w:rFonts w:ascii="Times New Roman" w:hAnsi="Times New Roman" w:cs="Times New Roman"/>
          <w:color w:val="000000"/>
          <w:sz w:val="24"/>
          <w:szCs w:val="24"/>
        </w:rPr>
      </w:pPr>
      <w:r w:rsidRPr="005019AD">
        <w:rPr>
          <w:rFonts w:ascii="Times New Roman" w:hAnsi="Times New Roman" w:cs="Times New Roman"/>
          <w:sz w:val="24"/>
          <w:szCs w:val="24"/>
        </w:rPr>
        <w:t xml:space="preserve">на выходе с ВОС-3 - по </w:t>
      </w:r>
      <w:proofErr w:type="gramStart"/>
      <w:r w:rsidRPr="005019AD">
        <w:rPr>
          <w:rFonts w:ascii="Times New Roman" w:hAnsi="Times New Roman" w:cs="Times New Roman"/>
          <w:sz w:val="24"/>
          <w:szCs w:val="24"/>
        </w:rPr>
        <w:t>показателям:  по</w:t>
      </w:r>
      <w:proofErr w:type="gramEnd"/>
      <w:r w:rsidRPr="005019AD">
        <w:rPr>
          <w:rFonts w:ascii="Times New Roman" w:hAnsi="Times New Roman" w:cs="Times New Roman"/>
          <w:sz w:val="24"/>
          <w:szCs w:val="24"/>
        </w:rPr>
        <w:t xml:space="preserve"> аммиак (по азоту), цветность,   о</w:t>
      </w:r>
      <w:r w:rsidRPr="005019AD">
        <w:rPr>
          <w:rFonts w:ascii="Times New Roman" w:hAnsi="Times New Roman" w:cs="Times New Roman"/>
          <w:color w:val="000000"/>
          <w:sz w:val="24"/>
          <w:szCs w:val="24"/>
        </w:rPr>
        <w:t>кисляемость перманганатная, железо, привкус,цветность,</w:t>
      </w:r>
      <w:r w:rsidRPr="005019AD">
        <w:rPr>
          <w:rFonts w:ascii="Times New Roman" w:hAnsi="Times New Roman" w:cs="Times New Roman"/>
          <w:sz w:val="24"/>
          <w:szCs w:val="24"/>
        </w:rPr>
        <w:t xml:space="preserve"> запах при 60 °C;</w:t>
      </w:r>
    </w:p>
    <w:p w:rsidR="008F3AF5" w:rsidRPr="005019AD" w:rsidRDefault="008F3AF5" w:rsidP="005019AD">
      <w:pPr>
        <w:autoSpaceDE w:val="0"/>
        <w:autoSpaceDN w:val="0"/>
        <w:adjustRightInd w:val="0"/>
        <w:spacing w:after="0" w:line="240" w:lineRule="auto"/>
        <w:jc w:val="both"/>
        <w:rPr>
          <w:rFonts w:ascii="Times New Roman" w:hAnsi="Times New Roman" w:cs="Times New Roman"/>
          <w:color w:val="000000"/>
          <w:sz w:val="24"/>
          <w:szCs w:val="24"/>
        </w:rPr>
      </w:pPr>
      <w:r w:rsidRPr="005019AD">
        <w:rPr>
          <w:rFonts w:ascii="Times New Roman" w:hAnsi="Times New Roman" w:cs="Times New Roman"/>
          <w:sz w:val="24"/>
          <w:szCs w:val="24"/>
        </w:rPr>
        <w:t xml:space="preserve">-разводящей сети, (холодного </w:t>
      </w:r>
      <w:proofErr w:type="gramStart"/>
      <w:r w:rsidRPr="005019AD">
        <w:rPr>
          <w:rFonts w:ascii="Times New Roman" w:hAnsi="Times New Roman" w:cs="Times New Roman"/>
          <w:sz w:val="24"/>
          <w:szCs w:val="24"/>
        </w:rPr>
        <w:t>водоснабжения)-</w:t>
      </w:r>
      <w:proofErr w:type="gramEnd"/>
      <w:r w:rsidRPr="005019AD">
        <w:rPr>
          <w:rFonts w:ascii="Times New Roman" w:hAnsi="Times New Roman" w:cs="Times New Roman"/>
          <w:sz w:val="24"/>
          <w:szCs w:val="24"/>
        </w:rPr>
        <w:t xml:space="preserve">  ,  по показателям : аммиак ( по азоту), цветность, </w:t>
      </w:r>
      <w:r w:rsidRPr="005019AD">
        <w:rPr>
          <w:rFonts w:ascii="Times New Roman" w:hAnsi="Times New Roman" w:cs="Times New Roman"/>
          <w:color w:val="000000"/>
          <w:sz w:val="24"/>
          <w:szCs w:val="24"/>
        </w:rPr>
        <w:t>окисляемость  перманганатная;</w:t>
      </w:r>
    </w:p>
    <w:p w:rsidR="008F3AF5" w:rsidRPr="005019AD" w:rsidRDefault="008F3AF5" w:rsidP="005019AD">
      <w:pPr>
        <w:autoSpaceDE w:val="0"/>
        <w:autoSpaceDN w:val="0"/>
        <w:adjustRightInd w:val="0"/>
        <w:spacing w:after="0" w:line="240" w:lineRule="auto"/>
        <w:jc w:val="both"/>
        <w:rPr>
          <w:rFonts w:ascii="Times New Roman" w:hAnsi="Times New Roman" w:cs="Times New Roman"/>
          <w:color w:val="000000"/>
          <w:sz w:val="24"/>
          <w:szCs w:val="24"/>
        </w:rPr>
      </w:pPr>
      <w:r w:rsidRPr="005019AD">
        <w:rPr>
          <w:rFonts w:ascii="Times New Roman" w:hAnsi="Times New Roman" w:cs="Times New Roman"/>
          <w:color w:val="000000"/>
          <w:sz w:val="24"/>
          <w:szCs w:val="24"/>
        </w:rPr>
        <w:t>-в магистральных сетях</w:t>
      </w:r>
      <w:r w:rsidRPr="005019AD">
        <w:rPr>
          <w:rFonts w:ascii="Times New Roman" w:hAnsi="Times New Roman" w:cs="Times New Roman"/>
          <w:sz w:val="24"/>
          <w:szCs w:val="24"/>
        </w:rPr>
        <w:t xml:space="preserve"> по </w:t>
      </w:r>
      <w:proofErr w:type="gramStart"/>
      <w:r w:rsidRPr="005019AD">
        <w:rPr>
          <w:rFonts w:ascii="Times New Roman" w:hAnsi="Times New Roman" w:cs="Times New Roman"/>
          <w:sz w:val="24"/>
          <w:szCs w:val="24"/>
        </w:rPr>
        <w:t>показателям:  запах</w:t>
      </w:r>
      <w:proofErr w:type="gramEnd"/>
      <w:r w:rsidRPr="005019AD">
        <w:rPr>
          <w:rFonts w:ascii="Times New Roman" w:hAnsi="Times New Roman" w:cs="Times New Roman"/>
          <w:sz w:val="24"/>
          <w:szCs w:val="24"/>
        </w:rPr>
        <w:t xml:space="preserve"> при 60 °C, привкус,  по аммиак ( по азоту), цветность, мутность,  о</w:t>
      </w:r>
      <w:r w:rsidRPr="005019AD">
        <w:rPr>
          <w:rFonts w:ascii="Times New Roman" w:hAnsi="Times New Roman" w:cs="Times New Roman"/>
          <w:color w:val="000000"/>
          <w:sz w:val="24"/>
          <w:szCs w:val="24"/>
        </w:rPr>
        <w:t>кисляемость перманганатная, железо.</w:t>
      </w:r>
    </w:p>
    <w:p w:rsidR="008F3AF5" w:rsidRPr="005019AD" w:rsidRDefault="008F3AF5" w:rsidP="005019AD">
      <w:pPr>
        <w:autoSpaceDE w:val="0"/>
        <w:autoSpaceDN w:val="0"/>
        <w:adjustRightInd w:val="0"/>
        <w:spacing w:after="0" w:line="240" w:lineRule="auto"/>
        <w:jc w:val="both"/>
        <w:rPr>
          <w:rFonts w:ascii="Times New Roman" w:hAnsi="Times New Roman" w:cs="Times New Roman"/>
          <w:sz w:val="24"/>
          <w:szCs w:val="24"/>
        </w:rPr>
      </w:pPr>
      <w:r w:rsidRPr="005019AD">
        <w:rPr>
          <w:rFonts w:ascii="Times New Roman" w:hAnsi="Times New Roman" w:cs="Times New Roman"/>
          <w:sz w:val="24"/>
          <w:szCs w:val="24"/>
        </w:rPr>
        <w:t>-по ВОС-4:</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sz w:val="24"/>
          <w:szCs w:val="24"/>
        </w:rPr>
        <w:t>-на выходе с ВОС-</w:t>
      </w:r>
      <w:proofErr w:type="gramStart"/>
      <w:r w:rsidRPr="005019AD">
        <w:rPr>
          <w:rFonts w:ascii="Times New Roman" w:hAnsi="Times New Roman" w:cs="Times New Roman"/>
          <w:sz w:val="24"/>
          <w:szCs w:val="24"/>
        </w:rPr>
        <w:t>4  по</w:t>
      </w:r>
      <w:proofErr w:type="gramEnd"/>
      <w:r w:rsidRPr="005019AD">
        <w:rPr>
          <w:rFonts w:ascii="Times New Roman" w:hAnsi="Times New Roman" w:cs="Times New Roman"/>
          <w:sz w:val="24"/>
          <w:szCs w:val="24"/>
        </w:rPr>
        <w:t xml:space="preserve"> показателям:  запах при 60 °C , привкус, мутность.  </w:t>
      </w:r>
      <w:proofErr w:type="gramStart"/>
      <w:r w:rsidRPr="005019AD">
        <w:rPr>
          <w:rFonts w:ascii="Times New Roman" w:hAnsi="Times New Roman" w:cs="Times New Roman"/>
          <w:sz w:val="24"/>
          <w:szCs w:val="24"/>
        </w:rPr>
        <w:t xml:space="preserve">цветность,   </w:t>
      </w:r>
      <w:proofErr w:type="gramEnd"/>
      <w:r w:rsidRPr="005019AD">
        <w:rPr>
          <w:rFonts w:ascii="Times New Roman" w:hAnsi="Times New Roman" w:cs="Times New Roman"/>
          <w:sz w:val="24"/>
          <w:szCs w:val="24"/>
        </w:rPr>
        <w:t>о</w:t>
      </w:r>
      <w:r w:rsidRPr="005019AD">
        <w:rPr>
          <w:rFonts w:ascii="Times New Roman" w:hAnsi="Times New Roman" w:cs="Times New Roman"/>
          <w:color w:val="000000"/>
          <w:sz w:val="24"/>
          <w:szCs w:val="24"/>
        </w:rPr>
        <w:t>кисляемость перманганатная, железо, аммиак ( по азоту);</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sz w:val="24"/>
          <w:szCs w:val="24"/>
        </w:rPr>
        <w:t>-разводящей сети (горячего водоснабжения) -   по показателям: запах при 60 °</w:t>
      </w:r>
      <w:proofErr w:type="gramStart"/>
      <w:r w:rsidRPr="005019AD">
        <w:rPr>
          <w:rFonts w:ascii="Times New Roman" w:hAnsi="Times New Roman" w:cs="Times New Roman"/>
          <w:sz w:val="24"/>
          <w:szCs w:val="24"/>
        </w:rPr>
        <w:t>C ,</w:t>
      </w:r>
      <w:proofErr w:type="gramEnd"/>
      <w:r w:rsidRPr="005019AD">
        <w:rPr>
          <w:rFonts w:ascii="Times New Roman" w:hAnsi="Times New Roman" w:cs="Times New Roman"/>
          <w:sz w:val="24"/>
          <w:szCs w:val="24"/>
        </w:rPr>
        <w:t xml:space="preserve"> привкус, мутность.  </w:t>
      </w:r>
      <w:proofErr w:type="gramStart"/>
      <w:r w:rsidRPr="005019AD">
        <w:rPr>
          <w:rFonts w:ascii="Times New Roman" w:hAnsi="Times New Roman" w:cs="Times New Roman"/>
          <w:sz w:val="24"/>
          <w:szCs w:val="24"/>
        </w:rPr>
        <w:t xml:space="preserve">цветность,   </w:t>
      </w:r>
      <w:proofErr w:type="gramEnd"/>
      <w:r w:rsidRPr="005019AD">
        <w:rPr>
          <w:rFonts w:ascii="Times New Roman" w:hAnsi="Times New Roman" w:cs="Times New Roman"/>
          <w:sz w:val="24"/>
          <w:szCs w:val="24"/>
        </w:rPr>
        <w:t>о</w:t>
      </w:r>
      <w:r w:rsidRPr="005019AD">
        <w:rPr>
          <w:rFonts w:ascii="Times New Roman" w:hAnsi="Times New Roman" w:cs="Times New Roman"/>
          <w:color w:val="000000"/>
          <w:sz w:val="24"/>
          <w:szCs w:val="24"/>
        </w:rPr>
        <w:t>кисляемость перманганатная, железо, аммиак ( по азоту);</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sz w:val="24"/>
          <w:szCs w:val="24"/>
        </w:rPr>
        <w:t>-разводящей сети (холодного водоснабжения) -   -   по показателям: запах при 60 °</w:t>
      </w:r>
      <w:proofErr w:type="gramStart"/>
      <w:r w:rsidRPr="005019AD">
        <w:rPr>
          <w:rFonts w:ascii="Times New Roman" w:hAnsi="Times New Roman" w:cs="Times New Roman"/>
          <w:sz w:val="24"/>
          <w:szCs w:val="24"/>
        </w:rPr>
        <w:t>C ,</w:t>
      </w:r>
      <w:proofErr w:type="gramEnd"/>
      <w:r w:rsidRPr="005019AD">
        <w:rPr>
          <w:rFonts w:ascii="Times New Roman" w:hAnsi="Times New Roman" w:cs="Times New Roman"/>
          <w:sz w:val="24"/>
          <w:szCs w:val="24"/>
        </w:rPr>
        <w:t xml:space="preserve"> привкус ,цветность.. мутность.  о</w:t>
      </w:r>
      <w:r w:rsidRPr="005019AD">
        <w:rPr>
          <w:rFonts w:ascii="Times New Roman" w:hAnsi="Times New Roman" w:cs="Times New Roman"/>
          <w:color w:val="000000"/>
          <w:sz w:val="24"/>
          <w:szCs w:val="24"/>
        </w:rPr>
        <w:t xml:space="preserve">кисляемость перманганатная, железо, аммиак </w:t>
      </w:r>
      <w:proofErr w:type="gramStart"/>
      <w:r w:rsidRPr="005019AD">
        <w:rPr>
          <w:rFonts w:ascii="Times New Roman" w:hAnsi="Times New Roman" w:cs="Times New Roman"/>
          <w:color w:val="000000"/>
          <w:sz w:val="24"/>
          <w:szCs w:val="24"/>
        </w:rPr>
        <w:t>( по</w:t>
      </w:r>
      <w:proofErr w:type="gramEnd"/>
      <w:r w:rsidRPr="005019AD">
        <w:rPr>
          <w:rFonts w:ascii="Times New Roman" w:hAnsi="Times New Roman" w:cs="Times New Roman"/>
          <w:color w:val="000000"/>
          <w:sz w:val="24"/>
          <w:szCs w:val="24"/>
        </w:rPr>
        <w:t xml:space="preserve"> азоту);</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color w:val="000000"/>
          <w:sz w:val="24"/>
          <w:szCs w:val="24"/>
        </w:rPr>
        <w:t>-в магистральных сетях</w:t>
      </w:r>
      <w:r w:rsidRPr="005019AD">
        <w:rPr>
          <w:rFonts w:ascii="Times New Roman" w:hAnsi="Times New Roman" w:cs="Times New Roman"/>
          <w:sz w:val="24"/>
          <w:szCs w:val="24"/>
        </w:rPr>
        <w:t xml:space="preserve"> по показателям: по показателям: запах при 60 °</w:t>
      </w:r>
      <w:proofErr w:type="gramStart"/>
      <w:r w:rsidRPr="005019AD">
        <w:rPr>
          <w:rFonts w:ascii="Times New Roman" w:hAnsi="Times New Roman" w:cs="Times New Roman"/>
          <w:sz w:val="24"/>
          <w:szCs w:val="24"/>
        </w:rPr>
        <w:t>C ,</w:t>
      </w:r>
      <w:proofErr w:type="gramEnd"/>
      <w:r w:rsidRPr="005019AD">
        <w:rPr>
          <w:rFonts w:ascii="Times New Roman" w:hAnsi="Times New Roman" w:cs="Times New Roman"/>
          <w:sz w:val="24"/>
          <w:szCs w:val="24"/>
        </w:rPr>
        <w:t xml:space="preserve"> привкус, цветность, мутность, о</w:t>
      </w:r>
      <w:r w:rsidRPr="005019AD">
        <w:rPr>
          <w:rFonts w:ascii="Times New Roman" w:hAnsi="Times New Roman" w:cs="Times New Roman"/>
          <w:color w:val="000000"/>
          <w:sz w:val="24"/>
          <w:szCs w:val="24"/>
        </w:rPr>
        <w:t>кисляемость перманганатная, железо, аммиак (по азоту);</w:t>
      </w:r>
    </w:p>
    <w:p w:rsidR="008F3AF5" w:rsidRPr="005019AD" w:rsidRDefault="008F3AF5" w:rsidP="005019AD">
      <w:pPr>
        <w:autoSpaceDE w:val="0"/>
        <w:autoSpaceDN w:val="0"/>
        <w:adjustRightInd w:val="0"/>
        <w:spacing w:after="0" w:line="240" w:lineRule="auto"/>
        <w:ind w:left="709" w:hanging="709"/>
        <w:jc w:val="both"/>
        <w:rPr>
          <w:rFonts w:ascii="Times New Roman" w:hAnsi="Times New Roman" w:cs="Times New Roman"/>
          <w:sz w:val="24"/>
          <w:szCs w:val="24"/>
        </w:rPr>
      </w:pPr>
      <w:r w:rsidRPr="005019AD">
        <w:rPr>
          <w:rFonts w:ascii="Times New Roman" w:hAnsi="Times New Roman" w:cs="Times New Roman"/>
          <w:sz w:val="24"/>
          <w:szCs w:val="24"/>
        </w:rPr>
        <w:t xml:space="preserve">-по ВОС «Южно-Балыкского </w:t>
      </w:r>
      <w:proofErr w:type="gramStart"/>
      <w:r w:rsidRPr="005019AD">
        <w:rPr>
          <w:rFonts w:ascii="Times New Roman" w:hAnsi="Times New Roman" w:cs="Times New Roman"/>
          <w:sz w:val="24"/>
          <w:szCs w:val="24"/>
        </w:rPr>
        <w:t>ГПЗ»-</w:t>
      </w:r>
      <w:proofErr w:type="gramEnd"/>
      <w:r w:rsidRPr="005019AD">
        <w:rPr>
          <w:rFonts w:ascii="Times New Roman" w:hAnsi="Times New Roman" w:cs="Times New Roman"/>
          <w:sz w:val="24"/>
          <w:szCs w:val="24"/>
        </w:rPr>
        <w:t>филиал «СибурТюменьГаз»:</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sz w:val="24"/>
          <w:szCs w:val="24"/>
        </w:rPr>
        <w:t>-на выходе с ВОС по показателям: цветность</w:t>
      </w:r>
      <w:r w:rsidRPr="005019AD">
        <w:rPr>
          <w:rFonts w:ascii="Times New Roman" w:hAnsi="Times New Roman" w:cs="Times New Roman"/>
          <w:color w:val="000000"/>
          <w:sz w:val="24"/>
          <w:szCs w:val="24"/>
        </w:rPr>
        <w:t>, железо, окисляемость перманганатная, мутность,</w:t>
      </w:r>
      <w:r w:rsidRPr="005019AD">
        <w:rPr>
          <w:rFonts w:ascii="Times New Roman" w:hAnsi="Times New Roman" w:cs="Times New Roman"/>
          <w:sz w:val="24"/>
          <w:szCs w:val="24"/>
        </w:rPr>
        <w:t xml:space="preserve"> запах при 60 °</w:t>
      </w:r>
      <w:proofErr w:type="gramStart"/>
      <w:r w:rsidRPr="005019AD">
        <w:rPr>
          <w:rFonts w:ascii="Times New Roman" w:hAnsi="Times New Roman" w:cs="Times New Roman"/>
          <w:sz w:val="24"/>
          <w:szCs w:val="24"/>
        </w:rPr>
        <w:t>C,привкус</w:t>
      </w:r>
      <w:proofErr w:type="gramEnd"/>
      <w:r w:rsidRPr="005019AD">
        <w:rPr>
          <w:rFonts w:ascii="Times New Roman" w:hAnsi="Times New Roman" w:cs="Times New Roman"/>
          <w:sz w:val="24"/>
          <w:szCs w:val="24"/>
        </w:rPr>
        <w:t>;</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sz w:val="24"/>
          <w:szCs w:val="24"/>
        </w:rPr>
        <w:t xml:space="preserve">-разводящей сети (горячего </w:t>
      </w:r>
      <w:proofErr w:type="gramStart"/>
      <w:r w:rsidRPr="005019AD">
        <w:rPr>
          <w:rFonts w:ascii="Times New Roman" w:hAnsi="Times New Roman" w:cs="Times New Roman"/>
          <w:sz w:val="24"/>
          <w:szCs w:val="24"/>
        </w:rPr>
        <w:t>водоснабжения)-</w:t>
      </w:r>
      <w:proofErr w:type="gramEnd"/>
      <w:r w:rsidRPr="005019AD">
        <w:rPr>
          <w:rFonts w:ascii="Times New Roman" w:hAnsi="Times New Roman" w:cs="Times New Roman"/>
          <w:sz w:val="24"/>
          <w:szCs w:val="24"/>
        </w:rPr>
        <w:t xml:space="preserve">   по показателям: запах при 60 °C, привкус, цветность, мутность</w:t>
      </w:r>
      <w:r w:rsidRPr="005019AD">
        <w:rPr>
          <w:rFonts w:ascii="Times New Roman" w:hAnsi="Times New Roman" w:cs="Times New Roman"/>
          <w:color w:val="000000"/>
          <w:sz w:val="24"/>
          <w:szCs w:val="24"/>
        </w:rPr>
        <w:t>, железо, аммиак (по азоту);</w:t>
      </w:r>
    </w:p>
    <w:p w:rsidR="008F3AF5" w:rsidRPr="005019AD" w:rsidRDefault="008F3AF5" w:rsidP="005019A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19AD">
        <w:rPr>
          <w:rFonts w:ascii="Times New Roman" w:hAnsi="Times New Roman" w:cs="Times New Roman"/>
          <w:sz w:val="24"/>
          <w:szCs w:val="24"/>
        </w:rPr>
        <w:t xml:space="preserve">         -разводящей сети (холодного водоснабжения) -   по </w:t>
      </w:r>
      <w:proofErr w:type="gramStart"/>
      <w:r w:rsidRPr="005019AD">
        <w:rPr>
          <w:rFonts w:ascii="Times New Roman" w:hAnsi="Times New Roman" w:cs="Times New Roman"/>
          <w:sz w:val="24"/>
          <w:szCs w:val="24"/>
        </w:rPr>
        <w:t>показателям:  запах</w:t>
      </w:r>
      <w:proofErr w:type="gramEnd"/>
      <w:r w:rsidRPr="005019AD">
        <w:rPr>
          <w:rFonts w:ascii="Times New Roman" w:hAnsi="Times New Roman" w:cs="Times New Roman"/>
          <w:sz w:val="24"/>
          <w:szCs w:val="24"/>
        </w:rPr>
        <w:t xml:space="preserve"> при 60 °C, привкус, </w:t>
      </w:r>
      <w:r w:rsidRPr="005019AD">
        <w:rPr>
          <w:rFonts w:ascii="Times New Roman" w:hAnsi="Times New Roman" w:cs="Times New Roman"/>
          <w:color w:val="000000"/>
          <w:sz w:val="24"/>
          <w:szCs w:val="24"/>
        </w:rPr>
        <w:t xml:space="preserve"> железо,</w:t>
      </w:r>
      <w:r w:rsidRPr="005019AD">
        <w:rPr>
          <w:rFonts w:ascii="Times New Roman" w:hAnsi="Times New Roman" w:cs="Times New Roman"/>
          <w:sz w:val="24"/>
          <w:szCs w:val="24"/>
        </w:rPr>
        <w:t xml:space="preserve"> цветность</w:t>
      </w:r>
      <w:r w:rsidRPr="005019AD">
        <w:rPr>
          <w:rFonts w:ascii="Times New Roman" w:hAnsi="Times New Roman" w:cs="Times New Roman"/>
          <w:color w:val="000000"/>
          <w:sz w:val="24"/>
          <w:szCs w:val="24"/>
        </w:rPr>
        <w:t>, аммиак(по азоту),окисляемость перманганатная;</w:t>
      </w:r>
    </w:p>
    <w:p w:rsidR="008F3AF5" w:rsidRPr="005019AD" w:rsidRDefault="008F3AF5" w:rsidP="005019AD">
      <w:pPr>
        <w:autoSpaceDE w:val="0"/>
        <w:autoSpaceDN w:val="0"/>
        <w:adjustRightInd w:val="0"/>
        <w:spacing w:after="0" w:line="240" w:lineRule="auto"/>
        <w:ind w:left="709"/>
        <w:jc w:val="both"/>
        <w:rPr>
          <w:rFonts w:ascii="Times New Roman" w:hAnsi="Times New Roman" w:cs="Times New Roman"/>
          <w:sz w:val="24"/>
          <w:szCs w:val="24"/>
          <w:highlight w:val="red"/>
        </w:rPr>
      </w:pPr>
    </w:p>
    <w:p w:rsidR="008F3AF5" w:rsidRPr="005019AD" w:rsidRDefault="008F3AF5" w:rsidP="005019AD">
      <w:pPr>
        <w:autoSpaceDE w:val="0"/>
        <w:autoSpaceDN w:val="0"/>
        <w:adjustRightInd w:val="0"/>
        <w:spacing w:after="0" w:line="240" w:lineRule="auto"/>
        <w:ind w:left="709"/>
        <w:jc w:val="both"/>
        <w:rPr>
          <w:rFonts w:ascii="Times New Roman" w:hAnsi="Times New Roman" w:cs="Times New Roman"/>
          <w:color w:val="000000"/>
          <w:sz w:val="24"/>
          <w:szCs w:val="24"/>
          <w:highlight w:val="red"/>
        </w:rPr>
      </w:pPr>
    </w:p>
    <w:p w:rsidR="008F3AF5" w:rsidRPr="005019AD" w:rsidRDefault="008F3AF5" w:rsidP="005019AD">
      <w:pPr>
        <w:spacing w:after="0" w:line="240" w:lineRule="auto"/>
        <w:ind w:firstLine="567"/>
        <w:jc w:val="both"/>
        <w:rPr>
          <w:rFonts w:ascii="Times New Roman" w:hAnsi="Times New Roman" w:cs="Times New Roman"/>
          <w:color w:val="000000"/>
          <w:sz w:val="24"/>
          <w:szCs w:val="24"/>
        </w:rPr>
      </w:pPr>
      <w:bookmarkStart w:id="4" w:name="_Hlk63178471"/>
      <w:r w:rsidRPr="005019AD">
        <w:rPr>
          <w:rFonts w:ascii="Times New Roman" w:hAnsi="Times New Roman" w:cs="Times New Roman"/>
          <w:color w:val="000000"/>
          <w:sz w:val="24"/>
          <w:szCs w:val="24"/>
        </w:rPr>
        <w:lastRenderedPageBreak/>
        <w:t>В 2020</w:t>
      </w:r>
      <w:proofErr w:type="gramStart"/>
      <w:r w:rsidRPr="005019AD">
        <w:rPr>
          <w:rFonts w:ascii="Times New Roman" w:hAnsi="Times New Roman" w:cs="Times New Roman"/>
          <w:color w:val="000000"/>
          <w:sz w:val="24"/>
          <w:szCs w:val="24"/>
        </w:rPr>
        <w:t>году  остается</w:t>
      </w:r>
      <w:proofErr w:type="gramEnd"/>
      <w:r w:rsidRPr="005019AD">
        <w:rPr>
          <w:rFonts w:ascii="Times New Roman" w:hAnsi="Times New Roman" w:cs="Times New Roman"/>
          <w:color w:val="000000"/>
          <w:sz w:val="24"/>
          <w:szCs w:val="24"/>
        </w:rPr>
        <w:t xml:space="preserve"> высоким количества проб не соответствующих требованиям по показателям:</w:t>
      </w:r>
    </w:p>
    <w:p w:rsidR="008F3AF5" w:rsidRPr="005019AD" w:rsidRDefault="008F3AF5" w:rsidP="005019AD">
      <w:pPr>
        <w:spacing w:after="0" w:line="240" w:lineRule="auto"/>
        <w:ind w:firstLine="567"/>
        <w:jc w:val="both"/>
        <w:rPr>
          <w:rFonts w:ascii="Times New Roman" w:hAnsi="Times New Roman" w:cs="Times New Roman"/>
          <w:color w:val="000000"/>
          <w:sz w:val="24"/>
          <w:szCs w:val="24"/>
        </w:rPr>
      </w:pPr>
      <w:r w:rsidRPr="005019AD">
        <w:rPr>
          <w:rFonts w:ascii="Times New Roman" w:hAnsi="Times New Roman" w:cs="Times New Roman"/>
          <w:color w:val="000000"/>
          <w:sz w:val="24"/>
          <w:szCs w:val="24"/>
        </w:rPr>
        <w:t xml:space="preserve">- аммиак </w:t>
      </w:r>
      <w:proofErr w:type="gramStart"/>
      <w:r w:rsidRPr="005019AD">
        <w:rPr>
          <w:rFonts w:ascii="Times New Roman" w:hAnsi="Times New Roman" w:cs="Times New Roman"/>
          <w:color w:val="000000"/>
          <w:sz w:val="24"/>
          <w:szCs w:val="24"/>
        </w:rPr>
        <w:t>( по</w:t>
      </w:r>
      <w:proofErr w:type="gramEnd"/>
      <w:r w:rsidRPr="005019AD">
        <w:rPr>
          <w:rFonts w:ascii="Times New Roman" w:hAnsi="Times New Roman" w:cs="Times New Roman"/>
          <w:color w:val="000000"/>
          <w:sz w:val="24"/>
          <w:szCs w:val="24"/>
        </w:rPr>
        <w:t xml:space="preserve"> азоту) 46,15% исследованных проб превышают ПДК: до 1 ПДК-53,85 %, от 1,1-до 2 ПДК-41,31%, от 2.1 до 5 ПДК-3,85 % исследованных проб по СГМ;</w:t>
      </w:r>
    </w:p>
    <w:p w:rsidR="008F3AF5" w:rsidRPr="005019AD" w:rsidRDefault="008F3AF5" w:rsidP="005019AD">
      <w:pPr>
        <w:spacing w:after="0" w:line="240" w:lineRule="auto"/>
        <w:ind w:firstLine="567"/>
        <w:jc w:val="both"/>
        <w:rPr>
          <w:rFonts w:ascii="Times New Roman" w:hAnsi="Times New Roman" w:cs="Times New Roman"/>
          <w:sz w:val="24"/>
          <w:szCs w:val="24"/>
        </w:rPr>
      </w:pPr>
      <w:r w:rsidRPr="005019AD">
        <w:rPr>
          <w:rFonts w:ascii="Times New Roman" w:hAnsi="Times New Roman" w:cs="Times New Roman"/>
          <w:color w:val="000000"/>
          <w:sz w:val="24"/>
          <w:szCs w:val="24"/>
        </w:rPr>
        <w:t xml:space="preserve">- железо-88,5% исследованных проб превышают ПДК: до 1 ПДК-11,54 %, от 1,1-до 2 ПДК-11,54%, от 2.1 до 5 ПДК-42,31 %, более 5,1 ПДК-34,62% исследованных проб по </w:t>
      </w:r>
      <w:proofErr w:type="gramStart"/>
      <w:r w:rsidRPr="005019AD">
        <w:rPr>
          <w:rFonts w:ascii="Times New Roman" w:hAnsi="Times New Roman" w:cs="Times New Roman"/>
          <w:color w:val="000000"/>
          <w:sz w:val="24"/>
          <w:szCs w:val="24"/>
        </w:rPr>
        <w:t>СГМ ;</w:t>
      </w:r>
      <w:proofErr w:type="gramEnd"/>
    </w:p>
    <w:p w:rsidR="008F3AF5" w:rsidRPr="005019AD" w:rsidRDefault="008F3AF5" w:rsidP="005019AD">
      <w:pPr>
        <w:spacing w:after="0" w:line="240" w:lineRule="auto"/>
        <w:ind w:firstLine="709"/>
        <w:jc w:val="both"/>
        <w:rPr>
          <w:rFonts w:ascii="Times New Roman" w:hAnsi="Times New Roman" w:cs="Times New Roman"/>
          <w:sz w:val="24"/>
          <w:szCs w:val="24"/>
        </w:rPr>
      </w:pPr>
      <w:r w:rsidRPr="005019AD">
        <w:rPr>
          <w:rFonts w:ascii="Times New Roman" w:hAnsi="Times New Roman" w:cs="Times New Roman"/>
          <w:sz w:val="24"/>
          <w:szCs w:val="24"/>
        </w:rPr>
        <w:t>Таким образом 39844 человек г. Пыть-Ях не обеспечены питьевой водой соответствующего качества.</w:t>
      </w:r>
    </w:p>
    <w:p w:rsidR="008F3AF5" w:rsidRPr="005019AD" w:rsidRDefault="008F3AF5" w:rsidP="005019AD">
      <w:pPr>
        <w:pStyle w:val="ListParagraph1"/>
        <w:ind w:left="0" w:firstLine="708"/>
        <w:jc w:val="both"/>
        <w:rPr>
          <w:b/>
          <w:bCs/>
          <w:sz w:val="24"/>
          <w:szCs w:val="24"/>
        </w:rPr>
      </w:pPr>
      <w:r w:rsidRPr="005019AD">
        <w:rPr>
          <w:sz w:val="24"/>
          <w:szCs w:val="24"/>
        </w:rPr>
        <w:t xml:space="preserve">Инфекционной заболеваемости, связанной с водным фактором </w:t>
      </w:r>
      <w:proofErr w:type="gramStart"/>
      <w:r w:rsidRPr="005019AD">
        <w:rPr>
          <w:sz w:val="24"/>
          <w:szCs w:val="24"/>
        </w:rPr>
        <w:t>передачи  за</w:t>
      </w:r>
      <w:proofErr w:type="gramEnd"/>
      <w:r w:rsidRPr="005019AD">
        <w:rPr>
          <w:sz w:val="24"/>
          <w:szCs w:val="24"/>
        </w:rPr>
        <w:t xml:space="preserve"> 2018-2020 года не зарегистрировано. </w:t>
      </w:r>
      <w:bookmarkEnd w:id="4"/>
      <w:proofErr w:type="gramStart"/>
      <w:r w:rsidRPr="005019AD">
        <w:rPr>
          <w:sz w:val="24"/>
          <w:szCs w:val="24"/>
        </w:rPr>
        <w:t>Для  систематичного</w:t>
      </w:r>
      <w:proofErr w:type="gramEnd"/>
      <w:r w:rsidRPr="005019AD">
        <w:rPr>
          <w:sz w:val="24"/>
          <w:szCs w:val="24"/>
        </w:rPr>
        <w:t xml:space="preserve"> и динамичного наблюдения за качеством систем водоснабжения  города необходимо  проведение  исследований  воды   с соблюдением цепочки: источник - ВОС после очистки - магистральная сеть - разводящая сеть (кран потребителя) и по идентичным показателям. Данные исследования позволят отследить изменения показателей качества </w:t>
      </w:r>
      <w:proofErr w:type="gramStart"/>
      <w:r w:rsidRPr="005019AD">
        <w:rPr>
          <w:sz w:val="24"/>
          <w:szCs w:val="24"/>
        </w:rPr>
        <w:t>воды,  эффективность</w:t>
      </w:r>
      <w:proofErr w:type="gramEnd"/>
      <w:r w:rsidRPr="005019AD">
        <w:rPr>
          <w:sz w:val="24"/>
          <w:szCs w:val="24"/>
        </w:rPr>
        <w:t xml:space="preserve"> проводимой очистки (по ВОС-1, ВОС-ГПЗ),  динамику загрязнения магистральных сетей и водопроводов, своевременно принимать управленческие решения, направленные  на защиту прав потребителей.</w:t>
      </w:r>
    </w:p>
    <w:p w:rsidR="008F3AF5" w:rsidRPr="005019AD" w:rsidRDefault="008F3AF5" w:rsidP="005019AD">
      <w:pPr>
        <w:tabs>
          <w:tab w:val="left" w:pos="1701"/>
        </w:tabs>
        <w:spacing w:before="240" w:after="0" w:line="240" w:lineRule="auto"/>
        <w:rPr>
          <w:rFonts w:ascii="Times New Roman" w:hAnsi="Times New Roman" w:cs="Times New Roman"/>
          <w:b/>
          <w:bCs/>
          <w:sz w:val="26"/>
          <w:szCs w:val="26"/>
        </w:rPr>
      </w:pPr>
      <w:r w:rsidRPr="005019AD">
        <w:rPr>
          <w:rFonts w:ascii="Times New Roman" w:hAnsi="Times New Roman" w:cs="Times New Roman"/>
          <w:b/>
          <w:bCs/>
          <w:sz w:val="26"/>
          <w:szCs w:val="26"/>
        </w:rPr>
        <w:t>1.1.1.3. Состояние почвы</w:t>
      </w:r>
    </w:p>
    <w:p w:rsidR="008F3AF5" w:rsidRPr="005019AD" w:rsidRDefault="008F3AF5" w:rsidP="005019AD">
      <w:pPr>
        <w:spacing w:after="0" w:line="240" w:lineRule="auto"/>
        <w:ind w:right="-170" w:firstLine="709"/>
        <w:jc w:val="both"/>
        <w:rPr>
          <w:rFonts w:ascii="Times New Roman" w:hAnsi="Times New Roman" w:cs="Times New Roman"/>
          <w:sz w:val="24"/>
          <w:szCs w:val="24"/>
        </w:rPr>
      </w:pPr>
      <w:r w:rsidRPr="005019AD">
        <w:rPr>
          <w:rFonts w:ascii="Times New Roman" w:hAnsi="Times New Roman" w:cs="Times New Roman"/>
          <w:sz w:val="24"/>
          <w:szCs w:val="24"/>
        </w:rPr>
        <w:t xml:space="preserve">В 2018-2020 годах ИЛЦ ФФБУЗ проводились исследования проб почвы по </w:t>
      </w:r>
      <w:proofErr w:type="gramStart"/>
      <w:r w:rsidRPr="005019AD">
        <w:rPr>
          <w:rFonts w:ascii="Times New Roman" w:hAnsi="Times New Roman" w:cs="Times New Roman"/>
          <w:sz w:val="24"/>
          <w:szCs w:val="24"/>
        </w:rPr>
        <w:t>микробиологическим ,</w:t>
      </w:r>
      <w:proofErr w:type="gramEnd"/>
      <w:r w:rsidRPr="005019AD">
        <w:rPr>
          <w:rFonts w:ascii="Times New Roman" w:hAnsi="Times New Roman" w:cs="Times New Roman"/>
          <w:sz w:val="24"/>
          <w:szCs w:val="24"/>
        </w:rPr>
        <w:t xml:space="preserve"> санитарно-гигиеническим и паразитологическим показателям.</w:t>
      </w:r>
    </w:p>
    <w:p w:rsidR="008F3AF5" w:rsidRPr="005019AD" w:rsidRDefault="008F3AF5" w:rsidP="005019AD">
      <w:pPr>
        <w:spacing w:after="0" w:line="240" w:lineRule="auto"/>
        <w:ind w:right="-340" w:firstLine="709"/>
        <w:jc w:val="both"/>
        <w:rPr>
          <w:rFonts w:ascii="Times New Roman" w:hAnsi="Times New Roman" w:cs="Times New Roman"/>
          <w:sz w:val="24"/>
          <w:szCs w:val="24"/>
        </w:rPr>
      </w:pPr>
      <w:r w:rsidRPr="005019AD">
        <w:rPr>
          <w:rFonts w:ascii="Times New Roman" w:hAnsi="Times New Roman" w:cs="Times New Roman"/>
          <w:sz w:val="24"/>
          <w:szCs w:val="24"/>
        </w:rPr>
        <w:t xml:space="preserve">Основными источниками загрязнения почвы являются производственные отходы промышленных предприятий и в том числе строительные отходы, бытовые, отходы с населенных мест города.  ИЛЦ </w:t>
      </w:r>
      <w:proofErr w:type="gramStart"/>
      <w:r w:rsidRPr="005019AD">
        <w:rPr>
          <w:rFonts w:ascii="Times New Roman" w:hAnsi="Times New Roman" w:cs="Times New Roman"/>
          <w:sz w:val="24"/>
          <w:szCs w:val="24"/>
        </w:rPr>
        <w:t>ФФБУЗ  проводятся</w:t>
      </w:r>
      <w:proofErr w:type="gramEnd"/>
      <w:r w:rsidRPr="005019AD">
        <w:rPr>
          <w:rFonts w:ascii="Times New Roman" w:hAnsi="Times New Roman" w:cs="Times New Roman"/>
          <w:sz w:val="24"/>
          <w:szCs w:val="24"/>
        </w:rPr>
        <w:t xml:space="preserve"> микробиологические, паразитологические, санитарно-химические исследования почвы (на соли тяжелых металлов) и радиологические исследования почвы.</w:t>
      </w:r>
    </w:p>
    <w:p w:rsidR="008F3AF5" w:rsidRPr="005019AD" w:rsidRDefault="008F3AF5" w:rsidP="005019AD">
      <w:pPr>
        <w:spacing w:after="0" w:line="240" w:lineRule="auto"/>
        <w:ind w:right="-340" w:firstLine="709"/>
        <w:jc w:val="both"/>
        <w:rPr>
          <w:rFonts w:ascii="Times New Roman" w:hAnsi="Times New Roman" w:cs="Times New Roman"/>
          <w:sz w:val="24"/>
          <w:szCs w:val="24"/>
        </w:rPr>
      </w:pPr>
      <w:r w:rsidRPr="005019AD">
        <w:rPr>
          <w:rFonts w:ascii="Times New Roman" w:hAnsi="Times New Roman" w:cs="Times New Roman"/>
          <w:sz w:val="24"/>
          <w:szCs w:val="24"/>
        </w:rPr>
        <w:t xml:space="preserve">Согласно программы мониторинговых наблюдений, по </w:t>
      </w:r>
      <w:proofErr w:type="gramStart"/>
      <w:r w:rsidRPr="005019AD">
        <w:rPr>
          <w:rFonts w:ascii="Times New Roman" w:hAnsi="Times New Roman" w:cs="Times New Roman"/>
          <w:sz w:val="24"/>
          <w:szCs w:val="24"/>
        </w:rPr>
        <w:t>заявкам  проводились</w:t>
      </w:r>
      <w:proofErr w:type="gramEnd"/>
      <w:r w:rsidRPr="005019AD">
        <w:rPr>
          <w:rFonts w:ascii="Times New Roman" w:hAnsi="Times New Roman" w:cs="Times New Roman"/>
          <w:sz w:val="24"/>
          <w:szCs w:val="24"/>
        </w:rPr>
        <w:t xml:space="preserve">  исследования почвы на радиологические показатели.</w:t>
      </w:r>
    </w:p>
    <w:p w:rsidR="008F3AF5" w:rsidRPr="005019AD" w:rsidRDefault="008F3AF5" w:rsidP="005019AD">
      <w:pPr>
        <w:spacing w:after="0" w:line="240" w:lineRule="auto"/>
        <w:ind w:right="-340" w:firstLine="709"/>
        <w:jc w:val="both"/>
        <w:rPr>
          <w:rFonts w:ascii="Times New Roman" w:hAnsi="Times New Roman" w:cs="Times New Roman"/>
          <w:sz w:val="24"/>
          <w:szCs w:val="24"/>
        </w:rPr>
      </w:pPr>
    </w:p>
    <w:p w:rsidR="008F3AF5" w:rsidRPr="005019AD" w:rsidRDefault="008F3AF5" w:rsidP="005019AD">
      <w:pPr>
        <w:spacing w:after="0" w:line="240" w:lineRule="auto"/>
        <w:ind w:left="6480" w:firstLine="708"/>
        <w:jc w:val="both"/>
        <w:rPr>
          <w:rFonts w:ascii="Times New Roman" w:hAnsi="Times New Roman" w:cs="Times New Roman"/>
        </w:rPr>
      </w:pPr>
      <w:r w:rsidRPr="005019AD">
        <w:rPr>
          <w:rFonts w:ascii="Times New Roman" w:hAnsi="Times New Roman" w:cs="Times New Roman"/>
        </w:rPr>
        <w:t>Таблица № 5</w:t>
      </w:r>
    </w:p>
    <w:p w:rsidR="008F3AF5" w:rsidRPr="005019AD" w:rsidRDefault="008F3AF5" w:rsidP="005019AD">
      <w:pPr>
        <w:spacing w:after="0" w:line="240" w:lineRule="auto"/>
        <w:jc w:val="center"/>
        <w:rPr>
          <w:rFonts w:ascii="Times New Roman" w:hAnsi="Times New Roman" w:cs="Times New Roman"/>
          <w:b/>
          <w:bCs/>
        </w:rPr>
      </w:pPr>
      <w:r w:rsidRPr="005019AD">
        <w:rPr>
          <w:rFonts w:ascii="Times New Roman" w:hAnsi="Times New Roman" w:cs="Times New Roman"/>
          <w:b/>
          <w:bCs/>
        </w:rPr>
        <w:t>Динамика исследований почвы за 2018-2020 г.г.</w:t>
      </w:r>
    </w:p>
    <w:p w:rsidR="008F3AF5" w:rsidRPr="005019AD" w:rsidRDefault="008F3AF5" w:rsidP="005019AD">
      <w:pPr>
        <w:spacing w:after="0" w:line="240" w:lineRule="auto"/>
        <w:ind w:left="3540" w:firstLine="708"/>
        <w:rPr>
          <w:rFonts w:ascii="Times New Roman" w:hAnsi="Times New Roman" w:cs="Times New Roman"/>
          <w:b/>
          <w:bCs/>
          <w:sz w:val="24"/>
          <w:szCs w:val="24"/>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1200"/>
        <w:gridCol w:w="1019"/>
        <w:gridCol w:w="1020"/>
        <w:gridCol w:w="1020"/>
        <w:gridCol w:w="1020"/>
        <w:gridCol w:w="1019"/>
        <w:gridCol w:w="1020"/>
        <w:gridCol w:w="1020"/>
        <w:gridCol w:w="1020"/>
      </w:tblGrid>
      <w:tr w:rsidR="008F3AF5" w:rsidRPr="00E945B3" w:rsidTr="00630798">
        <w:trPr>
          <w:trHeight w:val="672"/>
          <w:jc w:val="center"/>
        </w:trPr>
        <w:tc>
          <w:tcPr>
            <w:tcW w:w="1200" w:type="dxa"/>
            <w:vMerge w:val="restart"/>
          </w:tcPr>
          <w:p w:rsidR="008F3AF5" w:rsidRPr="00E945B3" w:rsidRDefault="008F3AF5" w:rsidP="00630798">
            <w:pPr>
              <w:spacing w:before="20" w:after="20"/>
              <w:jc w:val="center"/>
            </w:pPr>
            <w:r w:rsidRPr="00E945B3">
              <w:t>Год</w:t>
            </w:r>
          </w:p>
        </w:tc>
        <w:tc>
          <w:tcPr>
            <w:tcW w:w="2039" w:type="dxa"/>
            <w:gridSpan w:val="2"/>
          </w:tcPr>
          <w:p w:rsidR="008F3AF5" w:rsidRPr="00E945B3" w:rsidRDefault="008F3AF5" w:rsidP="00630798">
            <w:pPr>
              <w:tabs>
                <w:tab w:val="left" w:pos="279"/>
              </w:tabs>
              <w:spacing w:before="20" w:after="20"/>
              <w:jc w:val="center"/>
            </w:pPr>
            <w:proofErr w:type="gramStart"/>
            <w:r w:rsidRPr="00E945B3">
              <w:t>Микробиологи-ческие</w:t>
            </w:r>
            <w:proofErr w:type="gramEnd"/>
          </w:p>
          <w:p w:rsidR="008F3AF5" w:rsidRPr="00E945B3" w:rsidRDefault="008F3AF5" w:rsidP="00630798">
            <w:pPr>
              <w:tabs>
                <w:tab w:val="left" w:pos="279"/>
              </w:tabs>
              <w:spacing w:before="20" w:after="20"/>
              <w:jc w:val="center"/>
            </w:pPr>
            <w:r w:rsidRPr="00E945B3">
              <w:t>исследования</w:t>
            </w:r>
          </w:p>
        </w:tc>
        <w:tc>
          <w:tcPr>
            <w:tcW w:w="2040" w:type="dxa"/>
            <w:gridSpan w:val="2"/>
          </w:tcPr>
          <w:p w:rsidR="008F3AF5" w:rsidRPr="00E945B3" w:rsidRDefault="008F3AF5" w:rsidP="00630798">
            <w:pPr>
              <w:spacing w:before="20" w:after="20"/>
              <w:jc w:val="center"/>
            </w:pPr>
            <w:r w:rsidRPr="00E945B3">
              <w:t>Паразитологи-ческие исследования</w:t>
            </w:r>
          </w:p>
        </w:tc>
        <w:tc>
          <w:tcPr>
            <w:tcW w:w="2039" w:type="dxa"/>
            <w:gridSpan w:val="2"/>
          </w:tcPr>
          <w:p w:rsidR="008F3AF5" w:rsidRPr="00E945B3" w:rsidRDefault="008F3AF5" w:rsidP="00630798">
            <w:pPr>
              <w:spacing w:before="20" w:after="20"/>
              <w:jc w:val="center"/>
            </w:pPr>
            <w:r w:rsidRPr="00E945B3">
              <w:t>Санитарно-химические исследования</w:t>
            </w:r>
          </w:p>
        </w:tc>
        <w:tc>
          <w:tcPr>
            <w:tcW w:w="2040" w:type="dxa"/>
            <w:gridSpan w:val="2"/>
          </w:tcPr>
          <w:p w:rsidR="008F3AF5" w:rsidRPr="00E945B3" w:rsidRDefault="008F3AF5" w:rsidP="00630798">
            <w:pPr>
              <w:spacing w:before="20" w:after="20"/>
              <w:jc w:val="center"/>
            </w:pPr>
            <w:r w:rsidRPr="00E945B3">
              <w:t>Радиологические исследования</w:t>
            </w:r>
          </w:p>
        </w:tc>
      </w:tr>
      <w:tr w:rsidR="008F3AF5" w:rsidRPr="00E945B3" w:rsidTr="00630798">
        <w:trPr>
          <w:jc w:val="center"/>
        </w:trPr>
        <w:tc>
          <w:tcPr>
            <w:tcW w:w="1200" w:type="dxa"/>
            <w:vMerge/>
          </w:tcPr>
          <w:p w:rsidR="008F3AF5" w:rsidRPr="00E945B3" w:rsidRDefault="008F3AF5" w:rsidP="00630798">
            <w:pPr>
              <w:spacing w:before="20" w:after="20"/>
              <w:jc w:val="center"/>
            </w:pPr>
          </w:p>
        </w:tc>
        <w:tc>
          <w:tcPr>
            <w:tcW w:w="1019" w:type="dxa"/>
          </w:tcPr>
          <w:p w:rsidR="008F3AF5" w:rsidRPr="00E945B3" w:rsidRDefault="008F3AF5" w:rsidP="00630798">
            <w:pPr>
              <w:spacing w:before="20" w:after="20"/>
              <w:jc w:val="center"/>
            </w:pPr>
            <w:r w:rsidRPr="00E945B3">
              <w:t>Кол-во проб/не соотв.</w:t>
            </w:r>
          </w:p>
        </w:tc>
        <w:tc>
          <w:tcPr>
            <w:tcW w:w="1020" w:type="dxa"/>
          </w:tcPr>
          <w:p w:rsidR="008F3AF5" w:rsidRPr="00E945B3" w:rsidRDefault="008F3AF5" w:rsidP="00630798">
            <w:pPr>
              <w:spacing w:before="20" w:after="20"/>
              <w:jc w:val="center"/>
            </w:pPr>
            <w:r w:rsidRPr="00E945B3">
              <w:t>%</w:t>
            </w:r>
          </w:p>
        </w:tc>
        <w:tc>
          <w:tcPr>
            <w:tcW w:w="1020" w:type="dxa"/>
          </w:tcPr>
          <w:p w:rsidR="008F3AF5" w:rsidRPr="00E945B3" w:rsidRDefault="008F3AF5" w:rsidP="00630798">
            <w:pPr>
              <w:spacing w:before="20" w:after="20"/>
              <w:jc w:val="center"/>
            </w:pPr>
            <w:r w:rsidRPr="00E945B3">
              <w:t>Кол-во проб/не соотв.</w:t>
            </w:r>
          </w:p>
        </w:tc>
        <w:tc>
          <w:tcPr>
            <w:tcW w:w="1020" w:type="dxa"/>
          </w:tcPr>
          <w:p w:rsidR="008F3AF5" w:rsidRPr="00E945B3" w:rsidRDefault="008F3AF5" w:rsidP="00630798">
            <w:pPr>
              <w:spacing w:before="20" w:after="20"/>
              <w:jc w:val="center"/>
            </w:pPr>
            <w:r w:rsidRPr="00E945B3">
              <w:t>%</w:t>
            </w:r>
          </w:p>
        </w:tc>
        <w:tc>
          <w:tcPr>
            <w:tcW w:w="1019" w:type="dxa"/>
          </w:tcPr>
          <w:p w:rsidR="008F3AF5" w:rsidRPr="00E945B3" w:rsidRDefault="008F3AF5" w:rsidP="00630798">
            <w:pPr>
              <w:spacing w:before="20" w:after="20"/>
              <w:jc w:val="center"/>
            </w:pPr>
            <w:r w:rsidRPr="00E945B3">
              <w:t>Кол-во проб/не соотв.</w:t>
            </w:r>
          </w:p>
        </w:tc>
        <w:tc>
          <w:tcPr>
            <w:tcW w:w="1020" w:type="dxa"/>
          </w:tcPr>
          <w:p w:rsidR="008F3AF5" w:rsidRPr="00E945B3" w:rsidRDefault="008F3AF5" w:rsidP="00630798">
            <w:pPr>
              <w:spacing w:before="20" w:after="20"/>
              <w:jc w:val="center"/>
            </w:pPr>
            <w:r w:rsidRPr="00E945B3">
              <w:t>%</w:t>
            </w:r>
          </w:p>
        </w:tc>
        <w:tc>
          <w:tcPr>
            <w:tcW w:w="1020" w:type="dxa"/>
          </w:tcPr>
          <w:p w:rsidR="008F3AF5" w:rsidRPr="00E945B3" w:rsidRDefault="008F3AF5" w:rsidP="00630798">
            <w:pPr>
              <w:spacing w:before="20" w:after="20"/>
              <w:jc w:val="center"/>
            </w:pPr>
            <w:r w:rsidRPr="00E945B3">
              <w:t>Кол-во проб/не соотв.</w:t>
            </w:r>
          </w:p>
        </w:tc>
        <w:tc>
          <w:tcPr>
            <w:tcW w:w="1020" w:type="dxa"/>
          </w:tcPr>
          <w:p w:rsidR="008F3AF5" w:rsidRPr="00E945B3" w:rsidRDefault="008F3AF5" w:rsidP="00630798">
            <w:pPr>
              <w:spacing w:before="20" w:after="20"/>
              <w:jc w:val="center"/>
            </w:pPr>
            <w:r w:rsidRPr="00E945B3">
              <w:t>%</w:t>
            </w:r>
          </w:p>
        </w:tc>
      </w:tr>
      <w:tr w:rsidR="008F3AF5" w:rsidRPr="00E945B3" w:rsidTr="00630798">
        <w:trPr>
          <w:jc w:val="center"/>
        </w:trPr>
        <w:tc>
          <w:tcPr>
            <w:tcW w:w="1200" w:type="dxa"/>
          </w:tcPr>
          <w:p w:rsidR="008F3AF5" w:rsidRPr="00E945B3" w:rsidRDefault="008F3AF5" w:rsidP="00630798">
            <w:pPr>
              <w:spacing w:before="20" w:after="20"/>
              <w:jc w:val="center"/>
            </w:pPr>
            <w:r w:rsidRPr="00E945B3">
              <w:t>201</w:t>
            </w:r>
            <w:r>
              <w:t>8</w:t>
            </w:r>
          </w:p>
        </w:tc>
        <w:tc>
          <w:tcPr>
            <w:tcW w:w="1019" w:type="dxa"/>
          </w:tcPr>
          <w:p w:rsidR="008F3AF5" w:rsidRPr="00E945B3" w:rsidRDefault="008F3AF5" w:rsidP="00630798">
            <w:pPr>
              <w:spacing w:before="20" w:after="20"/>
              <w:jc w:val="center"/>
            </w:pPr>
            <w:r>
              <w:t>11</w:t>
            </w:r>
          </w:p>
        </w:tc>
        <w:tc>
          <w:tcPr>
            <w:tcW w:w="1020" w:type="dxa"/>
          </w:tcPr>
          <w:p w:rsidR="008F3AF5" w:rsidRPr="00E945B3" w:rsidRDefault="008F3AF5" w:rsidP="00630798">
            <w:pPr>
              <w:spacing w:before="20" w:after="20"/>
              <w:jc w:val="center"/>
            </w:pPr>
            <w:r>
              <w:t>0</w:t>
            </w:r>
          </w:p>
        </w:tc>
        <w:tc>
          <w:tcPr>
            <w:tcW w:w="1020" w:type="dxa"/>
          </w:tcPr>
          <w:p w:rsidR="008F3AF5" w:rsidRPr="00E945B3" w:rsidRDefault="008F3AF5" w:rsidP="00630798">
            <w:pPr>
              <w:spacing w:before="20" w:after="20"/>
              <w:jc w:val="center"/>
            </w:pPr>
            <w:r>
              <w:t>27</w:t>
            </w:r>
          </w:p>
        </w:tc>
        <w:tc>
          <w:tcPr>
            <w:tcW w:w="1020" w:type="dxa"/>
          </w:tcPr>
          <w:p w:rsidR="008F3AF5" w:rsidRPr="00E945B3" w:rsidRDefault="008F3AF5" w:rsidP="00630798">
            <w:pPr>
              <w:spacing w:before="20" w:after="20"/>
              <w:jc w:val="center"/>
            </w:pPr>
            <w:r>
              <w:t>0</w:t>
            </w:r>
          </w:p>
        </w:tc>
        <w:tc>
          <w:tcPr>
            <w:tcW w:w="1019" w:type="dxa"/>
          </w:tcPr>
          <w:p w:rsidR="008F3AF5" w:rsidRPr="00E945B3" w:rsidRDefault="008F3AF5" w:rsidP="00630798">
            <w:pPr>
              <w:spacing w:before="20" w:after="20"/>
              <w:jc w:val="center"/>
            </w:pPr>
            <w:r>
              <w:t>8</w:t>
            </w:r>
          </w:p>
        </w:tc>
        <w:tc>
          <w:tcPr>
            <w:tcW w:w="1020" w:type="dxa"/>
          </w:tcPr>
          <w:p w:rsidR="008F3AF5" w:rsidRPr="00E945B3" w:rsidRDefault="008F3AF5" w:rsidP="00630798">
            <w:pPr>
              <w:spacing w:before="20" w:after="20"/>
              <w:jc w:val="center"/>
            </w:pPr>
            <w:r>
              <w:t>0</w:t>
            </w:r>
          </w:p>
        </w:tc>
        <w:tc>
          <w:tcPr>
            <w:tcW w:w="1020" w:type="dxa"/>
          </w:tcPr>
          <w:p w:rsidR="008F3AF5" w:rsidRPr="00E945B3" w:rsidRDefault="008F3AF5" w:rsidP="00630798">
            <w:pPr>
              <w:spacing w:before="20" w:after="20"/>
              <w:jc w:val="center"/>
            </w:pPr>
            <w:r>
              <w:t>13</w:t>
            </w:r>
          </w:p>
        </w:tc>
        <w:tc>
          <w:tcPr>
            <w:tcW w:w="1020" w:type="dxa"/>
          </w:tcPr>
          <w:p w:rsidR="008F3AF5" w:rsidRPr="00E945B3" w:rsidRDefault="008F3AF5" w:rsidP="00630798">
            <w:pPr>
              <w:spacing w:before="20" w:after="20"/>
              <w:jc w:val="center"/>
            </w:pPr>
            <w:r>
              <w:t>0</w:t>
            </w:r>
          </w:p>
        </w:tc>
      </w:tr>
      <w:tr w:rsidR="008F3AF5" w:rsidRPr="00E945B3" w:rsidTr="00630798">
        <w:trPr>
          <w:jc w:val="center"/>
        </w:trPr>
        <w:tc>
          <w:tcPr>
            <w:tcW w:w="1200" w:type="dxa"/>
          </w:tcPr>
          <w:p w:rsidR="008F3AF5" w:rsidRPr="00E945B3" w:rsidRDefault="008F3AF5" w:rsidP="00630798">
            <w:pPr>
              <w:spacing w:before="20" w:after="20"/>
              <w:jc w:val="center"/>
            </w:pPr>
            <w:r w:rsidRPr="00E945B3">
              <w:t>201</w:t>
            </w:r>
            <w:r>
              <w:t>9</w:t>
            </w:r>
          </w:p>
        </w:tc>
        <w:tc>
          <w:tcPr>
            <w:tcW w:w="1019" w:type="dxa"/>
          </w:tcPr>
          <w:p w:rsidR="008F3AF5" w:rsidRPr="00E945B3" w:rsidRDefault="008F3AF5" w:rsidP="00630798">
            <w:pPr>
              <w:spacing w:before="20" w:after="20"/>
              <w:jc w:val="center"/>
            </w:pPr>
            <w:r>
              <w:t>17</w:t>
            </w:r>
          </w:p>
        </w:tc>
        <w:tc>
          <w:tcPr>
            <w:tcW w:w="1020" w:type="dxa"/>
          </w:tcPr>
          <w:p w:rsidR="008F3AF5" w:rsidRPr="00E945B3" w:rsidRDefault="008F3AF5" w:rsidP="00630798">
            <w:pPr>
              <w:spacing w:before="20" w:after="20"/>
              <w:jc w:val="center"/>
            </w:pPr>
            <w:r>
              <w:t>0</w:t>
            </w:r>
          </w:p>
        </w:tc>
        <w:tc>
          <w:tcPr>
            <w:tcW w:w="1020" w:type="dxa"/>
          </w:tcPr>
          <w:p w:rsidR="008F3AF5" w:rsidRPr="00E945B3" w:rsidRDefault="008F3AF5" w:rsidP="00630798">
            <w:pPr>
              <w:spacing w:before="20" w:after="20"/>
              <w:jc w:val="center"/>
            </w:pPr>
            <w:r>
              <w:t>35</w:t>
            </w:r>
          </w:p>
        </w:tc>
        <w:tc>
          <w:tcPr>
            <w:tcW w:w="1020" w:type="dxa"/>
          </w:tcPr>
          <w:p w:rsidR="008F3AF5" w:rsidRPr="00E945B3" w:rsidRDefault="008F3AF5" w:rsidP="00630798">
            <w:pPr>
              <w:spacing w:before="20" w:after="20"/>
              <w:jc w:val="center"/>
            </w:pPr>
            <w:r>
              <w:t>1</w:t>
            </w:r>
          </w:p>
        </w:tc>
        <w:tc>
          <w:tcPr>
            <w:tcW w:w="1019" w:type="dxa"/>
          </w:tcPr>
          <w:p w:rsidR="008F3AF5" w:rsidRPr="00E945B3" w:rsidRDefault="008F3AF5" w:rsidP="00630798">
            <w:pPr>
              <w:spacing w:before="20" w:after="20"/>
              <w:jc w:val="center"/>
            </w:pPr>
            <w:r>
              <w:t>17</w:t>
            </w:r>
          </w:p>
        </w:tc>
        <w:tc>
          <w:tcPr>
            <w:tcW w:w="1020" w:type="dxa"/>
          </w:tcPr>
          <w:p w:rsidR="008F3AF5" w:rsidRPr="00E945B3" w:rsidRDefault="008F3AF5" w:rsidP="00630798">
            <w:pPr>
              <w:spacing w:before="20" w:after="20"/>
              <w:jc w:val="center"/>
            </w:pPr>
            <w:r>
              <w:t>0</w:t>
            </w:r>
          </w:p>
        </w:tc>
        <w:tc>
          <w:tcPr>
            <w:tcW w:w="1020" w:type="dxa"/>
          </w:tcPr>
          <w:p w:rsidR="008F3AF5" w:rsidRPr="00E945B3" w:rsidRDefault="008F3AF5" w:rsidP="00630798">
            <w:pPr>
              <w:spacing w:before="20" w:after="20"/>
              <w:jc w:val="center"/>
            </w:pPr>
            <w:r>
              <w:t>1</w:t>
            </w:r>
          </w:p>
        </w:tc>
        <w:tc>
          <w:tcPr>
            <w:tcW w:w="1020" w:type="dxa"/>
          </w:tcPr>
          <w:p w:rsidR="008F3AF5" w:rsidRPr="00E945B3" w:rsidRDefault="008F3AF5" w:rsidP="00630798">
            <w:pPr>
              <w:spacing w:before="20" w:after="20"/>
              <w:jc w:val="center"/>
            </w:pPr>
            <w:r>
              <w:t>0</w:t>
            </w:r>
          </w:p>
        </w:tc>
      </w:tr>
      <w:tr w:rsidR="008F3AF5" w:rsidRPr="00E945B3" w:rsidTr="00630798">
        <w:trPr>
          <w:jc w:val="center"/>
        </w:trPr>
        <w:tc>
          <w:tcPr>
            <w:tcW w:w="1200" w:type="dxa"/>
          </w:tcPr>
          <w:p w:rsidR="008F3AF5" w:rsidRPr="00E945B3" w:rsidRDefault="008F3AF5" w:rsidP="00630798">
            <w:pPr>
              <w:spacing w:before="20" w:after="20"/>
              <w:jc w:val="center"/>
            </w:pPr>
            <w:r>
              <w:t>2020</w:t>
            </w:r>
          </w:p>
        </w:tc>
        <w:tc>
          <w:tcPr>
            <w:tcW w:w="1019" w:type="dxa"/>
          </w:tcPr>
          <w:p w:rsidR="008F3AF5" w:rsidRDefault="008F3AF5" w:rsidP="00630798">
            <w:pPr>
              <w:spacing w:before="20" w:after="20"/>
              <w:jc w:val="center"/>
            </w:pPr>
            <w:r>
              <w:t>5</w:t>
            </w:r>
          </w:p>
        </w:tc>
        <w:tc>
          <w:tcPr>
            <w:tcW w:w="1020" w:type="dxa"/>
          </w:tcPr>
          <w:p w:rsidR="008F3AF5" w:rsidRDefault="008F3AF5" w:rsidP="00630798">
            <w:pPr>
              <w:spacing w:before="20" w:after="20"/>
              <w:jc w:val="center"/>
            </w:pPr>
            <w:r>
              <w:t>0</w:t>
            </w:r>
          </w:p>
        </w:tc>
        <w:tc>
          <w:tcPr>
            <w:tcW w:w="1020" w:type="dxa"/>
          </w:tcPr>
          <w:p w:rsidR="008F3AF5" w:rsidRDefault="008F3AF5" w:rsidP="00630798">
            <w:pPr>
              <w:spacing w:before="20" w:after="20"/>
              <w:jc w:val="center"/>
            </w:pPr>
            <w:r>
              <w:t>41</w:t>
            </w:r>
          </w:p>
        </w:tc>
        <w:tc>
          <w:tcPr>
            <w:tcW w:w="1020" w:type="dxa"/>
          </w:tcPr>
          <w:p w:rsidR="008F3AF5" w:rsidRDefault="008F3AF5" w:rsidP="00630798">
            <w:pPr>
              <w:spacing w:before="20" w:after="20"/>
              <w:jc w:val="center"/>
            </w:pPr>
            <w:r>
              <w:t>0</w:t>
            </w:r>
          </w:p>
        </w:tc>
        <w:tc>
          <w:tcPr>
            <w:tcW w:w="1019" w:type="dxa"/>
          </w:tcPr>
          <w:p w:rsidR="008F3AF5" w:rsidRDefault="008F3AF5" w:rsidP="00630798">
            <w:pPr>
              <w:spacing w:before="20" w:after="20"/>
              <w:jc w:val="center"/>
            </w:pPr>
            <w:r>
              <w:t>4</w:t>
            </w:r>
          </w:p>
        </w:tc>
        <w:tc>
          <w:tcPr>
            <w:tcW w:w="1020" w:type="dxa"/>
          </w:tcPr>
          <w:p w:rsidR="008F3AF5" w:rsidRDefault="008F3AF5" w:rsidP="00630798">
            <w:pPr>
              <w:spacing w:before="20" w:after="20"/>
              <w:jc w:val="center"/>
            </w:pPr>
            <w:r>
              <w:t>0</w:t>
            </w:r>
          </w:p>
        </w:tc>
        <w:tc>
          <w:tcPr>
            <w:tcW w:w="1020" w:type="dxa"/>
          </w:tcPr>
          <w:p w:rsidR="008F3AF5" w:rsidRDefault="008F3AF5" w:rsidP="00630798">
            <w:pPr>
              <w:spacing w:before="20" w:after="20"/>
              <w:jc w:val="center"/>
            </w:pPr>
            <w:r>
              <w:t>1</w:t>
            </w:r>
          </w:p>
        </w:tc>
        <w:tc>
          <w:tcPr>
            <w:tcW w:w="1020" w:type="dxa"/>
          </w:tcPr>
          <w:p w:rsidR="008F3AF5" w:rsidRDefault="008F3AF5" w:rsidP="00630798">
            <w:pPr>
              <w:spacing w:before="20" w:after="20"/>
              <w:jc w:val="center"/>
            </w:pPr>
            <w:r>
              <w:t>0</w:t>
            </w:r>
          </w:p>
        </w:tc>
      </w:tr>
    </w:tbl>
    <w:p w:rsidR="008F3AF5" w:rsidRDefault="008F3AF5" w:rsidP="008F3AF5">
      <w:pPr>
        <w:ind w:right="-283" w:firstLine="601"/>
        <w:jc w:val="both"/>
        <w:rPr>
          <w:sz w:val="24"/>
          <w:szCs w:val="24"/>
        </w:rPr>
      </w:pPr>
    </w:p>
    <w:p w:rsidR="008F3AF5" w:rsidRPr="005019AD" w:rsidRDefault="008F3AF5" w:rsidP="005019AD">
      <w:pPr>
        <w:spacing w:after="0" w:line="240" w:lineRule="auto"/>
        <w:ind w:right="-227" w:firstLine="601"/>
        <w:jc w:val="both"/>
        <w:rPr>
          <w:rFonts w:ascii="Times New Roman" w:hAnsi="Times New Roman" w:cs="Times New Roman"/>
          <w:sz w:val="24"/>
          <w:szCs w:val="24"/>
        </w:rPr>
      </w:pPr>
      <w:r w:rsidRPr="005019AD">
        <w:rPr>
          <w:rFonts w:ascii="Times New Roman" w:hAnsi="Times New Roman" w:cs="Times New Roman"/>
          <w:sz w:val="24"/>
          <w:szCs w:val="24"/>
        </w:rPr>
        <w:t xml:space="preserve">В 2020году количество исследований проб почвы по микробиологическим показателям по сравнению с 2019 </w:t>
      </w:r>
      <w:proofErr w:type="gramStart"/>
      <w:r w:rsidRPr="005019AD">
        <w:rPr>
          <w:rFonts w:ascii="Times New Roman" w:hAnsi="Times New Roman" w:cs="Times New Roman"/>
          <w:sz w:val="24"/>
          <w:szCs w:val="24"/>
        </w:rPr>
        <w:t>годом  снизилось</w:t>
      </w:r>
      <w:proofErr w:type="gramEnd"/>
      <w:r w:rsidRPr="005019AD">
        <w:rPr>
          <w:rFonts w:ascii="Times New Roman" w:hAnsi="Times New Roman" w:cs="Times New Roman"/>
          <w:sz w:val="24"/>
          <w:szCs w:val="24"/>
        </w:rPr>
        <w:t xml:space="preserve">  на 240 %, а по сравнению с 2018г-на 120 % ( табл № 5, рис 5). За период 2018-2020 г. проб, несоответствующих санитарно-эпидемиологическим требованиям по микробиологическим показателям не зарегистрировано.</w:t>
      </w:r>
    </w:p>
    <w:p w:rsidR="00964F92" w:rsidRPr="00964F92" w:rsidRDefault="00964F92" w:rsidP="00964F92">
      <w:pPr>
        <w:spacing w:after="0" w:line="240" w:lineRule="auto"/>
        <w:ind w:firstLine="709"/>
        <w:jc w:val="both"/>
        <w:rPr>
          <w:rFonts w:ascii="Times New Roman" w:hAnsi="Times New Roman" w:cs="Times New Roman"/>
          <w:sz w:val="24"/>
          <w:szCs w:val="24"/>
        </w:rPr>
      </w:pPr>
    </w:p>
    <w:p w:rsidR="008F3AF5" w:rsidRPr="003B159D" w:rsidRDefault="008F3AF5" w:rsidP="008F3AF5">
      <w:pPr>
        <w:ind w:right="-283" w:firstLine="601"/>
        <w:jc w:val="both"/>
        <w:rPr>
          <w:sz w:val="24"/>
          <w:szCs w:val="24"/>
          <w:highlight w:val="yellow"/>
        </w:rPr>
      </w:pPr>
      <w:r w:rsidRPr="00E945B3">
        <w:rPr>
          <w:noProof/>
          <w:sz w:val="24"/>
          <w:szCs w:val="24"/>
          <w:lang w:eastAsia="ru-RU"/>
        </w:rPr>
        <w:lastRenderedPageBreak/>
        <w:drawing>
          <wp:inline distT="0" distB="0" distL="0" distR="0">
            <wp:extent cx="5305425" cy="1914525"/>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3AF5" w:rsidRDefault="008F3AF5" w:rsidP="008F3AF5">
      <w:pPr>
        <w:ind w:right="-283" w:firstLine="601"/>
        <w:jc w:val="both"/>
        <w:rPr>
          <w:rFonts w:ascii="Times New Roman" w:hAnsi="Times New Roman" w:cs="Times New Roman"/>
          <w:sz w:val="24"/>
          <w:szCs w:val="24"/>
        </w:rPr>
      </w:pPr>
      <w:r w:rsidRPr="005019AD">
        <w:rPr>
          <w:rFonts w:ascii="Times New Roman" w:hAnsi="Times New Roman" w:cs="Times New Roman"/>
          <w:sz w:val="24"/>
          <w:szCs w:val="24"/>
        </w:rPr>
        <w:t>Рис 5. Динамика исследований почвы 2018-2020гг</w:t>
      </w:r>
    </w:p>
    <w:p w:rsidR="00964F92" w:rsidRPr="00964F92" w:rsidRDefault="00964F92" w:rsidP="00964F92">
      <w:pPr>
        <w:spacing w:after="0" w:line="240" w:lineRule="auto"/>
        <w:ind w:right="-227" w:firstLine="601"/>
        <w:jc w:val="both"/>
        <w:rPr>
          <w:rFonts w:ascii="Times New Roman" w:hAnsi="Times New Roman" w:cs="Times New Roman"/>
          <w:sz w:val="24"/>
          <w:szCs w:val="24"/>
        </w:rPr>
      </w:pPr>
      <w:proofErr w:type="gramStart"/>
      <w:r w:rsidRPr="00964F92">
        <w:rPr>
          <w:rFonts w:ascii="Times New Roman" w:hAnsi="Times New Roman" w:cs="Times New Roman"/>
          <w:sz w:val="24"/>
          <w:szCs w:val="24"/>
        </w:rPr>
        <w:t>Количество  паразитологических</w:t>
      </w:r>
      <w:proofErr w:type="gramEnd"/>
      <w:r w:rsidRPr="00964F92">
        <w:rPr>
          <w:rFonts w:ascii="Times New Roman" w:hAnsi="Times New Roman" w:cs="Times New Roman"/>
          <w:sz w:val="24"/>
          <w:szCs w:val="24"/>
        </w:rPr>
        <w:t xml:space="preserve"> исследований проб  почвы в 2020г. , по сравнению с 2019годом  увеличилось на 17%, по сравнению с 2018 годом на 51% ( табл № 5, рис 5).</w:t>
      </w:r>
    </w:p>
    <w:p w:rsidR="00964F92" w:rsidRPr="00964F92" w:rsidRDefault="00964F92" w:rsidP="00964F92">
      <w:pPr>
        <w:spacing w:after="0" w:line="240" w:lineRule="auto"/>
        <w:ind w:right="-227" w:firstLine="601"/>
        <w:jc w:val="both"/>
        <w:rPr>
          <w:rFonts w:ascii="Times New Roman" w:hAnsi="Times New Roman" w:cs="Times New Roman"/>
          <w:sz w:val="24"/>
          <w:szCs w:val="24"/>
          <w:highlight w:val="yellow"/>
        </w:rPr>
      </w:pPr>
      <w:r w:rsidRPr="00964F92">
        <w:rPr>
          <w:rFonts w:ascii="Times New Roman" w:hAnsi="Times New Roman" w:cs="Times New Roman"/>
          <w:sz w:val="24"/>
          <w:szCs w:val="24"/>
        </w:rPr>
        <w:t xml:space="preserve">В 2018-2017г году проб несоответствующих санитарно-эпидемиологическим </w:t>
      </w:r>
      <w:proofErr w:type="gramStart"/>
      <w:r w:rsidRPr="00964F92">
        <w:rPr>
          <w:rFonts w:ascii="Times New Roman" w:hAnsi="Times New Roman" w:cs="Times New Roman"/>
          <w:sz w:val="24"/>
          <w:szCs w:val="24"/>
        </w:rPr>
        <w:t>требованиям  не</w:t>
      </w:r>
      <w:proofErr w:type="gramEnd"/>
      <w:r w:rsidRPr="00964F92">
        <w:rPr>
          <w:rFonts w:ascii="Times New Roman" w:hAnsi="Times New Roman" w:cs="Times New Roman"/>
          <w:sz w:val="24"/>
          <w:szCs w:val="24"/>
        </w:rPr>
        <w:t xml:space="preserve"> выявлено. В 2019г выявлена 1 </w:t>
      </w:r>
      <w:proofErr w:type="gramStart"/>
      <w:r w:rsidRPr="00964F92">
        <w:rPr>
          <w:rFonts w:ascii="Times New Roman" w:hAnsi="Times New Roman" w:cs="Times New Roman"/>
          <w:sz w:val="24"/>
          <w:szCs w:val="24"/>
        </w:rPr>
        <w:t>проба  ,</w:t>
      </w:r>
      <w:proofErr w:type="gramEnd"/>
      <w:r w:rsidRPr="00964F92">
        <w:rPr>
          <w:rFonts w:ascii="Times New Roman" w:hAnsi="Times New Roman" w:cs="Times New Roman"/>
          <w:sz w:val="24"/>
          <w:szCs w:val="24"/>
        </w:rPr>
        <w:t xml:space="preserve"> на соответствующая по  паразитологическим показателям, что составило 2,85%.</w:t>
      </w:r>
      <w:r w:rsidRPr="00964F92">
        <w:rPr>
          <w:rFonts w:ascii="Times New Roman" w:hAnsi="Times New Roman" w:cs="Times New Roman"/>
          <w:sz w:val="24"/>
          <w:szCs w:val="24"/>
          <w:highlight w:val="yellow"/>
        </w:rPr>
        <w:t xml:space="preserve"> </w:t>
      </w:r>
    </w:p>
    <w:p w:rsidR="00964F92" w:rsidRPr="00964F92" w:rsidRDefault="00964F92" w:rsidP="00964F92">
      <w:pPr>
        <w:spacing w:after="0" w:line="240" w:lineRule="auto"/>
        <w:ind w:firstLine="601"/>
        <w:jc w:val="both"/>
        <w:rPr>
          <w:rFonts w:ascii="Times New Roman" w:hAnsi="Times New Roman" w:cs="Times New Roman"/>
          <w:sz w:val="24"/>
          <w:szCs w:val="24"/>
        </w:rPr>
      </w:pPr>
      <w:r w:rsidRPr="00964F92">
        <w:rPr>
          <w:rFonts w:ascii="Times New Roman" w:hAnsi="Times New Roman" w:cs="Times New Roman"/>
          <w:sz w:val="24"/>
          <w:szCs w:val="24"/>
        </w:rPr>
        <w:t xml:space="preserve">Количество исследований проб почвы в 2019 г. </w:t>
      </w:r>
      <w:proofErr w:type="gramStart"/>
      <w:r w:rsidRPr="00964F92">
        <w:rPr>
          <w:rFonts w:ascii="Times New Roman" w:hAnsi="Times New Roman" w:cs="Times New Roman"/>
          <w:sz w:val="24"/>
          <w:szCs w:val="24"/>
        </w:rPr>
        <w:t>по  радиологическим</w:t>
      </w:r>
      <w:proofErr w:type="gramEnd"/>
      <w:r w:rsidRPr="00964F92">
        <w:rPr>
          <w:rFonts w:ascii="Times New Roman" w:hAnsi="Times New Roman" w:cs="Times New Roman"/>
          <w:sz w:val="24"/>
          <w:szCs w:val="24"/>
        </w:rPr>
        <w:t xml:space="preserve">   показателям по сравнению с 2018годом   снизилось и составило 1 ед ( по мониторинговой точке.</w:t>
      </w:r>
      <w:bookmarkStart w:id="5" w:name="OLE_LINK3"/>
      <w:bookmarkStart w:id="6" w:name="OLE_LINK4"/>
    </w:p>
    <w:bookmarkEnd w:id="5"/>
    <w:bookmarkEnd w:id="6"/>
    <w:p w:rsidR="00964F92" w:rsidRDefault="00964F92" w:rsidP="00964F92">
      <w:pPr>
        <w:spacing w:after="0" w:line="240" w:lineRule="auto"/>
        <w:ind w:firstLine="709"/>
        <w:jc w:val="both"/>
        <w:rPr>
          <w:rFonts w:ascii="Times New Roman" w:hAnsi="Times New Roman" w:cs="Times New Roman"/>
          <w:sz w:val="24"/>
          <w:szCs w:val="24"/>
        </w:rPr>
      </w:pPr>
      <w:r w:rsidRPr="00964F92">
        <w:rPr>
          <w:rFonts w:ascii="Times New Roman" w:hAnsi="Times New Roman" w:cs="Times New Roman"/>
          <w:sz w:val="24"/>
          <w:szCs w:val="24"/>
        </w:rPr>
        <w:t xml:space="preserve">В динамике количество исследований проб почвы </w:t>
      </w:r>
      <w:proofErr w:type="gramStart"/>
      <w:r w:rsidRPr="00964F92">
        <w:rPr>
          <w:rFonts w:ascii="Times New Roman" w:hAnsi="Times New Roman" w:cs="Times New Roman"/>
          <w:sz w:val="24"/>
          <w:szCs w:val="24"/>
        </w:rPr>
        <w:t>по  санитарно</w:t>
      </w:r>
      <w:proofErr w:type="gramEnd"/>
      <w:r w:rsidRPr="00964F92">
        <w:rPr>
          <w:rFonts w:ascii="Times New Roman" w:hAnsi="Times New Roman" w:cs="Times New Roman"/>
          <w:sz w:val="24"/>
          <w:szCs w:val="24"/>
        </w:rPr>
        <w:t xml:space="preserve">-химическим  показателям в 2020г., осталось, согласно программы мониторинговых наблюдений  на уровне 1 пробы. За период 2018 г.- 2020 год проб, несоответствующих </w:t>
      </w:r>
      <w:bookmarkStart w:id="7" w:name="OLE_LINK5"/>
      <w:r w:rsidRPr="00964F92">
        <w:rPr>
          <w:rFonts w:ascii="Times New Roman" w:hAnsi="Times New Roman" w:cs="Times New Roman"/>
          <w:sz w:val="24"/>
          <w:szCs w:val="24"/>
        </w:rPr>
        <w:t>санитарно-</w:t>
      </w:r>
      <w:proofErr w:type="gramStart"/>
      <w:r w:rsidRPr="00964F92">
        <w:rPr>
          <w:rFonts w:ascii="Times New Roman" w:hAnsi="Times New Roman" w:cs="Times New Roman"/>
          <w:sz w:val="24"/>
          <w:szCs w:val="24"/>
        </w:rPr>
        <w:t>гигиеническим  требованиям</w:t>
      </w:r>
      <w:proofErr w:type="gramEnd"/>
      <w:r w:rsidRPr="00964F92">
        <w:rPr>
          <w:rFonts w:ascii="Times New Roman" w:hAnsi="Times New Roman" w:cs="Times New Roman"/>
          <w:sz w:val="24"/>
          <w:szCs w:val="24"/>
        </w:rPr>
        <w:t xml:space="preserve"> </w:t>
      </w:r>
      <w:bookmarkEnd w:id="7"/>
      <w:r w:rsidRPr="00964F92">
        <w:rPr>
          <w:rFonts w:ascii="Times New Roman" w:hAnsi="Times New Roman" w:cs="Times New Roman"/>
          <w:sz w:val="24"/>
          <w:szCs w:val="24"/>
        </w:rPr>
        <w:t>не зарегистрировано, (табл. №5, рис 5).</w:t>
      </w:r>
    </w:p>
    <w:bookmarkEnd w:id="0"/>
    <w:bookmarkEnd w:id="1"/>
    <w:p w:rsidR="008F3AF5" w:rsidRPr="002A4379" w:rsidRDefault="008F3AF5" w:rsidP="00964F92">
      <w:pPr>
        <w:pStyle w:val="31"/>
        <w:spacing w:before="240" w:after="120"/>
        <w:jc w:val="left"/>
        <w:rPr>
          <w:b/>
          <w:iCs/>
          <w:sz w:val="26"/>
          <w:szCs w:val="26"/>
        </w:rPr>
      </w:pPr>
      <w:r w:rsidRPr="002A4379">
        <w:rPr>
          <w:b/>
          <w:iCs/>
          <w:sz w:val="26"/>
          <w:szCs w:val="26"/>
        </w:rPr>
        <w:t>1.1.1.4    Состояние  радиационной обстановки</w:t>
      </w:r>
    </w:p>
    <w:p w:rsidR="008F3AF5" w:rsidRPr="00964F92" w:rsidRDefault="008F3AF5" w:rsidP="00964F92">
      <w:pPr>
        <w:spacing w:after="0" w:line="240" w:lineRule="auto"/>
        <w:jc w:val="both"/>
        <w:rPr>
          <w:rFonts w:ascii="Times New Roman" w:hAnsi="Times New Roman" w:cs="Times New Roman"/>
          <w:sz w:val="24"/>
          <w:szCs w:val="24"/>
        </w:rPr>
      </w:pPr>
      <w:r w:rsidRPr="002A4379">
        <w:rPr>
          <w:sz w:val="24"/>
          <w:szCs w:val="24"/>
        </w:rPr>
        <w:tab/>
      </w:r>
      <w:r w:rsidRPr="00964F92">
        <w:rPr>
          <w:rFonts w:ascii="Times New Roman" w:hAnsi="Times New Roman" w:cs="Times New Roman"/>
          <w:sz w:val="24"/>
          <w:szCs w:val="24"/>
        </w:rPr>
        <w:t xml:space="preserve">Радиационная обстановка в 2020 на территории г.Пыть-Ях </w:t>
      </w:r>
      <w:r w:rsidRPr="00964F92">
        <w:rPr>
          <w:rFonts w:ascii="Times New Roman" w:hAnsi="Times New Roman" w:cs="Times New Roman"/>
          <w:bCs/>
          <w:sz w:val="24"/>
          <w:szCs w:val="24"/>
        </w:rPr>
        <w:t>и прилегающей к ней территории</w:t>
      </w:r>
      <w:r w:rsidRPr="00964F92">
        <w:rPr>
          <w:rFonts w:ascii="Times New Roman" w:hAnsi="Times New Roman" w:cs="Times New Roman"/>
          <w:sz w:val="24"/>
          <w:szCs w:val="24"/>
        </w:rPr>
        <w:t xml:space="preserve"> не изменилась и соответствовала предыдущим годам. Радиационная опасность населения региона обусловлена воздействием основных видов источников ионизирующего излучения: техногенных, медицинских и природных. Следует учитывать, что в непосредственной близости от города произведен подземный ядерный взрыв под кодовым </w:t>
      </w:r>
      <w:proofErr w:type="gramStart"/>
      <w:r w:rsidRPr="00964F92">
        <w:rPr>
          <w:rFonts w:ascii="Times New Roman" w:hAnsi="Times New Roman" w:cs="Times New Roman"/>
          <w:sz w:val="24"/>
          <w:szCs w:val="24"/>
        </w:rPr>
        <w:t>названием  «</w:t>
      </w:r>
      <w:proofErr w:type="gramEnd"/>
      <w:r w:rsidRPr="00964F92">
        <w:rPr>
          <w:rFonts w:ascii="Times New Roman" w:hAnsi="Times New Roman" w:cs="Times New Roman"/>
          <w:sz w:val="24"/>
          <w:szCs w:val="24"/>
        </w:rPr>
        <w:t>Бензол», таким образом необходимо уделять усиленное  внимание  радиационной ситуации на нефтегазовых месторождениях, плотности загрязнения почвы, подземных вод, объемной активности радиоактивных  веществ в воде открытых водоемов, источниках питьевого  водоснабжения, в пищевых продуктах и стройматериалах (особенно местного производства).</w:t>
      </w:r>
    </w:p>
    <w:p w:rsidR="008F3AF5" w:rsidRPr="00964F92" w:rsidRDefault="008F3AF5" w:rsidP="00964F92">
      <w:pPr>
        <w:spacing w:after="0" w:line="240" w:lineRule="auto"/>
        <w:jc w:val="both"/>
        <w:rPr>
          <w:rFonts w:ascii="Times New Roman" w:hAnsi="Times New Roman" w:cs="Times New Roman"/>
          <w:sz w:val="24"/>
          <w:szCs w:val="24"/>
        </w:rPr>
      </w:pPr>
      <w:r w:rsidRPr="00964F92">
        <w:rPr>
          <w:rFonts w:ascii="Times New Roman" w:hAnsi="Times New Roman" w:cs="Times New Roman"/>
          <w:sz w:val="24"/>
          <w:szCs w:val="24"/>
        </w:rPr>
        <w:tab/>
        <w:t>Во исполнения Федерального закона от 9 января 1996 года № 3-ФЗ «О радиационной безопасности населения» и постановления Правительства Российской Федерации от 28 января 1997 года № 93 «О порядке разработки радиационно-гигиенических паспортов организаций и территорий»; от 16 июня 1997 года № 718 «О порядке создания единой государственной системы контроля и учета доз облучения граждан», с целью оценки вредного воздействия радиационного фактора на население в г. Нефтеюганске  продолжается  работа по радиационно-гигиенической паспортизации организаций.</w:t>
      </w:r>
    </w:p>
    <w:p w:rsidR="00964F92" w:rsidRDefault="00964F92" w:rsidP="00964F92">
      <w:pPr>
        <w:spacing w:after="0" w:line="240" w:lineRule="auto"/>
        <w:jc w:val="center"/>
        <w:rPr>
          <w:rFonts w:ascii="Times New Roman" w:hAnsi="Times New Roman" w:cs="Times New Roman"/>
          <w:b/>
          <w:sz w:val="24"/>
          <w:szCs w:val="24"/>
        </w:rPr>
      </w:pPr>
    </w:p>
    <w:p w:rsidR="008F3AF5" w:rsidRPr="00964F92" w:rsidRDefault="008F3AF5" w:rsidP="00964F92">
      <w:pPr>
        <w:spacing w:after="0" w:line="240" w:lineRule="auto"/>
        <w:jc w:val="center"/>
        <w:rPr>
          <w:rFonts w:ascii="Times New Roman" w:hAnsi="Times New Roman" w:cs="Times New Roman"/>
          <w:b/>
          <w:sz w:val="24"/>
          <w:szCs w:val="24"/>
        </w:rPr>
      </w:pPr>
      <w:r w:rsidRPr="00964F92">
        <w:rPr>
          <w:rFonts w:ascii="Times New Roman" w:hAnsi="Times New Roman" w:cs="Times New Roman"/>
          <w:b/>
          <w:sz w:val="24"/>
          <w:szCs w:val="24"/>
        </w:rPr>
        <w:t>Облучение от природных источников ионизирующего излучения (исследования гамма-фона и радона в воздухе жилых и общественных зданий, характеристика строительных материалов</w:t>
      </w:r>
    </w:p>
    <w:p w:rsidR="008F3AF5" w:rsidRPr="00964F92" w:rsidRDefault="008F3AF5" w:rsidP="00964F92">
      <w:pPr>
        <w:tabs>
          <w:tab w:val="right" w:pos="284"/>
        </w:tabs>
        <w:spacing w:after="0" w:line="240" w:lineRule="auto"/>
        <w:ind w:left="-180" w:right="192"/>
        <w:jc w:val="both"/>
        <w:rPr>
          <w:rFonts w:ascii="Times New Roman" w:hAnsi="Times New Roman" w:cs="Times New Roman"/>
          <w:sz w:val="24"/>
          <w:szCs w:val="24"/>
        </w:rPr>
      </w:pPr>
      <w:r w:rsidRPr="002A4379">
        <w:rPr>
          <w:sz w:val="24"/>
          <w:szCs w:val="24"/>
        </w:rPr>
        <w:tab/>
      </w:r>
      <w:r w:rsidRPr="00964F92">
        <w:rPr>
          <w:rFonts w:ascii="Times New Roman" w:hAnsi="Times New Roman" w:cs="Times New Roman"/>
          <w:sz w:val="24"/>
          <w:szCs w:val="24"/>
        </w:rPr>
        <w:t xml:space="preserve">Филиалом ФБУЗ «Центр гигиены и эпидемиологии в ХМАО-Югре в г. Нефтеюганске и </w:t>
      </w:r>
      <w:proofErr w:type="gramStart"/>
      <w:r w:rsidRPr="00964F92">
        <w:rPr>
          <w:rFonts w:ascii="Times New Roman" w:hAnsi="Times New Roman" w:cs="Times New Roman"/>
          <w:sz w:val="24"/>
          <w:szCs w:val="24"/>
        </w:rPr>
        <w:t>Нефтеюганском  районе</w:t>
      </w:r>
      <w:proofErr w:type="gramEnd"/>
      <w:r w:rsidRPr="00964F92">
        <w:rPr>
          <w:rFonts w:ascii="Times New Roman" w:hAnsi="Times New Roman" w:cs="Times New Roman"/>
          <w:sz w:val="24"/>
          <w:szCs w:val="24"/>
        </w:rPr>
        <w:t xml:space="preserve"> и в г. Пыть-Яхе» проводится контроль за облучением населения от природных источников ионизирующего излучения.    </w:t>
      </w:r>
    </w:p>
    <w:p w:rsidR="008F3AF5" w:rsidRPr="00964F92" w:rsidRDefault="008F3AF5" w:rsidP="00964F92">
      <w:pPr>
        <w:tabs>
          <w:tab w:val="right" w:pos="-284"/>
        </w:tabs>
        <w:spacing w:after="0" w:line="240" w:lineRule="auto"/>
        <w:ind w:left="-180" w:right="192"/>
        <w:jc w:val="both"/>
        <w:rPr>
          <w:rFonts w:ascii="Times New Roman" w:hAnsi="Times New Roman" w:cs="Times New Roman"/>
          <w:sz w:val="24"/>
          <w:szCs w:val="24"/>
        </w:rPr>
      </w:pPr>
      <w:r w:rsidRPr="00964F92">
        <w:rPr>
          <w:rFonts w:ascii="Times New Roman" w:hAnsi="Times New Roman" w:cs="Times New Roman"/>
          <w:sz w:val="24"/>
          <w:szCs w:val="24"/>
        </w:rPr>
        <w:t xml:space="preserve">         В Филиале ФГУЗ </w:t>
      </w:r>
      <w:proofErr w:type="gramStart"/>
      <w:r w:rsidRPr="00964F92">
        <w:rPr>
          <w:rFonts w:ascii="Times New Roman" w:hAnsi="Times New Roman" w:cs="Times New Roman"/>
          <w:sz w:val="24"/>
          <w:szCs w:val="24"/>
        </w:rPr>
        <w:t>ЦГиЭ  используются</w:t>
      </w:r>
      <w:proofErr w:type="gramEnd"/>
      <w:r w:rsidRPr="00964F92">
        <w:rPr>
          <w:rFonts w:ascii="Times New Roman" w:hAnsi="Times New Roman" w:cs="Times New Roman"/>
          <w:sz w:val="24"/>
          <w:szCs w:val="24"/>
        </w:rPr>
        <w:t xml:space="preserve"> дозиметрические, радиометрические, гамма - спектрометрические, бета - спектрометрические методы исследований. Данные вносятся в специальные информационные программы, которые используются для создания </w:t>
      </w:r>
      <w:r w:rsidR="00663B4E">
        <w:rPr>
          <w:rFonts w:ascii="Times New Roman" w:hAnsi="Times New Roman" w:cs="Times New Roman"/>
          <w:sz w:val="24"/>
          <w:szCs w:val="24"/>
        </w:rPr>
        <w:lastRenderedPageBreak/>
        <w:t xml:space="preserve">Федерального </w:t>
      </w:r>
      <w:r w:rsidRPr="00964F92">
        <w:rPr>
          <w:rFonts w:ascii="Times New Roman" w:hAnsi="Times New Roman" w:cs="Times New Roman"/>
          <w:sz w:val="24"/>
          <w:szCs w:val="24"/>
        </w:rPr>
        <w:t xml:space="preserve">банка данных единой государственной системы контроля и учета </w:t>
      </w:r>
      <w:proofErr w:type="gramStart"/>
      <w:r w:rsidRPr="00964F92">
        <w:rPr>
          <w:rFonts w:ascii="Times New Roman" w:hAnsi="Times New Roman" w:cs="Times New Roman"/>
          <w:sz w:val="24"/>
          <w:szCs w:val="24"/>
        </w:rPr>
        <w:t>индивидуальных  доз</w:t>
      </w:r>
      <w:proofErr w:type="gramEnd"/>
      <w:r w:rsidRPr="00964F92">
        <w:rPr>
          <w:rFonts w:ascii="Times New Roman" w:hAnsi="Times New Roman" w:cs="Times New Roman"/>
          <w:sz w:val="24"/>
          <w:szCs w:val="24"/>
        </w:rPr>
        <w:t xml:space="preserve"> облучения граждан.           </w:t>
      </w:r>
    </w:p>
    <w:p w:rsidR="008F3AF5" w:rsidRPr="00964F92" w:rsidRDefault="008F3AF5" w:rsidP="00964F92">
      <w:pPr>
        <w:tabs>
          <w:tab w:val="right" w:pos="-284"/>
        </w:tabs>
        <w:spacing w:after="0" w:line="240" w:lineRule="auto"/>
        <w:ind w:left="-142" w:right="192"/>
        <w:jc w:val="both"/>
        <w:rPr>
          <w:rFonts w:ascii="Times New Roman" w:hAnsi="Times New Roman" w:cs="Times New Roman"/>
          <w:sz w:val="24"/>
          <w:szCs w:val="24"/>
        </w:rPr>
      </w:pPr>
      <w:r w:rsidRPr="00964F92">
        <w:rPr>
          <w:rFonts w:ascii="Times New Roman" w:hAnsi="Times New Roman" w:cs="Times New Roman"/>
          <w:sz w:val="24"/>
          <w:szCs w:val="24"/>
        </w:rPr>
        <w:t xml:space="preserve">  В ИЛЦ ФФБУЗ в городе Нефтеюганске и Нефтеюганском районе и в</w:t>
      </w:r>
      <w:r w:rsidR="00663B4E">
        <w:rPr>
          <w:rFonts w:ascii="Times New Roman" w:hAnsi="Times New Roman" w:cs="Times New Roman"/>
          <w:sz w:val="24"/>
          <w:szCs w:val="24"/>
        </w:rPr>
        <w:t xml:space="preserve"> г.ПытьЯхе имеется необходимое </w:t>
      </w:r>
      <w:r w:rsidRPr="00964F92">
        <w:rPr>
          <w:rFonts w:ascii="Times New Roman" w:hAnsi="Times New Roman" w:cs="Times New Roman"/>
          <w:sz w:val="24"/>
          <w:szCs w:val="24"/>
        </w:rPr>
        <w:t>радиометрическое оборудование.</w:t>
      </w:r>
      <w:r w:rsidRPr="00964F92">
        <w:rPr>
          <w:rFonts w:ascii="Times New Roman" w:hAnsi="Times New Roman" w:cs="Times New Roman"/>
          <w:color w:val="000000"/>
          <w:sz w:val="24"/>
          <w:szCs w:val="24"/>
        </w:rPr>
        <w:t xml:space="preserve"> Сцинтилляционный спектрометр- радиометр гамма и бета </w:t>
      </w:r>
      <w:proofErr w:type="gramStart"/>
      <w:r w:rsidRPr="00964F92">
        <w:rPr>
          <w:rFonts w:ascii="Times New Roman" w:hAnsi="Times New Roman" w:cs="Times New Roman"/>
          <w:color w:val="000000"/>
          <w:sz w:val="24"/>
          <w:szCs w:val="24"/>
        </w:rPr>
        <w:t>излучений ,р</w:t>
      </w:r>
      <w:r w:rsidRPr="00964F92">
        <w:rPr>
          <w:rFonts w:ascii="Times New Roman" w:hAnsi="Times New Roman" w:cs="Times New Roman"/>
          <w:sz w:val="24"/>
          <w:szCs w:val="24"/>
        </w:rPr>
        <w:t>адиометр</w:t>
      </w:r>
      <w:proofErr w:type="gramEnd"/>
      <w:r w:rsidRPr="00964F92">
        <w:rPr>
          <w:rFonts w:ascii="Times New Roman" w:hAnsi="Times New Roman" w:cs="Times New Roman"/>
          <w:sz w:val="24"/>
          <w:szCs w:val="24"/>
        </w:rPr>
        <w:t xml:space="preserve"> альфа и бета- излучения РКБА-01 «Радэк», радиометр РАА-10, радиометр радона и его дочерних продуктов распада «</w:t>
      </w:r>
      <w:r w:rsidRPr="00964F92">
        <w:rPr>
          <w:rFonts w:ascii="Times New Roman" w:hAnsi="Times New Roman" w:cs="Times New Roman"/>
          <w:sz w:val="24"/>
          <w:szCs w:val="24"/>
          <w:lang w:val="en-US"/>
        </w:rPr>
        <w:t>RAMON</w:t>
      </w:r>
      <w:r w:rsidRPr="00964F92">
        <w:rPr>
          <w:rFonts w:ascii="Times New Roman" w:hAnsi="Times New Roman" w:cs="Times New Roman"/>
          <w:sz w:val="24"/>
          <w:szCs w:val="24"/>
        </w:rPr>
        <w:t>-01»,   дозиметр ДРГ-01 Т-3 ед,.дозиметр - радиометр МКС-АТ1117М- 2 ед; дозиметр ДРГ-01-Т1, д</w:t>
      </w:r>
      <w:r w:rsidRPr="00964F92">
        <w:rPr>
          <w:rFonts w:ascii="Times New Roman" w:hAnsi="Times New Roman" w:cs="Times New Roman"/>
          <w:color w:val="000000"/>
          <w:sz w:val="24"/>
          <w:szCs w:val="24"/>
        </w:rPr>
        <w:t xml:space="preserve">озиметр - радиометр МКС-АТ 6130, дозиметр -гамма-излучения ДКГ-02У «Арбитр -М». </w:t>
      </w:r>
      <w:r w:rsidRPr="00964F92">
        <w:rPr>
          <w:rFonts w:ascii="Times New Roman" w:hAnsi="Times New Roman" w:cs="Times New Roman"/>
          <w:sz w:val="24"/>
          <w:szCs w:val="24"/>
        </w:rPr>
        <w:t xml:space="preserve">Все </w:t>
      </w:r>
      <w:proofErr w:type="gramStart"/>
      <w:r w:rsidRPr="00964F92">
        <w:rPr>
          <w:rFonts w:ascii="Times New Roman" w:hAnsi="Times New Roman" w:cs="Times New Roman"/>
          <w:sz w:val="24"/>
          <w:szCs w:val="24"/>
        </w:rPr>
        <w:t>оборудование  поверено</w:t>
      </w:r>
      <w:proofErr w:type="gramEnd"/>
      <w:r w:rsidRPr="00964F92">
        <w:rPr>
          <w:rFonts w:ascii="Times New Roman" w:hAnsi="Times New Roman" w:cs="Times New Roman"/>
          <w:sz w:val="24"/>
          <w:szCs w:val="24"/>
        </w:rPr>
        <w:t xml:space="preserve">   в установленные сроки.</w:t>
      </w:r>
    </w:p>
    <w:p w:rsidR="008F3AF5" w:rsidRPr="00964F92" w:rsidRDefault="008F3AF5" w:rsidP="00964F92">
      <w:pPr>
        <w:spacing w:after="0" w:line="240" w:lineRule="auto"/>
        <w:ind w:firstLine="720"/>
        <w:jc w:val="both"/>
        <w:rPr>
          <w:rFonts w:ascii="Times New Roman" w:hAnsi="Times New Roman" w:cs="Times New Roman"/>
          <w:sz w:val="24"/>
          <w:szCs w:val="24"/>
        </w:rPr>
      </w:pPr>
      <w:r w:rsidRPr="00964F92">
        <w:rPr>
          <w:rFonts w:ascii="Times New Roman" w:hAnsi="Times New Roman" w:cs="Times New Roman"/>
          <w:sz w:val="24"/>
          <w:szCs w:val="24"/>
        </w:rPr>
        <w:t xml:space="preserve">Филиалом ФБУЗ «Центр гигиены и эпидемиологии в ХМАО-Югре в г. Неютеюганске и Нефтеюганском районе, и в г. Пыть-Яхе» проводятся исследования пищевых продуктов, питьевой воды, строительных материалов, почвы, исследования на содержание радона в воздухе, жилых, общественных зданий и производственных зданий и производственных помещений, </w:t>
      </w:r>
      <w:proofErr w:type="gramStart"/>
      <w:r w:rsidRPr="00964F92">
        <w:rPr>
          <w:rFonts w:ascii="Times New Roman" w:hAnsi="Times New Roman" w:cs="Times New Roman"/>
          <w:sz w:val="24"/>
          <w:szCs w:val="24"/>
        </w:rPr>
        <w:t>исследования  МЭД</w:t>
      </w:r>
      <w:proofErr w:type="gramEnd"/>
      <w:r w:rsidRPr="00964F92">
        <w:rPr>
          <w:rFonts w:ascii="Times New Roman" w:hAnsi="Times New Roman" w:cs="Times New Roman"/>
          <w:sz w:val="24"/>
          <w:szCs w:val="24"/>
        </w:rPr>
        <w:t xml:space="preserve"> гамма-излучения. (табл. №1,2.3).</w:t>
      </w:r>
    </w:p>
    <w:p w:rsidR="008F3AF5" w:rsidRPr="00964F92" w:rsidRDefault="008F3AF5" w:rsidP="00964F92">
      <w:pPr>
        <w:spacing w:after="0" w:line="240" w:lineRule="auto"/>
        <w:ind w:firstLine="720"/>
        <w:jc w:val="both"/>
        <w:rPr>
          <w:rFonts w:ascii="Times New Roman" w:hAnsi="Times New Roman" w:cs="Times New Roman"/>
          <w:sz w:val="24"/>
          <w:szCs w:val="24"/>
        </w:rPr>
      </w:pPr>
      <w:r w:rsidRPr="00964F92">
        <w:rPr>
          <w:rFonts w:ascii="Times New Roman" w:hAnsi="Times New Roman" w:cs="Times New Roman"/>
          <w:sz w:val="24"/>
          <w:szCs w:val="24"/>
        </w:rPr>
        <w:t>В филиале ФБУЗ проводится работа по выполнению и претворению в жизнь ФЗ № 3 «О радиационной безопасности населения</w:t>
      </w:r>
      <w:proofErr w:type="gramStart"/>
      <w:r w:rsidRPr="00964F92">
        <w:rPr>
          <w:rFonts w:ascii="Times New Roman" w:hAnsi="Times New Roman" w:cs="Times New Roman"/>
          <w:sz w:val="24"/>
          <w:szCs w:val="24"/>
        </w:rPr>
        <w:t>»,  Закона</w:t>
      </w:r>
      <w:proofErr w:type="gramEnd"/>
      <w:r w:rsidRPr="00964F92">
        <w:rPr>
          <w:rFonts w:ascii="Times New Roman" w:hAnsi="Times New Roman" w:cs="Times New Roman"/>
          <w:sz w:val="24"/>
          <w:szCs w:val="24"/>
        </w:rPr>
        <w:t xml:space="preserve"> 3-а ХМАО «О радиац</w:t>
      </w:r>
      <w:r w:rsidR="00964F92">
        <w:rPr>
          <w:rFonts w:ascii="Times New Roman" w:hAnsi="Times New Roman" w:cs="Times New Roman"/>
          <w:sz w:val="24"/>
          <w:szCs w:val="24"/>
        </w:rPr>
        <w:t>ионной безопасности населения».</w:t>
      </w:r>
    </w:p>
    <w:p w:rsidR="008F3AF5" w:rsidRPr="00964F92" w:rsidRDefault="008F3AF5" w:rsidP="00964F92">
      <w:pPr>
        <w:spacing w:after="0" w:line="240" w:lineRule="auto"/>
        <w:ind w:firstLine="720"/>
        <w:jc w:val="both"/>
        <w:rPr>
          <w:rFonts w:ascii="Times New Roman" w:hAnsi="Times New Roman" w:cs="Times New Roman"/>
          <w:sz w:val="24"/>
          <w:szCs w:val="24"/>
        </w:rPr>
      </w:pPr>
      <w:r w:rsidRPr="00964F92">
        <w:rPr>
          <w:rFonts w:ascii="Times New Roman" w:hAnsi="Times New Roman" w:cs="Times New Roman"/>
          <w:sz w:val="24"/>
          <w:szCs w:val="24"/>
        </w:rPr>
        <w:t xml:space="preserve"> ТО </w:t>
      </w:r>
      <w:proofErr w:type="gramStart"/>
      <w:r w:rsidRPr="00964F92">
        <w:rPr>
          <w:rFonts w:ascii="Times New Roman" w:hAnsi="Times New Roman" w:cs="Times New Roman"/>
          <w:sz w:val="24"/>
          <w:szCs w:val="24"/>
        </w:rPr>
        <w:t>УРПН  проводится</w:t>
      </w:r>
      <w:proofErr w:type="gramEnd"/>
      <w:r w:rsidRPr="00964F92">
        <w:rPr>
          <w:rFonts w:ascii="Times New Roman" w:hAnsi="Times New Roman" w:cs="Times New Roman"/>
          <w:sz w:val="24"/>
          <w:szCs w:val="24"/>
        </w:rPr>
        <w:t xml:space="preserve"> работа по выполнению и претворению в жизнь ФЗ № 3 «О радиационной безопасности населения»,  Закона 3-а ХМАО «О радиационной безопасности населения».</w:t>
      </w:r>
    </w:p>
    <w:p w:rsidR="008F3AF5" w:rsidRPr="00964F92" w:rsidRDefault="008F3AF5" w:rsidP="008F3AF5">
      <w:pPr>
        <w:jc w:val="right"/>
        <w:rPr>
          <w:rFonts w:ascii="Times New Roman" w:hAnsi="Times New Roman" w:cs="Times New Roman"/>
          <w:bCs/>
        </w:rPr>
      </w:pPr>
      <w:r w:rsidRPr="00964F92">
        <w:rPr>
          <w:rFonts w:ascii="Times New Roman" w:hAnsi="Times New Roman" w:cs="Times New Roman"/>
          <w:bCs/>
        </w:rPr>
        <w:t>Таблица №1</w:t>
      </w:r>
    </w:p>
    <w:p w:rsidR="008F3AF5" w:rsidRPr="00964F92" w:rsidRDefault="008F3AF5" w:rsidP="00964F92">
      <w:pPr>
        <w:spacing w:after="0" w:line="240" w:lineRule="auto"/>
        <w:jc w:val="center"/>
        <w:rPr>
          <w:rFonts w:ascii="Times New Roman" w:hAnsi="Times New Roman" w:cs="Times New Roman"/>
          <w:b/>
          <w:bCs/>
        </w:rPr>
      </w:pPr>
      <w:r w:rsidRPr="00964F92">
        <w:rPr>
          <w:rFonts w:ascii="Times New Roman" w:hAnsi="Times New Roman" w:cs="Times New Roman"/>
          <w:b/>
          <w:bCs/>
        </w:rPr>
        <w:t>Количество исследованных проб за 2018 - 2020 гг.</w:t>
      </w:r>
    </w:p>
    <w:p w:rsidR="008F3AF5" w:rsidRPr="00964F92" w:rsidRDefault="008F3AF5" w:rsidP="00964F92">
      <w:pPr>
        <w:spacing w:after="0" w:line="240" w:lineRule="auto"/>
        <w:jc w:val="center"/>
        <w:rPr>
          <w:rFonts w:ascii="Times New Roman" w:hAnsi="Times New Roman" w:cs="Times New Roman"/>
          <w:b/>
          <w:bCs/>
        </w:rPr>
      </w:pPr>
    </w:p>
    <w:tbl>
      <w:tblPr>
        <w:tblW w:w="93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174"/>
        <w:gridCol w:w="2174"/>
        <w:gridCol w:w="2174"/>
      </w:tblGrid>
      <w:tr w:rsidR="008F3AF5" w:rsidRPr="00964F92" w:rsidTr="00630798">
        <w:tc>
          <w:tcPr>
            <w:tcW w:w="2842" w:type="dxa"/>
            <w:vMerge w:val="restart"/>
          </w:tcPr>
          <w:p w:rsidR="008F3AF5" w:rsidRPr="00964F92" w:rsidRDefault="008F3AF5" w:rsidP="00964F92">
            <w:pPr>
              <w:spacing w:after="0" w:line="240" w:lineRule="auto"/>
              <w:jc w:val="center"/>
              <w:rPr>
                <w:rFonts w:ascii="Times New Roman" w:hAnsi="Times New Roman" w:cs="Times New Roman"/>
              </w:rPr>
            </w:pPr>
            <w:bookmarkStart w:id="8" w:name="_Hlk473539758"/>
            <w:r w:rsidRPr="00964F92">
              <w:rPr>
                <w:rFonts w:ascii="Times New Roman" w:hAnsi="Times New Roman" w:cs="Times New Roman"/>
              </w:rPr>
              <w:t>Наименование</w:t>
            </w:r>
          </w:p>
        </w:tc>
        <w:tc>
          <w:tcPr>
            <w:tcW w:w="2174"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rPr>
              <w:t>2018г.</w:t>
            </w:r>
          </w:p>
        </w:tc>
        <w:tc>
          <w:tcPr>
            <w:tcW w:w="2174" w:type="dxa"/>
          </w:tcPr>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2019г.</w:t>
            </w:r>
          </w:p>
        </w:tc>
        <w:tc>
          <w:tcPr>
            <w:tcW w:w="2174" w:type="dxa"/>
          </w:tcPr>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2020г.</w:t>
            </w:r>
          </w:p>
        </w:tc>
      </w:tr>
      <w:tr w:rsidR="008F3AF5" w:rsidRPr="00964F92" w:rsidTr="00630798">
        <w:tc>
          <w:tcPr>
            <w:tcW w:w="2842" w:type="dxa"/>
            <w:vMerge/>
          </w:tcPr>
          <w:p w:rsidR="008F3AF5" w:rsidRPr="00964F92" w:rsidRDefault="008F3AF5" w:rsidP="00964F92">
            <w:pPr>
              <w:spacing w:after="0" w:line="240" w:lineRule="auto"/>
              <w:jc w:val="center"/>
              <w:rPr>
                <w:rFonts w:ascii="Times New Roman" w:hAnsi="Times New Roman" w:cs="Times New Roman"/>
              </w:rPr>
            </w:pPr>
          </w:p>
        </w:tc>
        <w:tc>
          <w:tcPr>
            <w:tcW w:w="2174"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rPr>
              <w:t>Проб/ не соотв.</w:t>
            </w:r>
          </w:p>
        </w:tc>
        <w:tc>
          <w:tcPr>
            <w:tcW w:w="2174" w:type="dxa"/>
          </w:tcPr>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Проб/ не соотв.</w:t>
            </w:r>
          </w:p>
        </w:tc>
        <w:tc>
          <w:tcPr>
            <w:tcW w:w="2174" w:type="dxa"/>
          </w:tcPr>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Проб/ не соотв.</w:t>
            </w:r>
          </w:p>
        </w:tc>
      </w:tr>
      <w:tr w:rsidR="008F3AF5" w:rsidRPr="00964F92" w:rsidTr="00630798">
        <w:tc>
          <w:tcPr>
            <w:tcW w:w="2842" w:type="dxa"/>
          </w:tcPr>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 xml:space="preserve">1. Продукты питания </w:t>
            </w:r>
          </w:p>
        </w:tc>
        <w:tc>
          <w:tcPr>
            <w:tcW w:w="2174" w:type="dxa"/>
          </w:tcPr>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18/0</w:t>
            </w:r>
          </w:p>
        </w:tc>
        <w:tc>
          <w:tcPr>
            <w:tcW w:w="2174" w:type="dxa"/>
          </w:tcPr>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5/0</w:t>
            </w:r>
          </w:p>
        </w:tc>
        <w:tc>
          <w:tcPr>
            <w:tcW w:w="2174" w:type="dxa"/>
          </w:tcPr>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5/0</w:t>
            </w:r>
          </w:p>
        </w:tc>
      </w:tr>
      <w:tr w:rsidR="008F3AF5" w:rsidRPr="00964F92" w:rsidTr="00630798">
        <w:tc>
          <w:tcPr>
            <w:tcW w:w="2842" w:type="dxa"/>
          </w:tcPr>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2. Непищевая продукция</w:t>
            </w:r>
          </w:p>
          <w:p w:rsidR="008F3AF5" w:rsidRPr="00964F92" w:rsidRDefault="008F3AF5" w:rsidP="006A23B3">
            <w:pPr>
              <w:numPr>
                <w:ilvl w:val="0"/>
                <w:numId w:val="4"/>
              </w:numPr>
              <w:spacing w:after="0" w:line="240" w:lineRule="auto"/>
              <w:rPr>
                <w:rFonts w:ascii="Times New Roman" w:hAnsi="Times New Roman" w:cs="Times New Roman"/>
              </w:rPr>
            </w:pPr>
            <w:r w:rsidRPr="00964F92">
              <w:rPr>
                <w:rFonts w:ascii="Times New Roman" w:hAnsi="Times New Roman" w:cs="Times New Roman"/>
              </w:rPr>
              <w:t>стройматериалы</w:t>
            </w:r>
          </w:p>
          <w:p w:rsidR="008F3AF5" w:rsidRPr="00964F92" w:rsidRDefault="008F3AF5" w:rsidP="006A23B3">
            <w:pPr>
              <w:numPr>
                <w:ilvl w:val="0"/>
                <w:numId w:val="4"/>
              </w:numPr>
              <w:spacing w:after="0" w:line="240" w:lineRule="auto"/>
              <w:rPr>
                <w:rFonts w:ascii="Times New Roman" w:hAnsi="Times New Roman" w:cs="Times New Roman"/>
              </w:rPr>
            </w:pPr>
            <w:r w:rsidRPr="00964F92">
              <w:rPr>
                <w:rFonts w:ascii="Times New Roman" w:hAnsi="Times New Roman" w:cs="Times New Roman"/>
              </w:rPr>
              <w:t>почва</w:t>
            </w:r>
          </w:p>
          <w:p w:rsidR="008F3AF5" w:rsidRPr="00964F92" w:rsidRDefault="008F3AF5" w:rsidP="006A23B3">
            <w:pPr>
              <w:numPr>
                <w:ilvl w:val="0"/>
                <w:numId w:val="4"/>
              </w:numPr>
              <w:spacing w:after="0" w:line="240" w:lineRule="auto"/>
              <w:rPr>
                <w:rFonts w:ascii="Times New Roman" w:hAnsi="Times New Roman" w:cs="Times New Roman"/>
              </w:rPr>
            </w:pPr>
            <w:r w:rsidRPr="00964F92">
              <w:rPr>
                <w:rFonts w:ascii="Times New Roman" w:hAnsi="Times New Roman" w:cs="Times New Roman"/>
              </w:rPr>
              <w:t>минеральное сырье</w:t>
            </w:r>
          </w:p>
        </w:tc>
        <w:tc>
          <w:tcPr>
            <w:tcW w:w="2174" w:type="dxa"/>
          </w:tcPr>
          <w:p w:rsidR="008F3AF5" w:rsidRPr="00964F92" w:rsidRDefault="008F3AF5" w:rsidP="00964F92">
            <w:pPr>
              <w:spacing w:after="0" w:line="240" w:lineRule="auto"/>
              <w:rPr>
                <w:rFonts w:ascii="Times New Roman" w:hAnsi="Times New Roman" w:cs="Times New Roman"/>
              </w:rPr>
            </w:pPr>
          </w:p>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1/0</w:t>
            </w:r>
          </w:p>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13/0</w:t>
            </w:r>
          </w:p>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0</w:t>
            </w:r>
          </w:p>
        </w:tc>
        <w:tc>
          <w:tcPr>
            <w:tcW w:w="2174" w:type="dxa"/>
          </w:tcPr>
          <w:p w:rsidR="008F3AF5" w:rsidRPr="00964F92" w:rsidRDefault="008F3AF5" w:rsidP="00964F92">
            <w:pPr>
              <w:spacing w:after="0" w:line="240" w:lineRule="auto"/>
              <w:rPr>
                <w:rFonts w:ascii="Times New Roman" w:hAnsi="Times New Roman" w:cs="Times New Roman"/>
              </w:rPr>
            </w:pPr>
          </w:p>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0</w:t>
            </w:r>
          </w:p>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1/0</w:t>
            </w:r>
          </w:p>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0</w:t>
            </w:r>
          </w:p>
        </w:tc>
        <w:tc>
          <w:tcPr>
            <w:tcW w:w="2174" w:type="dxa"/>
          </w:tcPr>
          <w:p w:rsidR="008F3AF5" w:rsidRPr="00964F92" w:rsidRDefault="008F3AF5" w:rsidP="00964F92">
            <w:pPr>
              <w:spacing w:after="0" w:line="240" w:lineRule="auto"/>
              <w:rPr>
                <w:rFonts w:ascii="Times New Roman" w:hAnsi="Times New Roman" w:cs="Times New Roman"/>
              </w:rPr>
            </w:pPr>
          </w:p>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0</w:t>
            </w:r>
          </w:p>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1/0</w:t>
            </w:r>
          </w:p>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0</w:t>
            </w:r>
          </w:p>
        </w:tc>
      </w:tr>
      <w:tr w:rsidR="008F3AF5" w:rsidRPr="00964F92" w:rsidTr="00630798">
        <w:tc>
          <w:tcPr>
            <w:tcW w:w="2842" w:type="dxa"/>
          </w:tcPr>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 xml:space="preserve">3. Вода питьевая, вода водоисточников </w:t>
            </w:r>
          </w:p>
        </w:tc>
        <w:tc>
          <w:tcPr>
            <w:tcW w:w="2174" w:type="dxa"/>
          </w:tcPr>
          <w:p w:rsidR="008F3AF5" w:rsidRPr="00964F92" w:rsidRDefault="008F3AF5" w:rsidP="00964F92">
            <w:pPr>
              <w:spacing w:after="0" w:line="240" w:lineRule="auto"/>
              <w:rPr>
                <w:rFonts w:ascii="Times New Roman" w:hAnsi="Times New Roman" w:cs="Times New Roman"/>
              </w:rPr>
            </w:pPr>
          </w:p>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33/0</w:t>
            </w:r>
          </w:p>
        </w:tc>
        <w:tc>
          <w:tcPr>
            <w:tcW w:w="2174" w:type="dxa"/>
          </w:tcPr>
          <w:p w:rsidR="008F3AF5" w:rsidRPr="00964F92" w:rsidRDefault="008F3AF5" w:rsidP="00964F92">
            <w:pPr>
              <w:spacing w:after="0" w:line="240" w:lineRule="auto"/>
              <w:rPr>
                <w:rFonts w:ascii="Times New Roman" w:hAnsi="Times New Roman" w:cs="Times New Roman"/>
              </w:rPr>
            </w:pPr>
          </w:p>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12/0</w:t>
            </w:r>
          </w:p>
        </w:tc>
        <w:tc>
          <w:tcPr>
            <w:tcW w:w="2174" w:type="dxa"/>
          </w:tcPr>
          <w:p w:rsidR="008F3AF5" w:rsidRPr="00964F92" w:rsidRDefault="008F3AF5" w:rsidP="00964F92">
            <w:pPr>
              <w:spacing w:after="0" w:line="240" w:lineRule="auto"/>
              <w:rPr>
                <w:rFonts w:ascii="Times New Roman" w:hAnsi="Times New Roman" w:cs="Times New Roman"/>
              </w:rPr>
            </w:pPr>
          </w:p>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21</w:t>
            </w:r>
          </w:p>
        </w:tc>
      </w:tr>
      <w:tr w:rsidR="008F3AF5" w:rsidRPr="00964F92" w:rsidTr="00630798">
        <w:tc>
          <w:tcPr>
            <w:tcW w:w="2842" w:type="dxa"/>
          </w:tcPr>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ВСЕГО</w:t>
            </w:r>
          </w:p>
        </w:tc>
        <w:tc>
          <w:tcPr>
            <w:tcW w:w="2174" w:type="dxa"/>
          </w:tcPr>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65/0</w:t>
            </w:r>
          </w:p>
        </w:tc>
        <w:tc>
          <w:tcPr>
            <w:tcW w:w="2174" w:type="dxa"/>
          </w:tcPr>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18/0</w:t>
            </w:r>
          </w:p>
        </w:tc>
        <w:tc>
          <w:tcPr>
            <w:tcW w:w="2174" w:type="dxa"/>
          </w:tcPr>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27/0</w:t>
            </w:r>
          </w:p>
        </w:tc>
      </w:tr>
      <w:bookmarkEnd w:id="8"/>
    </w:tbl>
    <w:p w:rsidR="008F3AF5" w:rsidRPr="00964F92" w:rsidRDefault="008F3AF5" w:rsidP="00964F92">
      <w:pPr>
        <w:spacing w:after="0" w:line="240" w:lineRule="auto"/>
        <w:rPr>
          <w:rFonts w:ascii="Times New Roman" w:hAnsi="Times New Roman" w:cs="Times New Roman"/>
          <w:sz w:val="24"/>
          <w:szCs w:val="24"/>
        </w:rPr>
      </w:pPr>
    </w:p>
    <w:p w:rsidR="008F3AF5" w:rsidRPr="00964F92" w:rsidRDefault="008F3AF5" w:rsidP="00964F92">
      <w:pPr>
        <w:spacing w:after="0" w:line="240" w:lineRule="auto"/>
        <w:ind w:firstLine="709"/>
        <w:jc w:val="both"/>
        <w:rPr>
          <w:rFonts w:ascii="Times New Roman" w:hAnsi="Times New Roman" w:cs="Times New Roman"/>
          <w:sz w:val="24"/>
          <w:szCs w:val="24"/>
        </w:rPr>
      </w:pPr>
      <w:r w:rsidRPr="00964F92">
        <w:rPr>
          <w:rFonts w:ascii="Times New Roman" w:hAnsi="Times New Roman" w:cs="Times New Roman"/>
          <w:sz w:val="24"/>
          <w:szCs w:val="24"/>
        </w:rPr>
        <w:t>В 2019-2020г не проводились исследования проб строительных материалов местного производства в связи с отсутствием заявок.  В 2018г превышения нормируемых показателей радиационной безопасности не установлено. Не исследуется минеральное сырье, что свидетельствует о низкой заинтересованности предприятий и организаций города.</w:t>
      </w:r>
    </w:p>
    <w:p w:rsidR="008F3AF5" w:rsidRPr="00964F92" w:rsidRDefault="00964F92" w:rsidP="00964F92">
      <w:pPr>
        <w:spacing w:after="0" w:line="240" w:lineRule="auto"/>
        <w:ind w:right="-340" w:firstLine="709"/>
        <w:jc w:val="both"/>
        <w:rPr>
          <w:rFonts w:ascii="Times New Roman" w:hAnsi="Times New Roman" w:cs="Times New Roman"/>
          <w:bCs/>
          <w:sz w:val="24"/>
          <w:szCs w:val="24"/>
        </w:rPr>
      </w:pPr>
      <w:r>
        <w:rPr>
          <w:rFonts w:ascii="Times New Roman" w:hAnsi="Times New Roman" w:cs="Times New Roman"/>
          <w:sz w:val="24"/>
          <w:szCs w:val="24"/>
        </w:rPr>
        <w:t xml:space="preserve">В 2020, </w:t>
      </w:r>
      <w:r w:rsidR="008F3AF5" w:rsidRPr="00964F92">
        <w:rPr>
          <w:rFonts w:ascii="Times New Roman" w:hAnsi="Times New Roman" w:cs="Times New Roman"/>
          <w:sz w:val="24"/>
          <w:szCs w:val="24"/>
        </w:rPr>
        <w:t xml:space="preserve">2019 году </w:t>
      </w:r>
      <w:r>
        <w:rPr>
          <w:rFonts w:ascii="Times New Roman" w:hAnsi="Times New Roman" w:cs="Times New Roman"/>
          <w:sz w:val="24"/>
          <w:szCs w:val="24"/>
        </w:rPr>
        <w:t xml:space="preserve">снизилось количество </w:t>
      </w:r>
      <w:r w:rsidR="008F3AF5" w:rsidRPr="00964F92">
        <w:rPr>
          <w:rFonts w:ascii="Times New Roman" w:hAnsi="Times New Roman" w:cs="Times New Roman"/>
          <w:sz w:val="24"/>
          <w:szCs w:val="24"/>
        </w:rPr>
        <w:t xml:space="preserve">исследованных проб почвы, по сравнению с 2018годом на 99%. </w:t>
      </w:r>
      <w:r w:rsidR="008F3AF5" w:rsidRPr="00964F92">
        <w:rPr>
          <w:rFonts w:ascii="Times New Roman" w:hAnsi="Times New Roman" w:cs="Times New Roman"/>
          <w:bCs/>
          <w:sz w:val="24"/>
          <w:szCs w:val="24"/>
        </w:rPr>
        <w:t>Следует учесть</w:t>
      </w:r>
      <w:r>
        <w:rPr>
          <w:rFonts w:ascii="Times New Roman" w:hAnsi="Times New Roman" w:cs="Times New Roman"/>
          <w:bCs/>
          <w:sz w:val="24"/>
          <w:szCs w:val="24"/>
        </w:rPr>
        <w:t xml:space="preserve"> </w:t>
      </w:r>
      <w:r w:rsidR="008F3AF5" w:rsidRPr="00964F92">
        <w:rPr>
          <w:rFonts w:ascii="Times New Roman" w:hAnsi="Times New Roman" w:cs="Times New Roman"/>
          <w:bCs/>
          <w:sz w:val="24"/>
          <w:szCs w:val="24"/>
        </w:rPr>
        <w:t>отсутствие отводов земельных участков, реконструируемых, вводимых в эксплуатацию объектов по г. Пыть-Ях, нефтедобывающим предприятиям.</w:t>
      </w:r>
    </w:p>
    <w:p w:rsidR="008F3AF5" w:rsidRPr="00964F92" w:rsidRDefault="008F3AF5" w:rsidP="00964F92">
      <w:pPr>
        <w:spacing w:after="0" w:line="240" w:lineRule="auto"/>
        <w:ind w:right="-340" w:firstLine="709"/>
        <w:jc w:val="both"/>
        <w:rPr>
          <w:rFonts w:ascii="Times New Roman" w:hAnsi="Times New Roman" w:cs="Times New Roman"/>
          <w:sz w:val="24"/>
          <w:szCs w:val="24"/>
        </w:rPr>
      </w:pPr>
      <w:r w:rsidRPr="00964F92">
        <w:rPr>
          <w:rFonts w:ascii="Times New Roman" w:hAnsi="Times New Roman" w:cs="Times New Roman"/>
          <w:sz w:val="24"/>
          <w:szCs w:val="24"/>
        </w:rPr>
        <w:t>Согласно программы монитор</w:t>
      </w:r>
      <w:r w:rsidR="00964F92">
        <w:rPr>
          <w:rFonts w:ascii="Times New Roman" w:hAnsi="Times New Roman" w:cs="Times New Roman"/>
          <w:sz w:val="24"/>
          <w:szCs w:val="24"/>
        </w:rPr>
        <w:t xml:space="preserve">инговых наблюдений. проводятся </w:t>
      </w:r>
      <w:r w:rsidRPr="00964F92">
        <w:rPr>
          <w:rFonts w:ascii="Times New Roman" w:hAnsi="Times New Roman" w:cs="Times New Roman"/>
          <w:sz w:val="24"/>
          <w:szCs w:val="24"/>
        </w:rPr>
        <w:t xml:space="preserve">исследования почвы на радиологические показатели. </w:t>
      </w:r>
    </w:p>
    <w:p w:rsidR="008F3AF5" w:rsidRPr="00964F92" w:rsidRDefault="008F3AF5" w:rsidP="00964F92">
      <w:pPr>
        <w:spacing w:after="0" w:line="240" w:lineRule="auto"/>
        <w:ind w:right="-340" w:firstLine="709"/>
        <w:jc w:val="both"/>
        <w:rPr>
          <w:rFonts w:ascii="Times New Roman" w:hAnsi="Times New Roman" w:cs="Times New Roman"/>
          <w:sz w:val="24"/>
          <w:szCs w:val="24"/>
        </w:rPr>
      </w:pPr>
      <w:r w:rsidRPr="00964F92">
        <w:rPr>
          <w:rFonts w:ascii="Times New Roman" w:hAnsi="Times New Roman" w:cs="Times New Roman"/>
          <w:sz w:val="24"/>
          <w:szCs w:val="24"/>
        </w:rPr>
        <w:t xml:space="preserve">В 2018 г-2020гг. </w:t>
      </w:r>
      <w:r w:rsidR="00964F92">
        <w:rPr>
          <w:rFonts w:ascii="Times New Roman" w:hAnsi="Times New Roman" w:cs="Times New Roman"/>
          <w:sz w:val="24"/>
          <w:szCs w:val="24"/>
        </w:rPr>
        <w:t xml:space="preserve">проводись исследования почвы в </w:t>
      </w:r>
      <w:r w:rsidRPr="00964F92">
        <w:rPr>
          <w:rFonts w:ascii="Times New Roman" w:hAnsi="Times New Roman" w:cs="Times New Roman"/>
          <w:sz w:val="24"/>
          <w:szCs w:val="24"/>
        </w:rPr>
        <w:t xml:space="preserve">мониторинговых точках, а </w:t>
      </w:r>
      <w:proofErr w:type="gramStart"/>
      <w:r w:rsidRPr="00964F92">
        <w:rPr>
          <w:rFonts w:ascii="Times New Roman" w:hAnsi="Times New Roman" w:cs="Times New Roman"/>
          <w:sz w:val="24"/>
          <w:szCs w:val="24"/>
        </w:rPr>
        <w:t>также  по</w:t>
      </w:r>
      <w:proofErr w:type="gramEnd"/>
      <w:r w:rsidRPr="00964F92">
        <w:rPr>
          <w:rFonts w:ascii="Times New Roman" w:hAnsi="Times New Roman" w:cs="Times New Roman"/>
          <w:sz w:val="24"/>
          <w:szCs w:val="24"/>
        </w:rPr>
        <w:t xml:space="preserve"> заявкам юридических лиц. Уровень удельной эффективной акт</w:t>
      </w:r>
      <w:r w:rsidR="00964F92">
        <w:rPr>
          <w:rFonts w:ascii="Times New Roman" w:hAnsi="Times New Roman" w:cs="Times New Roman"/>
          <w:sz w:val="24"/>
          <w:szCs w:val="24"/>
        </w:rPr>
        <w:t xml:space="preserve">ивности в мониторинговой точке </w:t>
      </w:r>
      <w:r w:rsidRPr="00964F92">
        <w:rPr>
          <w:rFonts w:ascii="Times New Roman" w:hAnsi="Times New Roman" w:cs="Times New Roman"/>
          <w:sz w:val="24"/>
          <w:szCs w:val="24"/>
        </w:rPr>
        <w:t xml:space="preserve">согласно приказа </w:t>
      </w:r>
      <w:proofErr w:type="gramStart"/>
      <w:r w:rsidRPr="00964F92">
        <w:rPr>
          <w:rFonts w:ascii="Times New Roman" w:hAnsi="Times New Roman" w:cs="Times New Roman"/>
          <w:sz w:val="24"/>
          <w:szCs w:val="24"/>
        </w:rPr>
        <w:t>УРПН ,</w:t>
      </w:r>
      <w:proofErr w:type="gramEnd"/>
      <w:r w:rsidRPr="00964F92">
        <w:rPr>
          <w:rFonts w:ascii="Times New Roman" w:hAnsi="Times New Roman" w:cs="Times New Roman"/>
          <w:sz w:val="24"/>
          <w:szCs w:val="24"/>
        </w:rPr>
        <w:t xml:space="preserve"> исследования проводились в 1 точке, уровень удельной эффективной активности в мониторинговой точке  в 2018г-29 Бк/кг., 2019г- 31 Бк/кг., 2020г- 37,7 Бк/кг</w:t>
      </w:r>
    </w:p>
    <w:p w:rsidR="008F3AF5" w:rsidRPr="00964F92" w:rsidRDefault="008F3AF5" w:rsidP="00964F92">
      <w:pPr>
        <w:spacing w:after="0" w:line="240" w:lineRule="auto"/>
        <w:ind w:right="-340" w:firstLine="709"/>
        <w:jc w:val="both"/>
        <w:rPr>
          <w:rFonts w:ascii="Times New Roman" w:hAnsi="Times New Roman" w:cs="Times New Roman"/>
          <w:sz w:val="24"/>
          <w:szCs w:val="24"/>
        </w:rPr>
      </w:pPr>
      <w:r w:rsidRPr="00964F92">
        <w:rPr>
          <w:rFonts w:ascii="Times New Roman" w:hAnsi="Times New Roman" w:cs="Times New Roman"/>
          <w:sz w:val="24"/>
          <w:szCs w:val="24"/>
        </w:rPr>
        <w:t xml:space="preserve">В динамике за 2018-2020гг уровень эффективной удельной активности почвы </w:t>
      </w:r>
      <w:r w:rsidR="00964F92">
        <w:rPr>
          <w:rFonts w:ascii="Times New Roman" w:hAnsi="Times New Roman" w:cs="Times New Roman"/>
          <w:sz w:val="24"/>
          <w:szCs w:val="24"/>
        </w:rPr>
        <w:t xml:space="preserve">увеличивается- на </w:t>
      </w:r>
      <w:r w:rsidRPr="00964F92">
        <w:rPr>
          <w:rFonts w:ascii="Times New Roman" w:hAnsi="Times New Roman" w:cs="Times New Roman"/>
          <w:sz w:val="24"/>
          <w:szCs w:val="24"/>
        </w:rPr>
        <w:t>21.6% по сравнению с 2019г, на 23% по сравнению с 2018г.</w:t>
      </w:r>
    </w:p>
    <w:p w:rsidR="008F3AF5" w:rsidRPr="00964F92" w:rsidRDefault="008F3AF5" w:rsidP="00964F92">
      <w:pPr>
        <w:spacing w:after="0" w:line="240" w:lineRule="auto"/>
        <w:ind w:right="-340" w:firstLine="709"/>
        <w:jc w:val="both"/>
        <w:rPr>
          <w:rFonts w:ascii="Times New Roman" w:hAnsi="Times New Roman" w:cs="Times New Roman"/>
          <w:sz w:val="24"/>
          <w:szCs w:val="24"/>
        </w:rPr>
      </w:pPr>
    </w:p>
    <w:p w:rsidR="008F3AF5" w:rsidRPr="00EB588C" w:rsidRDefault="008F3AF5" w:rsidP="008F3AF5">
      <w:pPr>
        <w:pStyle w:val="22"/>
        <w:jc w:val="left"/>
        <w:rPr>
          <w:b/>
          <w:bCs/>
          <w:sz w:val="24"/>
          <w:szCs w:val="24"/>
          <w:lang w:val="ru-RU"/>
        </w:rPr>
      </w:pPr>
    </w:p>
    <w:p w:rsidR="008F3AF5" w:rsidRPr="00EB588C" w:rsidRDefault="008F3AF5" w:rsidP="008F3AF5">
      <w:pPr>
        <w:pStyle w:val="22"/>
        <w:jc w:val="left"/>
        <w:rPr>
          <w:b/>
          <w:bCs/>
          <w:sz w:val="24"/>
          <w:szCs w:val="24"/>
        </w:rPr>
      </w:pPr>
    </w:p>
    <w:p w:rsidR="008F3AF5" w:rsidRPr="00EB588C" w:rsidRDefault="00964F92" w:rsidP="008F3AF5">
      <w:pPr>
        <w:pStyle w:val="22"/>
        <w:jc w:val="left"/>
        <w:rPr>
          <w:b/>
          <w:bCs/>
          <w:sz w:val="24"/>
          <w:szCs w:val="24"/>
        </w:rPr>
      </w:pPr>
      <w:r w:rsidRPr="00EB588C">
        <w:rPr>
          <w:noProof/>
          <w:lang w:val="ru-RU" w:eastAsia="ru-RU"/>
        </w:rPr>
        <w:lastRenderedPageBreak/>
        <w:drawing>
          <wp:anchor distT="0" distB="0" distL="114300" distR="114300" simplePos="0" relativeHeight="251662336" behindDoc="0" locked="0" layoutInCell="1" allowOverlap="1">
            <wp:simplePos x="0" y="0"/>
            <wp:positionH relativeFrom="margin">
              <wp:align>left</wp:align>
            </wp:positionH>
            <wp:positionV relativeFrom="paragraph">
              <wp:posOffset>-10160</wp:posOffset>
            </wp:positionV>
            <wp:extent cx="6116320" cy="1840230"/>
            <wp:effectExtent l="0" t="0" r="17780" b="7620"/>
            <wp:wrapNone/>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8F3AF5" w:rsidRPr="00EB588C" w:rsidRDefault="008F3AF5" w:rsidP="008F3AF5">
      <w:pPr>
        <w:pStyle w:val="22"/>
        <w:jc w:val="left"/>
        <w:rPr>
          <w:b/>
          <w:bCs/>
          <w:sz w:val="24"/>
          <w:szCs w:val="24"/>
        </w:rPr>
      </w:pPr>
    </w:p>
    <w:p w:rsidR="008F3AF5" w:rsidRPr="00EB588C" w:rsidRDefault="008F3AF5" w:rsidP="008F3AF5">
      <w:pPr>
        <w:pStyle w:val="22"/>
        <w:jc w:val="left"/>
        <w:rPr>
          <w:b/>
          <w:bCs/>
          <w:sz w:val="24"/>
          <w:szCs w:val="24"/>
        </w:rPr>
      </w:pPr>
    </w:p>
    <w:p w:rsidR="008F3AF5" w:rsidRPr="00EB588C" w:rsidRDefault="008F3AF5" w:rsidP="008F3AF5">
      <w:pPr>
        <w:pStyle w:val="22"/>
        <w:jc w:val="left"/>
        <w:rPr>
          <w:b/>
          <w:bCs/>
          <w:sz w:val="24"/>
          <w:szCs w:val="24"/>
        </w:rPr>
      </w:pPr>
    </w:p>
    <w:p w:rsidR="008F3AF5" w:rsidRPr="00EB588C" w:rsidRDefault="008F3AF5" w:rsidP="008F3AF5">
      <w:pPr>
        <w:pStyle w:val="22"/>
        <w:jc w:val="left"/>
        <w:rPr>
          <w:b/>
          <w:bCs/>
          <w:sz w:val="24"/>
          <w:szCs w:val="24"/>
        </w:rPr>
      </w:pPr>
    </w:p>
    <w:p w:rsidR="008F3AF5" w:rsidRPr="00EB588C" w:rsidRDefault="008F3AF5" w:rsidP="008F3AF5">
      <w:pPr>
        <w:pStyle w:val="22"/>
        <w:jc w:val="left"/>
        <w:rPr>
          <w:b/>
          <w:bCs/>
          <w:sz w:val="24"/>
          <w:szCs w:val="24"/>
        </w:rPr>
      </w:pPr>
    </w:p>
    <w:p w:rsidR="008F3AF5" w:rsidRPr="00EB588C" w:rsidRDefault="008F3AF5" w:rsidP="008F3AF5">
      <w:pPr>
        <w:pStyle w:val="22"/>
        <w:jc w:val="left"/>
        <w:rPr>
          <w:b/>
          <w:bCs/>
          <w:sz w:val="24"/>
          <w:szCs w:val="24"/>
          <w:lang w:val="ru-RU"/>
        </w:rPr>
      </w:pPr>
    </w:p>
    <w:p w:rsidR="008F3AF5" w:rsidRPr="00EB588C" w:rsidRDefault="008F3AF5" w:rsidP="008F3AF5">
      <w:pPr>
        <w:pStyle w:val="22"/>
        <w:jc w:val="left"/>
        <w:rPr>
          <w:b/>
          <w:bCs/>
          <w:sz w:val="24"/>
          <w:szCs w:val="24"/>
          <w:lang w:val="ru-RU"/>
        </w:rPr>
      </w:pPr>
    </w:p>
    <w:p w:rsidR="008F3AF5" w:rsidRPr="00EB588C" w:rsidRDefault="008F3AF5" w:rsidP="008F3AF5">
      <w:pPr>
        <w:pStyle w:val="22"/>
        <w:jc w:val="left"/>
        <w:rPr>
          <w:b/>
          <w:bCs/>
          <w:sz w:val="24"/>
          <w:szCs w:val="24"/>
          <w:lang w:val="ru-RU"/>
        </w:rPr>
      </w:pPr>
    </w:p>
    <w:p w:rsidR="00964F92" w:rsidRDefault="00964F92" w:rsidP="008F3AF5">
      <w:pPr>
        <w:jc w:val="center"/>
        <w:rPr>
          <w:b/>
          <w:bCs/>
        </w:rPr>
      </w:pPr>
    </w:p>
    <w:p w:rsidR="008F3AF5" w:rsidRPr="00964F92" w:rsidRDefault="008F3AF5" w:rsidP="008F3AF5">
      <w:pPr>
        <w:jc w:val="center"/>
        <w:rPr>
          <w:rFonts w:ascii="Times New Roman" w:hAnsi="Times New Roman" w:cs="Times New Roman"/>
        </w:rPr>
      </w:pPr>
      <w:r w:rsidRPr="00964F92">
        <w:rPr>
          <w:rFonts w:ascii="Times New Roman" w:hAnsi="Times New Roman" w:cs="Times New Roman"/>
          <w:b/>
          <w:bCs/>
        </w:rPr>
        <w:t>Диаграмма № 1.</w:t>
      </w:r>
      <w:r w:rsidRPr="00964F92">
        <w:rPr>
          <w:rFonts w:ascii="Times New Roman" w:hAnsi="Times New Roman" w:cs="Times New Roman"/>
        </w:rPr>
        <w:t xml:space="preserve"> Динамика проведения лабораторных исследований объектов внешней среды за 2018-2020 г.г.</w:t>
      </w:r>
    </w:p>
    <w:p w:rsidR="008F3AF5" w:rsidRPr="00964F92" w:rsidRDefault="008F3AF5" w:rsidP="00964F92">
      <w:pPr>
        <w:ind w:firstLine="708"/>
        <w:jc w:val="both"/>
        <w:rPr>
          <w:rFonts w:ascii="Times New Roman" w:hAnsi="Times New Roman" w:cs="Times New Roman"/>
        </w:rPr>
      </w:pPr>
      <w:r w:rsidRPr="00964F92">
        <w:rPr>
          <w:rFonts w:ascii="Times New Roman" w:hAnsi="Times New Roman" w:cs="Times New Roman"/>
          <w:sz w:val="24"/>
          <w:szCs w:val="24"/>
        </w:rPr>
        <w:t xml:space="preserve">В динамике за 3 года минимальное, среднее максимальное значение МЭД внешнего гамма-излучения   осталось </w:t>
      </w:r>
      <w:proofErr w:type="gramStart"/>
      <w:r w:rsidRPr="00964F92">
        <w:rPr>
          <w:rFonts w:ascii="Times New Roman" w:hAnsi="Times New Roman" w:cs="Times New Roman"/>
          <w:sz w:val="24"/>
          <w:szCs w:val="24"/>
        </w:rPr>
        <w:t>практически  на</w:t>
      </w:r>
      <w:proofErr w:type="gramEnd"/>
      <w:r w:rsidRPr="00964F92">
        <w:rPr>
          <w:rFonts w:ascii="Times New Roman" w:hAnsi="Times New Roman" w:cs="Times New Roman"/>
          <w:sz w:val="24"/>
          <w:szCs w:val="24"/>
        </w:rPr>
        <w:t xml:space="preserve"> прежнем уровне.</w:t>
      </w:r>
    </w:p>
    <w:p w:rsidR="008F3AF5" w:rsidRPr="00964F92" w:rsidRDefault="008F3AF5" w:rsidP="00964F92">
      <w:pPr>
        <w:spacing w:after="0" w:line="240" w:lineRule="auto"/>
        <w:jc w:val="right"/>
        <w:rPr>
          <w:rFonts w:ascii="Times New Roman" w:hAnsi="Times New Roman" w:cs="Times New Roman"/>
          <w:sz w:val="28"/>
          <w:szCs w:val="28"/>
        </w:rPr>
      </w:pPr>
      <w:r w:rsidRPr="00964F92">
        <w:rPr>
          <w:rFonts w:ascii="Times New Roman" w:hAnsi="Times New Roman" w:cs="Times New Roman"/>
        </w:rPr>
        <w:t>Таблица № 2</w:t>
      </w:r>
    </w:p>
    <w:p w:rsidR="008F3AF5" w:rsidRPr="00964F92" w:rsidRDefault="008F3AF5" w:rsidP="00964F92">
      <w:pPr>
        <w:spacing w:after="0" w:line="240" w:lineRule="auto"/>
        <w:jc w:val="center"/>
        <w:rPr>
          <w:rFonts w:ascii="Times New Roman" w:hAnsi="Times New Roman" w:cs="Times New Roman"/>
          <w:b/>
          <w:bCs/>
          <w:sz w:val="24"/>
          <w:szCs w:val="24"/>
        </w:rPr>
      </w:pPr>
      <w:r w:rsidRPr="00964F92">
        <w:rPr>
          <w:rFonts w:ascii="Times New Roman" w:hAnsi="Times New Roman" w:cs="Times New Roman"/>
          <w:b/>
          <w:bCs/>
          <w:sz w:val="24"/>
          <w:szCs w:val="24"/>
        </w:rPr>
        <w:t>Динамика исследований МЭД внешнего гамма-излучения за 2018 - 2020г.г.</w:t>
      </w:r>
    </w:p>
    <w:p w:rsidR="008F3AF5" w:rsidRPr="00964F92" w:rsidRDefault="008F3AF5" w:rsidP="00964F92">
      <w:pPr>
        <w:keepNext/>
        <w:spacing w:after="0" w:line="240" w:lineRule="auto"/>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06"/>
        <w:gridCol w:w="1795"/>
        <w:gridCol w:w="2605"/>
        <w:gridCol w:w="2404"/>
      </w:tblGrid>
      <w:tr w:rsidR="008F3AF5" w:rsidRPr="00964F92" w:rsidTr="00630798">
        <w:trPr>
          <w:cantSplit/>
          <w:jc w:val="center"/>
        </w:trPr>
        <w:tc>
          <w:tcPr>
            <w:tcW w:w="1906" w:type="dxa"/>
            <w:vMerge w:val="restart"/>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rPr>
              <w:t>Год</w:t>
            </w:r>
          </w:p>
        </w:tc>
        <w:tc>
          <w:tcPr>
            <w:tcW w:w="6804" w:type="dxa"/>
            <w:gridSpan w:val="3"/>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rPr>
              <w:t>Значение (мкЗв/ч)</w:t>
            </w:r>
          </w:p>
        </w:tc>
      </w:tr>
      <w:tr w:rsidR="008F3AF5" w:rsidRPr="00964F92" w:rsidTr="00630798">
        <w:trPr>
          <w:cantSplit/>
          <w:jc w:val="center"/>
        </w:trPr>
        <w:tc>
          <w:tcPr>
            <w:tcW w:w="1906" w:type="dxa"/>
            <w:vMerge/>
          </w:tcPr>
          <w:p w:rsidR="008F3AF5" w:rsidRPr="00964F92" w:rsidRDefault="008F3AF5" w:rsidP="00964F92">
            <w:pPr>
              <w:spacing w:before="20" w:after="0" w:line="240" w:lineRule="auto"/>
              <w:jc w:val="center"/>
              <w:rPr>
                <w:rFonts w:ascii="Times New Roman" w:hAnsi="Times New Roman" w:cs="Times New Roman"/>
              </w:rPr>
            </w:pPr>
          </w:p>
        </w:tc>
        <w:tc>
          <w:tcPr>
            <w:tcW w:w="1795"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rPr>
              <w:t>минимальное</w:t>
            </w:r>
          </w:p>
        </w:tc>
        <w:tc>
          <w:tcPr>
            <w:tcW w:w="2605"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rPr>
              <w:t>среднее</w:t>
            </w:r>
          </w:p>
        </w:tc>
        <w:tc>
          <w:tcPr>
            <w:tcW w:w="2404"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rPr>
              <w:t>максимальное</w:t>
            </w:r>
          </w:p>
        </w:tc>
      </w:tr>
      <w:tr w:rsidR="008F3AF5" w:rsidRPr="00964F92" w:rsidTr="00630798">
        <w:trPr>
          <w:cantSplit/>
          <w:jc w:val="center"/>
        </w:trPr>
        <w:tc>
          <w:tcPr>
            <w:tcW w:w="1906"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rPr>
              <w:t>2018</w:t>
            </w:r>
          </w:p>
        </w:tc>
        <w:tc>
          <w:tcPr>
            <w:tcW w:w="1795"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sz w:val="24"/>
                <w:szCs w:val="24"/>
              </w:rPr>
              <w:t>7,40х 10</w:t>
            </w:r>
            <w:r w:rsidRPr="00964F92">
              <w:rPr>
                <w:rFonts w:ascii="Times New Roman" w:hAnsi="Times New Roman" w:cs="Times New Roman"/>
                <w:sz w:val="24"/>
                <w:szCs w:val="24"/>
                <w:vertAlign w:val="superscript"/>
              </w:rPr>
              <w:t>-2</w:t>
            </w:r>
          </w:p>
        </w:tc>
        <w:tc>
          <w:tcPr>
            <w:tcW w:w="2605"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sz w:val="24"/>
                <w:szCs w:val="24"/>
              </w:rPr>
              <w:t>7,5х 10</w:t>
            </w:r>
            <w:r w:rsidRPr="00964F92">
              <w:rPr>
                <w:rFonts w:ascii="Times New Roman" w:hAnsi="Times New Roman" w:cs="Times New Roman"/>
                <w:sz w:val="24"/>
                <w:szCs w:val="24"/>
                <w:vertAlign w:val="superscript"/>
              </w:rPr>
              <w:t>-2</w:t>
            </w:r>
          </w:p>
        </w:tc>
        <w:tc>
          <w:tcPr>
            <w:tcW w:w="2404"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sz w:val="24"/>
                <w:szCs w:val="24"/>
              </w:rPr>
              <w:t>7,6 х 10</w:t>
            </w:r>
            <w:r w:rsidRPr="00964F92">
              <w:rPr>
                <w:rFonts w:ascii="Times New Roman" w:hAnsi="Times New Roman" w:cs="Times New Roman"/>
                <w:sz w:val="24"/>
                <w:szCs w:val="24"/>
                <w:vertAlign w:val="superscript"/>
              </w:rPr>
              <w:t>-2</w:t>
            </w:r>
          </w:p>
        </w:tc>
      </w:tr>
      <w:tr w:rsidR="008F3AF5" w:rsidRPr="00964F92" w:rsidTr="00630798">
        <w:trPr>
          <w:cantSplit/>
          <w:jc w:val="center"/>
        </w:trPr>
        <w:tc>
          <w:tcPr>
            <w:tcW w:w="1906"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rPr>
              <w:t>2019</w:t>
            </w:r>
          </w:p>
        </w:tc>
        <w:tc>
          <w:tcPr>
            <w:tcW w:w="1795"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sz w:val="24"/>
                <w:szCs w:val="24"/>
              </w:rPr>
              <w:t>7,25х 10</w:t>
            </w:r>
            <w:r w:rsidRPr="00964F92">
              <w:rPr>
                <w:rFonts w:ascii="Times New Roman" w:hAnsi="Times New Roman" w:cs="Times New Roman"/>
                <w:sz w:val="24"/>
                <w:szCs w:val="24"/>
                <w:vertAlign w:val="superscript"/>
              </w:rPr>
              <w:t>-2</w:t>
            </w:r>
          </w:p>
        </w:tc>
        <w:tc>
          <w:tcPr>
            <w:tcW w:w="2605"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sz w:val="24"/>
                <w:szCs w:val="24"/>
              </w:rPr>
              <w:t>7,5х 10</w:t>
            </w:r>
            <w:r w:rsidRPr="00964F92">
              <w:rPr>
                <w:rFonts w:ascii="Times New Roman" w:hAnsi="Times New Roman" w:cs="Times New Roman"/>
                <w:sz w:val="24"/>
                <w:szCs w:val="24"/>
                <w:vertAlign w:val="superscript"/>
              </w:rPr>
              <w:t>-2</w:t>
            </w:r>
          </w:p>
        </w:tc>
        <w:tc>
          <w:tcPr>
            <w:tcW w:w="2404"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sz w:val="24"/>
                <w:szCs w:val="24"/>
              </w:rPr>
              <w:t>7,6 х 10</w:t>
            </w:r>
            <w:r w:rsidRPr="00964F92">
              <w:rPr>
                <w:rFonts w:ascii="Times New Roman" w:hAnsi="Times New Roman" w:cs="Times New Roman"/>
                <w:sz w:val="24"/>
                <w:szCs w:val="24"/>
                <w:vertAlign w:val="superscript"/>
              </w:rPr>
              <w:t>-2</w:t>
            </w:r>
          </w:p>
        </w:tc>
      </w:tr>
      <w:tr w:rsidR="008F3AF5" w:rsidRPr="00964F92" w:rsidTr="00630798">
        <w:trPr>
          <w:cantSplit/>
          <w:jc w:val="center"/>
        </w:trPr>
        <w:tc>
          <w:tcPr>
            <w:tcW w:w="1906"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rPr>
              <w:t>2020</w:t>
            </w:r>
          </w:p>
        </w:tc>
        <w:tc>
          <w:tcPr>
            <w:tcW w:w="1795"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sz w:val="24"/>
                <w:szCs w:val="24"/>
              </w:rPr>
              <w:t>7,41 х 10</w:t>
            </w:r>
            <w:r w:rsidRPr="00964F92">
              <w:rPr>
                <w:rFonts w:ascii="Times New Roman" w:hAnsi="Times New Roman" w:cs="Times New Roman"/>
                <w:sz w:val="24"/>
                <w:szCs w:val="24"/>
                <w:vertAlign w:val="superscript"/>
              </w:rPr>
              <w:t>-2</w:t>
            </w:r>
          </w:p>
        </w:tc>
        <w:tc>
          <w:tcPr>
            <w:tcW w:w="2605"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sz w:val="24"/>
                <w:szCs w:val="24"/>
              </w:rPr>
              <w:t>7,4х 10</w:t>
            </w:r>
            <w:r w:rsidRPr="00964F92">
              <w:rPr>
                <w:rFonts w:ascii="Times New Roman" w:hAnsi="Times New Roman" w:cs="Times New Roman"/>
                <w:sz w:val="24"/>
                <w:szCs w:val="24"/>
                <w:vertAlign w:val="superscript"/>
              </w:rPr>
              <w:t>-2</w:t>
            </w:r>
          </w:p>
        </w:tc>
        <w:tc>
          <w:tcPr>
            <w:tcW w:w="2404"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sz w:val="24"/>
                <w:szCs w:val="24"/>
              </w:rPr>
              <w:t>7,6 х 10</w:t>
            </w:r>
            <w:r w:rsidRPr="00964F92">
              <w:rPr>
                <w:rFonts w:ascii="Times New Roman" w:hAnsi="Times New Roman" w:cs="Times New Roman"/>
                <w:sz w:val="24"/>
                <w:szCs w:val="24"/>
                <w:vertAlign w:val="superscript"/>
              </w:rPr>
              <w:t>-2</w:t>
            </w:r>
          </w:p>
        </w:tc>
      </w:tr>
    </w:tbl>
    <w:p w:rsidR="008F3AF5" w:rsidRPr="00964F92" w:rsidRDefault="008F3AF5" w:rsidP="00964F92">
      <w:pPr>
        <w:spacing w:after="0" w:line="240" w:lineRule="auto"/>
        <w:rPr>
          <w:rFonts w:ascii="Times New Roman" w:hAnsi="Times New Roman" w:cs="Times New Roman"/>
          <w:sz w:val="24"/>
          <w:szCs w:val="24"/>
          <w:highlight w:val="yellow"/>
        </w:rPr>
      </w:pPr>
    </w:p>
    <w:p w:rsidR="008F3AF5" w:rsidRPr="00964F92" w:rsidRDefault="008F3AF5" w:rsidP="00964F92">
      <w:pPr>
        <w:spacing w:after="0" w:line="240" w:lineRule="auto"/>
        <w:ind w:firstLine="709"/>
        <w:jc w:val="both"/>
        <w:rPr>
          <w:rFonts w:ascii="Times New Roman" w:hAnsi="Times New Roman" w:cs="Times New Roman"/>
          <w:sz w:val="24"/>
          <w:szCs w:val="24"/>
        </w:rPr>
      </w:pPr>
      <w:r w:rsidRPr="00964F92">
        <w:rPr>
          <w:rFonts w:ascii="Times New Roman" w:hAnsi="Times New Roman" w:cs="Times New Roman"/>
          <w:sz w:val="24"/>
          <w:szCs w:val="24"/>
        </w:rPr>
        <w:t>Количество измерений ЭРОА изотопов радона в воздухе в 2020году, по сравнению с 2019г увеличилось на 263%</w:t>
      </w:r>
      <w:bookmarkStart w:id="9" w:name="OLE_LINK15"/>
      <w:bookmarkStart w:id="10" w:name="OLE_LINK16"/>
      <w:r w:rsidRPr="00964F92">
        <w:rPr>
          <w:rFonts w:ascii="Times New Roman" w:hAnsi="Times New Roman" w:cs="Times New Roman"/>
          <w:sz w:val="24"/>
          <w:szCs w:val="24"/>
        </w:rPr>
        <w:t>, 2018г-на   4,2</w:t>
      </w:r>
      <w:proofErr w:type="gramStart"/>
      <w:r w:rsidRPr="00964F92">
        <w:rPr>
          <w:rFonts w:ascii="Times New Roman" w:hAnsi="Times New Roman" w:cs="Times New Roman"/>
          <w:sz w:val="24"/>
          <w:szCs w:val="24"/>
        </w:rPr>
        <w:t>%.(</w:t>
      </w:r>
      <w:proofErr w:type="gramEnd"/>
      <w:r w:rsidRPr="00964F92">
        <w:rPr>
          <w:rFonts w:ascii="Times New Roman" w:hAnsi="Times New Roman" w:cs="Times New Roman"/>
          <w:sz w:val="24"/>
          <w:szCs w:val="24"/>
        </w:rPr>
        <w:t xml:space="preserve"> рис№ 2, табл № 3). Превышения уровней радиационной безопасности не зарегистрировано </w:t>
      </w:r>
    </w:p>
    <w:bookmarkEnd w:id="9"/>
    <w:bookmarkEnd w:id="10"/>
    <w:p w:rsidR="008F3AF5" w:rsidRPr="00964F92" w:rsidRDefault="008F3AF5" w:rsidP="00964F92">
      <w:pPr>
        <w:spacing w:after="0" w:line="240" w:lineRule="auto"/>
        <w:jc w:val="right"/>
        <w:rPr>
          <w:rFonts w:ascii="Times New Roman" w:hAnsi="Times New Roman" w:cs="Times New Roman"/>
          <w:szCs w:val="24"/>
        </w:rPr>
      </w:pPr>
      <w:r w:rsidRPr="00964F92">
        <w:rPr>
          <w:rFonts w:ascii="Times New Roman" w:hAnsi="Times New Roman" w:cs="Times New Roman"/>
          <w:szCs w:val="24"/>
        </w:rPr>
        <w:t xml:space="preserve">Таблица №3 </w:t>
      </w:r>
    </w:p>
    <w:p w:rsidR="008F3AF5" w:rsidRPr="00964F92" w:rsidRDefault="008F3AF5" w:rsidP="00964F92">
      <w:pPr>
        <w:keepNext/>
        <w:spacing w:after="0" w:line="240" w:lineRule="auto"/>
        <w:jc w:val="center"/>
        <w:outlineLvl w:val="3"/>
        <w:rPr>
          <w:rFonts w:ascii="Times New Roman" w:hAnsi="Times New Roman" w:cs="Times New Roman"/>
          <w:b/>
          <w:bCs/>
          <w:sz w:val="24"/>
          <w:szCs w:val="24"/>
        </w:rPr>
      </w:pPr>
      <w:r w:rsidRPr="00964F92">
        <w:rPr>
          <w:rFonts w:ascii="Times New Roman" w:hAnsi="Times New Roman" w:cs="Times New Roman"/>
          <w:b/>
          <w:bCs/>
          <w:sz w:val="24"/>
          <w:szCs w:val="24"/>
        </w:rPr>
        <w:t>Исследования ионизирующих физических факторов за 2018 – 2020 г.г.</w:t>
      </w:r>
    </w:p>
    <w:tbl>
      <w:tblPr>
        <w:tblW w:w="907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3827"/>
        <w:gridCol w:w="1559"/>
        <w:gridCol w:w="1559"/>
        <w:gridCol w:w="1559"/>
      </w:tblGrid>
      <w:tr w:rsidR="008F3AF5" w:rsidRPr="00964F92" w:rsidTr="00630798">
        <w:trPr>
          <w:cantSplit/>
        </w:trPr>
        <w:tc>
          <w:tcPr>
            <w:tcW w:w="567"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rPr>
              <w:t>№ п/п</w:t>
            </w:r>
          </w:p>
        </w:tc>
        <w:tc>
          <w:tcPr>
            <w:tcW w:w="3827"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rPr>
              <w:t>Наименование</w:t>
            </w:r>
          </w:p>
        </w:tc>
        <w:tc>
          <w:tcPr>
            <w:tcW w:w="1559" w:type="dxa"/>
          </w:tcPr>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2018</w:t>
            </w:r>
          </w:p>
        </w:tc>
        <w:tc>
          <w:tcPr>
            <w:tcW w:w="1559" w:type="dxa"/>
          </w:tcPr>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2019</w:t>
            </w:r>
          </w:p>
        </w:tc>
        <w:tc>
          <w:tcPr>
            <w:tcW w:w="1559"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rPr>
              <w:t>2020</w:t>
            </w:r>
          </w:p>
        </w:tc>
      </w:tr>
      <w:tr w:rsidR="008F3AF5" w:rsidRPr="00964F92" w:rsidTr="00630798">
        <w:trPr>
          <w:cantSplit/>
        </w:trPr>
        <w:tc>
          <w:tcPr>
            <w:tcW w:w="567"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rPr>
              <w:t>1</w:t>
            </w:r>
          </w:p>
        </w:tc>
        <w:tc>
          <w:tcPr>
            <w:tcW w:w="3827" w:type="dxa"/>
          </w:tcPr>
          <w:p w:rsidR="008F3AF5" w:rsidRPr="00964F92" w:rsidRDefault="008F3AF5" w:rsidP="00964F92">
            <w:pPr>
              <w:spacing w:before="20" w:after="0" w:line="240" w:lineRule="auto"/>
              <w:rPr>
                <w:rFonts w:ascii="Times New Roman" w:hAnsi="Times New Roman" w:cs="Times New Roman"/>
              </w:rPr>
            </w:pPr>
            <w:bookmarkStart w:id="11" w:name="OLE_LINK14"/>
            <w:r w:rsidRPr="00964F92">
              <w:rPr>
                <w:rFonts w:ascii="Times New Roman" w:hAnsi="Times New Roman" w:cs="Times New Roman"/>
              </w:rPr>
              <w:t>МЭД внешнего гамма-излучения</w:t>
            </w:r>
            <w:bookmarkEnd w:id="11"/>
          </w:p>
        </w:tc>
        <w:tc>
          <w:tcPr>
            <w:tcW w:w="1559" w:type="dxa"/>
          </w:tcPr>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680</w:t>
            </w:r>
          </w:p>
        </w:tc>
        <w:tc>
          <w:tcPr>
            <w:tcW w:w="1559" w:type="dxa"/>
          </w:tcPr>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189</w:t>
            </w:r>
          </w:p>
        </w:tc>
        <w:tc>
          <w:tcPr>
            <w:tcW w:w="1559"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rPr>
              <w:t>489</w:t>
            </w:r>
          </w:p>
        </w:tc>
      </w:tr>
      <w:tr w:rsidR="008F3AF5" w:rsidRPr="00964F92" w:rsidTr="00630798">
        <w:trPr>
          <w:cantSplit/>
        </w:trPr>
        <w:tc>
          <w:tcPr>
            <w:tcW w:w="567"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rPr>
              <w:t>2</w:t>
            </w:r>
          </w:p>
        </w:tc>
        <w:tc>
          <w:tcPr>
            <w:tcW w:w="3827" w:type="dxa"/>
          </w:tcPr>
          <w:p w:rsidR="008F3AF5" w:rsidRPr="00964F92" w:rsidRDefault="008F3AF5" w:rsidP="00964F92">
            <w:pPr>
              <w:spacing w:before="20" w:after="0" w:line="240" w:lineRule="auto"/>
              <w:rPr>
                <w:rFonts w:ascii="Times New Roman" w:hAnsi="Times New Roman" w:cs="Times New Roman"/>
              </w:rPr>
            </w:pPr>
            <w:r w:rsidRPr="00964F92">
              <w:rPr>
                <w:rFonts w:ascii="Times New Roman" w:hAnsi="Times New Roman" w:cs="Times New Roman"/>
              </w:rPr>
              <w:t>ЭРОА изотопов радона в воздухе</w:t>
            </w:r>
          </w:p>
        </w:tc>
        <w:tc>
          <w:tcPr>
            <w:tcW w:w="1559" w:type="dxa"/>
          </w:tcPr>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210</w:t>
            </w:r>
          </w:p>
        </w:tc>
        <w:tc>
          <w:tcPr>
            <w:tcW w:w="1559" w:type="dxa"/>
          </w:tcPr>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40</w:t>
            </w:r>
          </w:p>
        </w:tc>
        <w:tc>
          <w:tcPr>
            <w:tcW w:w="1559"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rPr>
              <w:t>219</w:t>
            </w:r>
          </w:p>
        </w:tc>
      </w:tr>
      <w:tr w:rsidR="008F3AF5" w:rsidRPr="00964F92" w:rsidTr="00630798">
        <w:trPr>
          <w:cantSplit/>
        </w:trPr>
        <w:tc>
          <w:tcPr>
            <w:tcW w:w="567"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rPr>
              <w:t>3</w:t>
            </w:r>
          </w:p>
        </w:tc>
        <w:tc>
          <w:tcPr>
            <w:tcW w:w="3827" w:type="dxa"/>
          </w:tcPr>
          <w:p w:rsidR="008F3AF5" w:rsidRPr="00964F92" w:rsidRDefault="008F3AF5" w:rsidP="00964F92">
            <w:pPr>
              <w:spacing w:before="20" w:after="0" w:line="240" w:lineRule="auto"/>
              <w:rPr>
                <w:rFonts w:ascii="Times New Roman" w:hAnsi="Times New Roman" w:cs="Times New Roman"/>
              </w:rPr>
            </w:pPr>
            <w:r w:rsidRPr="00964F92">
              <w:rPr>
                <w:rFonts w:ascii="Times New Roman" w:hAnsi="Times New Roman" w:cs="Times New Roman"/>
              </w:rPr>
              <w:t>Рентгеновское излучение</w:t>
            </w:r>
          </w:p>
        </w:tc>
        <w:tc>
          <w:tcPr>
            <w:tcW w:w="1559" w:type="dxa"/>
          </w:tcPr>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0</w:t>
            </w:r>
          </w:p>
        </w:tc>
        <w:tc>
          <w:tcPr>
            <w:tcW w:w="1559" w:type="dxa"/>
          </w:tcPr>
          <w:p w:rsidR="008F3AF5" w:rsidRPr="00964F92" w:rsidRDefault="008F3AF5" w:rsidP="00964F92">
            <w:pPr>
              <w:spacing w:after="0" w:line="240" w:lineRule="auto"/>
              <w:rPr>
                <w:rFonts w:ascii="Times New Roman" w:hAnsi="Times New Roman" w:cs="Times New Roman"/>
              </w:rPr>
            </w:pPr>
            <w:r w:rsidRPr="00964F92">
              <w:rPr>
                <w:rFonts w:ascii="Times New Roman" w:hAnsi="Times New Roman" w:cs="Times New Roman"/>
              </w:rPr>
              <w:t>0</w:t>
            </w:r>
          </w:p>
        </w:tc>
        <w:tc>
          <w:tcPr>
            <w:tcW w:w="1559" w:type="dxa"/>
          </w:tcPr>
          <w:p w:rsidR="008F3AF5" w:rsidRPr="00964F92" w:rsidRDefault="008F3AF5" w:rsidP="00964F92">
            <w:pPr>
              <w:spacing w:before="20" w:after="0" w:line="240" w:lineRule="auto"/>
              <w:jc w:val="center"/>
              <w:rPr>
                <w:rFonts w:ascii="Times New Roman" w:hAnsi="Times New Roman" w:cs="Times New Roman"/>
              </w:rPr>
            </w:pPr>
            <w:r w:rsidRPr="00964F92">
              <w:rPr>
                <w:rFonts w:ascii="Times New Roman" w:hAnsi="Times New Roman" w:cs="Times New Roman"/>
              </w:rPr>
              <w:t>0</w:t>
            </w:r>
          </w:p>
        </w:tc>
      </w:tr>
    </w:tbl>
    <w:p w:rsidR="008F3AF5" w:rsidRPr="00964F92" w:rsidRDefault="008F3AF5" w:rsidP="00964F92">
      <w:pPr>
        <w:spacing w:after="0" w:line="240" w:lineRule="auto"/>
        <w:ind w:firstLine="709"/>
        <w:jc w:val="both"/>
        <w:rPr>
          <w:rFonts w:ascii="Times New Roman" w:hAnsi="Times New Roman" w:cs="Times New Roman"/>
          <w:sz w:val="24"/>
          <w:szCs w:val="24"/>
          <w:highlight w:val="yellow"/>
        </w:rPr>
      </w:pPr>
      <w:r w:rsidRPr="00964F92">
        <w:rPr>
          <w:rFonts w:ascii="Times New Roman" w:hAnsi="Times New Roman" w:cs="Times New Roman"/>
          <w:sz w:val="24"/>
          <w:szCs w:val="24"/>
          <w:highlight w:val="yellow"/>
        </w:rPr>
        <w:t xml:space="preserve">   </w:t>
      </w:r>
    </w:p>
    <w:p w:rsidR="008F3AF5" w:rsidRPr="00964F92" w:rsidRDefault="008F3AF5" w:rsidP="00964F92">
      <w:pPr>
        <w:spacing w:after="0" w:line="240" w:lineRule="auto"/>
        <w:ind w:firstLine="709"/>
        <w:jc w:val="both"/>
        <w:rPr>
          <w:rFonts w:ascii="Times New Roman" w:hAnsi="Times New Roman" w:cs="Times New Roman"/>
          <w:sz w:val="24"/>
          <w:szCs w:val="24"/>
        </w:rPr>
      </w:pPr>
      <w:proofErr w:type="gramStart"/>
      <w:r w:rsidRPr="00964F92">
        <w:rPr>
          <w:rFonts w:ascii="Times New Roman" w:hAnsi="Times New Roman" w:cs="Times New Roman"/>
          <w:sz w:val="24"/>
          <w:szCs w:val="24"/>
        </w:rPr>
        <w:t>В  2020</w:t>
      </w:r>
      <w:proofErr w:type="gramEnd"/>
      <w:r w:rsidRPr="00964F92">
        <w:rPr>
          <w:rFonts w:ascii="Times New Roman" w:hAnsi="Times New Roman" w:cs="Times New Roman"/>
          <w:sz w:val="24"/>
          <w:szCs w:val="24"/>
        </w:rPr>
        <w:t>году  регистрируется рос количества проведенных измерений МЭД гамма-излучения : по сравнению с 2019г на 158% , что объясняется  увеличением количества   надзорных мероприятий  и заявок.( рис№ 2, табл № 3)</w:t>
      </w:r>
    </w:p>
    <w:p w:rsidR="008F3AF5" w:rsidRPr="00387267" w:rsidRDefault="008F3AF5" w:rsidP="008F3AF5">
      <w:pPr>
        <w:jc w:val="center"/>
        <w:rPr>
          <w:highlight w:val="yellow"/>
        </w:rPr>
      </w:pPr>
      <w:r w:rsidRPr="00A65C54">
        <w:rPr>
          <w:noProof/>
          <w:sz w:val="24"/>
          <w:szCs w:val="24"/>
          <w:lang w:eastAsia="ru-RU"/>
        </w:rPr>
        <w:drawing>
          <wp:inline distT="0" distB="0" distL="0" distR="0">
            <wp:extent cx="5286375" cy="207645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F3AF5" w:rsidRPr="00964F92" w:rsidRDefault="008F3AF5" w:rsidP="008F3AF5">
      <w:pPr>
        <w:jc w:val="center"/>
        <w:rPr>
          <w:rFonts w:ascii="Times New Roman" w:hAnsi="Times New Roman" w:cs="Times New Roman"/>
          <w:sz w:val="24"/>
          <w:szCs w:val="24"/>
        </w:rPr>
      </w:pPr>
      <w:r w:rsidRPr="00964F92">
        <w:rPr>
          <w:rFonts w:ascii="Times New Roman" w:hAnsi="Times New Roman" w:cs="Times New Roman"/>
        </w:rPr>
        <w:t>Рис. № 2.Динамика исследований ионизирующих физических факторов за 2018-2020 г.г.</w:t>
      </w:r>
    </w:p>
    <w:p w:rsidR="008F3AF5" w:rsidRPr="00387267" w:rsidRDefault="008F3AF5" w:rsidP="008F3AF5">
      <w:pPr>
        <w:ind w:firstLine="709"/>
        <w:jc w:val="both"/>
        <w:rPr>
          <w:sz w:val="24"/>
          <w:szCs w:val="24"/>
          <w:highlight w:val="yellow"/>
        </w:rPr>
      </w:pPr>
    </w:p>
    <w:p w:rsidR="008F3AF5" w:rsidRPr="00964F92" w:rsidRDefault="008F3AF5" w:rsidP="008F3AF5">
      <w:pPr>
        <w:ind w:firstLine="709"/>
        <w:jc w:val="both"/>
        <w:rPr>
          <w:rFonts w:ascii="Times New Roman" w:hAnsi="Times New Roman" w:cs="Times New Roman"/>
          <w:sz w:val="24"/>
          <w:szCs w:val="24"/>
        </w:rPr>
      </w:pPr>
      <w:r w:rsidRPr="00964F92">
        <w:rPr>
          <w:rFonts w:ascii="Times New Roman" w:hAnsi="Times New Roman" w:cs="Times New Roman"/>
          <w:sz w:val="24"/>
          <w:szCs w:val="24"/>
        </w:rPr>
        <w:lastRenderedPageBreak/>
        <w:t xml:space="preserve">На протяжении периода 2018-2020 г.г. не выявлено превышения гигиенического норматива по ЭРОА радона в воздухе помещений, МЭД внешнего гамма-излучения. </w:t>
      </w:r>
    </w:p>
    <w:p w:rsidR="008F3AF5" w:rsidRPr="00964F92" w:rsidRDefault="008F3AF5" w:rsidP="008F3AF5">
      <w:pPr>
        <w:keepNext/>
        <w:spacing w:before="120"/>
        <w:jc w:val="center"/>
        <w:outlineLvl w:val="2"/>
        <w:rPr>
          <w:rFonts w:ascii="Times New Roman" w:hAnsi="Times New Roman" w:cs="Times New Roman"/>
          <w:b/>
          <w:bCs/>
          <w:sz w:val="24"/>
          <w:szCs w:val="24"/>
        </w:rPr>
      </w:pPr>
      <w:r w:rsidRPr="00964F92">
        <w:rPr>
          <w:rFonts w:ascii="Times New Roman" w:hAnsi="Times New Roman" w:cs="Times New Roman"/>
          <w:b/>
          <w:bCs/>
          <w:sz w:val="24"/>
          <w:szCs w:val="24"/>
        </w:rPr>
        <w:t>Техногенные источники</w:t>
      </w:r>
    </w:p>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964F92">
        <w:rPr>
          <w:rFonts w:ascii="Times New Roman" w:hAnsi="Times New Roman" w:cs="Times New Roman"/>
          <w:sz w:val="24"/>
          <w:szCs w:val="24"/>
        </w:rPr>
        <w:t xml:space="preserve">        В 2020г-20187г. на территории города Пыть-Ях состоят на учете всего 6 предприятий и организации с ИИИ:  медицинские учреждения  АУ «Пыть-Яхская городская  стоматологическая поликлиника»,  БУ ХМАО-Югры «Пыть-Яхская окружная больница», ООО «Алина» (2 стоматологических кабинета), ООО «Медиастом» (1стоматологический кабинет) и 2 промышленных предприятия  работающих с использованием источников ионизирующего излучения  ЗАО ПГО  филиал «ЮГЭ», ООО «Шлюмберже Восток».</w:t>
      </w:r>
      <w:r w:rsidRPr="00964F92">
        <w:rPr>
          <w:rFonts w:ascii="Times New Roman" w:hAnsi="Times New Roman" w:cs="Times New Roman"/>
          <w:b/>
          <w:sz w:val="24"/>
          <w:szCs w:val="24"/>
        </w:rPr>
        <w:t xml:space="preserve">, </w:t>
      </w:r>
      <w:r w:rsidRPr="00964F92">
        <w:rPr>
          <w:rFonts w:ascii="Times New Roman" w:hAnsi="Times New Roman" w:cs="Times New Roman"/>
          <w:sz w:val="24"/>
          <w:szCs w:val="24"/>
        </w:rPr>
        <w:t>по видам организаций изменений не произошл</w:t>
      </w:r>
      <w:r w:rsidRPr="00964F92">
        <w:rPr>
          <w:rFonts w:ascii="Times New Roman" w:hAnsi="Times New Roman" w:cs="Times New Roman"/>
          <w:b/>
          <w:sz w:val="24"/>
          <w:szCs w:val="24"/>
        </w:rPr>
        <w:t xml:space="preserve">о  </w:t>
      </w:r>
      <w:r w:rsidRPr="00964F92">
        <w:rPr>
          <w:rFonts w:ascii="Times New Roman" w:hAnsi="Times New Roman" w:cs="Times New Roman"/>
          <w:sz w:val="24"/>
          <w:szCs w:val="24"/>
        </w:rPr>
        <w:t>( таблица № 4, таблица № 5).</w:t>
      </w:r>
    </w:p>
    <w:p w:rsidR="008F3AF5" w:rsidRPr="0054564D" w:rsidRDefault="008F3AF5" w:rsidP="0054564D">
      <w:pPr>
        <w:spacing w:after="0" w:line="240" w:lineRule="auto"/>
        <w:jc w:val="right"/>
        <w:rPr>
          <w:rFonts w:ascii="Times New Roman" w:hAnsi="Times New Roman" w:cs="Times New Roman"/>
        </w:rPr>
      </w:pPr>
      <w:r w:rsidRPr="0054564D">
        <w:rPr>
          <w:rFonts w:ascii="Times New Roman" w:hAnsi="Times New Roman" w:cs="Times New Roman"/>
        </w:rPr>
        <w:t>Таблица №4</w:t>
      </w:r>
    </w:p>
    <w:p w:rsidR="008F3AF5" w:rsidRPr="0054564D" w:rsidRDefault="008F3AF5" w:rsidP="0054564D">
      <w:pPr>
        <w:keepNext/>
        <w:tabs>
          <w:tab w:val="center" w:pos="4393"/>
          <w:tab w:val="left" w:pos="7697"/>
        </w:tabs>
        <w:spacing w:after="0" w:line="240" w:lineRule="auto"/>
        <w:jc w:val="center"/>
        <w:outlineLvl w:val="7"/>
        <w:rPr>
          <w:rFonts w:ascii="Times New Roman" w:hAnsi="Times New Roman" w:cs="Times New Roman"/>
          <w:b/>
          <w:bCs/>
          <w:sz w:val="24"/>
          <w:szCs w:val="24"/>
        </w:rPr>
      </w:pPr>
      <w:r w:rsidRPr="0054564D">
        <w:rPr>
          <w:rFonts w:ascii="Times New Roman" w:hAnsi="Times New Roman" w:cs="Times New Roman"/>
          <w:b/>
          <w:bCs/>
          <w:sz w:val="24"/>
          <w:szCs w:val="24"/>
        </w:rPr>
        <w:t>Количество предприятий и организации с ИИИ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47"/>
        <w:gridCol w:w="895"/>
        <w:gridCol w:w="895"/>
        <w:gridCol w:w="895"/>
      </w:tblGrid>
      <w:tr w:rsidR="008F3AF5" w:rsidRPr="0054564D" w:rsidTr="00630798">
        <w:trPr>
          <w:cantSplit/>
          <w:jc w:val="center"/>
        </w:trPr>
        <w:tc>
          <w:tcPr>
            <w:tcW w:w="4147"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Наименование</w:t>
            </w:r>
          </w:p>
        </w:tc>
        <w:tc>
          <w:tcPr>
            <w:tcW w:w="895"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2018г.</w:t>
            </w:r>
          </w:p>
        </w:tc>
        <w:tc>
          <w:tcPr>
            <w:tcW w:w="895"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2019г.</w:t>
            </w:r>
          </w:p>
        </w:tc>
        <w:tc>
          <w:tcPr>
            <w:tcW w:w="895"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2020г.</w:t>
            </w:r>
          </w:p>
        </w:tc>
      </w:tr>
      <w:tr w:rsidR="008F3AF5" w:rsidRPr="0054564D" w:rsidTr="00630798">
        <w:trPr>
          <w:cantSplit/>
          <w:jc w:val="center"/>
        </w:trPr>
        <w:tc>
          <w:tcPr>
            <w:tcW w:w="4147" w:type="dxa"/>
          </w:tcPr>
          <w:p w:rsidR="008F3AF5" w:rsidRPr="0054564D" w:rsidRDefault="008F3AF5" w:rsidP="0054564D">
            <w:pPr>
              <w:spacing w:before="20" w:after="0" w:line="240" w:lineRule="auto"/>
              <w:jc w:val="center"/>
              <w:rPr>
                <w:rFonts w:ascii="Times New Roman" w:hAnsi="Times New Roman" w:cs="Times New Roman"/>
              </w:rPr>
            </w:pPr>
            <w:bookmarkStart w:id="12" w:name="_Hlk473541908"/>
            <w:r w:rsidRPr="0054564D">
              <w:rPr>
                <w:rFonts w:ascii="Times New Roman" w:hAnsi="Times New Roman" w:cs="Times New Roman"/>
              </w:rPr>
              <w:t>Количество промышленных предприятий</w:t>
            </w:r>
          </w:p>
        </w:tc>
        <w:tc>
          <w:tcPr>
            <w:tcW w:w="895"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2</w:t>
            </w:r>
          </w:p>
        </w:tc>
        <w:tc>
          <w:tcPr>
            <w:tcW w:w="895"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2</w:t>
            </w:r>
          </w:p>
        </w:tc>
        <w:tc>
          <w:tcPr>
            <w:tcW w:w="895"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w:t>
            </w:r>
          </w:p>
        </w:tc>
      </w:tr>
      <w:tr w:rsidR="008F3AF5" w:rsidRPr="0054564D" w:rsidTr="00630798">
        <w:trPr>
          <w:cantSplit/>
          <w:jc w:val="center"/>
        </w:trPr>
        <w:tc>
          <w:tcPr>
            <w:tcW w:w="4147" w:type="dxa"/>
          </w:tcPr>
          <w:p w:rsidR="008F3AF5" w:rsidRPr="0054564D" w:rsidRDefault="008F3AF5" w:rsidP="0054564D">
            <w:pPr>
              <w:spacing w:before="20" w:after="0" w:line="240" w:lineRule="auto"/>
              <w:jc w:val="center"/>
              <w:rPr>
                <w:rFonts w:ascii="Times New Roman" w:hAnsi="Times New Roman" w:cs="Times New Roman"/>
              </w:rPr>
            </w:pPr>
            <w:proofErr w:type="gramStart"/>
            <w:r w:rsidRPr="0054564D">
              <w:rPr>
                <w:rFonts w:ascii="Times New Roman" w:hAnsi="Times New Roman" w:cs="Times New Roman"/>
              </w:rPr>
              <w:t>Медицинские .</w:t>
            </w:r>
            <w:proofErr w:type="gramEnd"/>
            <w:r w:rsidRPr="0054564D">
              <w:rPr>
                <w:rFonts w:ascii="Times New Roman" w:hAnsi="Times New Roman" w:cs="Times New Roman"/>
              </w:rPr>
              <w:t xml:space="preserve"> учреждения</w:t>
            </w:r>
          </w:p>
        </w:tc>
        <w:tc>
          <w:tcPr>
            <w:tcW w:w="895" w:type="dxa"/>
            <w:tcBorders>
              <w:bottom w:val="nil"/>
            </w:tcBorders>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4</w:t>
            </w:r>
          </w:p>
        </w:tc>
        <w:tc>
          <w:tcPr>
            <w:tcW w:w="895" w:type="dxa"/>
            <w:tcBorders>
              <w:bottom w:val="nil"/>
            </w:tcBorders>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4</w:t>
            </w:r>
          </w:p>
        </w:tc>
        <w:tc>
          <w:tcPr>
            <w:tcW w:w="895" w:type="dxa"/>
            <w:tcBorders>
              <w:bottom w:val="nil"/>
            </w:tcBorders>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4</w:t>
            </w:r>
          </w:p>
        </w:tc>
      </w:tr>
      <w:tr w:rsidR="008F3AF5" w:rsidRPr="0054564D" w:rsidTr="00630798">
        <w:trPr>
          <w:cantSplit/>
          <w:jc w:val="center"/>
        </w:trPr>
        <w:tc>
          <w:tcPr>
            <w:tcW w:w="4147"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ВСЕГО:</w:t>
            </w:r>
          </w:p>
        </w:tc>
        <w:tc>
          <w:tcPr>
            <w:tcW w:w="895"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6</w:t>
            </w:r>
          </w:p>
        </w:tc>
        <w:tc>
          <w:tcPr>
            <w:tcW w:w="895"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6</w:t>
            </w:r>
          </w:p>
        </w:tc>
        <w:tc>
          <w:tcPr>
            <w:tcW w:w="895"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6</w:t>
            </w:r>
          </w:p>
        </w:tc>
      </w:tr>
    </w:tbl>
    <w:bookmarkEnd w:id="12"/>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xml:space="preserve">   На территории г.Пыть-Ях отсутствуют объекты 1, 2, 3 категории потенциальной радиационной опасности, </w:t>
      </w:r>
      <w:proofErr w:type="gramStart"/>
      <w:r w:rsidRPr="0054564D">
        <w:rPr>
          <w:rFonts w:ascii="Times New Roman" w:hAnsi="Times New Roman" w:cs="Times New Roman"/>
          <w:sz w:val="24"/>
          <w:szCs w:val="24"/>
        </w:rPr>
        <w:t>объекты</w:t>
      </w:r>
      <w:proofErr w:type="gramEnd"/>
      <w:r w:rsidRPr="0054564D">
        <w:rPr>
          <w:rFonts w:ascii="Times New Roman" w:hAnsi="Times New Roman" w:cs="Times New Roman"/>
          <w:sz w:val="24"/>
          <w:szCs w:val="24"/>
        </w:rPr>
        <w:t xml:space="preserve"> отнесенные к особо радиационно - ядерно- опасным.</w:t>
      </w:r>
    </w:p>
    <w:p w:rsidR="008F3AF5" w:rsidRPr="0054564D" w:rsidRDefault="008F3AF5" w:rsidP="0054564D">
      <w:pPr>
        <w:spacing w:after="0" w:line="240" w:lineRule="auto"/>
        <w:jc w:val="right"/>
        <w:rPr>
          <w:rFonts w:ascii="Times New Roman" w:hAnsi="Times New Roman" w:cs="Times New Roman"/>
        </w:rPr>
      </w:pPr>
      <w:r w:rsidRPr="0054564D">
        <w:rPr>
          <w:rFonts w:ascii="Times New Roman" w:hAnsi="Times New Roman" w:cs="Times New Roman"/>
        </w:rPr>
        <w:t>Таблица №5</w:t>
      </w:r>
    </w:p>
    <w:p w:rsidR="008F3AF5" w:rsidRPr="0054564D" w:rsidRDefault="008F3AF5" w:rsidP="0054564D">
      <w:pPr>
        <w:tabs>
          <w:tab w:val="left" w:pos="0"/>
        </w:tabs>
        <w:spacing w:after="0" w:line="240" w:lineRule="auto"/>
        <w:jc w:val="center"/>
        <w:rPr>
          <w:rFonts w:ascii="Times New Roman" w:hAnsi="Times New Roman" w:cs="Times New Roman"/>
          <w:b/>
          <w:sz w:val="24"/>
          <w:szCs w:val="24"/>
        </w:rPr>
      </w:pPr>
      <w:r w:rsidRPr="0054564D">
        <w:rPr>
          <w:rFonts w:ascii="Times New Roman" w:hAnsi="Times New Roman" w:cs="Times New Roman"/>
          <w:b/>
          <w:sz w:val="24"/>
          <w:szCs w:val="24"/>
        </w:rPr>
        <w:t>Перечень объектов, использующих источники ионизирующего излучения по данным РГП на 2017-20120 год.</w:t>
      </w:r>
    </w:p>
    <w:tbl>
      <w:tblPr>
        <w:tblW w:w="4751"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41"/>
        <w:gridCol w:w="664"/>
        <w:gridCol w:w="430"/>
        <w:gridCol w:w="513"/>
        <w:gridCol w:w="654"/>
        <w:gridCol w:w="657"/>
        <w:gridCol w:w="934"/>
        <w:gridCol w:w="934"/>
        <w:gridCol w:w="654"/>
      </w:tblGrid>
      <w:tr w:rsidR="008F3AF5" w:rsidRPr="0054564D" w:rsidTr="00630798">
        <w:trPr>
          <w:cantSplit/>
        </w:trPr>
        <w:tc>
          <w:tcPr>
            <w:tcW w:w="1937" w:type="pct"/>
            <w:vMerge w:val="restart"/>
            <w:vAlign w:val="center"/>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Виды организаций</w:t>
            </w:r>
          </w:p>
        </w:tc>
        <w:tc>
          <w:tcPr>
            <w:tcW w:w="1643" w:type="pct"/>
            <w:gridSpan w:val="5"/>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Число организаций данного вида</w:t>
            </w:r>
          </w:p>
        </w:tc>
        <w:tc>
          <w:tcPr>
            <w:tcW w:w="1420" w:type="pct"/>
            <w:gridSpan w:val="3"/>
            <w:vMerge w:val="restar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Численность персонала</w:t>
            </w:r>
          </w:p>
        </w:tc>
      </w:tr>
      <w:tr w:rsidR="008F3AF5" w:rsidRPr="0054564D" w:rsidTr="00630798">
        <w:trPr>
          <w:cantSplit/>
        </w:trPr>
        <w:tc>
          <w:tcPr>
            <w:tcW w:w="1937" w:type="pct"/>
            <w:vMerge/>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374" w:type="pct"/>
            <w:vMerge w:val="restar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Всего</w:t>
            </w:r>
          </w:p>
        </w:tc>
        <w:tc>
          <w:tcPr>
            <w:tcW w:w="1269" w:type="pct"/>
            <w:gridSpan w:val="4"/>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В том числе по категориям</w:t>
            </w:r>
          </w:p>
        </w:tc>
        <w:tc>
          <w:tcPr>
            <w:tcW w:w="1420" w:type="pct"/>
            <w:gridSpan w:val="3"/>
            <w:vMerge/>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r>
      <w:tr w:rsidR="008F3AF5" w:rsidRPr="0054564D" w:rsidTr="00630798">
        <w:trPr>
          <w:cantSplit/>
        </w:trPr>
        <w:tc>
          <w:tcPr>
            <w:tcW w:w="1937" w:type="pct"/>
            <w:vMerge/>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374" w:type="pct"/>
            <w:vMerge/>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242"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I</w:t>
            </w:r>
          </w:p>
        </w:tc>
        <w:tc>
          <w:tcPr>
            <w:tcW w:w="289"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II</w:t>
            </w:r>
          </w:p>
        </w:tc>
        <w:tc>
          <w:tcPr>
            <w:tcW w:w="368"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III</w:t>
            </w:r>
          </w:p>
        </w:tc>
        <w:tc>
          <w:tcPr>
            <w:tcW w:w="370"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IV</w:t>
            </w:r>
          </w:p>
        </w:tc>
        <w:tc>
          <w:tcPr>
            <w:tcW w:w="526"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группы А</w:t>
            </w:r>
          </w:p>
        </w:tc>
        <w:tc>
          <w:tcPr>
            <w:tcW w:w="526"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группы Б</w:t>
            </w:r>
          </w:p>
        </w:tc>
        <w:tc>
          <w:tcPr>
            <w:tcW w:w="368"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всего</w:t>
            </w:r>
          </w:p>
        </w:tc>
      </w:tr>
      <w:tr w:rsidR="008F3AF5" w:rsidRPr="0054564D" w:rsidTr="00630798">
        <w:trPr>
          <w:cantSplit/>
          <w:trHeight w:val="377"/>
        </w:trPr>
        <w:tc>
          <w:tcPr>
            <w:tcW w:w="5000" w:type="pct"/>
            <w:gridSpan w:val="9"/>
          </w:tcPr>
          <w:p w:rsidR="008F3AF5" w:rsidRPr="0054564D" w:rsidRDefault="008F3AF5" w:rsidP="0054564D">
            <w:pPr>
              <w:tabs>
                <w:tab w:val="left" w:pos="0"/>
              </w:tabs>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2017г</w:t>
            </w:r>
          </w:p>
        </w:tc>
      </w:tr>
      <w:tr w:rsidR="008F3AF5" w:rsidRPr="0054564D" w:rsidTr="00630798">
        <w:trPr>
          <w:cantSplit/>
        </w:trPr>
        <w:tc>
          <w:tcPr>
            <w:tcW w:w="1937"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Геологоразведочные и добывающие</w:t>
            </w:r>
          </w:p>
        </w:tc>
        <w:tc>
          <w:tcPr>
            <w:tcW w:w="374"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w:t>
            </w:r>
          </w:p>
        </w:tc>
        <w:tc>
          <w:tcPr>
            <w:tcW w:w="242"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289"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368"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370"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w:t>
            </w:r>
          </w:p>
        </w:tc>
        <w:tc>
          <w:tcPr>
            <w:tcW w:w="526"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157</w:t>
            </w:r>
          </w:p>
        </w:tc>
        <w:tc>
          <w:tcPr>
            <w:tcW w:w="526"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24</w:t>
            </w:r>
          </w:p>
        </w:tc>
        <w:tc>
          <w:tcPr>
            <w:tcW w:w="368"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181</w:t>
            </w:r>
          </w:p>
        </w:tc>
      </w:tr>
      <w:tr w:rsidR="008F3AF5" w:rsidRPr="0054564D" w:rsidTr="00630798">
        <w:trPr>
          <w:cantSplit/>
        </w:trPr>
        <w:tc>
          <w:tcPr>
            <w:tcW w:w="1937"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Медучреждения</w:t>
            </w:r>
          </w:p>
        </w:tc>
        <w:tc>
          <w:tcPr>
            <w:tcW w:w="374"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4</w:t>
            </w:r>
          </w:p>
        </w:tc>
        <w:tc>
          <w:tcPr>
            <w:tcW w:w="242"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289"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368"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370"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4</w:t>
            </w:r>
          </w:p>
        </w:tc>
        <w:tc>
          <w:tcPr>
            <w:tcW w:w="526"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30</w:t>
            </w:r>
          </w:p>
        </w:tc>
        <w:tc>
          <w:tcPr>
            <w:tcW w:w="526"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25</w:t>
            </w:r>
          </w:p>
        </w:tc>
        <w:tc>
          <w:tcPr>
            <w:tcW w:w="368"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55</w:t>
            </w:r>
          </w:p>
        </w:tc>
      </w:tr>
      <w:tr w:rsidR="008F3AF5" w:rsidRPr="0054564D" w:rsidTr="00630798">
        <w:trPr>
          <w:cantSplit/>
        </w:trPr>
        <w:tc>
          <w:tcPr>
            <w:tcW w:w="1937"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Всего</w:t>
            </w:r>
          </w:p>
        </w:tc>
        <w:tc>
          <w:tcPr>
            <w:tcW w:w="374"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6</w:t>
            </w:r>
          </w:p>
        </w:tc>
        <w:tc>
          <w:tcPr>
            <w:tcW w:w="242"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289"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368"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370"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6</w:t>
            </w:r>
          </w:p>
        </w:tc>
        <w:tc>
          <w:tcPr>
            <w:tcW w:w="526"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183</w:t>
            </w:r>
          </w:p>
        </w:tc>
        <w:tc>
          <w:tcPr>
            <w:tcW w:w="526"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49</w:t>
            </w:r>
          </w:p>
        </w:tc>
        <w:tc>
          <w:tcPr>
            <w:tcW w:w="368"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236</w:t>
            </w:r>
          </w:p>
        </w:tc>
      </w:tr>
      <w:tr w:rsidR="008F3AF5" w:rsidRPr="0054564D" w:rsidTr="00630798">
        <w:trPr>
          <w:cantSplit/>
        </w:trPr>
        <w:tc>
          <w:tcPr>
            <w:tcW w:w="5000" w:type="pct"/>
            <w:gridSpan w:val="9"/>
          </w:tcPr>
          <w:p w:rsidR="008F3AF5" w:rsidRPr="0054564D" w:rsidRDefault="008F3AF5" w:rsidP="0054564D">
            <w:pPr>
              <w:tabs>
                <w:tab w:val="left" w:pos="0"/>
              </w:tabs>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2018год</w:t>
            </w:r>
          </w:p>
        </w:tc>
      </w:tr>
      <w:tr w:rsidR="008F3AF5" w:rsidRPr="0054564D" w:rsidTr="00630798">
        <w:trPr>
          <w:cantSplit/>
        </w:trPr>
        <w:tc>
          <w:tcPr>
            <w:tcW w:w="1937"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Геологоразведочные и добывающие</w:t>
            </w:r>
          </w:p>
        </w:tc>
        <w:tc>
          <w:tcPr>
            <w:tcW w:w="374"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w:t>
            </w:r>
          </w:p>
        </w:tc>
        <w:tc>
          <w:tcPr>
            <w:tcW w:w="242"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289"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368"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370"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w:t>
            </w:r>
          </w:p>
        </w:tc>
        <w:tc>
          <w:tcPr>
            <w:tcW w:w="526"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184</w:t>
            </w:r>
          </w:p>
        </w:tc>
        <w:tc>
          <w:tcPr>
            <w:tcW w:w="526"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21</w:t>
            </w:r>
          </w:p>
        </w:tc>
        <w:tc>
          <w:tcPr>
            <w:tcW w:w="368"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205</w:t>
            </w:r>
          </w:p>
        </w:tc>
      </w:tr>
      <w:tr w:rsidR="008F3AF5" w:rsidRPr="0054564D" w:rsidTr="00630798">
        <w:trPr>
          <w:cantSplit/>
        </w:trPr>
        <w:tc>
          <w:tcPr>
            <w:tcW w:w="1937"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Медучреждения</w:t>
            </w:r>
          </w:p>
        </w:tc>
        <w:tc>
          <w:tcPr>
            <w:tcW w:w="374"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4</w:t>
            </w:r>
          </w:p>
        </w:tc>
        <w:tc>
          <w:tcPr>
            <w:tcW w:w="242"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289"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368"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370"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4</w:t>
            </w:r>
          </w:p>
        </w:tc>
        <w:tc>
          <w:tcPr>
            <w:tcW w:w="526"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29</w:t>
            </w:r>
          </w:p>
        </w:tc>
        <w:tc>
          <w:tcPr>
            <w:tcW w:w="526"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21</w:t>
            </w:r>
          </w:p>
        </w:tc>
        <w:tc>
          <w:tcPr>
            <w:tcW w:w="368"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50</w:t>
            </w:r>
          </w:p>
        </w:tc>
      </w:tr>
      <w:tr w:rsidR="008F3AF5" w:rsidRPr="0054564D" w:rsidTr="00630798">
        <w:trPr>
          <w:cantSplit/>
        </w:trPr>
        <w:tc>
          <w:tcPr>
            <w:tcW w:w="1937"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ВСЕГО</w:t>
            </w:r>
          </w:p>
        </w:tc>
        <w:tc>
          <w:tcPr>
            <w:tcW w:w="374"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6</w:t>
            </w:r>
          </w:p>
        </w:tc>
        <w:tc>
          <w:tcPr>
            <w:tcW w:w="242"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289"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368"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370"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6</w:t>
            </w:r>
          </w:p>
        </w:tc>
        <w:tc>
          <w:tcPr>
            <w:tcW w:w="526"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213</w:t>
            </w:r>
          </w:p>
        </w:tc>
        <w:tc>
          <w:tcPr>
            <w:tcW w:w="526"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42</w:t>
            </w:r>
          </w:p>
        </w:tc>
        <w:tc>
          <w:tcPr>
            <w:tcW w:w="368"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255</w:t>
            </w:r>
          </w:p>
        </w:tc>
      </w:tr>
      <w:tr w:rsidR="008F3AF5" w:rsidRPr="0054564D" w:rsidTr="00630798">
        <w:trPr>
          <w:cantSplit/>
        </w:trPr>
        <w:tc>
          <w:tcPr>
            <w:tcW w:w="5000" w:type="pct"/>
            <w:gridSpan w:val="9"/>
          </w:tcPr>
          <w:p w:rsidR="008F3AF5" w:rsidRPr="0054564D" w:rsidRDefault="008F3AF5" w:rsidP="0054564D">
            <w:pPr>
              <w:tabs>
                <w:tab w:val="left" w:pos="0"/>
              </w:tabs>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2019год</w:t>
            </w:r>
          </w:p>
        </w:tc>
      </w:tr>
      <w:tr w:rsidR="008F3AF5" w:rsidRPr="0054564D" w:rsidTr="00630798">
        <w:trPr>
          <w:cantSplit/>
        </w:trPr>
        <w:tc>
          <w:tcPr>
            <w:tcW w:w="1937"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Геологоразведочные и добывающие</w:t>
            </w:r>
          </w:p>
        </w:tc>
        <w:tc>
          <w:tcPr>
            <w:tcW w:w="374"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w:t>
            </w:r>
          </w:p>
        </w:tc>
        <w:tc>
          <w:tcPr>
            <w:tcW w:w="242"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289"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368"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370"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w:t>
            </w:r>
          </w:p>
        </w:tc>
        <w:tc>
          <w:tcPr>
            <w:tcW w:w="526"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148</w:t>
            </w:r>
          </w:p>
        </w:tc>
        <w:tc>
          <w:tcPr>
            <w:tcW w:w="526"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15</w:t>
            </w:r>
          </w:p>
        </w:tc>
        <w:tc>
          <w:tcPr>
            <w:tcW w:w="368"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163</w:t>
            </w:r>
          </w:p>
        </w:tc>
      </w:tr>
      <w:tr w:rsidR="008F3AF5" w:rsidRPr="0054564D" w:rsidTr="00630798">
        <w:trPr>
          <w:cantSplit/>
        </w:trPr>
        <w:tc>
          <w:tcPr>
            <w:tcW w:w="1937"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Медучреждения</w:t>
            </w:r>
          </w:p>
        </w:tc>
        <w:tc>
          <w:tcPr>
            <w:tcW w:w="374"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4</w:t>
            </w:r>
          </w:p>
        </w:tc>
        <w:tc>
          <w:tcPr>
            <w:tcW w:w="242"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289"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368"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370"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4</w:t>
            </w:r>
          </w:p>
        </w:tc>
        <w:tc>
          <w:tcPr>
            <w:tcW w:w="526"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26</w:t>
            </w:r>
          </w:p>
        </w:tc>
        <w:tc>
          <w:tcPr>
            <w:tcW w:w="526"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32</w:t>
            </w:r>
          </w:p>
        </w:tc>
        <w:tc>
          <w:tcPr>
            <w:tcW w:w="368"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58</w:t>
            </w:r>
          </w:p>
        </w:tc>
      </w:tr>
      <w:tr w:rsidR="008F3AF5" w:rsidRPr="0054564D" w:rsidTr="00630798">
        <w:trPr>
          <w:cantSplit/>
        </w:trPr>
        <w:tc>
          <w:tcPr>
            <w:tcW w:w="1937"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ВСЕГО</w:t>
            </w:r>
          </w:p>
        </w:tc>
        <w:tc>
          <w:tcPr>
            <w:tcW w:w="374"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6</w:t>
            </w:r>
          </w:p>
        </w:tc>
        <w:tc>
          <w:tcPr>
            <w:tcW w:w="242"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289"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368"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p>
        </w:tc>
        <w:tc>
          <w:tcPr>
            <w:tcW w:w="370"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6</w:t>
            </w:r>
          </w:p>
        </w:tc>
        <w:tc>
          <w:tcPr>
            <w:tcW w:w="526"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174</w:t>
            </w:r>
          </w:p>
        </w:tc>
        <w:tc>
          <w:tcPr>
            <w:tcW w:w="526"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47</w:t>
            </w:r>
          </w:p>
        </w:tc>
        <w:tc>
          <w:tcPr>
            <w:tcW w:w="368" w:type="pct"/>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221</w:t>
            </w:r>
          </w:p>
        </w:tc>
      </w:tr>
    </w:tbl>
    <w:p w:rsidR="008F3AF5" w:rsidRPr="0054564D" w:rsidRDefault="008F3AF5" w:rsidP="0054564D">
      <w:pPr>
        <w:tabs>
          <w:tab w:val="left" w:pos="0"/>
        </w:tabs>
        <w:spacing w:after="0" w:line="240" w:lineRule="auto"/>
        <w:jc w:val="both"/>
        <w:rPr>
          <w:rFonts w:ascii="Times New Roman" w:hAnsi="Times New Roman" w:cs="Times New Roman"/>
          <w:sz w:val="24"/>
          <w:szCs w:val="24"/>
        </w:rPr>
      </w:pPr>
    </w:p>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xml:space="preserve">    ИИИ используются для проведения геофизического каротажа, при геофизических исследованиях, при измерении </w:t>
      </w:r>
      <w:proofErr w:type="gramStart"/>
      <w:r w:rsidRPr="0054564D">
        <w:rPr>
          <w:rFonts w:ascii="Times New Roman" w:hAnsi="Times New Roman" w:cs="Times New Roman"/>
          <w:sz w:val="24"/>
          <w:szCs w:val="24"/>
        </w:rPr>
        <w:t>плотности  различных</w:t>
      </w:r>
      <w:proofErr w:type="gramEnd"/>
      <w:r w:rsidRPr="0054564D">
        <w:rPr>
          <w:rFonts w:ascii="Times New Roman" w:hAnsi="Times New Roman" w:cs="Times New Roman"/>
          <w:sz w:val="24"/>
          <w:szCs w:val="24"/>
        </w:rPr>
        <w:t xml:space="preserve"> жидкостей, материалов в качестве плотномеров, уровнемеров, а также применяются рентгеновские аппараты для проведения рентгенодефектоскопии  при контроле за сварными швами при строительстве и ремонте трубопроводов.</w:t>
      </w:r>
    </w:p>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xml:space="preserve">      На территории прилегающей к городу находятся </w:t>
      </w:r>
      <w:proofErr w:type="gramStart"/>
      <w:r w:rsidRPr="0054564D">
        <w:rPr>
          <w:rFonts w:ascii="Times New Roman" w:hAnsi="Times New Roman" w:cs="Times New Roman"/>
          <w:sz w:val="24"/>
          <w:szCs w:val="24"/>
        </w:rPr>
        <w:t>временное  хранилище</w:t>
      </w:r>
      <w:proofErr w:type="gramEnd"/>
      <w:r w:rsidRPr="0054564D">
        <w:rPr>
          <w:rFonts w:ascii="Times New Roman" w:hAnsi="Times New Roman" w:cs="Times New Roman"/>
          <w:sz w:val="24"/>
          <w:szCs w:val="24"/>
        </w:rPr>
        <w:t xml:space="preserve"> радиоактивных веществ  ЗАО «Производственное геофизическое объединение «Тюменьпромгеофизика»(практически работы приостановлены) Юганская геофизическая экспедиция»   и пункт хранения временных хранилищ радиоактивных веществ ООО </w:t>
      </w:r>
      <w:r w:rsidRPr="0054564D">
        <w:rPr>
          <w:rFonts w:ascii="Times New Roman" w:hAnsi="Times New Roman" w:cs="Times New Roman"/>
          <w:sz w:val="24"/>
          <w:szCs w:val="24"/>
        </w:rPr>
        <w:lastRenderedPageBreak/>
        <w:t xml:space="preserve">«Шлюмберже Восток».  В 2015году НФК «Шлюмберже Лоджелко </w:t>
      </w:r>
      <w:proofErr w:type="gramStart"/>
      <w:r w:rsidRPr="0054564D">
        <w:rPr>
          <w:rFonts w:ascii="Times New Roman" w:hAnsi="Times New Roman" w:cs="Times New Roman"/>
          <w:sz w:val="24"/>
          <w:szCs w:val="24"/>
        </w:rPr>
        <w:t>ИНК»  передало</w:t>
      </w:r>
      <w:proofErr w:type="gramEnd"/>
      <w:r w:rsidRPr="0054564D">
        <w:rPr>
          <w:rFonts w:ascii="Times New Roman" w:hAnsi="Times New Roman" w:cs="Times New Roman"/>
          <w:sz w:val="24"/>
          <w:szCs w:val="24"/>
        </w:rPr>
        <w:t xml:space="preserve">  ИИИ во вновь образованное предприятие ООО «Шлюмберже Восток».</w:t>
      </w:r>
    </w:p>
    <w:p w:rsidR="008F3AF5" w:rsidRPr="0054564D" w:rsidRDefault="008F3AF5" w:rsidP="0054564D">
      <w:pPr>
        <w:spacing w:after="0" w:line="240" w:lineRule="auto"/>
        <w:jc w:val="right"/>
        <w:rPr>
          <w:rFonts w:ascii="Times New Roman" w:hAnsi="Times New Roman" w:cs="Times New Roman"/>
          <w:highlight w:val="yellow"/>
        </w:rPr>
      </w:pPr>
    </w:p>
    <w:p w:rsidR="008F3AF5" w:rsidRPr="0054564D" w:rsidRDefault="008F3AF5" w:rsidP="0054564D">
      <w:pPr>
        <w:spacing w:after="0" w:line="240" w:lineRule="auto"/>
        <w:jc w:val="right"/>
        <w:rPr>
          <w:rFonts w:ascii="Times New Roman" w:hAnsi="Times New Roman" w:cs="Times New Roman"/>
        </w:rPr>
      </w:pPr>
      <w:r w:rsidRPr="0054564D">
        <w:rPr>
          <w:rFonts w:ascii="Times New Roman" w:hAnsi="Times New Roman" w:cs="Times New Roman"/>
        </w:rPr>
        <w:t>Таблица №6</w:t>
      </w:r>
    </w:p>
    <w:p w:rsidR="008F3AF5" w:rsidRPr="0054564D" w:rsidRDefault="008F3AF5" w:rsidP="0054564D">
      <w:pPr>
        <w:spacing w:after="0" w:line="240" w:lineRule="auto"/>
        <w:jc w:val="center"/>
        <w:rPr>
          <w:rFonts w:ascii="Times New Roman" w:hAnsi="Times New Roman" w:cs="Times New Roman"/>
          <w:b/>
          <w:sz w:val="24"/>
          <w:szCs w:val="24"/>
        </w:rPr>
      </w:pPr>
    </w:p>
    <w:p w:rsidR="008F3AF5" w:rsidRPr="0054564D" w:rsidRDefault="008F3AF5" w:rsidP="0054564D">
      <w:pPr>
        <w:spacing w:after="0" w:line="240" w:lineRule="auto"/>
        <w:jc w:val="center"/>
        <w:rPr>
          <w:rFonts w:ascii="Times New Roman" w:hAnsi="Times New Roman" w:cs="Times New Roman"/>
          <w:b/>
          <w:sz w:val="24"/>
          <w:szCs w:val="24"/>
        </w:rPr>
      </w:pPr>
      <w:r w:rsidRPr="0054564D">
        <w:rPr>
          <w:rFonts w:ascii="Times New Roman" w:hAnsi="Times New Roman" w:cs="Times New Roman"/>
          <w:b/>
          <w:sz w:val="24"/>
          <w:szCs w:val="24"/>
        </w:rPr>
        <w:t>Общая характеристика объектов, использующих источники ионизирующего излучения по данным РГП на 2017-2019гг.</w:t>
      </w:r>
    </w:p>
    <w:p w:rsidR="008F3AF5" w:rsidRPr="0054564D" w:rsidRDefault="008F3AF5" w:rsidP="0054564D">
      <w:pPr>
        <w:spacing w:after="0" w:line="240" w:lineRule="auto"/>
        <w:jc w:val="both"/>
        <w:rPr>
          <w:rFonts w:ascii="Times New Roman" w:hAnsi="Times New Roman" w:cs="Times New Roman"/>
          <w:b/>
          <w:sz w:val="24"/>
          <w:szCs w:val="24"/>
          <w:highlight w:val="yellow"/>
        </w:rPr>
      </w:pPr>
    </w:p>
    <w:tbl>
      <w:tblPr>
        <w:tblW w:w="5775"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5"/>
        <w:gridCol w:w="81"/>
        <w:gridCol w:w="1111"/>
        <w:gridCol w:w="272"/>
        <w:gridCol w:w="706"/>
        <w:gridCol w:w="484"/>
        <w:gridCol w:w="477"/>
        <w:gridCol w:w="479"/>
        <w:gridCol w:w="479"/>
        <w:gridCol w:w="430"/>
        <w:gridCol w:w="345"/>
        <w:gridCol w:w="69"/>
        <w:gridCol w:w="415"/>
        <w:gridCol w:w="199"/>
        <w:gridCol w:w="330"/>
        <w:gridCol w:w="529"/>
        <w:gridCol w:w="415"/>
        <w:gridCol w:w="417"/>
        <w:gridCol w:w="415"/>
        <w:gridCol w:w="585"/>
        <w:gridCol w:w="389"/>
        <w:gridCol w:w="415"/>
        <w:gridCol w:w="417"/>
        <w:gridCol w:w="253"/>
        <w:gridCol w:w="326"/>
        <w:gridCol w:w="352"/>
      </w:tblGrid>
      <w:tr w:rsidR="008F3AF5" w:rsidRPr="0054564D" w:rsidTr="00630798">
        <w:trPr>
          <w:gridAfter w:val="1"/>
          <w:wAfter w:w="163" w:type="pct"/>
          <w:cantSplit/>
        </w:trPr>
        <w:tc>
          <w:tcPr>
            <w:tcW w:w="1194" w:type="pct"/>
            <w:gridSpan w:val="5"/>
            <w:vMerge w:val="restar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xml:space="preserve">Виды </w:t>
            </w:r>
            <w:r w:rsidRPr="0054564D">
              <w:rPr>
                <w:rFonts w:ascii="Times New Roman" w:hAnsi="Times New Roman" w:cs="Times New Roman"/>
                <w:sz w:val="24"/>
                <w:szCs w:val="24"/>
                <w:vertAlign w:val="superscript"/>
              </w:rPr>
              <w:t>1)</w:t>
            </w:r>
          </w:p>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организаций</w:t>
            </w:r>
          </w:p>
        </w:tc>
        <w:tc>
          <w:tcPr>
            <w:tcW w:w="3642" w:type="pct"/>
            <w:gridSpan w:val="20"/>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xml:space="preserve">Типы установок с ИИИ </w:t>
            </w:r>
            <w:r w:rsidRPr="0054564D">
              <w:rPr>
                <w:rFonts w:ascii="Times New Roman" w:hAnsi="Times New Roman" w:cs="Times New Roman"/>
                <w:sz w:val="24"/>
                <w:szCs w:val="24"/>
                <w:vertAlign w:val="superscript"/>
              </w:rPr>
              <w:t>2)</w:t>
            </w:r>
          </w:p>
        </w:tc>
      </w:tr>
      <w:tr w:rsidR="008F3AF5" w:rsidRPr="0054564D" w:rsidTr="00630798">
        <w:trPr>
          <w:gridAfter w:val="1"/>
          <w:wAfter w:w="163" w:type="pct"/>
          <w:cantSplit/>
        </w:trPr>
        <w:tc>
          <w:tcPr>
            <w:tcW w:w="1194" w:type="pct"/>
            <w:gridSpan w:val="5"/>
            <w:vMerge/>
          </w:tcPr>
          <w:p w:rsidR="008F3AF5" w:rsidRPr="0054564D" w:rsidRDefault="008F3AF5" w:rsidP="0054564D">
            <w:pPr>
              <w:spacing w:after="0" w:line="240" w:lineRule="auto"/>
              <w:jc w:val="both"/>
              <w:rPr>
                <w:rFonts w:ascii="Times New Roman" w:hAnsi="Times New Roman" w:cs="Times New Roman"/>
                <w:sz w:val="24"/>
                <w:szCs w:val="24"/>
              </w:rPr>
            </w:pPr>
          </w:p>
        </w:tc>
        <w:tc>
          <w:tcPr>
            <w:tcW w:w="224"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w:t>
            </w:r>
          </w:p>
        </w:tc>
        <w:tc>
          <w:tcPr>
            <w:tcW w:w="221"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w:t>
            </w:r>
          </w:p>
        </w:tc>
        <w:tc>
          <w:tcPr>
            <w:tcW w:w="222"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3</w:t>
            </w:r>
          </w:p>
        </w:tc>
        <w:tc>
          <w:tcPr>
            <w:tcW w:w="222"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4</w:t>
            </w:r>
          </w:p>
        </w:tc>
        <w:tc>
          <w:tcPr>
            <w:tcW w:w="199"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5</w:t>
            </w:r>
          </w:p>
        </w:tc>
        <w:tc>
          <w:tcPr>
            <w:tcW w:w="192" w:type="pct"/>
            <w:gridSpan w:val="2"/>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6</w:t>
            </w: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7</w:t>
            </w:r>
          </w:p>
        </w:tc>
        <w:tc>
          <w:tcPr>
            <w:tcW w:w="245" w:type="pct"/>
            <w:gridSpan w:val="2"/>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8</w:t>
            </w:r>
          </w:p>
        </w:tc>
        <w:tc>
          <w:tcPr>
            <w:tcW w:w="245"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9</w:t>
            </w: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10</w:t>
            </w:r>
          </w:p>
        </w:tc>
        <w:tc>
          <w:tcPr>
            <w:tcW w:w="193"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11</w:t>
            </w: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12</w:t>
            </w:r>
          </w:p>
        </w:tc>
        <w:tc>
          <w:tcPr>
            <w:tcW w:w="271"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13</w:t>
            </w:r>
          </w:p>
        </w:tc>
        <w:tc>
          <w:tcPr>
            <w:tcW w:w="180"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14</w:t>
            </w: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15</w:t>
            </w:r>
          </w:p>
        </w:tc>
        <w:tc>
          <w:tcPr>
            <w:tcW w:w="193"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16</w:t>
            </w:r>
          </w:p>
        </w:tc>
        <w:tc>
          <w:tcPr>
            <w:tcW w:w="267" w:type="pct"/>
            <w:gridSpan w:val="2"/>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17</w:t>
            </w:r>
          </w:p>
        </w:tc>
      </w:tr>
      <w:tr w:rsidR="008F3AF5" w:rsidRPr="0054564D" w:rsidTr="00630798">
        <w:trPr>
          <w:gridAfter w:val="1"/>
          <w:wAfter w:w="163" w:type="pct"/>
          <w:cantSplit/>
        </w:trPr>
        <w:tc>
          <w:tcPr>
            <w:tcW w:w="4837" w:type="pct"/>
            <w:gridSpan w:val="25"/>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2017</w:t>
            </w:r>
          </w:p>
        </w:tc>
      </w:tr>
      <w:tr w:rsidR="008F3AF5" w:rsidRPr="0054564D" w:rsidTr="00630798">
        <w:trPr>
          <w:gridAfter w:val="1"/>
          <w:wAfter w:w="163" w:type="pct"/>
        </w:trPr>
        <w:tc>
          <w:tcPr>
            <w:tcW w:w="1194" w:type="pct"/>
            <w:gridSpan w:val="5"/>
          </w:tcPr>
          <w:p w:rsidR="008F3AF5" w:rsidRPr="0054564D" w:rsidRDefault="008F3AF5" w:rsidP="0054564D">
            <w:pPr>
              <w:tabs>
                <w:tab w:val="left" w:pos="0"/>
              </w:tabs>
              <w:spacing w:after="0" w:line="240" w:lineRule="auto"/>
              <w:jc w:val="both"/>
              <w:rPr>
                <w:rFonts w:ascii="Times New Roman" w:hAnsi="Times New Roman" w:cs="Times New Roman"/>
              </w:rPr>
            </w:pPr>
            <w:r w:rsidRPr="0054564D">
              <w:rPr>
                <w:rFonts w:ascii="Times New Roman" w:hAnsi="Times New Roman" w:cs="Times New Roman"/>
              </w:rPr>
              <w:t>Геологоразведочные и добывающие</w:t>
            </w:r>
          </w:p>
        </w:tc>
        <w:tc>
          <w:tcPr>
            <w:tcW w:w="224"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1"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2"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63</w:t>
            </w:r>
          </w:p>
        </w:tc>
        <w:tc>
          <w:tcPr>
            <w:tcW w:w="199"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gridSpan w:val="2"/>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10</w:t>
            </w:r>
          </w:p>
        </w:tc>
        <w:tc>
          <w:tcPr>
            <w:tcW w:w="245" w:type="pct"/>
            <w:gridSpan w:val="2"/>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13</w:t>
            </w:r>
          </w:p>
        </w:tc>
        <w:tc>
          <w:tcPr>
            <w:tcW w:w="245"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3"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71"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80"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w:t>
            </w: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3"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67" w:type="pct"/>
            <w:gridSpan w:val="2"/>
          </w:tcPr>
          <w:p w:rsidR="008F3AF5" w:rsidRPr="0054564D" w:rsidRDefault="008F3AF5" w:rsidP="0054564D">
            <w:pPr>
              <w:spacing w:after="0" w:line="240" w:lineRule="auto"/>
              <w:jc w:val="both"/>
              <w:rPr>
                <w:rFonts w:ascii="Times New Roman" w:hAnsi="Times New Roman" w:cs="Times New Roman"/>
                <w:sz w:val="24"/>
                <w:szCs w:val="24"/>
              </w:rPr>
            </w:pPr>
          </w:p>
        </w:tc>
      </w:tr>
      <w:tr w:rsidR="008F3AF5" w:rsidRPr="0054564D" w:rsidTr="00630798">
        <w:trPr>
          <w:gridAfter w:val="1"/>
          <w:wAfter w:w="163" w:type="pct"/>
        </w:trPr>
        <w:tc>
          <w:tcPr>
            <w:tcW w:w="1194" w:type="pct"/>
            <w:gridSpan w:val="5"/>
          </w:tcPr>
          <w:p w:rsidR="008F3AF5" w:rsidRPr="0054564D" w:rsidRDefault="008F3AF5" w:rsidP="0054564D">
            <w:pPr>
              <w:tabs>
                <w:tab w:val="left" w:pos="0"/>
              </w:tabs>
              <w:spacing w:after="0" w:line="240" w:lineRule="auto"/>
              <w:jc w:val="both"/>
              <w:rPr>
                <w:rFonts w:ascii="Times New Roman" w:hAnsi="Times New Roman" w:cs="Times New Roman"/>
              </w:rPr>
            </w:pPr>
            <w:r w:rsidRPr="0054564D">
              <w:rPr>
                <w:rFonts w:ascii="Times New Roman" w:hAnsi="Times New Roman" w:cs="Times New Roman"/>
              </w:rPr>
              <w:t>Медучреждения</w:t>
            </w:r>
          </w:p>
        </w:tc>
        <w:tc>
          <w:tcPr>
            <w:tcW w:w="224"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1"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9"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gridSpan w:val="2"/>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45" w:type="pct"/>
            <w:gridSpan w:val="2"/>
          </w:tcPr>
          <w:p w:rsidR="008F3AF5" w:rsidRPr="0054564D" w:rsidRDefault="008F3AF5" w:rsidP="0054564D">
            <w:pPr>
              <w:spacing w:after="0" w:line="240" w:lineRule="auto"/>
              <w:jc w:val="both"/>
              <w:rPr>
                <w:rFonts w:ascii="Times New Roman" w:hAnsi="Times New Roman" w:cs="Times New Roman"/>
                <w:sz w:val="24"/>
                <w:szCs w:val="24"/>
              </w:rPr>
            </w:pPr>
          </w:p>
        </w:tc>
        <w:tc>
          <w:tcPr>
            <w:tcW w:w="245"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23</w:t>
            </w: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3"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71"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80"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3"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67" w:type="pct"/>
            <w:gridSpan w:val="2"/>
          </w:tcPr>
          <w:p w:rsidR="008F3AF5" w:rsidRPr="0054564D" w:rsidRDefault="008F3AF5" w:rsidP="0054564D">
            <w:pPr>
              <w:spacing w:after="0" w:line="240" w:lineRule="auto"/>
              <w:jc w:val="both"/>
              <w:rPr>
                <w:rFonts w:ascii="Times New Roman" w:hAnsi="Times New Roman" w:cs="Times New Roman"/>
                <w:sz w:val="24"/>
                <w:szCs w:val="24"/>
              </w:rPr>
            </w:pPr>
          </w:p>
        </w:tc>
      </w:tr>
      <w:tr w:rsidR="008F3AF5" w:rsidRPr="0054564D" w:rsidTr="00630798">
        <w:trPr>
          <w:gridAfter w:val="1"/>
          <w:wAfter w:w="163" w:type="pct"/>
        </w:trPr>
        <w:tc>
          <w:tcPr>
            <w:tcW w:w="1194" w:type="pct"/>
            <w:gridSpan w:val="5"/>
          </w:tcPr>
          <w:p w:rsidR="008F3AF5" w:rsidRPr="0054564D" w:rsidRDefault="008F3AF5" w:rsidP="0054564D">
            <w:pPr>
              <w:tabs>
                <w:tab w:val="left" w:pos="0"/>
              </w:tabs>
              <w:spacing w:after="0" w:line="240" w:lineRule="auto"/>
              <w:jc w:val="both"/>
              <w:rPr>
                <w:rFonts w:ascii="Times New Roman" w:hAnsi="Times New Roman" w:cs="Times New Roman"/>
                <w:sz w:val="24"/>
                <w:szCs w:val="24"/>
              </w:rPr>
            </w:pPr>
            <w:r w:rsidRPr="0054564D">
              <w:rPr>
                <w:rFonts w:ascii="Times New Roman" w:hAnsi="Times New Roman" w:cs="Times New Roman"/>
              </w:rPr>
              <w:t>Всего</w:t>
            </w:r>
          </w:p>
        </w:tc>
        <w:tc>
          <w:tcPr>
            <w:tcW w:w="224"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1"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2"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63</w:t>
            </w:r>
          </w:p>
        </w:tc>
        <w:tc>
          <w:tcPr>
            <w:tcW w:w="199"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gridSpan w:val="2"/>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10</w:t>
            </w:r>
          </w:p>
        </w:tc>
        <w:tc>
          <w:tcPr>
            <w:tcW w:w="245" w:type="pct"/>
            <w:gridSpan w:val="2"/>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13</w:t>
            </w:r>
          </w:p>
        </w:tc>
        <w:tc>
          <w:tcPr>
            <w:tcW w:w="245"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23</w:t>
            </w: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3"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71"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80"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w:t>
            </w: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3"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67" w:type="pct"/>
            <w:gridSpan w:val="2"/>
          </w:tcPr>
          <w:p w:rsidR="008F3AF5" w:rsidRPr="0054564D" w:rsidRDefault="008F3AF5" w:rsidP="0054564D">
            <w:pPr>
              <w:spacing w:after="0" w:line="240" w:lineRule="auto"/>
              <w:jc w:val="both"/>
              <w:rPr>
                <w:rFonts w:ascii="Times New Roman" w:hAnsi="Times New Roman" w:cs="Times New Roman"/>
                <w:sz w:val="24"/>
                <w:szCs w:val="24"/>
              </w:rPr>
            </w:pPr>
          </w:p>
        </w:tc>
      </w:tr>
      <w:tr w:rsidR="008F3AF5" w:rsidRPr="0054564D" w:rsidTr="00630798">
        <w:trPr>
          <w:gridAfter w:val="1"/>
          <w:wAfter w:w="163" w:type="pct"/>
        </w:trPr>
        <w:tc>
          <w:tcPr>
            <w:tcW w:w="4837" w:type="pct"/>
            <w:gridSpan w:val="25"/>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2018</w:t>
            </w:r>
          </w:p>
        </w:tc>
      </w:tr>
      <w:tr w:rsidR="008F3AF5" w:rsidRPr="0054564D" w:rsidTr="00630798">
        <w:trPr>
          <w:gridAfter w:val="1"/>
          <w:wAfter w:w="163" w:type="pct"/>
        </w:trPr>
        <w:tc>
          <w:tcPr>
            <w:tcW w:w="1194" w:type="pct"/>
            <w:gridSpan w:val="5"/>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Геологоразведочные и добывающие</w:t>
            </w:r>
          </w:p>
        </w:tc>
        <w:tc>
          <w:tcPr>
            <w:tcW w:w="224"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1"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2"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80</w:t>
            </w:r>
          </w:p>
        </w:tc>
        <w:tc>
          <w:tcPr>
            <w:tcW w:w="199"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gridSpan w:val="2"/>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20</w:t>
            </w:r>
          </w:p>
        </w:tc>
        <w:tc>
          <w:tcPr>
            <w:tcW w:w="245" w:type="pct"/>
            <w:gridSpan w:val="2"/>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14</w:t>
            </w:r>
          </w:p>
        </w:tc>
        <w:tc>
          <w:tcPr>
            <w:tcW w:w="245"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3"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71"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80"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w:t>
            </w: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3"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67" w:type="pct"/>
            <w:gridSpan w:val="2"/>
          </w:tcPr>
          <w:p w:rsidR="008F3AF5" w:rsidRPr="0054564D" w:rsidRDefault="008F3AF5" w:rsidP="0054564D">
            <w:pPr>
              <w:spacing w:after="0" w:line="240" w:lineRule="auto"/>
              <w:jc w:val="both"/>
              <w:rPr>
                <w:rFonts w:ascii="Times New Roman" w:hAnsi="Times New Roman" w:cs="Times New Roman"/>
                <w:sz w:val="24"/>
                <w:szCs w:val="24"/>
              </w:rPr>
            </w:pPr>
          </w:p>
        </w:tc>
      </w:tr>
      <w:tr w:rsidR="008F3AF5" w:rsidRPr="0054564D" w:rsidTr="00630798">
        <w:trPr>
          <w:gridAfter w:val="1"/>
          <w:wAfter w:w="163" w:type="pct"/>
        </w:trPr>
        <w:tc>
          <w:tcPr>
            <w:tcW w:w="1194" w:type="pct"/>
            <w:gridSpan w:val="5"/>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Медучреждения</w:t>
            </w:r>
          </w:p>
        </w:tc>
        <w:tc>
          <w:tcPr>
            <w:tcW w:w="224"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1"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9"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gridSpan w:val="2"/>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45" w:type="pct"/>
            <w:gridSpan w:val="2"/>
          </w:tcPr>
          <w:p w:rsidR="008F3AF5" w:rsidRPr="0054564D" w:rsidRDefault="008F3AF5" w:rsidP="0054564D">
            <w:pPr>
              <w:spacing w:after="0" w:line="240" w:lineRule="auto"/>
              <w:jc w:val="both"/>
              <w:rPr>
                <w:rFonts w:ascii="Times New Roman" w:hAnsi="Times New Roman" w:cs="Times New Roman"/>
                <w:sz w:val="24"/>
                <w:szCs w:val="24"/>
              </w:rPr>
            </w:pPr>
          </w:p>
        </w:tc>
        <w:tc>
          <w:tcPr>
            <w:tcW w:w="245"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24</w:t>
            </w: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3"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71"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80"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3"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67" w:type="pct"/>
            <w:gridSpan w:val="2"/>
          </w:tcPr>
          <w:p w:rsidR="008F3AF5" w:rsidRPr="0054564D" w:rsidRDefault="008F3AF5" w:rsidP="0054564D">
            <w:pPr>
              <w:spacing w:after="0" w:line="240" w:lineRule="auto"/>
              <w:jc w:val="both"/>
              <w:rPr>
                <w:rFonts w:ascii="Times New Roman" w:hAnsi="Times New Roman" w:cs="Times New Roman"/>
                <w:sz w:val="24"/>
                <w:szCs w:val="24"/>
              </w:rPr>
            </w:pPr>
          </w:p>
        </w:tc>
      </w:tr>
      <w:tr w:rsidR="008F3AF5" w:rsidRPr="0054564D" w:rsidTr="00630798">
        <w:trPr>
          <w:gridAfter w:val="1"/>
          <w:wAfter w:w="163" w:type="pct"/>
        </w:trPr>
        <w:tc>
          <w:tcPr>
            <w:tcW w:w="1194" w:type="pct"/>
            <w:gridSpan w:val="5"/>
          </w:tcPr>
          <w:p w:rsidR="008F3AF5" w:rsidRPr="0054564D" w:rsidRDefault="008F3AF5" w:rsidP="0054564D">
            <w:pPr>
              <w:tabs>
                <w:tab w:val="left" w:pos="0"/>
              </w:tabs>
              <w:spacing w:after="0" w:line="240" w:lineRule="auto"/>
              <w:jc w:val="both"/>
              <w:rPr>
                <w:rFonts w:ascii="Times New Roman" w:hAnsi="Times New Roman" w:cs="Times New Roman"/>
              </w:rPr>
            </w:pPr>
            <w:r w:rsidRPr="0054564D">
              <w:rPr>
                <w:rFonts w:ascii="Times New Roman" w:hAnsi="Times New Roman" w:cs="Times New Roman"/>
              </w:rPr>
              <w:t>Всего</w:t>
            </w:r>
          </w:p>
        </w:tc>
        <w:tc>
          <w:tcPr>
            <w:tcW w:w="224"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1"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2"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80</w:t>
            </w:r>
          </w:p>
        </w:tc>
        <w:tc>
          <w:tcPr>
            <w:tcW w:w="199"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gridSpan w:val="2"/>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20</w:t>
            </w:r>
          </w:p>
        </w:tc>
        <w:tc>
          <w:tcPr>
            <w:tcW w:w="245" w:type="pct"/>
            <w:gridSpan w:val="2"/>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14</w:t>
            </w:r>
          </w:p>
        </w:tc>
        <w:tc>
          <w:tcPr>
            <w:tcW w:w="245"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24</w:t>
            </w: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3"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71"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80"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w:t>
            </w: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3"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67" w:type="pct"/>
            <w:gridSpan w:val="2"/>
          </w:tcPr>
          <w:p w:rsidR="008F3AF5" w:rsidRPr="0054564D" w:rsidRDefault="008F3AF5" w:rsidP="0054564D">
            <w:pPr>
              <w:spacing w:after="0" w:line="240" w:lineRule="auto"/>
              <w:jc w:val="both"/>
              <w:rPr>
                <w:rFonts w:ascii="Times New Roman" w:hAnsi="Times New Roman" w:cs="Times New Roman"/>
                <w:sz w:val="24"/>
                <w:szCs w:val="24"/>
              </w:rPr>
            </w:pPr>
          </w:p>
        </w:tc>
      </w:tr>
      <w:tr w:rsidR="008F3AF5" w:rsidRPr="0054564D" w:rsidTr="00630798">
        <w:trPr>
          <w:gridAfter w:val="1"/>
          <w:wAfter w:w="163" w:type="pct"/>
        </w:trPr>
        <w:tc>
          <w:tcPr>
            <w:tcW w:w="4837" w:type="pct"/>
            <w:gridSpan w:val="25"/>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2019</w:t>
            </w:r>
          </w:p>
        </w:tc>
      </w:tr>
      <w:tr w:rsidR="008F3AF5" w:rsidRPr="0054564D" w:rsidTr="00630798">
        <w:trPr>
          <w:gridAfter w:val="1"/>
          <w:wAfter w:w="163" w:type="pct"/>
        </w:trPr>
        <w:tc>
          <w:tcPr>
            <w:tcW w:w="1194" w:type="pct"/>
            <w:gridSpan w:val="5"/>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Геологоразведочные и добывающие</w:t>
            </w:r>
          </w:p>
        </w:tc>
        <w:tc>
          <w:tcPr>
            <w:tcW w:w="224"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1"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2"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53</w:t>
            </w:r>
          </w:p>
        </w:tc>
        <w:tc>
          <w:tcPr>
            <w:tcW w:w="199"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gridSpan w:val="2"/>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20</w:t>
            </w:r>
          </w:p>
        </w:tc>
        <w:tc>
          <w:tcPr>
            <w:tcW w:w="245" w:type="pct"/>
            <w:gridSpan w:val="2"/>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15</w:t>
            </w:r>
          </w:p>
        </w:tc>
        <w:tc>
          <w:tcPr>
            <w:tcW w:w="245"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3"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71"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80"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w:t>
            </w: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3"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67" w:type="pct"/>
            <w:gridSpan w:val="2"/>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52</w:t>
            </w:r>
          </w:p>
        </w:tc>
      </w:tr>
      <w:tr w:rsidR="008F3AF5" w:rsidRPr="0054564D" w:rsidTr="00630798">
        <w:trPr>
          <w:gridAfter w:val="1"/>
          <w:wAfter w:w="163" w:type="pct"/>
        </w:trPr>
        <w:tc>
          <w:tcPr>
            <w:tcW w:w="1194" w:type="pct"/>
            <w:gridSpan w:val="5"/>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Медучреждения</w:t>
            </w:r>
          </w:p>
        </w:tc>
        <w:tc>
          <w:tcPr>
            <w:tcW w:w="224"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1"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9"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gridSpan w:val="2"/>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45" w:type="pct"/>
            <w:gridSpan w:val="2"/>
          </w:tcPr>
          <w:p w:rsidR="008F3AF5" w:rsidRPr="0054564D" w:rsidRDefault="008F3AF5" w:rsidP="0054564D">
            <w:pPr>
              <w:spacing w:after="0" w:line="240" w:lineRule="auto"/>
              <w:jc w:val="both"/>
              <w:rPr>
                <w:rFonts w:ascii="Times New Roman" w:hAnsi="Times New Roman" w:cs="Times New Roman"/>
                <w:sz w:val="24"/>
                <w:szCs w:val="24"/>
              </w:rPr>
            </w:pPr>
          </w:p>
        </w:tc>
        <w:tc>
          <w:tcPr>
            <w:tcW w:w="245"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27</w:t>
            </w: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3"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71"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80"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3"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67" w:type="pct"/>
            <w:gridSpan w:val="2"/>
          </w:tcPr>
          <w:p w:rsidR="008F3AF5" w:rsidRPr="0054564D" w:rsidRDefault="008F3AF5" w:rsidP="0054564D">
            <w:pPr>
              <w:spacing w:after="0" w:line="240" w:lineRule="auto"/>
              <w:jc w:val="both"/>
              <w:rPr>
                <w:rFonts w:ascii="Times New Roman" w:hAnsi="Times New Roman" w:cs="Times New Roman"/>
                <w:sz w:val="24"/>
                <w:szCs w:val="24"/>
              </w:rPr>
            </w:pPr>
          </w:p>
        </w:tc>
      </w:tr>
      <w:tr w:rsidR="008F3AF5" w:rsidRPr="0054564D" w:rsidTr="00630798">
        <w:trPr>
          <w:gridAfter w:val="1"/>
          <w:wAfter w:w="163" w:type="pct"/>
        </w:trPr>
        <w:tc>
          <w:tcPr>
            <w:tcW w:w="1194" w:type="pct"/>
            <w:gridSpan w:val="5"/>
          </w:tcPr>
          <w:p w:rsidR="008F3AF5" w:rsidRPr="0054564D" w:rsidRDefault="008F3AF5" w:rsidP="0054564D">
            <w:pPr>
              <w:tabs>
                <w:tab w:val="left" w:pos="0"/>
              </w:tabs>
              <w:spacing w:after="0" w:line="240" w:lineRule="auto"/>
              <w:jc w:val="both"/>
              <w:rPr>
                <w:rFonts w:ascii="Times New Roman" w:hAnsi="Times New Roman" w:cs="Times New Roman"/>
              </w:rPr>
            </w:pPr>
            <w:r w:rsidRPr="0054564D">
              <w:rPr>
                <w:rFonts w:ascii="Times New Roman" w:hAnsi="Times New Roman" w:cs="Times New Roman"/>
              </w:rPr>
              <w:t>Всего</w:t>
            </w:r>
          </w:p>
        </w:tc>
        <w:tc>
          <w:tcPr>
            <w:tcW w:w="224"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1"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22"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53</w:t>
            </w:r>
          </w:p>
        </w:tc>
        <w:tc>
          <w:tcPr>
            <w:tcW w:w="199"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gridSpan w:val="2"/>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20</w:t>
            </w:r>
          </w:p>
        </w:tc>
        <w:tc>
          <w:tcPr>
            <w:tcW w:w="245" w:type="pct"/>
            <w:gridSpan w:val="2"/>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15</w:t>
            </w:r>
          </w:p>
        </w:tc>
        <w:tc>
          <w:tcPr>
            <w:tcW w:w="245"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27</w:t>
            </w: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3"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71"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80"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2</w:t>
            </w:r>
          </w:p>
        </w:tc>
        <w:tc>
          <w:tcPr>
            <w:tcW w:w="192"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193"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267" w:type="pct"/>
            <w:gridSpan w:val="2"/>
          </w:tcPr>
          <w:p w:rsidR="008F3AF5" w:rsidRPr="0054564D" w:rsidRDefault="008F3AF5" w:rsidP="0054564D">
            <w:pPr>
              <w:spacing w:after="0" w:line="240" w:lineRule="auto"/>
              <w:jc w:val="both"/>
              <w:rPr>
                <w:rFonts w:ascii="Times New Roman" w:hAnsi="Times New Roman" w:cs="Times New Roman"/>
                <w:sz w:val="24"/>
                <w:szCs w:val="24"/>
              </w:rPr>
            </w:pPr>
          </w:p>
        </w:tc>
      </w:tr>
      <w:tr w:rsidR="008F3AF5" w:rsidRPr="0054564D" w:rsidTr="0063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8" w:type="pct"/>
          <w:wAfter w:w="314" w:type="pct"/>
        </w:trPr>
        <w:tc>
          <w:tcPr>
            <w:tcW w:w="38"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515"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4 -</w:t>
            </w:r>
          </w:p>
        </w:tc>
        <w:tc>
          <w:tcPr>
            <w:tcW w:w="3945" w:type="pct"/>
            <w:gridSpan w:val="21"/>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Закрытые радионуклидные источники.</w:t>
            </w:r>
          </w:p>
        </w:tc>
      </w:tr>
      <w:tr w:rsidR="008F3AF5" w:rsidRPr="0054564D" w:rsidTr="0063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8" w:type="pct"/>
          <w:wAfter w:w="314" w:type="pct"/>
        </w:trPr>
        <w:tc>
          <w:tcPr>
            <w:tcW w:w="38"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515"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7 -</w:t>
            </w:r>
          </w:p>
        </w:tc>
        <w:tc>
          <w:tcPr>
            <w:tcW w:w="1701" w:type="pct"/>
            <w:gridSpan w:val="8"/>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Нейтронные генераторы.</w:t>
            </w:r>
          </w:p>
        </w:tc>
        <w:tc>
          <w:tcPr>
            <w:tcW w:w="316" w:type="pct"/>
            <w:gridSpan w:val="3"/>
          </w:tcPr>
          <w:p w:rsidR="008F3AF5" w:rsidRPr="0054564D" w:rsidRDefault="008F3AF5" w:rsidP="0054564D">
            <w:pPr>
              <w:spacing w:after="0" w:line="240" w:lineRule="auto"/>
              <w:jc w:val="both"/>
              <w:rPr>
                <w:rFonts w:ascii="Times New Roman" w:hAnsi="Times New Roman" w:cs="Times New Roman"/>
                <w:sz w:val="24"/>
                <w:szCs w:val="24"/>
              </w:rPr>
            </w:pPr>
          </w:p>
        </w:tc>
        <w:tc>
          <w:tcPr>
            <w:tcW w:w="1928" w:type="pct"/>
            <w:gridSpan w:val="10"/>
          </w:tcPr>
          <w:p w:rsidR="008F3AF5" w:rsidRPr="0054564D" w:rsidRDefault="008F3AF5" w:rsidP="0054564D">
            <w:pPr>
              <w:spacing w:after="0" w:line="240" w:lineRule="auto"/>
              <w:jc w:val="both"/>
              <w:rPr>
                <w:rFonts w:ascii="Times New Roman" w:hAnsi="Times New Roman" w:cs="Times New Roman"/>
                <w:sz w:val="24"/>
                <w:szCs w:val="24"/>
              </w:rPr>
            </w:pPr>
          </w:p>
        </w:tc>
      </w:tr>
      <w:tr w:rsidR="008F3AF5" w:rsidRPr="0054564D" w:rsidTr="0063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8" w:type="pct"/>
          <w:wAfter w:w="314" w:type="pct"/>
        </w:trPr>
        <w:tc>
          <w:tcPr>
            <w:tcW w:w="38"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515"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8 -</w:t>
            </w:r>
          </w:p>
        </w:tc>
        <w:tc>
          <w:tcPr>
            <w:tcW w:w="1701" w:type="pct"/>
            <w:gridSpan w:val="8"/>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Радиоизотопные приборы.</w:t>
            </w:r>
          </w:p>
        </w:tc>
        <w:tc>
          <w:tcPr>
            <w:tcW w:w="316" w:type="pct"/>
            <w:gridSpan w:val="3"/>
          </w:tcPr>
          <w:p w:rsidR="008F3AF5" w:rsidRPr="0054564D" w:rsidRDefault="008F3AF5" w:rsidP="0054564D">
            <w:pPr>
              <w:spacing w:after="0" w:line="240" w:lineRule="auto"/>
              <w:jc w:val="both"/>
              <w:rPr>
                <w:rFonts w:ascii="Times New Roman" w:hAnsi="Times New Roman" w:cs="Times New Roman"/>
                <w:sz w:val="24"/>
                <w:szCs w:val="24"/>
              </w:rPr>
            </w:pPr>
          </w:p>
        </w:tc>
        <w:tc>
          <w:tcPr>
            <w:tcW w:w="1928" w:type="pct"/>
            <w:gridSpan w:val="10"/>
          </w:tcPr>
          <w:p w:rsidR="008F3AF5" w:rsidRPr="0054564D" w:rsidRDefault="008F3AF5" w:rsidP="0054564D">
            <w:pPr>
              <w:spacing w:after="0" w:line="240" w:lineRule="auto"/>
              <w:jc w:val="both"/>
              <w:rPr>
                <w:rFonts w:ascii="Times New Roman" w:hAnsi="Times New Roman" w:cs="Times New Roman"/>
                <w:sz w:val="24"/>
                <w:szCs w:val="24"/>
              </w:rPr>
            </w:pPr>
          </w:p>
        </w:tc>
      </w:tr>
      <w:tr w:rsidR="008F3AF5" w:rsidRPr="0054564D" w:rsidTr="0063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88" w:type="pct"/>
          <w:wAfter w:w="314" w:type="pct"/>
        </w:trPr>
        <w:tc>
          <w:tcPr>
            <w:tcW w:w="38" w:type="pct"/>
          </w:tcPr>
          <w:p w:rsidR="008F3AF5" w:rsidRPr="0054564D" w:rsidRDefault="008F3AF5" w:rsidP="0054564D">
            <w:pPr>
              <w:spacing w:after="0" w:line="240" w:lineRule="auto"/>
              <w:jc w:val="both"/>
              <w:rPr>
                <w:rFonts w:ascii="Times New Roman" w:hAnsi="Times New Roman" w:cs="Times New Roman"/>
                <w:sz w:val="24"/>
                <w:szCs w:val="24"/>
              </w:rPr>
            </w:pPr>
          </w:p>
        </w:tc>
        <w:tc>
          <w:tcPr>
            <w:tcW w:w="515" w:type="pct"/>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9 -</w:t>
            </w:r>
          </w:p>
        </w:tc>
        <w:tc>
          <w:tcPr>
            <w:tcW w:w="3945" w:type="pct"/>
            <w:gridSpan w:val="21"/>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Рентгеновские медицинские аппараты.</w:t>
            </w:r>
          </w:p>
        </w:tc>
      </w:tr>
      <w:tr w:rsidR="008F3AF5" w:rsidRPr="0054564D" w:rsidTr="0063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8" w:type="pct"/>
        </w:trPr>
        <w:tc>
          <w:tcPr>
            <w:tcW w:w="679" w:type="pct"/>
            <w:gridSpan w:val="3"/>
          </w:tcPr>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xml:space="preserve">14 </w:t>
            </w:r>
          </w:p>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17-</w:t>
            </w:r>
          </w:p>
        </w:tc>
        <w:tc>
          <w:tcPr>
            <w:tcW w:w="4132" w:type="pct"/>
            <w:gridSpan w:val="22"/>
          </w:tcPr>
          <w:p w:rsidR="008F3AF5" w:rsidRPr="0054564D" w:rsidRDefault="008F3AF5" w:rsidP="0054564D">
            <w:pPr>
              <w:spacing w:after="0" w:line="240" w:lineRule="auto"/>
              <w:ind w:left="-297" w:firstLine="297"/>
              <w:jc w:val="both"/>
              <w:rPr>
                <w:rFonts w:ascii="Times New Roman" w:hAnsi="Times New Roman" w:cs="Times New Roman"/>
                <w:sz w:val="24"/>
                <w:szCs w:val="24"/>
              </w:rPr>
            </w:pPr>
            <w:r w:rsidRPr="0054564D">
              <w:rPr>
                <w:rFonts w:ascii="Times New Roman" w:hAnsi="Times New Roman" w:cs="Times New Roman"/>
                <w:sz w:val="24"/>
                <w:szCs w:val="24"/>
              </w:rPr>
              <w:t>Хранилища радиоактивных веществ.</w:t>
            </w:r>
          </w:p>
          <w:p w:rsidR="008F3AF5" w:rsidRPr="0054564D" w:rsidRDefault="008F3AF5" w:rsidP="0054564D">
            <w:pPr>
              <w:spacing w:after="0" w:line="240" w:lineRule="auto"/>
              <w:ind w:left="-297" w:firstLine="297"/>
              <w:jc w:val="both"/>
              <w:rPr>
                <w:rFonts w:ascii="Times New Roman" w:hAnsi="Times New Roman" w:cs="Times New Roman"/>
                <w:sz w:val="24"/>
                <w:szCs w:val="24"/>
              </w:rPr>
            </w:pPr>
            <w:r w:rsidRPr="0054564D">
              <w:rPr>
                <w:rFonts w:ascii="Times New Roman" w:hAnsi="Times New Roman" w:cs="Times New Roman"/>
                <w:sz w:val="24"/>
                <w:szCs w:val="24"/>
              </w:rPr>
              <w:t>Прочие</w:t>
            </w:r>
          </w:p>
        </w:tc>
      </w:tr>
    </w:tbl>
    <w:p w:rsidR="008F3AF5" w:rsidRPr="0054564D" w:rsidRDefault="008F3AF5" w:rsidP="0054564D">
      <w:pPr>
        <w:shd w:val="clear" w:color="auto" w:fill="FFFFFF"/>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xml:space="preserve">  В динамике количество организаций, работающих с ИИИ остается на прежнем уровне.</w:t>
      </w:r>
    </w:p>
    <w:p w:rsidR="008F3AF5" w:rsidRPr="0054564D" w:rsidRDefault="008F3AF5" w:rsidP="0054564D">
      <w:pPr>
        <w:shd w:val="clear" w:color="auto" w:fill="FFFFFF"/>
        <w:spacing w:after="0" w:line="240" w:lineRule="auto"/>
        <w:jc w:val="both"/>
        <w:rPr>
          <w:rFonts w:ascii="Times New Roman" w:eastAsia="Calibri" w:hAnsi="Times New Roman" w:cs="Times New Roman"/>
          <w:sz w:val="24"/>
          <w:szCs w:val="24"/>
        </w:rPr>
      </w:pPr>
      <w:r w:rsidRPr="0054564D">
        <w:rPr>
          <w:rFonts w:ascii="Times New Roman" w:hAnsi="Times New Roman" w:cs="Times New Roman"/>
          <w:sz w:val="24"/>
          <w:szCs w:val="24"/>
        </w:rPr>
        <w:t>В 2019 году регистрируется снижение количества поставленных на учет ИИИ, за счет ЗАО ПГО «</w:t>
      </w:r>
      <w:proofErr w:type="gramStart"/>
      <w:r w:rsidRPr="0054564D">
        <w:rPr>
          <w:rFonts w:ascii="Times New Roman" w:hAnsi="Times New Roman" w:cs="Times New Roman"/>
          <w:sz w:val="24"/>
          <w:szCs w:val="24"/>
        </w:rPr>
        <w:t>Тюменьпромгеофизика»-</w:t>
      </w:r>
      <w:proofErr w:type="gramEnd"/>
      <w:r w:rsidRPr="0054564D">
        <w:rPr>
          <w:rFonts w:ascii="Times New Roman" w:hAnsi="Times New Roman" w:cs="Times New Roman"/>
          <w:sz w:val="24"/>
          <w:szCs w:val="24"/>
        </w:rPr>
        <w:t xml:space="preserve"> ИИИ переданы в г. Мегион..</w:t>
      </w:r>
      <w:r w:rsidRPr="0054564D">
        <w:rPr>
          <w:rFonts w:ascii="Times New Roman" w:eastAsia="Calibri" w:hAnsi="Times New Roman" w:cs="Times New Roman"/>
          <w:sz w:val="24"/>
          <w:szCs w:val="24"/>
        </w:rPr>
        <w:t xml:space="preserve"> (табл № 6).</w:t>
      </w:r>
    </w:p>
    <w:p w:rsidR="008F3AF5" w:rsidRPr="0054564D" w:rsidRDefault="008F3AF5" w:rsidP="0054564D">
      <w:pPr>
        <w:shd w:val="clear" w:color="auto" w:fill="FFFFFF"/>
        <w:spacing w:after="0" w:line="240" w:lineRule="auto"/>
        <w:jc w:val="both"/>
        <w:rPr>
          <w:rFonts w:ascii="Times New Roman" w:eastAsia="Calibri" w:hAnsi="Times New Roman" w:cs="Times New Roman"/>
          <w:sz w:val="24"/>
          <w:szCs w:val="24"/>
        </w:rPr>
      </w:pPr>
      <w:r w:rsidRPr="0054564D">
        <w:rPr>
          <w:rFonts w:ascii="Times New Roman" w:hAnsi="Times New Roman" w:cs="Times New Roman"/>
          <w:sz w:val="24"/>
          <w:szCs w:val="24"/>
        </w:rPr>
        <w:t xml:space="preserve"> </w:t>
      </w:r>
      <w:proofErr w:type="gramStart"/>
      <w:r w:rsidRPr="0054564D">
        <w:rPr>
          <w:rFonts w:ascii="Times New Roman" w:hAnsi="Times New Roman" w:cs="Times New Roman"/>
          <w:sz w:val="24"/>
          <w:szCs w:val="24"/>
        </w:rPr>
        <w:t>В  2019</w:t>
      </w:r>
      <w:proofErr w:type="gramEnd"/>
      <w:r w:rsidRPr="0054564D">
        <w:rPr>
          <w:rFonts w:ascii="Times New Roman" w:hAnsi="Times New Roman" w:cs="Times New Roman"/>
          <w:sz w:val="24"/>
          <w:szCs w:val="24"/>
        </w:rPr>
        <w:t xml:space="preserve">году на учете в медицинских организациях состоит: </w:t>
      </w:r>
      <w:r w:rsidRPr="0054564D">
        <w:rPr>
          <w:rFonts w:ascii="Times New Roman" w:eastAsia="Calibri" w:hAnsi="Times New Roman" w:cs="Times New Roman"/>
          <w:sz w:val="24"/>
          <w:szCs w:val="24"/>
        </w:rPr>
        <w:t xml:space="preserve"> рентгенодиагностических передвижных и стационарных установок – 27 ед ( закуплены 2 в   БУ ПОКБ и 1 в АУ «Пыть-Яхская стоматологическая поликлиника»), в 2018г.-24ед, в 2017г-23 ед, </w:t>
      </w:r>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 xml:space="preserve">ТО </w:t>
      </w:r>
      <w:proofErr w:type="gramStart"/>
      <w:r w:rsidRPr="0054564D">
        <w:rPr>
          <w:rFonts w:ascii="Times New Roman" w:hAnsi="Times New Roman" w:cs="Times New Roman"/>
          <w:sz w:val="24"/>
          <w:szCs w:val="24"/>
        </w:rPr>
        <w:t>УРПН  и</w:t>
      </w:r>
      <w:proofErr w:type="gramEnd"/>
      <w:r w:rsidRPr="0054564D">
        <w:rPr>
          <w:rFonts w:ascii="Times New Roman" w:hAnsi="Times New Roman" w:cs="Times New Roman"/>
          <w:sz w:val="24"/>
          <w:szCs w:val="24"/>
        </w:rPr>
        <w:t xml:space="preserve"> ФФБУЗ  проводится работа по выполнению приказа от 24.07.97 г. №219 «О создании единой государственной системы контроля и учета ИД облучения граждан» </w:t>
      </w:r>
    </w:p>
    <w:p w:rsidR="008F3AF5" w:rsidRPr="0054564D" w:rsidRDefault="008F3AF5" w:rsidP="0054564D">
      <w:pPr>
        <w:spacing w:after="0" w:line="240" w:lineRule="auto"/>
        <w:jc w:val="both"/>
        <w:rPr>
          <w:rFonts w:ascii="Times New Roman" w:hAnsi="Times New Roman" w:cs="Times New Roman"/>
          <w:sz w:val="24"/>
        </w:rPr>
      </w:pPr>
      <w:r w:rsidRPr="0054564D">
        <w:rPr>
          <w:rFonts w:ascii="Times New Roman" w:hAnsi="Times New Roman" w:cs="Times New Roman"/>
          <w:sz w:val="24"/>
          <w:szCs w:val="24"/>
        </w:rPr>
        <w:t xml:space="preserve">   При проведении медицинских рентгеновских процедурах в ЛПУ г. Пыть Ях организован дозиметрический контроль за дозами облучения пациентов.  Все рентген и флюорокабинеты оснащены средствами защиты: малой защитной ширмой, защитными фартуками, шапочками и т.д. Организован производственный лабораторный контроль за содержанием свинца в смывах с СИЗ и оборудования, заключены договора с </w:t>
      </w:r>
      <w:proofErr w:type="gramStart"/>
      <w:r w:rsidRPr="0054564D">
        <w:rPr>
          <w:rFonts w:ascii="Times New Roman" w:hAnsi="Times New Roman" w:cs="Times New Roman"/>
          <w:sz w:val="24"/>
          <w:szCs w:val="24"/>
        </w:rPr>
        <w:t>филиалом  ФБУЗ</w:t>
      </w:r>
      <w:proofErr w:type="gramEnd"/>
      <w:r w:rsidRPr="0054564D">
        <w:rPr>
          <w:rFonts w:ascii="Times New Roman" w:hAnsi="Times New Roman" w:cs="Times New Roman"/>
          <w:sz w:val="24"/>
          <w:szCs w:val="24"/>
        </w:rPr>
        <w:t xml:space="preserve"> «Центр  гигиены и эпидемиологии» </w:t>
      </w:r>
    </w:p>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xml:space="preserve">     В городе ПытьЯх в рентгенкабинетах все новые рентгенустановки эксплуатируются с вмонтированными в них дозиметрами, где фиксируются дозы облучения пациентов при проведении рентгенодиагностических процедур. Также используется дозиметр рентгеновского излучения ДРК-1. </w:t>
      </w:r>
      <w:proofErr w:type="gramStart"/>
      <w:r w:rsidRPr="0054564D">
        <w:rPr>
          <w:rFonts w:ascii="Times New Roman" w:hAnsi="Times New Roman" w:cs="Times New Roman"/>
          <w:sz w:val="24"/>
          <w:szCs w:val="24"/>
        </w:rPr>
        <w:t>В  рентгенкабинетах</w:t>
      </w:r>
      <w:proofErr w:type="gramEnd"/>
      <w:r w:rsidRPr="0054564D">
        <w:rPr>
          <w:rFonts w:ascii="Times New Roman" w:hAnsi="Times New Roman" w:cs="Times New Roman"/>
          <w:sz w:val="24"/>
          <w:szCs w:val="24"/>
        </w:rPr>
        <w:t xml:space="preserve"> заведены журналы процедур, где в обязательном порядке регистрируются дозы облучения при  проведении рентгенологических исследований,  ведутся  программы учета доз пациентов, также дозы облучения пациентов фиксируются в заключениях рентгенологов при оформлении  соответствующей документации (истории болезни, амбулаторные карты и т.д.)</w:t>
      </w:r>
    </w:p>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lastRenderedPageBreak/>
        <w:t xml:space="preserve">     За всеми лицами, отнесенными к персоналу группы «А» в ЛПУ организован индивидуальный дозиметрический контроль. Применяются индивидуальные дозиметры ДТУ-01, ДТУ-02 с комплектом детекторов типа ТАД-500К.  Лечебно-профилактические учреждения региона заключили договора с аккредитованными </w:t>
      </w:r>
      <w:proofErr w:type="gramStart"/>
      <w:r w:rsidRPr="0054564D">
        <w:rPr>
          <w:rFonts w:ascii="Times New Roman" w:hAnsi="Times New Roman" w:cs="Times New Roman"/>
          <w:sz w:val="24"/>
          <w:szCs w:val="24"/>
        </w:rPr>
        <w:t>лабораториями  ООО</w:t>
      </w:r>
      <w:proofErr w:type="gramEnd"/>
      <w:r w:rsidRPr="0054564D">
        <w:rPr>
          <w:rFonts w:ascii="Times New Roman" w:hAnsi="Times New Roman" w:cs="Times New Roman"/>
          <w:sz w:val="24"/>
          <w:szCs w:val="24"/>
        </w:rPr>
        <w:t xml:space="preserve">  «Эксперт Консалдинг» г. Сургут, ФФГУЗ «Центр гигиены и эпидемиологии в ХМАО-Югре в г. Лангепасе», ГБУЗ «Свердловский областной онкологический диспансер» и д.р.  на проведение индивидуального дозиметрического контроля персоналом, отнесенным к группе А и Б. </w:t>
      </w:r>
    </w:p>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xml:space="preserve">        Ежегодно ЛПУ и промышленные предприятия, где используются источники ионизирующего излучения, составляют отчетные формы 1</w:t>
      </w:r>
      <w:proofErr w:type="gramStart"/>
      <w:r w:rsidRPr="0054564D">
        <w:rPr>
          <w:rFonts w:ascii="Times New Roman" w:hAnsi="Times New Roman" w:cs="Times New Roman"/>
          <w:sz w:val="24"/>
          <w:szCs w:val="24"/>
        </w:rPr>
        <w:t>ДОЗ,  2</w:t>
      </w:r>
      <w:proofErr w:type="gramEnd"/>
      <w:r w:rsidRPr="0054564D">
        <w:rPr>
          <w:rFonts w:ascii="Times New Roman" w:hAnsi="Times New Roman" w:cs="Times New Roman"/>
          <w:sz w:val="24"/>
          <w:szCs w:val="24"/>
        </w:rPr>
        <w:t xml:space="preserve"> ДОЗ, представляют их в установленные сроки во ФФБУЗ «Центр гигиены и эпидемиологии в г.Нефтеюганске, Нефтеюганском районе и г.Пыть-Ях». </w:t>
      </w:r>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Количество наблюдаемых лиц категории «</w:t>
      </w:r>
      <w:proofErr w:type="gramStart"/>
      <w:r w:rsidRPr="0054564D">
        <w:rPr>
          <w:rFonts w:ascii="Times New Roman" w:hAnsi="Times New Roman" w:cs="Times New Roman"/>
          <w:sz w:val="24"/>
          <w:szCs w:val="24"/>
        </w:rPr>
        <w:t>А»  и</w:t>
      </w:r>
      <w:proofErr w:type="gramEnd"/>
      <w:r w:rsidRPr="0054564D">
        <w:rPr>
          <w:rFonts w:ascii="Times New Roman" w:hAnsi="Times New Roman" w:cs="Times New Roman"/>
          <w:sz w:val="24"/>
          <w:szCs w:val="24"/>
        </w:rPr>
        <w:t xml:space="preserve"> «Б» в 2020г  снизилось на 13,3% по сравнению с 2018годом, и на 6,3% по сравнению с2017г, в связи с практическим приостановлением работ по АО ПГО «Тюменьпромгеофизика».( табл№ 7).</w:t>
      </w:r>
    </w:p>
    <w:p w:rsidR="008F3AF5" w:rsidRPr="0054564D" w:rsidRDefault="008F3AF5" w:rsidP="0054564D">
      <w:pPr>
        <w:spacing w:after="0" w:line="240" w:lineRule="auto"/>
        <w:ind w:firstLine="709"/>
        <w:jc w:val="right"/>
        <w:rPr>
          <w:rFonts w:ascii="Times New Roman" w:hAnsi="Times New Roman" w:cs="Times New Roman"/>
        </w:rPr>
      </w:pPr>
      <w:r w:rsidRPr="0054564D">
        <w:rPr>
          <w:rFonts w:ascii="Times New Roman" w:hAnsi="Times New Roman" w:cs="Times New Roman"/>
        </w:rPr>
        <w:t>Таблица №7</w:t>
      </w:r>
    </w:p>
    <w:p w:rsidR="008F3AF5" w:rsidRPr="0054564D" w:rsidRDefault="008F3AF5" w:rsidP="0054564D">
      <w:pPr>
        <w:spacing w:after="0" w:line="240" w:lineRule="auto"/>
        <w:jc w:val="center"/>
        <w:rPr>
          <w:rFonts w:ascii="Times New Roman" w:hAnsi="Times New Roman" w:cs="Times New Roman"/>
        </w:rPr>
      </w:pPr>
      <w:r w:rsidRPr="0054564D">
        <w:rPr>
          <w:rFonts w:ascii="Times New Roman" w:hAnsi="Times New Roman" w:cs="Times New Roman"/>
        </w:rPr>
        <w:t>Количество наблюдаемых лиц категории «</w:t>
      </w:r>
      <w:proofErr w:type="gramStart"/>
      <w:r w:rsidRPr="0054564D">
        <w:rPr>
          <w:rFonts w:ascii="Times New Roman" w:hAnsi="Times New Roman" w:cs="Times New Roman"/>
        </w:rPr>
        <w:t>А»  и</w:t>
      </w:r>
      <w:proofErr w:type="gramEnd"/>
      <w:r w:rsidRPr="0054564D">
        <w:rPr>
          <w:rFonts w:ascii="Times New Roman" w:hAnsi="Times New Roman" w:cs="Times New Roman"/>
        </w:rPr>
        <w:t xml:space="preserve"> «Б» по годам</w:t>
      </w:r>
    </w:p>
    <w:p w:rsidR="008F3AF5" w:rsidRPr="0054564D" w:rsidRDefault="008F3AF5" w:rsidP="0054564D">
      <w:pPr>
        <w:spacing w:after="0" w:line="240" w:lineRule="auto"/>
        <w:ind w:firstLine="720"/>
        <w:jc w:val="both"/>
        <w:rPr>
          <w:rFonts w:ascii="Times New Roman" w:hAnsi="Times New Roman" w:cs="Times New Roman"/>
          <w:b/>
          <w:bCs/>
          <w:sz w:val="24"/>
          <w:szCs w:val="24"/>
          <w:highlight w:val="yellow"/>
        </w:rPr>
      </w:pPr>
    </w:p>
    <w:tbl>
      <w:tblPr>
        <w:tblW w:w="9072"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43"/>
        <w:gridCol w:w="2267"/>
        <w:gridCol w:w="1418"/>
        <w:gridCol w:w="1135"/>
        <w:gridCol w:w="1053"/>
        <w:gridCol w:w="1356"/>
      </w:tblGrid>
      <w:tr w:rsidR="008F3AF5" w:rsidRPr="0054564D" w:rsidTr="00630798">
        <w:trPr>
          <w:cantSplit/>
        </w:trPr>
        <w:tc>
          <w:tcPr>
            <w:tcW w:w="1843" w:type="dxa"/>
            <w:vMerge w:val="restart"/>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 xml:space="preserve">Года </w:t>
            </w:r>
          </w:p>
        </w:tc>
        <w:tc>
          <w:tcPr>
            <w:tcW w:w="2267" w:type="dxa"/>
            <w:vMerge w:val="restart"/>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Лица категории «А»</w:t>
            </w:r>
          </w:p>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и «Б»</w:t>
            </w:r>
          </w:p>
        </w:tc>
        <w:tc>
          <w:tcPr>
            <w:tcW w:w="4962" w:type="dxa"/>
            <w:gridSpan w:val="4"/>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Эффективная доза</w:t>
            </w:r>
          </w:p>
        </w:tc>
      </w:tr>
      <w:tr w:rsidR="008F3AF5" w:rsidRPr="0054564D" w:rsidTr="00630798">
        <w:trPr>
          <w:cantSplit/>
        </w:trPr>
        <w:tc>
          <w:tcPr>
            <w:tcW w:w="1843" w:type="dxa"/>
            <w:vMerge/>
            <w:vAlign w:val="center"/>
          </w:tcPr>
          <w:p w:rsidR="008F3AF5" w:rsidRPr="0054564D" w:rsidRDefault="008F3AF5" w:rsidP="0054564D">
            <w:pPr>
              <w:spacing w:before="20" w:after="0" w:line="240" w:lineRule="auto"/>
              <w:jc w:val="center"/>
              <w:rPr>
                <w:rFonts w:ascii="Times New Roman" w:hAnsi="Times New Roman" w:cs="Times New Roman"/>
              </w:rPr>
            </w:pPr>
          </w:p>
        </w:tc>
        <w:tc>
          <w:tcPr>
            <w:tcW w:w="2267" w:type="dxa"/>
            <w:vMerge/>
            <w:vAlign w:val="center"/>
          </w:tcPr>
          <w:p w:rsidR="008F3AF5" w:rsidRPr="0054564D" w:rsidRDefault="008F3AF5" w:rsidP="0054564D">
            <w:pPr>
              <w:spacing w:before="20" w:after="0" w:line="240" w:lineRule="auto"/>
              <w:jc w:val="center"/>
              <w:rPr>
                <w:rFonts w:ascii="Times New Roman" w:hAnsi="Times New Roman" w:cs="Times New Roman"/>
              </w:rPr>
            </w:pPr>
          </w:p>
        </w:tc>
        <w:tc>
          <w:tcPr>
            <w:tcW w:w="1418"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0-1 м.зв.</w:t>
            </w:r>
          </w:p>
        </w:tc>
        <w:tc>
          <w:tcPr>
            <w:tcW w:w="1135"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1-2</w:t>
            </w:r>
          </w:p>
        </w:tc>
        <w:tc>
          <w:tcPr>
            <w:tcW w:w="1053"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2-5 м.зв.</w:t>
            </w:r>
          </w:p>
        </w:tc>
        <w:tc>
          <w:tcPr>
            <w:tcW w:w="1356"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Бол.5 м.зв.</w:t>
            </w:r>
          </w:p>
        </w:tc>
      </w:tr>
      <w:tr w:rsidR="008F3AF5" w:rsidRPr="0054564D" w:rsidTr="00630798">
        <w:trPr>
          <w:cantSplit/>
        </w:trPr>
        <w:tc>
          <w:tcPr>
            <w:tcW w:w="1843"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2017</w:t>
            </w:r>
          </w:p>
        </w:tc>
        <w:tc>
          <w:tcPr>
            <w:tcW w:w="2267"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236</w:t>
            </w:r>
          </w:p>
        </w:tc>
        <w:tc>
          <w:tcPr>
            <w:tcW w:w="1418"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207</w:t>
            </w:r>
          </w:p>
        </w:tc>
        <w:tc>
          <w:tcPr>
            <w:tcW w:w="1135"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22</w:t>
            </w:r>
          </w:p>
        </w:tc>
        <w:tc>
          <w:tcPr>
            <w:tcW w:w="1053"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5</w:t>
            </w:r>
          </w:p>
        </w:tc>
        <w:tc>
          <w:tcPr>
            <w:tcW w:w="1356"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0</w:t>
            </w:r>
          </w:p>
        </w:tc>
      </w:tr>
      <w:tr w:rsidR="008F3AF5" w:rsidRPr="0054564D" w:rsidTr="00630798">
        <w:trPr>
          <w:cantSplit/>
        </w:trPr>
        <w:tc>
          <w:tcPr>
            <w:tcW w:w="1843"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2018</w:t>
            </w:r>
          </w:p>
        </w:tc>
        <w:tc>
          <w:tcPr>
            <w:tcW w:w="2267"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255</w:t>
            </w:r>
          </w:p>
        </w:tc>
        <w:tc>
          <w:tcPr>
            <w:tcW w:w="1418"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210</w:t>
            </w:r>
          </w:p>
        </w:tc>
        <w:tc>
          <w:tcPr>
            <w:tcW w:w="1135"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44</w:t>
            </w:r>
          </w:p>
        </w:tc>
        <w:tc>
          <w:tcPr>
            <w:tcW w:w="1053"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1</w:t>
            </w:r>
          </w:p>
        </w:tc>
        <w:tc>
          <w:tcPr>
            <w:tcW w:w="1356"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0</w:t>
            </w:r>
          </w:p>
        </w:tc>
      </w:tr>
      <w:tr w:rsidR="008F3AF5" w:rsidRPr="0054564D" w:rsidTr="00630798">
        <w:trPr>
          <w:cantSplit/>
        </w:trPr>
        <w:tc>
          <w:tcPr>
            <w:tcW w:w="1843"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2019</w:t>
            </w:r>
          </w:p>
        </w:tc>
        <w:tc>
          <w:tcPr>
            <w:tcW w:w="2267"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221</w:t>
            </w:r>
          </w:p>
        </w:tc>
        <w:tc>
          <w:tcPr>
            <w:tcW w:w="1418"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175</w:t>
            </w:r>
          </w:p>
        </w:tc>
        <w:tc>
          <w:tcPr>
            <w:tcW w:w="1135"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36</w:t>
            </w:r>
          </w:p>
        </w:tc>
        <w:tc>
          <w:tcPr>
            <w:tcW w:w="1053"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9</w:t>
            </w:r>
          </w:p>
        </w:tc>
        <w:tc>
          <w:tcPr>
            <w:tcW w:w="1356"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1</w:t>
            </w:r>
          </w:p>
        </w:tc>
      </w:tr>
    </w:tbl>
    <w:p w:rsidR="008F3AF5" w:rsidRPr="0054564D" w:rsidRDefault="008F3AF5" w:rsidP="0054564D">
      <w:pPr>
        <w:spacing w:after="0" w:line="240" w:lineRule="auto"/>
        <w:ind w:firstLine="709"/>
        <w:jc w:val="both"/>
        <w:rPr>
          <w:rFonts w:ascii="Times New Roman" w:hAnsi="Times New Roman" w:cs="Times New Roman"/>
          <w:bCs/>
          <w:sz w:val="24"/>
          <w:szCs w:val="24"/>
          <w:highlight w:val="yellow"/>
        </w:rPr>
      </w:pPr>
    </w:p>
    <w:p w:rsidR="008F3AF5" w:rsidRPr="0054564D" w:rsidRDefault="008F3AF5" w:rsidP="0054564D">
      <w:pPr>
        <w:spacing w:after="0" w:line="240" w:lineRule="auto"/>
        <w:ind w:firstLine="709"/>
        <w:jc w:val="both"/>
        <w:rPr>
          <w:rFonts w:ascii="Times New Roman" w:hAnsi="Times New Roman" w:cs="Times New Roman"/>
        </w:rPr>
      </w:pPr>
      <w:r w:rsidRPr="0054564D">
        <w:rPr>
          <w:rFonts w:ascii="Times New Roman" w:hAnsi="Times New Roman" w:cs="Times New Roman"/>
          <w:bCs/>
          <w:sz w:val="24"/>
          <w:szCs w:val="24"/>
        </w:rPr>
        <w:t xml:space="preserve">В динамике 77--90% наблюдаемых лиц приходится на лиц категории «А». </w:t>
      </w:r>
      <w:r w:rsidRPr="0054564D">
        <w:rPr>
          <w:rFonts w:ascii="Times New Roman" w:hAnsi="Times New Roman" w:cs="Times New Roman"/>
          <w:sz w:val="24"/>
          <w:szCs w:val="24"/>
        </w:rPr>
        <w:t xml:space="preserve">Превышение основных дозовых пределов у персонала предприятий и организаций, работающих с ИИИ в 2017- 2019 годах не зарегистрировано. </w:t>
      </w:r>
    </w:p>
    <w:p w:rsidR="008F3AF5" w:rsidRPr="0054564D" w:rsidRDefault="008F3AF5" w:rsidP="0054564D">
      <w:pPr>
        <w:spacing w:after="0" w:line="240" w:lineRule="auto"/>
        <w:rPr>
          <w:rFonts w:ascii="Times New Roman" w:hAnsi="Times New Roman" w:cs="Times New Roman"/>
          <w:highlight w:val="yellow"/>
        </w:rPr>
      </w:pPr>
      <w:r w:rsidRPr="0054564D">
        <w:rPr>
          <w:rFonts w:ascii="Times New Roman" w:hAnsi="Times New Roman" w:cs="Times New Roman"/>
          <w:noProof/>
          <w:lang w:eastAsia="ru-RU"/>
        </w:rPr>
        <w:drawing>
          <wp:inline distT="0" distB="0" distL="0" distR="0">
            <wp:extent cx="6086475" cy="182880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F3AF5" w:rsidRPr="0054564D" w:rsidRDefault="008F3AF5" w:rsidP="0054564D">
      <w:pPr>
        <w:spacing w:after="0" w:line="240" w:lineRule="auto"/>
        <w:ind w:firstLine="720"/>
        <w:rPr>
          <w:rFonts w:ascii="Times New Roman" w:hAnsi="Times New Roman" w:cs="Times New Roman"/>
        </w:rPr>
      </w:pPr>
      <w:r w:rsidRPr="0054564D">
        <w:rPr>
          <w:rFonts w:ascii="Times New Roman" w:hAnsi="Times New Roman" w:cs="Times New Roman"/>
        </w:rPr>
        <w:t xml:space="preserve">                                       Рис № 3       Структуры   эффективной </w:t>
      </w:r>
      <w:proofErr w:type="gramStart"/>
      <w:r w:rsidRPr="0054564D">
        <w:rPr>
          <w:rFonts w:ascii="Times New Roman" w:hAnsi="Times New Roman" w:cs="Times New Roman"/>
        </w:rPr>
        <w:t>дозы  лиц</w:t>
      </w:r>
      <w:proofErr w:type="gramEnd"/>
      <w:r w:rsidRPr="0054564D">
        <w:rPr>
          <w:rFonts w:ascii="Times New Roman" w:hAnsi="Times New Roman" w:cs="Times New Roman"/>
        </w:rPr>
        <w:t xml:space="preserve">, категории «А» и «Б»    </w:t>
      </w:r>
    </w:p>
    <w:p w:rsidR="008F3AF5" w:rsidRPr="0054564D" w:rsidRDefault="008F3AF5" w:rsidP="0054564D">
      <w:pPr>
        <w:spacing w:after="0" w:line="240" w:lineRule="auto"/>
        <w:ind w:firstLine="720"/>
        <w:rPr>
          <w:rFonts w:ascii="Times New Roman" w:hAnsi="Times New Roman" w:cs="Times New Roman"/>
          <w:bCs/>
          <w:sz w:val="24"/>
          <w:szCs w:val="24"/>
        </w:rPr>
      </w:pPr>
    </w:p>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Доля лиц, с эффективной дозой по годам распределилась следующим образом:</w:t>
      </w:r>
    </w:p>
    <w:p w:rsidR="008F3AF5" w:rsidRPr="0054564D" w:rsidRDefault="008F3AF5" w:rsidP="0054564D">
      <w:pPr>
        <w:spacing w:after="0" w:line="240" w:lineRule="auto"/>
        <w:ind w:firstLine="567"/>
        <w:jc w:val="both"/>
        <w:rPr>
          <w:rFonts w:ascii="Times New Roman" w:hAnsi="Times New Roman" w:cs="Times New Roman"/>
          <w:sz w:val="24"/>
          <w:szCs w:val="24"/>
        </w:rPr>
      </w:pPr>
      <w:bookmarkStart w:id="13" w:name="_Hlk62718212"/>
      <w:r w:rsidRPr="0054564D">
        <w:rPr>
          <w:rFonts w:ascii="Times New Roman" w:hAnsi="Times New Roman" w:cs="Times New Roman"/>
          <w:sz w:val="24"/>
          <w:szCs w:val="24"/>
        </w:rPr>
        <w:t xml:space="preserve">- доля лиц с эффективной дозой </w:t>
      </w:r>
      <w:proofErr w:type="gramStart"/>
      <w:r w:rsidRPr="0054564D">
        <w:rPr>
          <w:rFonts w:ascii="Times New Roman" w:hAnsi="Times New Roman" w:cs="Times New Roman"/>
          <w:sz w:val="24"/>
          <w:szCs w:val="24"/>
        </w:rPr>
        <w:t>до  1</w:t>
      </w:r>
      <w:proofErr w:type="gramEnd"/>
      <w:r w:rsidRPr="0054564D">
        <w:rPr>
          <w:rFonts w:ascii="Times New Roman" w:hAnsi="Times New Roman" w:cs="Times New Roman"/>
          <w:sz w:val="24"/>
          <w:szCs w:val="24"/>
        </w:rPr>
        <w:t xml:space="preserve"> мЗв составила  в 2019г-79,2%,  2018г- 82,3%; 2017г -87,7%,  </w:t>
      </w:r>
    </w:p>
    <w:bookmarkEnd w:id="13"/>
    <w:p w:rsidR="008F3AF5" w:rsidRPr="0054564D" w:rsidRDefault="008F3AF5" w:rsidP="0054564D">
      <w:pPr>
        <w:spacing w:after="0" w:line="240" w:lineRule="auto"/>
        <w:ind w:firstLine="567"/>
        <w:jc w:val="both"/>
        <w:rPr>
          <w:rFonts w:ascii="Times New Roman" w:hAnsi="Times New Roman" w:cs="Times New Roman"/>
          <w:sz w:val="24"/>
          <w:szCs w:val="24"/>
        </w:rPr>
      </w:pPr>
      <w:r w:rsidRPr="0054564D">
        <w:rPr>
          <w:rFonts w:ascii="Times New Roman" w:hAnsi="Times New Roman" w:cs="Times New Roman"/>
          <w:sz w:val="24"/>
          <w:szCs w:val="24"/>
        </w:rPr>
        <w:t xml:space="preserve">- 1-2 </w:t>
      </w:r>
      <w:proofErr w:type="gramStart"/>
      <w:r w:rsidRPr="0054564D">
        <w:rPr>
          <w:rFonts w:ascii="Times New Roman" w:hAnsi="Times New Roman" w:cs="Times New Roman"/>
          <w:sz w:val="24"/>
          <w:szCs w:val="24"/>
        </w:rPr>
        <w:t>мЗв  составила</w:t>
      </w:r>
      <w:proofErr w:type="gramEnd"/>
      <w:r w:rsidRPr="0054564D">
        <w:rPr>
          <w:rFonts w:ascii="Times New Roman" w:hAnsi="Times New Roman" w:cs="Times New Roman"/>
          <w:sz w:val="24"/>
          <w:szCs w:val="24"/>
        </w:rPr>
        <w:t xml:space="preserve">  в 2019г- 16,3%;  2018г- 17,25%, в2017году-  9,3% (в 2016г -    22%,(2015г -44.8 % в 2014г - 35,8 % );</w:t>
      </w:r>
    </w:p>
    <w:p w:rsidR="008F3AF5" w:rsidRPr="0054564D" w:rsidRDefault="008F3AF5" w:rsidP="0054564D">
      <w:pPr>
        <w:spacing w:after="0" w:line="240" w:lineRule="auto"/>
        <w:ind w:firstLine="567"/>
        <w:jc w:val="both"/>
        <w:rPr>
          <w:rFonts w:ascii="Times New Roman" w:hAnsi="Times New Roman" w:cs="Times New Roman"/>
          <w:sz w:val="24"/>
          <w:szCs w:val="24"/>
        </w:rPr>
      </w:pPr>
      <w:r w:rsidRPr="0054564D">
        <w:rPr>
          <w:rFonts w:ascii="Times New Roman" w:hAnsi="Times New Roman" w:cs="Times New Roman"/>
          <w:sz w:val="24"/>
          <w:szCs w:val="24"/>
        </w:rPr>
        <w:t xml:space="preserve">-2-5 мЗв </w:t>
      </w:r>
      <w:proofErr w:type="gramStart"/>
      <w:r w:rsidRPr="0054564D">
        <w:rPr>
          <w:rFonts w:ascii="Times New Roman" w:hAnsi="Times New Roman" w:cs="Times New Roman"/>
          <w:sz w:val="24"/>
          <w:szCs w:val="24"/>
        </w:rPr>
        <w:t>составила  в</w:t>
      </w:r>
      <w:proofErr w:type="gramEnd"/>
      <w:r w:rsidRPr="0054564D">
        <w:rPr>
          <w:rFonts w:ascii="Times New Roman" w:hAnsi="Times New Roman" w:cs="Times New Roman"/>
          <w:sz w:val="24"/>
          <w:szCs w:val="24"/>
        </w:rPr>
        <w:t xml:space="preserve"> 2019г- 4,07%,  2018г- 0,4%, в 2017г- 2,1% , (в 2016году–   2,9% , 2015-4,45%,,);</w:t>
      </w:r>
    </w:p>
    <w:p w:rsidR="008F3AF5" w:rsidRPr="0054564D" w:rsidRDefault="008F3AF5" w:rsidP="0054564D">
      <w:pPr>
        <w:spacing w:after="0" w:line="240" w:lineRule="auto"/>
        <w:ind w:firstLine="567"/>
        <w:jc w:val="both"/>
        <w:rPr>
          <w:rFonts w:ascii="Times New Roman" w:hAnsi="Times New Roman" w:cs="Times New Roman"/>
          <w:sz w:val="24"/>
          <w:szCs w:val="24"/>
        </w:rPr>
      </w:pPr>
      <w:r w:rsidRPr="0054564D">
        <w:rPr>
          <w:rFonts w:ascii="Times New Roman" w:hAnsi="Times New Roman" w:cs="Times New Roman"/>
          <w:sz w:val="24"/>
          <w:szCs w:val="24"/>
        </w:rPr>
        <w:t xml:space="preserve">- В 2017г-2018гг лиц с эффективной дозой более 5 мЗв не зарегистрировано, в 2019г-1 </w:t>
      </w:r>
      <w:proofErr w:type="gramStart"/>
      <w:r w:rsidRPr="0054564D">
        <w:rPr>
          <w:rFonts w:ascii="Times New Roman" w:hAnsi="Times New Roman" w:cs="Times New Roman"/>
          <w:sz w:val="24"/>
          <w:szCs w:val="24"/>
        </w:rPr>
        <w:t>чел</w:t>
      </w:r>
      <w:proofErr w:type="gramEnd"/>
      <w:r w:rsidRPr="0054564D">
        <w:rPr>
          <w:rFonts w:ascii="Times New Roman" w:hAnsi="Times New Roman" w:cs="Times New Roman"/>
          <w:sz w:val="24"/>
          <w:szCs w:val="24"/>
        </w:rPr>
        <w:t xml:space="preserve"> -0,45%. </w:t>
      </w:r>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 xml:space="preserve">В </w:t>
      </w:r>
      <w:proofErr w:type="gramStart"/>
      <w:r w:rsidRPr="0054564D">
        <w:rPr>
          <w:rFonts w:ascii="Times New Roman" w:hAnsi="Times New Roman" w:cs="Times New Roman"/>
          <w:sz w:val="24"/>
          <w:szCs w:val="24"/>
        </w:rPr>
        <w:t>структуре  наблюдаемых</w:t>
      </w:r>
      <w:proofErr w:type="gramEnd"/>
      <w:r w:rsidRPr="0054564D">
        <w:rPr>
          <w:rFonts w:ascii="Times New Roman" w:hAnsi="Times New Roman" w:cs="Times New Roman"/>
          <w:sz w:val="24"/>
          <w:szCs w:val="24"/>
        </w:rPr>
        <w:t xml:space="preserve"> лиц, категории «А» и « Б» в динамике( несмотря на незначительное – на 3.1% в 2019г и  5,1% в 2018г  снижение доли лиц с эффективной дозой до  1 мЗв) , что свидетельствует о равномерном распределении работ лиц категории А </w:t>
      </w:r>
    </w:p>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xml:space="preserve">-незначительное </w:t>
      </w:r>
      <w:proofErr w:type="gramStart"/>
      <w:r w:rsidRPr="0054564D">
        <w:rPr>
          <w:rFonts w:ascii="Times New Roman" w:hAnsi="Times New Roman" w:cs="Times New Roman"/>
          <w:sz w:val="24"/>
          <w:szCs w:val="24"/>
        </w:rPr>
        <w:t>снижение  доли</w:t>
      </w:r>
      <w:proofErr w:type="gramEnd"/>
      <w:r w:rsidRPr="0054564D">
        <w:rPr>
          <w:rFonts w:ascii="Times New Roman" w:hAnsi="Times New Roman" w:cs="Times New Roman"/>
          <w:sz w:val="24"/>
          <w:szCs w:val="24"/>
        </w:rPr>
        <w:t xml:space="preserve"> лиц с дозой 1-2 мЗ в 2019г-16,3% по сравнению с 2018годом- 17,25%, но рост по сравнению с 2017г   - 9,4% от числа наблюдаемых;  </w:t>
      </w:r>
    </w:p>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lastRenderedPageBreak/>
        <w:t xml:space="preserve">-увеличение   доли лиц с дозой 2-5 мЗв: </w:t>
      </w:r>
      <w:proofErr w:type="gramStart"/>
      <w:r w:rsidRPr="0054564D">
        <w:rPr>
          <w:rFonts w:ascii="Times New Roman" w:hAnsi="Times New Roman" w:cs="Times New Roman"/>
          <w:sz w:val="24"/>
          <w:szCs w:val="24"/>
        </w:rPr>
        <w:t>в 2019г- на</w:t>
      </w:r>
      <w:proofErr w:type="gramEnd"/>
      <w:r w:rsidRPr="0054564D">
        <w:rPr>
          <w:rFonts w:ascii="Times New Roman" w:hAnsi="Times New Roman" w:cs="Times New Roman"/>
          <w:sz w:val="24"/>
          <w:szCs w:val="24"/>
        </w:rPr>
        <w:t xml:space="preserve"> 3,67%, тогда как в 2018г доля лиц составила - 0,4%, (в 2017г- 2,1%).</w:t>
      </w:r>
    </w:p>
    <w:p w:rsidR="008F3AF5" w:rsidRPr="0054564D" w:rsidRDefault="008F3AF5" w:rsidP="0054564D">
      <w:pPr>
        <w:spacing w:after="0" w:line="240" w:lineRule="auto"/>
        <w:ind w:firstLine="709"/>
        <w:rPr>
          <w:rFonts w:ascii="Times New Roman" w:hAnsi="Times New Roman" w:cs="Times New Roman"/>
          <w:sz w:val="24"/>
          <w:szCs w:val="24"/>
        </w:rPr>
      </w:pPr>
      <w:r w:rsidRPr="0054564D">
        <w:rPr>
          <w:rFonts w:ascii="Times New Roman" w:hAnsi="Times New Roman" w:cs="Times New Roman"/>
          <w:sz w:val="24"/>
          <w:szCs w:val="24"/>
        </w:rPr>
        <w:t>В 2020г. все состоящие на учете организации сдали отчетные формы ДОЗ-1, ДОЗ-</w:t>
      </w:r>
      <w:proofErr w:type="gramStart"/>
      <w:r w:rsidRPr="0054564D">
        <w:rPr>
          <w:rFonts w:ascii="Times New Roman" w:hAnsi="Times New Roman" w:cs="Times New Roman"/>
          <w:sz w:val="24"/>
          <w:szCs w:val="24"/>
        </w:rPr>
        <w:t>3 ,</w:t>
      </w:r>
      <w:proofErr w:type="gramEnd"/>
      <w:r w:rsidRPr="0054564D">
        <w:rPr>
          <w:rFonts w:ascii="Times New Roman" w:hAnsi="Times New Roman" w:cs="Times New Roman"/>
          <w:sz w:val="24"/>
          <w:szCs w:val="24"/>
        </w:rPr>
        <w:t xml:space="preserve"> РГПО за 2019г. </w:t>
      </w:r>
    </w:p>
    <w:p w:rsidR="008F3AF5" w:rsidRPr="0054564D" w:rsidRDefault="008F3AF5" w:rsidP="0054564D">
      <w:pPr>
        <w:spacing w:after="0" w:line="240" w:lineRule="auto"/>
        <w:ind w:firstLine="709"/>
        <w:jc w:val="center"/>
        <w:rPr>
          <w:rFonts w:ascii="Times New Roman" w:hAnsi="Times New Roman" w:cs="Times New Roman"/>
          <w:sz w:val="24"/>
          <w:szCs w:val="24"/>
        </w:rPr>
      </w:pPr>
      <w:r w:rsidRPr="0054564D">
        <w:rPr>
          <w:rFonts w:ascii="Times New Roman" w:hAnsi="Times New Roman" w:cs="Times New Roman"/>
          <w:b/>
          <w:bCs/>
          <w:sz w:val="26"/>
          <w:szCs w:val="26"/>
        </w:rPr>
        <w:t>Медицинское облучение.</w:t>
      </w:r>
    </w:p>
    <w:p w:rsidR="008F3AF5" w:rsidRPr="0054564D" w:rsidRDefault="0054564D" w:rsidP="0054564D">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динамике за последние 2 года </w:t>
      </w:r>
      <w:r w:rsidR="008F3AF5" w:rsidRPr="0054564D">
        <w:rPr>
          <w:rFonts w:ascii="Times New Roman" w:hAnsi="Times New Roman" w:cs="Times New Roman"/>
          <w:sz w:val="24"/>
          <w:szCs w:val="24"/>
        </w:rPr>
        <w:t xml:space="preserve">регистрируется увеличение исследований. в основном за </w:t>
      </w:r>
      <w:proofErr w:type="gramStart"/>
      <w:r w:rsidR="008F3AF5" w:rsidRPr="0054564D">
        <w:rPr>
          <w:rFonts w:ascii="Times New Roman" w:hAnsi="Times New Roman" w:cs="Times New Roman"/>
          <w:sz w:val="24"/>
          <w:szCs w:val="24"/>
        </w:rPr>
        <w:t>счет  увеличения</w:t>
      </w:r>
      <w:proofErr w:type="gramEnd"/>
      <w:r w:rsidR="008F3AF5" w:rsidRPr="0054564D">
        <w:rPr>
          <w:rFonts w:ascii="Times New Roman" w:hAnsi="Times New Roman" w:cs="Times New Roman"/>
          <w:sz w:val="24"/>
          <w:szCs w:val="24"/>
        </w:rPr>
        <w:t xml:space="preserve"> количества исследований КТ и рентгенографических процедур .</w:t>
      </w:r>
    </w:p>
    <w:p w:rsidR="008F3AF5" w:rsidRPr="0054564D" w:rsidRDefault="008F3AF5" w:rsidP="0054564D">
      <w:pPr>
        <w:spacing w:after="0" w:line="240" w:lineRule="auto"/>
        <w:ind w:firstLine="720"/>
        <w:jc w:val="right"/>
        <w:rPr>
          <w:rFonts w:ascii="Times New Roman" w:hAnsi="Times New Roman" w:cs="Times New Roman"/>
          <w:sz w:val="24"/>
          <w:szCs w:val="24"/>
        </w:rPr>
      </w:pPr>
      <w:r w:rsidRPr="0054564D">
        <w:rPr>
          <w:rFonts w:ascii="Times New Roman" w:hAnsi="Times New Roman" w:cs="Times New Roman"/>
        </w:rPr>
        <w:t>Таблица №8</w:t>
      </w:r>
    </w:p>
    <w:p w:rsidR="008F3AF5" w:rsidRPr="0054564D" w:rsidRDefault="008F3AF5" w:rsidP="0054564D">
      <w:pPr>
        <w:spacing w:after="0" w:line="240" w:lineRule="auto"/>
        <w:jc w:val="center"/>
        <w:rPr>
          <w:rFonts w:ascii="Times New Roman" w:hAnsi="Times New Roman" w:cs="Times New Roman"/>
          <w:b/>
          <w:bCs/>
        </w:rPr>
      </w:pPr>
      <w:r w:rsidRPr="0054564D">
        <w:rPr>
          <w:rFonts w:ascii="Times New Roman" w:hAnsi="Times New Roman" w:cs="Times New Roman"/>
          <w:b/>
          <w:bCs/>
        </w:rPr>
        <w:t xml:space="preserve">Структура облучения </w:t>
      </w:r>
      <w:proofErr w:type="gramStart"/>
      <w:r w:rsidRPr="0054564D">
        <w:rPr>
          <w:rFonts w:ascii="Times New Roman" w:hAnsi="Times New Roman" w:cs="Times New Roman"/>
          <w:b/>
          <w:bCs/>
        </w:rPr>
        <w:t>населения  при</w:t>
      </w:r>
      <w:proofErr w:type="gramEnd"/>
      <w:r w:rsidRPr="0054564D">
        <w:rPr>
          <w:rFonts w:ascii="Times New Roman" w:hAnsi="Times New Roman" w:cs="Times New Roman"/>
          <w:b/>
          <w:bCs/>
        </w:rPr>
        <w:t xml:space="preserve"> медицинских процедурах 2017-2019г.г.</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4"/>
        <w:gridCol w:w="1417"/>
        <w:gridCol w:w="1276"/>
        <w:gridCol w:w="1134"/>
        <w:gridCol w:w="1134"/>
        <w:gridCol w:w="1276"/>
        <w:gridCol w:w="1134"/>
      </w:tblGrid>
      <w:tr w:rsidR="008F3AF5" w:rsidRPr="0054564D" w:rsidTr="00630798">
        <w:trPr>
          <w:cantSplit/>
          <w:trHeight w:val="211"/>
        </w:trPr>
        <w:tc>
          <w:tcPr>
            <w:tcW w:w="1774" w:type="dxa"/>
            <w:vMerge w:val="restart"/>
          </w:tcPr>
          <w:p w:rsidR="008F3AF5" w:rsidRPr="0054564D" w:rsidRDefault="008F3AF5" w:rsidP="0054564D">
            <w:pPr>
              <w:spacing w:before="20" w:after="0" w:line="240" w:lineRule="auto"/>
              <w:rPr>
                <w:rFonts w:ascii="Times New Roman" w:hAnsi="Times New Roman" w:cs="Times New Roman"/>
              </w:rPr>
            </w:pPr>
            <w:r w:rsidRPr="0054564D">
              <w:rPr>
                <w:rFonts w:ascii="Times New Roman" w:hAnsi="Times New Roman" w:cs="Times New Roman"/>
              </w:rPr>
              <w:t>Виды процедур</w:t>
            </w:r>
          </w:p>
        </w:tc>
        <w:tc>
          <w:tcPr>
            <w:tcW w:w="7371" w:type="dxa"/>
            <w:gridSpan w:val="6"/>
          </w:tcPr>
          <w:p w:rsidR="008F3AF5" w:rsidRPr="0054564D" w:rsidRDefault="008F3AF5" w:rsidP="0054564D">
            <w:pPr>
              <w:spacing w:before="20" w:after="0" w:line="240" w:lineRule="auto"/>
              <w:rPr>
                <w:rFonts w:ascii="Times New Roman" w:hAnsi="Times New Roman" w:cs="Times New Roman"/>
              </w:rPr>
            </w:pPr>
            <w:r w:rsidRPr="0054564D">
              <w:rPr>
                <w:rFonts w:ascii="Times New Roman" w:hAnsi="Times New Roman" w:cs="Times New Roman"/>
              </w:rPr>
              <w:t>Коллективная доза чел-Зв/год, количество проведенных процедур</w:t>
            </w:r>
          </w:p>
        </w:tc>
      </w:tr>
      <w:tr w:rsidR="008F3AF5" w:rsidRPr="0054564D" w:rsidTr="00630798">
        <w:trPr>
          <w:cantSplit/>
          <w:trHeight w:val="280"/>
        </w:trPr>
        <w:tc>
          <w:tcPr>
            <w:tcW w:w="1774" w:type="dxa"/>
            <w:vMerge/>
          </w:tcPr>
          <w:p w:rsidR="008F3AF5" w:rsidRPr="0054564D" w:rsidRDefault="008F3AF5" w:rsidP="0054564D">
            <w:pPr>
              <w:spacing w:before="20" w:after="0" w:line="240" w:lineRule="auto"/>
              <w:rPr>
                <w:rFonts w:ascii="Times New Roman" w:hAnsi="Times New Roman" w:cs="Times New Roman"/>
              </w:rPr>
            </w:pPr>
          </w:p>
        </w:tc>
        <w:tc>
          <w:tcPr>
            <w:tcW w:w="1417" w:type="dxa"/>
          </w:tcPr>
          <w:p w:rsidR="008F3AF5" w:rsidRPr="0054564D" w:rsidRDefault="008F3AF5" w:rsidP="0054564D">
            <w:pPr>
              <w:spacing w:before="20" w:after="0" w:line="240" w:lineRule="auto"/>
              <w:rPr>
                <w:rFonts w:ascii="Times New Roman" w:hAnsi="Times New Roman" w:cs="Times New Roman"/>
              </w:rPr>
            </w:pPr>
            <w:r w:rsidRPr="0054564D">
              <w:rPr>
                <w:rFonts w:ascii="Times New Roman" w:hAnsi="Times New Roman" w:cs="Times New Roman"/>
              </w:rPr>
              <w:t>Количество процедур 2017г</w:t>
            </w:r>
          </w:p>
        </w:tc>
        <w:tc>
          <w:tcPr>
            <w:tcW w:w="1276" w:type="dxa"/>
          </w:tcPr>
          <w:p w:rsidR="008F3AF5" w:rsidRPr="0054564D" w:rsidRDefault="008F3AF5" w:rsidP="0054564D">
            <w:pPr>
              <w:spacing w:before="20" w:after="0" w:line="240" w:lineRule="auto"/>
              <w:rPr>
                <w:rFonts w:ascii="Times New Roman" w:hAnsi="Times New Roman" w:cs="Times New Roman"/>
              </w:rPr>
            </w:pPr>
            <w:r w:rsidRPr="0054564D">
              <w:rPr>
                <w:rFonts w:ascii="Times New Roman" w:hAnsi="Times New Roman" w:cs="Times New Roman"/>
              </w:rPr>
              <w:t>Кол доза чел-Зв/год</w:t>
            </w:r>
          </w:p>
          <w:p w:rsidR="008F3AF5" w:rsidRPr="0054564D" w:rsidRDefault="008F3AF5" w:rsidP="0054564D">
            <w:pPr>
              <w:spacing w:before="20" w:after="0" w:line="240" w:lineRule="auto"/>
              <w:rPr>
                <w:rFonts w:ascii="Times New Roman" w:hAnsi="Times New Roman" w:cs="Times New Roman"/>
              </w:rPr>
            </w:pPr>
          </w:p>
          <w:p w:rsidR="008F3AF5" w:rsidRPr="0054564D" w:rsidRDefault="008F3AF5" w:rsidP="0054564D">
            <w:pPr>
              <w:spacing w:before="20" w:after="0" w:line="240" w:lineRule="auto"/>
              <w:rPr>
                <w:rFonts w:ascii="Times New Roman" w:hAnsi="Times New Roman" w:cs="Times New Roman"/>
              </w:rPr>
            </w:pPr>
            <w:r w:rsidRPr="0054564D">
              <w:rPr>
                <w:rFonts w:ascii="Times New Roman" w:hAnsi="Times New Roman" w:cs="Times New Roman"/>
              </w:rPr>
              <w:t>2017г</w:t>
            </w:r>
          </w:p>
        </w:tc>
        <w:tc>
          <w:tcPr>
            <w:tcW w:w="1134" w:type="dxa"/>
          </w:tcPr>
          <w:p w:rsidR="008F3AF5" w:rsidRPr="0054564D" w:rsidRDefault="008F3AF5" w:rsidP="0054564D">
            <w:pPr>
              <w:spacing w:before="20" w:after="0" w:line="240" w:lineRule="auto"/>
              <w:rPr>
                <w:rFonts w:ascii="Times New Roman" w:hAnsi="Times New Roman" w:cs="Times New Roman"/>
              </w:rPr>
            </w:pPr>
            <w:r w:rsidRPr="0054564D">
              <w:rPr>
                <w:rFonts w:ascii="Times New Roman" w:hAnsi="Times New Roman" w:cs="Times New Roman"/>
              </w:rPr>
              <w:t>Количество процедур 2018г</w:t>
            </w:r>
          </w:p>
        </w:tc>
        <w:tc>
          <w:tcPr>
            <w:tcW w:w="1134" w:type="dxa"/>
          </w:tcPr>
          <w:p w:rsidR="008F3AF5" w:rsidRPr="0054564D" w:rsidRDefault="008F3AF5" w:rsidP="0054564D">
            <w:pPr>
              <w:spacing w:before="20" w:after="0" w:line="240" w:lineRule="auto"/>
              <w:rPr>
                <w:rFonts w:ascii="Times New Roman" w:hAnsi="Times New Roman" w:cs="Times New Roman"/>
              </w:rPr>
            </w:pPr>
            <w:r w:rsidRPr="0054564D">
              <w:rPr>
                <w:rFonts w:ascii="Times New Roman" w:hAnsi="Times New Roman" w:cs="Times New Roman"/>
              </w:rPr>
              <w:t>Кол доза, чел-Зв/год</w:t>
            </w:r>
          </w:p>
          <w:p w:rsidR="008F3AF5" w:rsidRPr="0054564D" w:rsidRDefault="008F3AF5" w:rsidP="0054564D">
            <w:pPr>
              <w:spacing w:before="20" w:after="0" w:line="240" w:lineRule="auto"/>
              <w:rPr>
                <w:rFonts w:ascii="Times New Roman" w:hAnsi="Times New Roman" w:cs="Times New Roman"/>
              </w:rPr>
            </w:pPr>
            <w:r w:rsidRPr="0054564D">
              <w:rPr>
                <w:rFonts w:ascii="Times New Roman" w:hAnsi="Times New Roman" w:cs="Times New Roman"/>
              </w:rPr>
              <w:t>2018г</w:t>
            </w:r>
          </w:p>
        </w:tc>
        <w:tc>
          <w:tcPr>
            <w:tcW w:w="1276" w:type="dxa"/>
          </w:tcPr>
          <w:p w:rsidR="008F3AF5" w:rsidRPr="0054564D" w:rsidRDefault="008F3AF5" w:rsidP="0054564D">
            <w:pPr>
              <w:spacing w:before="20" w:after="0" w:line="240" w:lineRule="auto"/>
              <w:rPr>
                <w:rFonts w:ascii="Times New Roman" w:hAnsi="Times New Roman" w:cs="Times New Roman"/>
              </w:rPr>
            </w:pPr>
            <w:r w:rsidRPr="0054564D">
              <w:rPr>
                <w:rFonts w:ascii="Times New Roman" w:hAnsi="Times New Roman" w:cs="Times New Roman"/>
              </w:rPr>
              <w:t>Количество процедур 2019г</w:t>
            </w:r>
          </w:p>
        </w:tc>
        <w:tc>
          <w:tcPr>
            <w:tcW w:w="1134" w:type="dxa"/>
          </w:tcPr>
          <w:p w:rsidR="008F3AF5" w:rsidRPr="0054564D" w:rsidRDefault="008F3AF5" w:rsidP="0054564D">
            <w:pPr>
              <w:spacing w:before="20" w:after="0" w:line="240" w:lineRule="auto"/>
              <w:rPr>
                <w:rFonts w:ascii="Times New Roman" w:hAnsi="Times New Roman" w:cs="Times New Roman"/>
              </w:rPr>
            </w:pPr>
            <w:r w:rsidRPr="0054564D">
              <w:rPr>
                <w:rFonts w:ascii="Times New Roman" w:hAnsi="Times New Roman" w:cs="Times New Roman"/>
              </w:rPr>
              <w:t>Кол доза, чел-Зв/год</w:t>
            </w:r>
          </w:p>
          <w:p w:rsidR="008F3AF5" w:rsidRPr="0054564D" w:rsidRDefault="008F3AF5" w:rsidP="0054564D">
            <w:pPr>
              <w:spacing w:before="20" w:after="0" w:line="240" w:lineRule="auto"/>
              <w:rPr>
                <w:rFonts w:ascii="Times New Roman" w:hAnsi="Times New Roman" w:cs="Times New Roman"/>
              </w:rPr>
            </w:pPr>
            <w:r w:rsidRPr="0054564D">
              <w:rPr>
                <w:rFonts w:ascii="Times New Roman" w:hAnsi="Times New Roman" w:cs="Times New Roman"/>
              </w:rPr>
              <w:t>2019г</w:t>
            </w:r>
          </w:p>
        </w:tc>
      </w:tr>
      <w:tr w:rsidR="008F3AF5" w:rsidRPr="0054564D" w:rsidTr="00630798">
        <w:tc>
          <w:tcPr>
            <w:tcW w:w="1774" w:type="dxa"/>
          </w:tcPr>
          <w:p w:rsidR="008F3AF5" w:rsidRPr="0054564D" w:rsidRDefault="008F3AF5" w:rsidP="0054564D">
            <w:pPr>
              <w:keepNext/>
              <w:spacing w:before="20" w:after="0" w:line="240" w:lineRule="auto"/>
              <w:outlineLvl w:val="4"/>
              <w:rPr>
                <w:rFonts w:ascii="Times New Roman" w:hAnsi="Times New Roman" w:cs="Times New Roman"/>
              </w:rPr>
            </w:pPr>
            <w:r w:rsidRPr="0054564D">
              <w:rPr>
                <w:rFonts w:ascii="Times New Roman" w:hAnsi="Times New Roman" w:cs="Times New Roman"/>
              </w:rPr>
              <w:t>Флюорографические</w:t>
            </w:r>
          </w:p>
        </w:tc>
        <w:tc>
          <w:tcPr>
            <w:tcW w:w="1417"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28409</w:t>
            </w:r>
          </w:p>
        </w:tc>
        <w:tc>
          <w:tcPr>
            <w:tcW w:w="1276"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0,148</w:t>
            </w:r>
          </w:p>
        </w:tc>
        <w:tc>
          <w:tcPr>
            <w:tcW w:w="1134"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27810</w:t>
            </w:r>
          </w:p>
        </w:tc>
        <w:tc>
          <w:tcPr>
            <w:tcW w:w="1134"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1,1</w:t>
            </w:r>
          </w:p>
        </w:tc>
        <w:tc>
          <w:tcPr>
            <w:tcW w:w="1276"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27950</w:t>
            </w:r>
          </w:p>
        </w:tc>
        <w:tc>
          <w:tcPr>
            <w:tcW w:w="1134"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0,800</w:t>
            </w:r>
          </w:p>
        </w:tc>
      </w:tr>
      <w:tr w:rsidR="008F3AF5" w:rsidRPr="0054564D" w:rsidTr="00630798">
        <w:tc>
          <w:tcPr>
            <w:tcW w:w="1774" w:type="dxa"/>
          </w:tcPr>
          <w:p w:rsidR="008F3AF5" w:rsidRPr="0054564D" w:rsidRDefault="008F3AF5" w:rsidP="0054564D">
            <w:pPr>
              <w:spacing w:before="20" w:after="0" w:line="240" w:lineRule="auto"/>
              <w:rPr>
                <w:rFonts w:ascii="Times New Roman" w:hAnsi="Times New Roman" w:cs="Times New Roman"/>
              </w:rPr>
            </w:pPr>
            <w:r w:rsidRPr="0054564D">
              <w:rPr>
                <w:rFonts w:ascii="Times New Roman" w:hAnsi="Times New Roman" w:cs="Times New Roman"/>
              </w:rPr>
              <w:t>Рентгенографические</w:t>
            </w:r>
          </w:p>
        </w:tc>
        <w:tc>
          <w:tcPr>
            <w:tcW w:w="1417"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59665</w:t>
            </w:r>
          </w:p>
        </w:tc>
        <w:tc>
          <w:tcPr>
            <w:tcW w:w="1276"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4,482</w:t>
            </w:r>
          </w:p>
        </w:tc>
        <w:tc>
          <w:tcPr>
            <w:tcW w:w="1134"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66610</w:t>
            </w:r>
          </w:p>
        </w:tc>
        <w:tc>
          <w:tcPr>
            <w:tcW w:w="1134"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13,353</w:t>
            </w:r>
          </w:p>
        </w:tc>
        <w:tc>
          <w:tcPr>
            <w:tcW w:w="1276"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67229</w:t>
            </w:r>
          </w:p>
        </w:tc>
        <w:tc>
          <w:tcPr>
            <w:tcW w:w="1134"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10,865</w:t>
            </w:r>
          </w:p>
        </w:tc>
      </w:tr>
      <w:tr w:rsidR="008F3AF5" w:rsidRPr="0054564D" w:rsidTr="00630798">
        <w:tc>
          <w:tcPr>
            <w:tcW w:w="1774" w:type="dxa"/>
          </w:tcPr>
          <w:p w:rsidR="008F3AF5" w:rsidRPr="0054564D" w:rsidRDefault="008F3AF5" w:rsidP="0054564D">
            <w:pPr>
              <w:spacing w:before="20" w:after="0" w:line="240" w:lineRule="auto"/>
              <w:rPr>
                <w:rFonts w:ascii="Times New Roman" w:hAnsi="Times New Roman" w:cs="Times New Roman"/>
              </w:rPr>
            </w:pPr>
            <w:r w:rsidRPr="0054564D">
              <w:rPr>
                <w:rFonts w:ascii="Times New Roman" w:hAnsi="Times New Roman" w:cs="Times New Roman"/>
              </w:rPr>
              <w:t>Рентгеноскопические</w:t>
            </w:r>
          </w:p>
        </w:tc>
        <w:tc>
          <w:tcPr>
            <w:tcW w:w="1417"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383</w:t>
            </w:r>
          </w:p>
        </w:tc>
        <w:tc>
          <w:tcPr>
            <w:tcW w:w="1276" w:type="dxa"/>
          </w:tcPr>
          <w:p w:rsidR="008F3AF5" w:rsidRPr="0054564D" w:rsidRDefault="008F3AF5" w:rsidP="0054564D">
            <w:pPr>
              <w:spacing w:before="40" w:after="0" w:line="240" w:lineRule="auto"/>
              <w:ind w:right="284"/>
              <w:jc w:val="center"/>
              <w:rPr>
                <w:rFonts w:ascii="Times New Roman" w:hAnsi="Times New Roman" w:cs="Times New Roman"/>
              </w:rPr>
            </w:pPr>
            <w:r w:rsidRPr="0054564D">
              <w:rPr>
                <w:rFonts w:ascii="Times New Roman" w:hAnsi="Times New Roman" w:cs="Times New Roman"/>
              </w:rPr>
              <w:t>0,083</w:t>
            </w:r>
          </w:p>
        </w:tc>
        <w:tc>
          <w:tcPr>
            <w:tcW w:w="1134"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344</w:t>
            </w:r>
          </w:p>
        </w:tc>
        <w:tc>
          <w:tcPr>
            <w:tcW w:w="1134" w:type="dxa"/>
          </w:tcPr>
          <w:p w:rsidR="008F3AF5" w:rsidRPr="0054564D" w:rsidRDefault="008F3AF5" w:rsidP="0054564D">
            <w:pPr>
              <w:spacing w:before="40" w:after="0" w:line="240" w:lineRule="auto"/>
              <w:ind w:right="284"/>
              <w:jc w:val="center"/>
              <w:rPr>
                <w:rFonts w:ascii="Times New Roman" w:hAnsi="Times New Roman" w:cs="Times New Roman"/>
              </w:rPr>
            </w:pPr>
            <w:r w:rsidRPr="0054564D">
              <w:rPr>
                <w:rFonts w:ascii="Times New Roman" w:hAnsi="Times New Roman" w:cs="Times New Roman"/>
              </w:rPr>
              <w:t>1,044</w:t>
            </w:r>
          </w:p>
        </w:tc>
        <w:tc>
          <w:tcPr>
            <w:tcW w:w="1276"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372</w:t>
            </w:r>
          </w:p>
        </w:tc>
        <w:tc>
          <w:tcPr>
            <w:tcW w:w="1134" w:type="dxa"/>
          </w:tcPr>
          <w:p w:rsidR="008F3AF5" w:rsidRPr="0054564D" w:rsidRDefault="008F3AF5" w:rsidP="0054564D">
            <w:pPr>
              <w:spacing w:before="40" w:after="0" w:line="240" w:lineRule="auto"/>
              <w:ind w:right="284"/>
              <w:jc w:val="center"/>
              <w:rPr>
                <w:rFonts w:ascii="Times New Roman" w:hAnsi="Times New Roman" w:cs="Times New Roman"/>
              </w:rPr>
            </w:pPr>
            <w:r w:rsidRPr="0054564D">
              <w:rPr>
                <w:rFonts w:ascii="Times New Roman" w:hAnsi="Times New Roman" w:cs="Times New Roman"/>
              </w:rPr>
              <w:t>1,022</w:t>
            </w:r>
          </w:p>
        </w:tc>
      </w:tr>
      <w:tr w:rsidR="008F3AF5" w:rsidRPr="0054564D" w:rsidTr="00630798">
        <w:tc>
          <w:tcPr>
            <w:tcW w:w="1774" w:type="dxa"/>
          </w:tcPr>
          <w:p w:rsidR="008F3AF5" w:rsidRPr="0054564D" w:rsidRDefault="008F3AF5" w:rsidP="0054564D">
            <w:pPr>
              <w:spacing w:before="20" w:after="0" w:line="240" w:lineRule="auto"/>
              <w:rPr>
                <w:rFonts w:ascii="Times New Roman" w:hAnsi="Times New Roman" w:cs="Times New Roman"/>
              </w:rPr>
            </w:pPr>
            <w:r w:rsidRPr="0054564D">
              <w:rPr>
                <w:rFonts w:ascii="Times New Roman" w:hAnsi="Times New Roman" w:cs="Times New Roman"/>
              </w:rPr>
              <w:t>Компьютерная томография</w:t>
            </w:r>
          </w:p>
        </w:tc>
        <w:tc>
          <w:tcPr>
            <w:tcW w:w="1417"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4648</w:t>
            </w:r>
          </w:p>
        </w:tc>
        <w:tc>
          <w:tcPr>
            <w:tcW w:w="1276" w:type="dxa"/>
          </w:tcPr>
          <w:p w:rsidR="008F3AF5" w:rsidRPr="0054564D" w:rsidRDefault="008F3AF5" w:rsidP="0054564D">
            <w:pPr>
              <w:spacing w:before="40" w:after="0" w:line="240" w:lineRule="auto"/>
              <w:ind w:right="284"/>
              <w:jc w:val="center"/>
              <w:rPr>
                <w:rFonts w:ascii="Times New Roman" w:hAnsi="Times New Roman" w:cs="Times New Roman"/>
              </w:rPr>
            </w:pPr>
            <w:r w:rsidRPr="0054564D">
              <w:rPr>
                <w:rFonts w:ascii="Times New Roman" w:hAnsi="Times New Roman" w:cs="Times New Roman"/>
              </w:rPr>
              <w:t>18,171</w:t>
            </w:r>
          </w:p>
        </w:tc>
        <w:tc>
          <w:tcPr>
            <w:tcW w:w="1134"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4418</w:t>
            </w:r>
          </w:p>
        </w:tc>
        <w:tc>
          <w:tcPr>
            <w:tcW w:w="1134" w:type="dxa"/>
          </w:tcPr>
          <w:p w:rsidR="008F3AF5" w:rsidRPr="0054564D" w:rsidRDefault="008F3AF5" w:rsidP="0054564D">
            <w:pPr>
              <w:spacing w:before="40" w:after="0" w:line="240" w:lineRule="auto"/>
              <w:ind w:right="284"/>
              <w:jc w:val="center"/>
              <w:rPr>
                <w:rFonts w:ascii="Times New Roman" w:hAnsi="Times New Roman" w:cs="Times New Roman"/>
              </w:rPr>
            </w:pPr>
            <w:r w:rsidRPr="0054564D">
              <w:rPr>
                <w:rFonts w:ascii="Times New Roman" w:hAnsi="Times New Roman" w:cs="Times New Roman"/>
              </w:rPr>
              <w:t>22,011</w:t>
            </w:r>
          </w:p>
        </w:tc>
        <w:tc>
          <w:tcPr>
            <w:tcW w:w="1276"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4245</w:t>
            </w:r>
          </w:p>
        </w:tc>
        <w:tc>
          <w:tcPr>
            <w:tcW w:w="1134" w:type="dxa"/>
          </w:tcPr>
          <w:p w:rsidR="008F3AF5" w:rsidRPr="0054564D" w:rsidRDefault="008F3AF5" w:rsidP="0054564D">
            <w:pPr>
              <w:spacing w:before="40" w:after="0" w:line="240" w:lineRule="auto"/>
              <w:ind w:right="284"/>
              <w:jc w:val="center"/>
              <w:rPr>
                <w:rFonts w:ascii="Times New Roman" w:hAnsi="Times New Roman" w:cs="Times New Roman"/>
              </w:rPr>
            </w:pPr>
            <w:r w:rsidRPr="0054564D">
              <w:rPr>
                <w:rFonts w:ascii="Times New Roman" w:hAnsi="Times New Roman" w:cs="Times New Roman"/>
              </w:rPr>
              <w:t>22,970</w:t>
            </w:r>
          </w:p>
        </w:tc>
      </w:tr>
      <w:tr w:rsidR="008F3AF5" w:rsidRPr="0054564D" w:rsidTr="00630798">
        <w:tc>
          <w:tcPr>
            <w:tcW w:w="1774" w:type="dxa"/>
          </w:tcPr>
          <w:p w:rsidR="008F3AF5" w:rsidRPr="0054564D" w:rsidRDefault="008F3AF5" w:rsidP="0054564D">
            <w:pPr>
              <w:spacing w:before="20" w:after="0" w:line="240" w:lineRule="auto"/>
              <w:rPr>
                <w:rFonts w:ascii="Times New Roman" w:hAnsi="Times New Roman" w:cs="Times New Roman"/>
              </w:rPr>
            </w:pPr>
            <w:r w:rsidRPr="0054564D">
              <w:rPr>
                <w:rFonts w:ascii="Times New Roman" w:hAnsi="Times New Roman" w:cs="Times New Roman"/>
              </w:rPr>
              <w:t>Итого</w:t>
            </w:r>
          </w:p>
        </w:tc>
        <w:tc>
          <w:tcPr>
            <w:tcW w:w="1417"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93105</w:t>
            </w:r>
          </w:p>
        </w:tc>
        <w:tc>
          <w:tcPr>
            <w:tcW w:w="1276"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22,884</w:t>
            </w:r>
          </w:p>
        </w:tc>
        <w:tc>
          <w:tcPr>
            <w:tcW w:w="1134"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99182</w:t>
            </w:r>
          </w:p>
        </w:tc>
        <w:tc>
          <w:tcPr>
            <w:tcW w:w="1134"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37,508</w:t>
            </w:r>
          </w:p>
        </w:tc>
        <w:tc>
          <w:tcPr>
            <w:tcW w:w="1276"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99796</w:t>
            </w:r>
          </w:p>
        </w:tc>
        <w:tc>
          <w:tcPr>
            <w:tcW w:w="1134"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35,657</w:t>
            </w:r>
          </w:p>
        </w:tc>
      </w:tr>
    </w:tbl>
    <w:p w:rsidR="008F3AF5" w:rsidRPr="0054564D" w:rsidRDefault="008F3AF5" w:rsidP="0054564D">
      <w:pPr>
        <w:spacing w:after="0" w:line="240" w:lineRule="auto"/>
        <w:rPr>
          <w:rFonts w:ascii="Times New Roman" w:hAnsi="Times New Roman" w:cs="Times New Roman"/>
          <w:sz w:val="24"/>
          <w:szCs w:val="24"/>
        </w:rPr>
      </w:pPr>
    </w:p>
    <w:p w:rsidR="008F3AF5" w:rsidRPr="0054564D" w:rsidRDefault="008F3AF5" w:rsidP="0054564D">
      <w:pPr>
        <w:autoSpaceDE w:val="0"/>
        <w:autoSpaceDN w:val="0"/>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 xml:space="preserve">  Основной вклад-64.5%-79,4</w:t>
      </w:r>
      <w:proofErr w:type="gramStart"/>
      <w:r w:rsidRPr="0054564D">
        <w:rPr>
          <w:rFonts w:ascii="Times New Roman" w:hAnsi="Times New Roman" w:cs="Times New Roman"/>
          <w:sz w:val="24"/>
          <w:szCs w:val="24"/>
        </w:rPr>
        <w:t>%  в</w:t>
      </w:r>
      <w:proofErr w:type="gramEnd"/>
      <w:r w:rsidRPr="0054564D">
        <w:rPr>
          <w:rFonts w:ascii="Times New Roman" w:hAnsi="Times New Roman" w:cs="Times New Roman"/>
          <w:sz w:val="24"/>
          <w:szCs w:val="24"/>
        </w:rPr>
        <w:t xml:space="preserve"> увеличение  коллективной дозы проводится за счет исследований по КТ – коллективная доза составила  в  2019г 22,970 чел-Зв/год из проведенных 4245 процедур, в  2018г – 22.011 чел-Зв/год из проведенных 4418 процедур  , в 2017г-18,171 чел-Зв/год  из проведенных 4648 процедур. Регистрируется в 2019г снижение количества проведенных исследований по КТ на 3,9%.</w:t>
      </w:r>
    </w:p>
    <w:p w:rsidR="008F3AF5" w:rsidRPr="0054564D" w:rsidRDefault="008F3AF5" w:rsidP="0054564D">
      <w:pPr>
        <w:autoSpaceDE w:val="0"/>
        <w:autoSpaceDN w:val="0"/>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 xml:space="preserve">Произошло в 2017г необоснованное снижение коллективной дозы по флюорографическим исследованиям, возможно это связано </w:t>
      </w:r>
      <w:proofErr w:type="gramStart"/>
      <w:r w:rsidRPr="0054564D">
        <w:rPr>
          <w:rFonts w:ascii="Times New Roman" w:hAnsi="Times New Roman" w:cs="Times New Roman"/>
          <w:sz w:val="24"/>
          <w:szCs w:val="24"/>
        </w:rPr>
        <w:t>с  составлением</w:t>
      </w:r>
      <w:proofErr w:type="gramEnd"/>
      <w:r w:rsidRPr="0054564D">
        <w:rPr>
          <w:rFonts w:ascii="Times New Roman" w:hAnsi="Times New Roman" w:cs="Times New Roman"/>
          <w:sz w:val="24"/>
          <w:szCs w:val="24"/>
        </w:rPr>
        <w:t xml:space="preserve"> отчетов по ДОЗ-3. </w:t>
      </w:r>
    </w:p>
    <w:p w:rsidR="008F3AF5" w:rsidRPr="0054564D" w:rsidRDefault="008F3AF5" w:rsidP="0054564D">
      <w:pPr>
        <w:autoSpaceDE w:val="0"/>
        <w:autoSpaceDN w:val="0"/>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 xml:space="preserve">В динамике </w:t>
      </w:r>
      <w:proofErr w:type="gramStart"/>
      <w:r w:rsidRPr="0054564D">
        <w:rPr>
          <w:rFonts w:ascii="Times New Roman" w:hAnsi="Times New Roman" w:cs="Times New Roman"/>
          <w:sz w:val="24"/>
          <w:szCs w:val="24"/>
        </w:rPr>
        <w:t>регистрируется  рост</w:t>
      </w:r>
      <w:proofErr w:type="gramEnd"/>
      <w:r w:rsidRPr="0054564D">
        <w:rPr>
          <w:rFonts w:ascii="Times New Roman" w:hAnsi="Times New Roman" w:cs="Times New Roman"/>
          <w:sz w:val="24"/>
          <w:szCs w:val="24"/>
        </w:rPr>
        <w:t xml:space="preserve">  исследований – в 2019г-незначительный  на 0,6% по сравнению с 2018г, в   2018г на 6,5% по сравнению с 2017г . В 2019г зарегистрировано снижение коллективной дозы, по сравнению с 2018г на 4,9</w:t>
      </w:r>
      <w:proofErr w:type="gramStart"/>
      <w:r w:rsidRPr="0054564D">
        <w:rPr>
          <w:rFonts w:ascii="Times New Roman" w:hAnsi="Times New Roman" w:cs="Times New Roman"/>
          <w:sz w:val="24"/>
          <w:szCs w:val="24"/>
        </w:rPr>
        <w:t>% .</w:t>
      </w:r>
      <w:proofErr w:type="gramEnd"/>
      <w:r w:rsidRPr="0054564D">
        <w:rPr>
          <w:rFonts w:ascii="Times New Roman" w:hAnsi="Times New Roman" w:cs="Times New Roman"/>
          <w:sz w:val="24"/>
          <w:szCs w:val="24"/>
        </w:rPr>
        <w:t xml:space="preserve">   В 2018 </w:t>
      </w:r>
      <w:proofErr w:type="gramStart"/>
      <w:r w:rsidRPr="0054564D">
        <w:rPr>
          <w:rFonts w:ascii="Times New Roman" w:hAnsi="Times New Roman" w:cs="Times New Roman"/>
          <w:sz w:val="24"/>
          <w:szCs w:val="24"/>
        </w:rPr>
        <w:t>году  по</w:t>
      </w:r>
      <w:proofErr w:type="gramEnd"/>
      <w:r w:rsidRPr="0054564D">
        <w:rPr>
          <w:rFonts w:ascii="Times New Roman" w:hAnsi="Times New Roman" w:cs="Times New Roman"/>
          <w:sz w:val="24"/>
          <w:szCs w:val="24"/>
        </w:rPr>
        <w:t xml:space="preserve"> сравнению с 2017годом наблюдалось увеличение  медицинских процедур на  6,5 %, а коллективная доза населения за счет медицинских процедур увеличилась на 64%.</w:t>
      </w:r>
    </w:p>
    <w:p w:rsidR="008F3AF5" w:rsidRPr="0054564D" w:rsidRDefault="008F3AF5" w:rsidP="0054564D">
      <w:pPr>
        <w:autoSpaceDE w:val="0"/>
        <w:autoSpaceDN w:val="0"/>
        <w:spacing w:after="0" w:line="240" w:lineRule="auto"/>
        <w:ind w:firstLine="709"/>
        <w:rPr>
          <w:rFonts w:ascii="Times New Roman" w:hAnsi="Times New Roman" w:cs="Times New Roman"/>
        </w:rPr>
      </w:pPr>
      <w:r w:rsidRPr="0054564D">
        <w:rPr>
          <w:rFonts w:ascii="Times New Roman" w:hAnsi="Times New Roman" w:cs="Times New Roman"/>
          <w:sz w:val="24"/>
          <w:szCs w:val="24"/>
        </w:rPr>
        <w:t xml:space="preserve">  </w:t>
      </w:r>
      <w:proofErr w:type="gramStart"/>
      <w:r w:rsidRPr="0054564D">
        <w:rPr>
          <w:rFonts w:ascii="Times New Roman" w:hAnsi="Times New Roman" w:cs="Times New Roman"/>
          <w:sz w:val="24"/>
          <w:szCs w:val="24"/>
        </w:rPr>
        <w:t>Средняя  индивидуальная</w:t>
      </w:r>
      <w:proofErr w:type="gramEnd"/>
      <w:r w:rsidRPr="0054564D">
        <w:rPr>
          <w:rFonts w:ascii="Times New Roman" w:hAnsi="Times New Roman" w:cs="Times New Roman"/>
          <w:sz w:val="24"/>
          <w:szCs w:val="24"/>
        </w:rPr>
        <w:t xml:space="preserve"> доза  за 1 процедуру КТ составила в 2019г- 5,41 м/Зв/процедура, в    2018г- 4,98 м/Зв/процедура, в 2017году- 3,9 мЗв/процедуру, что свидетельствует об увеличении дифдиагностики при назначении процедур ( табл № 8, рис № 4 ) </w:t>
      </w:r>
      <w:r w:rsidRPr="009E338C">
        <w:object w:dxaOrig="9293" w:dyaOrig="3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53.75pt" o:ole="" fillcolor="window">
            <v:imagedata r:id="rId15" o:title=""/>
          </v:shape>
          <o:OLEObject Type="Embed" ProgID="MSGraph.Chart.8" ShapeID="_x0000_i1025" DrawAspect="Content" ObjectID="_1679380162" r:id="rId16">
            <o:FieldCodes>\s</o:FieldCodes>
          </o:OLEObject>
        </w:object>
      </w:r>
      <w:r w:rsidRPr="0054564D">
        <w:rPr>
          <w:rFonts w:ascii="Times New Roman" w:hAnsi="Times New Roman" w:cs="Times New Roman"/>
          <w:b/>
        </w:rPr>
        <w:t xml:space="preserve">Рис № 4 </w:t>
      </w:r>
      <w:r w:rsidRPr="0054564D">
        <w:rPr>
          <w:rFonts w:ascii="Times New Roman" w:hAnsi="Times New Roman" w:cs="Times New Roman"/>
        </w:rPr>
        <w:t>Динамика годовой структуры облучения населения при медицинских процедурах 2016-2018гг</w:t>
      </w:r>
    </w:p>
    <w:p w:rsidR="008F3AF5" w:rsidRPr="009E338C" w:rsidRDefault="008F3AF5" w:rsidP="008F3AF5">
      <w:pPr>
        <w:spacing w:line="360" w:lineRule="auto"/>
        <w:jc w:val="right"/>
        <w:rPr>
          <w:sz w:val="24"/>
          <w:szCs w:val="24"/>
        </w:rPr>
      </w:pPr>
    </w:p>
    <w:p w:rsidR="008F3AF5" w:rsidRPr="009E338C" w:rsidRDefault="008F3AF5" w:rsidP="008F3AF5">
      <w:pPr>
        <w:spacing w:line="360" w:lineRule="auto"/>
        <w:jc w:val="right"/>
      </w:pPr>
      <w:r w:rsidRPr="009E338C">
        <w:t>Таблица№ 9</w:t>
      </w:r>
    </w:p>
    <w:p w:rsidR="008F3AF5" w:rsidRPr="0054564D" w:rsidRDefault="008F3AF5" w:rsidP="0054564D">
      <w:pPr>
        <w:spacing w:after="0" w:line="240" w:lineRule="auto"/>
        <w:jc w:val="center"/>
        <w:rPr>
          <w:rFonts w:ascii="Times New Roman" w:hAnsi="Times New Roman" w:cs="Times New Roman"/>
          <w:b/>
          <w:bCs/>
        </w:rPr>
      </w:pPr>
      <w:r w:rsidRPr="0054564D">
        <w:rPr>
          <w:rFonts w:ascii="Times New Roman" w:hAnsi="Times New Roman" w:cs="Times New Roman"/>
          <w:b/>
          <w:bCs/>
        </w:rPr>
        <w:t xml:space="preserve">Средняя </w:t>
      </w:r>
      <w:proofErr w:type="gramStart"/>
      <w:r w:rsidRPr="0054564D">
        <w:rPr>
          <w:rFonts w:ascii="Times New Roman" w:hAnsi="Times New Roman" w:cs="Times New Roman"/>
          <w:b/>
          <w:bCs/>
        </w:rPr>
        <w:t>индивидуальная  доза</w:t>
      </w:r>
      <w:proofErr w:type="gramEnd"/>
      <w:r w:rsidRPr="0054564D">
        <w:rPr>
          <w:rFonts w:ascii="Times New Roman" w:hAnsi="Times New Roman" w:cs="Times New Roman"/>
          <w:b/>
          <w:bCs/>
        </w:rPr>
        <w:t xml:space="preserve"> за 1 процедуру по г. Пыть-Ях за 2017-2019г.г.</w:t>
      </w:r>
    </w:p>
    <w:tbl>
      <w:tblPr>
        <w:tblW w:w="8364"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1"/>
        <w:gridCol w:w="1902"/>
        <w:gridCol w:w="2126"/>
        <w:gridCol w:w="1985"/>
      </w:tblGrid>
      <w:tr w:rsidR="008F3AF5" w:rsidRPr="0054564D" w:rsidTr="00630798">
        <w:trPr>
          <w:cantSplit/>
          <w:trHeight w:val="273"/>
        </w:trPr>
        <w:tc>
          <w:tcPr>
            <w:tcW w:w="2351" w:type="dxa"/>
            <w:vMerge w:val="restart"/>
          </w:tcPr>
          <w:p w:rsidR="008F3AF5" w:rsidRPr="0054564D" w:rsidRDefault="008F3AF5" w:rsidP="0054564D">
            <w:pPr>
              <w:spacing w:before="20" w:after="0" w:line="240" w:lineRule="auto"/>
              <w:rPr>
                <w:rFonts w:ascii="Times New Roman" w:hAnsi="Times New Roman" w:cs="Times New Roman"/>
              </w:rPr>
            </w:pPr>
            <w:r w:rsidRPr="0054564D">
              <w:rPr>
                <w:rFonts w:ascii="Times New Roman" w:hAnsi="Times New Roman" w:cs="Times New Roman"/>
              </w:rPr>
              <w:t>Виды процедур</w:t>
            </w:r>
          </w:p>
        </w:tc>
        <w:tc>
          <w:tcPr>
            <w:tcW w:w="6013" w:type="dxa"/>
            <w:gridSpan w:val="3"/>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Средняя индивидуальная доза мЗв /процедуру</w:t>
            </w:r>
          </w:p>
        </w:tc>
      </w:tr>
      <w:tr w:rsidR="008F3AF5" w:rsidRPr="0054564D" w:rsidTr="00630798">
        <w:trPr>
          <w:cantSplit/>
          <w:trHeight w:val="280"/>
        </w:trPr>
        <w:tc>
          <w:tcPr>
            <w:tcW w:w="2351" w:type="dxa"/>
            <w:vMerge/>
          </w:tcPr>
          <w:p w:rsidR="008F3AF5" w:rsidRPr="0054564D" w:rsidRDefault="008F3AF5" w:rsidP="0054564D">
            <w:pPr>
              <w:spacing w:before="20" w:after="0" w:line="240" w:lineRule="auto"/>
              <w:rPr>
                <w:rFonts w:ascii="Times New Roman" w:hAnsi="Times New Roman" w:cs="Times New Roman"/>
              </w:rPr>
            </w:pPr>
          </w:p>
        </w:tc>
        <w:tc>
          <w:tcPr>
            <w:tcW w:w="1902" w:type="dxa"/>
          </w:tcPr>
          <w:p w:rsidR="008F3AF5" w:rsidRPr="0054564D" w:rsidRDefault="008F3AF5" w:rsidP="0054564D">
            <w:pPr>
              <w:spacing w:before="20" w:after="0" w:line="240" w:lineRule="auto"/>
              <w:rPr>
                <w:rFonts w:ascii="Times New Roman" w:hAnsi="Times New Roman" w:cs="Times New Roman"/>
              </w:rPr>
            </w:pPr>
            <w:r w:rsidRPr="0054564D">
              <w:rPr>
                <w:rFonts w:ascii="Times New Roman" w:hAnsi="Times New Roman" w:cs="Times New Roman"/>
              </w:rPr>
              <w:t>2017</w:t>
            </w:r>
          </w:p>
        </w:tc>
        <w:tc>
          <w:tcPr>
            <w:tcW w:w="2126" w:type="dxa"/>
          </w:tcPr>
          <w:p w:rsidR="008F3AF5" w:rsidRPr="0054564D" w:rsidRDefault="008F3AF5" w:rsidP="0054564D">
            <w:pPr>
              <w:spacing w:before="20" w:after="0" w:line="240" w:lineRule="auto"/>
              <w:rPr>
                <w:rFonts w:ascii="Times New Roman" w:hAnsi="Times New Roman" w:cs="Times New Roman"/>
              </w:rPr>
            </w:pPr>
            <w:r w:rsidRPr="0054564D">
              <w:rPr>
                <w:rFonts w:ascii="Times New Roman" w:hAnsi="Times New Roman" w:cs="Times New Roman"/>
              </w:rPr>
              <w:t>2018</w:t>
            </w:r>
          </w:p>
        </w:tc>
        <w:tc>
          <w:tcPr>
            <w:tcW w:w="1985" w:type="dxa"/>
          </w:tcPr>
          <w:p w:rsidR="008F3AF5" w:rsidRPr="0054564D" w:rsidRDefault="008F3AF5" w:rsidP="0054564D">
            <w:pPr>
              <w:spacing w:before="20" w:after="0" w:line="240" w:lineRule="auto"/>
              <w:rPr>
                <w:rFonts w:ascii="Times New Roman" w:hAnsi="Times New Roman" w:cs="Times New Roman"/>
              </w:rPr>
            </w:pPr>
            <w:r w:rsidRPr="0054564D">
              <w:rPr>
                <w:rFonts w:ascii="Times New Roman" w:hAnsi="Times New Roman" w:cs="Times New Roman"/>
              </w:rPr>
              <w:t>2019</w:t>
            </w:r>
          </w:p>
        </w:tc>
      </w:tr>
      <w:tr w:rsidR="008F3AF5" w:rsidRPr="0054564D" w:rsidTr="00630798">
        <w:tc>
          <w:tcPr>
            <w:tcW w:w="2351" w:type="dxa"/>
          </w:tcPr>
          <w:p w:rsidR="008F3AF5" w:rsidRPr="0054564D" w:rsidRDefault="008F3AF5" w:rsidP="0054564D">
            <w:pPr>
              <w:keepNext/>
              <w:spacing w:before="20" w:after="0" w:line="240" w:lineRule="auto"/>
              <w:outlineLvl w:val="4"/>
              <w:rPr>
                <w:rFonts w:ascii="Times New Roman" w:hAnsi="Times New Roman" w:cs="Times New Roman"/>
              </w:rPr>
            </w:pPr>
            <w:r w:rsidRPr="0054564D">
              <w:rPr>
                <w:rFonts w:ascii="Times New Roman" w:hAnsi="Times New Roman" w:cs="Times New Roman"/>
              </w:rPr>
              <w:t>Флюорографические</w:t>
            </w:r>
          </w:p>
        </w:tc>
        <w:tc>
          <w:tcPr>
            <w:tcW w:w="1902" w:type="dxa"/>
          </w:tcPr>
          <w:p w:rsidR="008F3AF5" w:rsidRPr="0054564D" w:rsidRDefault="008F3AF5" w:rsidP="0054564D">
            <w:pPr>
              <w:spacing w:before="40" w:after="0" w:line="240" w:lineRule="auto"/>
              <w:ind w:right="907"/>
              <w:rPr>
                <w:rFonts w:ascii="Times New Roman" w:hAnsi="Times New Roman" w:cs="Times New Roman"/>
                <w:bCs/>
                <w:lang w:val="en-US"/>
              </w:rPr>
            </w:pPr>
            <w:r w:rsidRPr="0054564D">
              <w:rPr>
                <w:rFonts w:ascii="Times New Roman" w:hAnsi="Times New Roman" w:cs="Times New Roman"/>
                <w:bCs/>
                <w:lang w:val="en-US"/>
              </w:rPr>
              <w:t>0.01</w:t>
            </w:r>
          </w:p>
        </w:tc>
        <w:tc>
          <w:tcPr>
            <w:tcW w:w="2126" w:type="dxa"/>
          </w:tcPr>
          <w:p w:rsidR="008F3AF5" w:rsidRPr="0054564D" w:rsidRDefault="008F3AF5" w:rsidP="0054564D">
            <w:pPr>
              <w:spacing w:before="40" w:after="0" w:line="240" w:lineRule="auto"/>
              <w:ind w:right="907"/>
              <w:rPr>
                <w:rFonts w:ascii="Times New Roman" w:hAnsi="Times New Roman" w:cs="Times New Roman"/>
                <w:bCs/>
              </w:rPr>
            </w:pPr>
            <w:r w:rsidRPr="0054564D">
              <w:rPr>
                <w:rFonts w:ascii="Times New Roman" w:hAnsi="Times New Roman" w:cs="Times New Roman"/>
                <w:bCs/>
              </w:rPr>
              <w:t>0,04</w:t>
            </w:r>
          </w:p>
        </w:tc>
        <w:tc>
          <w:tcPr>
            <w:tcW w:w="1985" w:type="dxa"/>
          </w:tcPr>
          <w:p w:rsidR="008F3AF5" w:rsidRPr="0054564D" w:rsidRDefault="008F3AF5" w:rsidP="0054564D">
            <w:pPr>
              <w:spacing w:before="40" w:after="0" w:line="240" w:lineRule="auto"/>
              <w:ind w:right="907"/>
              <w:rPr>
                <w:rFonts w:ascii="Times New Roman" w:hAnsi="Times New Roman" w:cs="Times New Roman"/>
                <w:bCs/>
              </w:rPr>
            </w:pPr>
            <w:r w:rsidRPr="0054564D">
              <w:rPr>
                <w:rFonts w:ascii="Times New Roman" w:hAnsi="Times New Roman" w:cs="Times New Roman"/>
                <w:bCs/>
              </w:rPr>
              <w:t>0,03</w:t>
            </w:r>
          </w:p>
        </w:tc>
      </w:tr>
      <w:tr w:rsidR="008F3AF5" w:rsidRPr="0054564D" w:rsidTr="00630798">
        <w:tc>
          <w:tcPr>
            <w:tcW w:w="2351" w:type="dxa"/>
          </w:tcPr>
          <w:p w:rsidR="008F3AF5" w:rsidRPr="0054564D" w:rsidRDefault="008F3AF5" w:rsidP="0054564D">
            <w:pPr>
              <w:spacing w:before="20" w:after="0" w:line="240" w:lineRule="auto"/>
              <w:rPr>
                <w:rFonts w:ascii="Times New Roman" w:hAnsi="Times New Roman" w:cs="Times New Roman"/>
              </w:rPr>
            </w:pPr>
            <w:r w:rsidRPr="0054564D">
              <w:rPr>
                <w:rFonts w:ascii="Times New Roman" w:hAnsi="Times New Roman" w:cs="Times New Roman"/>
              </w:rPr>
              <w:t>Рентгенографические</w:t>
            </w:r>
          </w:p>
        </w:tc>
        <w:tc>
          <w:tcPr>
            <w:tcW w:w="1902" w:type="dxa"/>
          </w:tcPr>
          <w:p w:rsidR="008F3AF5" w:rsidRPr="0054564D" w:rsidRDefault="008F3AF5" w:rsidP="0054564D">
            <w:pPr>
              <w:spacing w:before="40" w:after="0" w:line="240" w:lineRule="auto"/>
              <w:ind w:right="907"/>
              <w:rPr>
                <w:rFonts w:ascii="Times New Roman" w:hAnsi="Times New Roman" w:cs="Times New Roman"/>
                <w:bCs/>
              </w:rPr>
            </w:pPr>
            <w:r w:rsidRPr="0054564D">
              <w:rPr>
                <w:rFonts w:ascii="Times New Roman" w:hAnsi="Times New Roman" w:cs="Times New Roman"/>
                <w:bCs/>
                <w:lang w:val="en-US"/>
              </w:rPr>
              <w:t>0.08</w:t>
            </w:r>
          </w:p>
        </w:tc>
        <w:tc>
          <w:tcPr>
            <w:tcW w:w="2126" w:type="dxa"/>
          </w:tcPr>
          <w:p w:rsidR="008F3AF5" w:rsidRPr="0054564D" w:rsidRDefault="008F3AF5" w:rsidP="0054564D">
            <w:pPr>
              <w:spacing w:before="40" w:after="0" w:line="240" w:lineRule="auto"/>
              <w:ind w:right="907"/>
              <w:rPr>
                <w:rFonts w:ascii="Times New Roman" w:hAnsi="Times New Roman" w:cs="Times New Roman"/>
                <w:bCs/>
              </w:rPr>
            </w:pPr>
            <w:r w:rsidRPr="0054564D">
              <w:rPr>
                <w:rFonts w:ascii="Times New Roman" w:hAnsi="Times New Roman" w:cs="Times New Roman"/>
                <w:bCs/>
              </w:rPr>
              <w:t>0,20</w:t>
            </w:r>
          </w:p>
        </w:tc>
        <w:tc>
          <w:tcPr>
            <w:tcW w:w="1985" w:type="dxa"/>
          </w:tcPr>
          <w:p w:rsidR="008F3AF5" w:rsidRPr="0054564D" w:rsidRDefault="008F3AF5" w:rsidP="0054564D">
            <w:pPr>
              <w:spacing w:before="40" w:after="0" w:line="240" w:lineRule="auto"/>
              <w:ind w:right="907"/>
              <w:rPr>
                <w:rFonts w:ascii="Times New Roman" w:hAnsi="Times New Roman" w:cs="Times New Roman"/>
                <w:bCs/>
              </w:rPr>
            </w:pPr>
            <w:r w:rsidRPr="0054564D">
              <w:rPr>
                <w:rFonts w:ascii="Times New Roman" w:hAnsi="Times New Roman" w:cs="Times New Roman"/>
                <w:bCs/>
              </w:rPr>
              <w:t>0,16</w:t>
            </w:r>
          </w:p>
        </w:tc>
      </w:tr>
      <w:tr w:rsidR="008F3AF5" w:rsidRPr="0054564D" w:rsidTr="00630798">
        <w:tc>
          <w:tcPr>
            <w:tcW w:w="2351" w:type="dxa"/>
          </w:tcPr>
          <w:p w:rsidR="008F3AF5" w:rsidRPr="0054564D" w:rsidRDefault="008F3AF5" w:rsidP="0054564D">
            <w:pPr>
              <w:spacing w:before="20" w:after="0" w:line="240" w:lineRule="auto"/>
              <w:rPr>
                <w:rFonts w:ascii="Times New Roman" w:hAnsi="Times New Roman" w:cs="Times New Roman"/>
              </w:rPr>
            </w:pPr>
            <w:r w:rsidRPr="0054564D">
              <w:rPr>
                <w:rFonts w:ascii="Times New Roman" w:hAnsi="Times New Roman" w:cs="Times New Roman"/>
              </w:rPr>
              <w:t>Рентгеноскопические</w:t>
            </w:r>
          </w:p>
        </w:tc>
        <w:tc>
          <w:tcPr>
            <w:tcW w:w="1902" w:type="dxa"/>
          </w:tcPr>
          <w:p w:rsidR="008F3AF5" w:rsidRPr="0054564D" w:rsidRDefault="008F3AF5" w:rsidP="0054564D">
            <w:pPr>
              <w:spacing w:before="40" w:after="0" w:line="240" w:lineRule="auto"/>
              <w:ind w:right="907"/>
              <w:rPr>
                <w:rFonts w:ascii="Times New Roman" w:hAnsi="Times New Roman" w:cs="Times New Roman"/>
                <w:bCs/>
              </w:rPr>
            </w:pPr>
            <w:r w:rsidRPr="0054564D">
              <w:rPr>
                <w:rFonts w:ascii="Times New Roman" w:hAnsi="Times New Roman" w:cs="Times New Roman"/>
                <w:bCs/>
                <w:lang w:val="en-US"/>
              </w:rPr>
              <w:t>0.22</w:t>
            </w:r>
          </w:p>
        </w:tc>
        <w:tc>
          <w:tcPr>
            <w:tcW w:w="2126" w:type="dxa"/>
          </w:tcPr>
          <w:p w:rsidR="008F3AF5" w:rsidRPr="0054564D" w:rsidRDefault="008F3AF5" w:rsidP="0054564D">
            <w:pPr>
              <w:spacing w:before="40" w:after="0" w:line="240" w:lineRule="auto"/>
              <w:ind w:right="907"/>
              <w:rPr>
                <w:rFonts w:ascii="Times New Roman" w:hAnsi="Times New Roman" w:cs="Times New Roman"/>
                <w:bCs/>
              </w:rPr>
            </w:pPr>
            <w:r w:rsidRPr="0054564D">
              <w:rPr>
                <w:rFonts w:ascii="Times New Roman" w:hAnsi="Times New Roman" w:cs="Times New Roman"/>
                <w:bCs/>
              </w:rPr>
              <w:t>3,03</w:t>
            </w:r>
          </w:p>
        </w:tc>
        <w:tc>
          <w:tcPr>
            <w:tcW w:w="1985" w:type="dxa"/>
          </w:tcPr>
          <w:p w:rsidR="008F3AF5" w:rsidRPr="0054564D" w:rsidRDefault="008F3AF5" w:rsidP="0054564D">
            <w:pPr>
              <w:spacing w:before="40" w:after="0" w:line="240" w:lineRule="auto"/>
              <w:ind w:right="907"/>
              <w:rPr>
                <w:rFonts w:ascii="Times New Roman" w:hAnsi="Times New Roman" w:cs="Times New Roman"/>
                <w:bCs/>
              </w:rPr>
            </w:pPr>
            <w:r w:rsidRPr="0054564D">
              <w:rPr>
                <w:rFonts w:ascii="Times New Roman" w:hAnsi="Times New Roman" w:cs="Times New Roman"/>
                <w:bCs/>
              </w:rPr>
              <w:t>2,75</w:t>
            </w:r>
          </w:p>
        </w:tc>
      </w:tr>
      <w:tr w:rsidR="008F3AF5" w:rsidRPr="0054564D" w:rsidTr="00630798">
        <w:tc>
          <w:tcPr>
            <w:tcW w:w="2351" w:type="dxa"/>
          </w:tcPr>
          <w:p w:rsidR="008F3AF5" w:rsidRPr="0054564D" w:rsidRDefault="008F3AF5" w:rsidP="0054564D">
            <w:pPr>
              <w:spacing w:before="20" w:after="0" w:line="240" w:lineRule="auto"/>
              <w:rPr>
                <w:rFonts w:ascii="Times New Roman" w:hAnsi="Times New Roman" w:cs="Times New Roman"/>
              </w:rPr>
            </w:pPr>
            <w:r w:rsidRPr="0054564D">
              <w:rPr>
                <w:rFonts w:ascii="Times New Roman" w:hAnsi="Times New Roman" w:cs="Times New Roman"/>
              </w:rPr>
              <w:t>Компьютерная томография</w:t>
            </w:r>
          </w:p>
        </w:tc>
        <w:tc>
          <w:tcPr>
            <w:tcW w:w="1902" w:type="dxa"/>
          </w:tcPr>
          <w:p w:rsidR="008F3AF5" w:rsidRPr="0054564D" w:rsidRDefault="008F3AF5" w:rsidP="0054564D">
            <w:pPr>
              <w:spacing w:before="40" w:after="0" w:line="240" w:lineRule="auto"/>
              <w:ind w:right="907"/>
              <w:rPr>
                <w:rFonts w:ascii="Times New Roman" w:hAnsi="Times New Roman" w:cs="Times New Roman"/>
                <w:bCs/>
              </w:rPr>
            </w:pPr>
            <w:r w:rsidRPr="0054564D">
              <w:rPr>
                <w:rFonts w:ascii="Times New Roman" w:hAnsi="Times New Roman" w:cs="Times New Roman"/>
                <w:bCs/>
                <w:lang w:val="en-US"/>
              </w:rPr>
              <w:t>3.91</w:t>
            </w:r>
          </w:p>
        </w:tc>
        <w:tc>
          <w:tcPr>
            <w:tcW w:w="2126" w:type="dxa"/>
          </w:tcPr>
          <w:p w:rsidR="008F3AF5" w:rsidRPr="0054564D" w:rsidRDefault="008F3AF5" w:rsidP="0054564D">
            <w:pPr>
              <w:spacing w:before="40" w:after="0" w:line="240" w:lineRule="auto"/>
              <w:ind w:right="907"/>
              <w:rPr>
                <w:rFonts w:ascii="Times New Roman" w:hAnsi="Times New Roman" w:cs="Times New Roman"/>
                <w:bCs/>
              </w:rPr>
            </w:pPr>
            <w:r w:rsidRPr="0054564D">
              <w:rPr>
                <w:rFonts w:ascii="Times New Roman" w:hAnsi="Times New Roman" w:cs="Times New Roman"/>
                <w:bCs/>
              </w:rPr>
              <w:t>4,98</w:t>
            </w:r>
          </w:p>
        </w:tc>
        <w:tc>
          <w:tcPr>
            <w:tcW w:w="1985" w:type="dxa"/>
          </w:tcPr>
          <w:p w:rsidR="008F3AF5" w:rsidRPr="0054564D" w:rsidRDefault="008F3AF5" w:rsidP="0054564D">
            <w:pPr>
              <w:spacing w:before="40" w:after="0" w:line="240" w:lineRule="auto"/>
              <w:ind w:right="907"/>
              <w:rPr>
                <w:rFonts w:ascii="Times New Roman" w:hAnsi="Times New Roman" w:cs="Times New Roman"/>
                <w:bCs/>
              </w:rPr>
            </w:pPr>
            <w:r w:rsidRPr="0054564D">
              <w:rPr>
                <w:rFonts w:ascii="Times New Roman" w:hAnsi="Times New Roman" w:cs="Times New Roman"/>
                <w:bCs/>
              </w:rPr>
              <w:t>5,41</w:t>
            </w:r>
          </w:p>
        </w:tc>
      </w:tr>
      <w:tr w:rsidR="008F3AF5" w:rsidRPr="0054564D" w:rsidTr="00630798">
        <w:tc>
          <w:tcPr>
            <w:tcW w:w="2351" w:type="dxa"/>
          </w:tcPr>
          <w:p w:rsidR="008F3AF5" w:rsidRPr="0054564D" w:rsidRDefault="008F3AF5" w:rsidP="0054564D">
            <w:pPr>
              <w:spacing w:before="20" w:after="0" w:line="240" w:lineRule="auto"/>
              <w:rPr>
                <w:rFonts w:ascii="Times New Roman" w:hAnsi="Times New Roman" w:cs="Times New Roman"/>
              </w:rPr>
            </w:pPr>
            <w:r w:rsidRPr="0054564D">
              <w:rPr>
                <w:rFonts w:ascii="Times New Roman" w:hAnsi="Times New Roman" w:cs="Times New Roman"/>
              </w:rPr>
              <w:t>Всего</w:t>
            </w:r>
          </w:p>
        </w:tc>
        <w:tc>
          <w:tcPr>
            <w:tcW w:w="1902" w:type="dxa"/>
          </w:tcPr>
          <w:p w:rsidR="008F3AF5" w:rsidRPr="0054564D" w:rsidRDefault="008F3AF5" w:rsidP="0054564D">
            <w:pPr>
              <w:spacing w:before="40" w:after="0" w:line="240" w:lineRule="auto"/>
              <w:ind w:right="907"/>
              <w:rPr>
                <w:rFonts w:ascii="Times New Roman" w:hAnsi="Times New Roman" w:cs="Times New Roman"/>
                <w:bCs/>
              </w:rPr>
            </w:pPr>
            <w:r w:rsidRPr="0054564D">
              <w:rPr>
                <w:rFonts w:ascii="Times New Roman" w:hAnsi="Times New Roman" w:cs="Times New Roman"/>
                <w:bCs/>
              </w:rPr>
              <w:t>0,25</w:t>
            </w:r>
          </w:p>
        </w:tc>
        <w:tc>
          <w:tcPr>
            <w:tcW w:w="2126" w:type="dxa"/>
          </w:tcPr>
          <w:p w:rsidR="008F3AF5" w:rsidRPr="0054564D" w:rsidRDefault="008F3AF5" w:rsidP="0054564D">
            <w:pPr>
              <w:spacing w:before="40" w:after="0" w:line="240" w:lineRule="auto"/>
              <w:ind w:right="907"/>
              <w:rPr>
                <w:rFonts w:ascii="Times New Roman" w:hAnsi="Times New Roman" w:cs="Times New Roman"/>
                <w:bCs/>
              </w:rPr>
            </w:pPr>
            <w:r w:rsidRPr="0054564D">
              <w:rPr>
                <w:rFonts w:ascii="Times New Roman" w:hAnsi="Times New Roman" w:cs="Times New Roman"/>
                <w:bCs/>
              </w:rPr>
              <w:t>0,38</w:t>
            </w:r>
          </w:p>
        </w:tc>
        <w:tc>
          <w:tcPr>
            <w:tcW w:w="1985" w:type="dxa"/>
          </w:tcPr>
          <w:p w:rsidR="008F3AF5" w:rsidRPr="0054564D" w:rsidRDefault="008F3AF5" w:rsidP="0054564D">
            <w:pPr>
              <w:spacing w:before="40" w:after="0" w:line="240" w:lineRule="auto"/>
              <w:ind w:right="907"/>
              <w:rPr>
                <w:rFonts w:ascii="Times New Roman" w:hAnsi="Times New Roman" w:cs="Times New Roman"/>
                <w:bCs/>
              </w:rPr>
            </w:pPr>
            <w:r w:rsidRPr="0054564D">
              <w:rPr>
                <w:rFonts w:ascii="Times New Roman" w:hAnsi="Times New Roman" w:cs="Times New Roman"/>
                <w:bCs/>
              </w:rPr>
              <w:t>0,36</w:t>
            </w:r>
          </w:p>
        </w:tc>
      </w:tr>
    </w:tbl>
    <w:p w:rsidR="008F3AF5" w:rsidRPr="0054564D" w:rsidRDefault="008F3AF5" w:rsidP="0054564D">
      <w:pPr>
        <w:tabs>
          <w:tab w:val="left" w:pos="1701"/>
        </w:tabs>
        <w:spacing w:after="0" w:line="240" w:lineRule="auto"/>
        <w:ind w:firstLine="709"/>
        <w:jc w:val="both"/>
        <w:rPr>
          <w:rFonts w:ascii="Times New Roman" w:hAnsi="Times New Roman" w:cs="Times New Roman"/>
          <w:sz w:val="24"/>
          <w:szCs w:val="24"/>
          <w:highlight w:val="yellow"/>
        </w:rPr>
      </w:pPr>
    </w:p>
    <w:p w:rsidR="008F3AF5" w:rsidRPr="0054564D" w:rsidRDefault="008F3AF5" w:rsidP="0054564D">
      <w:pPr>
        <w:tabs>
          <w:tab w:val="left" w:pos="1701"/>
        </w:tabs>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 xml:space="preserve">Средняя индивидуальная доза за 1 процедуру по </w:t>
      </w:r>
      <w:proofErr w:type="gramStart"/>
      <w:r w:rsidRPr="0054564D">
        <w:rPr>
          <w:rFonts w:ascii="Times New Roman" w:hAnsi="Times New Roman" w:cs="Times New Roman"/>
          <w:sz w:val="24"/>
          <w:szCs w:val="24"/>
        </w:rPr>
        <w:t xml:space="preserve">рентгеноскопическим  </w:t>
      </w:r>
      <w:r w:rsidR="0054564D">
        <w:rPr>
          <w:rFonts w:ascii="Times New Roman" w:hAnsi="Times New Roman" w:cs="Times New Roman"/>
          <w:sz w:val="24"/>
          <w:szCs w:val="24"/>
        </w:rPr>
        <w:t>и</w:t>
      </w:r>
      <w:r w:rsidRPr="0054564D">
        <w:rPr>
          <w:rFonts w:ascii="Times New Roman" w:hAnsi="Times New Roman" w:cs="Times New Roman"/>
          <w:sz w:val="24"/>
          <w:szCs w:val="24"/>
        </w:rPr>
        <w:t>сследованиям</w:t>
      </w:r>
      <w:proofErr w:type="gramEnd"/>
      <w:r w:rsidRPr="0054564D">
        <w:rPr>
          <w:rFonts w:ascii="Times New Roman" w:hAnsi="Times New Roman" w:cs="Times New Roman"/>
          <w:sz w:val="24"/>
          <w:szCs w:val="24"/>
        </w:rPr>
        <w:t xml:space="preserve">  в 2019 году  уменьшилась на 9.2% по сравнению с 2018годом, в 2018году увеличилась на 1277% и  составила 3,03 мЗв /процедуру, по сравнению с 2017г-0,22 мЗв /процедуру. Средняя индивидуальная </w:t>
      </w:r>
      <w:proofErr w:type="gramStart"/>
      <w:r w:rsidRPr="0054564D">
        <w:rPr>
          <w:rFonts w:ascii="Times New Roman" w:hAnsi="Times New Roman" w:cs="Times New Roman"/>
          <w:sz w:val="24"/>
          <w:szCs w:val="24"/>
        </w:rPr>
        <w:t>доза  за</w:t>
      </w:r>
      <w:proofErr w:type="gramEnd"/>
      <w:r w:rsidRPr="0054564D">
        <w:rPr>
          <w:rFonts w:ascii="Times New Roman" w:hAnsi="Times New Roman" w:cs="Times New Roman"/>
          <w:sz w:val="24"/>
          <w:szCs w:val="24"/>
        </w:rPr>
        <w:t xml:space="preserve"> 1 процедуру по рентгенографическим исследованиям в 2019г уменьшилась, по сравнению с 2018г на 20% , тогда как  в 2018году увеличилась на  150% и составила 0,2 мЗв /процедуру, по сравнению с 2017г-0,08 мЗв /процедуру, что требует тщательного анализа со стороны медицинских организаций. В 2019году регистрируется снижение средней индивидуальной </w:t>
      </w:r>
      <w:proofErr w:type="gramStart"/>
      <w:r w:rsidRPr="0054564D">
        <w:rPr>
          <w:rFonts w:ascii="Times New Roman" w:hAnsi="Times New Roman" w:cs="Times New Roman"/>
          <w:sz w:val="24"/>
          <w:szCs w:val="24"/>
        </w:rPr>
        <w:t>дозы  при</w:t>
      </w:r>
      <w:proofErr w:type="gramEnd"/>
      <w:r w:rsidRPr="0054564D">
        <w:rPr>
          <w:rFonts w:ascii="Times New Roman" w:hAnsi="Times New Roman" w:cs="Times New Roman"/>
          <w:sz w:val="24"/>
          <w:szCs w:val="24"/>
        </w:rPr>
        <w:t xml:space="preserve"> проведении флюорографических исследований на 25%, что связано с покупкой нового  малодозового  медренгенаппарата.</w:t>
      </w:r>
    </w:p>
    <w:p w:rsidR="008F3AF5" w:rsidRPr="0054564D" w:rsidRDefault="008F3AF5" w:rsidP="0054564D">
      <w:pPr>
        <w:tabs>
          <w:tab w:val="left" w:pos="1701"/>
        </w:tabs>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 xml:space="preserve">В 2018 </w:t>
      </w:r>
      <w:proofErr w:type="gramStart"/>
      <w:r w:rsidRPr="0054564D">
        <w:rPr>
          <w:rFonts w:ascii="Times New Roman" w:hAnsi="Times New Roman" w:cs="Times New Roman"/>
          <w:sz w:val="24"/>
          <w:szCs w:val="24"/>
        </w:rPr>
        <w:t>году  произошло</w:t>
      </w:r>
      <w:proofErr w:type="gramEnd"/>
      <w:r w:rsidRPr="0054564D">
        <w:rPr>
          <w:rFonts w:ascii="Times New Roman" w:hAnsi="Times New Roman" w:cs="Times New Roman"/>
          <w:sz w:val="24"/>
          <w:szCs w:val="24"/>
        </w:rPr>
        <w:t xml:space="preserve"> резкое увеличение средней индивидуальной дозы за одну процедуру  на  52%, по сравнению с 2017годом, в 2019 году  регистрируется незначительное-на 5,2% снижение  средней индивидуальной дозы  по сравнению с 2018г.,что требует проведения тщательного расследования и корректного заполнения отчетных форм(необоснованное снижение в 5 раз средней индивидуальной дозы в 2017г по флюорографическим исследованиям произошло в связи  с ошибкой в ДОЗ-3).</w:t>
      </w:r>
    </w:p>
    <w:p w:rsidR="008F3AF5" w:rsidRPr="0054564D" w:rsidRDefault="008F3AF5" w:rsidP="0054564D">
      <w:pPr>
        <w:tabs>
          <w:tab w:val="left" w:pos="1701"/>
        </w:tabs>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 xml:space="preserve">Наибольший вклад в </w:t>
      </w:r>
      <w:proofErr w:type="gramStart"/>
      <w:r w:rsidRPr="0054564D">
        <w:rPr>
          <w:rFonts w:ascii="Times New Roman" w:hAnsi="Times New Roman" w:cs="Times New Roman"/>
          <w:sz w:val="24"/>
          <w:szCs w:val="24"/>
        </w:rPr>
        <w:t>увеличение  средней</w:t>
      </w:r>
      <w:proofErr w:type="gramEnd"/>
      <w:r w:rsidRPr="0054564D">
        <w:rPr>
          <w:rFonts w:ascii="Times New Roman" w:hAnsi="Times New Roman" w:cs="Times New Roman"/>
          <w:sz w:val="24"/>
          <w:szCs w:val="24"/>
        </w:rPr>
        <w:t xml:space="preserve"> индивидуальной  дозы  за 1 процедуру  от проведения исследований компьютерной томографии. что свидетельствует об увеличении дозовой нагрузки, назначением  большего количества   расширенных исследований  на больных и увеличение индивидуальной и коллективной дозы. (табл № 9, рис№ 5)</w:t>
      </w:r>
    </w:p>
    <w:p w:rsidR="008F3AF5" w:rsidRPr="00387267" w:rsidRDefault="008F3AF5" w:rsidP="008F3AF5">
      <w:pPr>
        <w:tabs>
          <w:tab w:val="left" w:pos="1701"/>
        </w:tabs>
        <w:ind w:firstLine="709"/>
        <w:jc w:val="both"/>
        <w:rPr>
          <w:sz w:val="24"/>
          <w:szCs w:val="24"/>
          <w:highlight w:val="yellow"/>
        </w:rPr>
      </w:pPr>
      <w:r w:rsidRPr="00387267">
        <w:rPr>
          <w:sz w:val="24"/>
          <w:szCs w:val="24"/>
          <w:highlight w:val="yellow"/>
        </w:rPr>
        <w:t xml:space="preserve"> </w:t>
      </w:r>
    </w:p>
    <w:p w:rsidR="008F3AF5" w:rsidRPr="0054564D" w:rsidRDefault="008F3AF5" w:rsidP="008F3AF5">
      <w:pPr>
        <w:spacing w:after="120"/>
        <w:ind w:left="283"/>
        <w:jc w:val="center"/>
        <w:rPr>
          <w:rFonts w:ascii="Times New Roman" w:hAnsi="Times New Roman" w:cs="Times New Roman"/>
          <w:b/>
        </w:rPr>
      </w:pPr>
      <w:r w:rsidRPr="00BE42CB">
        <w:rPr>
          <w:b/>
          <w:noProof/>
          <w:lang w:eastAsia="ru-RU"/>
        </w:rPr>
        <w:drawing>
          <wp:inline distT="0" distB="0" distL="0" distR="0">
            <wp:extent cx="5715000" cy="17145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54564D">
        <w:rPr>
          <w:rFonts w:ascii="Times New Roman" w:hAnsi="Times New Roman" w:cs="Times New Roman"/>
        </w:rPr>
        <w:t xml:space="preserve">Рисунок № 5 </w:t>
      </w:r>
      <w:proofErr w:type="gramStart"/>
      <w:r w:rsidRPr="0054564D">
        <w:rPr>
          <w:rFonts w:ascii="Times New Roman" w:hAnsi="Times New Roman" w:cs="Times New Roman"/>
        </w:rPr>
        <w:t>Динамика  средней</w:t>
      </w:r>
      <w:proofErr w:type="gramEnd"/>
      <w:r w:rsidRPr="0054564D">
        <w:rPr>
          <w:rFonts w:ascii="Times New Roman" w:hAnsi="Times New Roman" w:cs="Times New Roman"/>
        </w:rPr>
        <w:t xml:space="preserve"> индивидуальн</w:t>
      </w:r>
      <w:r w:rsidRPr="0054564D">
        <w:rPr>
          <w:rFonts w:ascii="Times New Roman" w:hAnsi="Times New Roman" w:cs="Times New Roman"/>
          <w:b/>
        </w:rPr>
        <w:t>ой дозы за 1  медицинскую процедуру по г. Пыть-Ях в 2017-2019г</w:t>
      </w:r>
    </w:p>
    <w:p w:rsidR="008F3AF5" w:rsidRPr="0054564D" w:rsidRDefault="008F3AF5" w:rsidP="0054564D">
      <w:pPr>
        <w:pStyle w:val="Default"/>
        <w:jc w:val="both"/>
      </w:pPr>
      <w:r w:rsidRPr="0054564D">
        <w:rPr>
          <w:sz w:val="23"/>
          <w:szCs w:val="23"/>
        </w:rPr>
        <w:t xml:space="preserve">       </w:t>
      </w:r>
      <w:r w:rsidRPr="0054564D">
        <w:t xml:space="preserve">К числу мероприятий, способствовавших снижению средней </w:t>
      </w:r>
      <w:proofErr w:type="gramStart"/>
      <w:r w:rsidRPr="0054564D">
        <w:t>индивидуальной и коллективной дозы медицинского облучения населения</w:t>
      </w:r>
      <w:proofErr w:type="gramEnd"/>
      <w:r w:rsidRPr="0054564D">
        <w:t xml:space="preserve"> относятся: </w:t>
      </w:r>
    </w:p>
    <w:p w:rsidR="008F3AF5" w:rsidRPr="0054564D" w:rsidRDefault="008F3AF5" w:rsidP="0054564D">
      <w:pPr>
        <w:pStyle w:val="Default"/>
        <w:jc w:val="both"/>
      </w:pPr>
      <w:r w:rsidRPr="0054564D">
        <w:t>- планомерное оснащение медицинских учреждений г.Пыть-</w:t>
      </w:r>
      <w:proofErr w:type="gramStart"/>
      <w:r w:rsidRPr="0054564D">
        <w:t>Ях  современным</w:t>
      </w:r>
      <w:proofErr w:type="gramEnd"/>
      <w:r w:rsidRPr="0054564D">
        <w:t xml:space="preserve"> малодозовым цифровым оборудованием для флюорографических исследований, </w:t>
      </w:r>
    </w:p>
    <w:p w:rsidR="008F3AF5" w:rsidRPr="0054564D" w:rsidRDefault="008F3AF5" w:rsidP="0054564D">
      <w:pPr>
        <w:pStyle w:val="Default"/>
        <w:jc w:val="both"/>
      </w:pPr>
      <w:r w:rsidRPr="0054564D">
        <w:lastRenderedPageBreak/>
        <w:t xml:space="preserve">- вывод из обращения рентгенодиагностических аппаратов, срок эксплуатации которых превышает десять лет и имеющие эксплуатационные параметры, не соответствующие требованиям действующих санитарных правил, </w:t>
      </w:r>
    </w:p>
    <w:p w:rsidR="008F3AF5" w:rsidRPr="0054564D" w:rsidRDefault="008F3AF5" w:rsidP="0054564D">
      <w:pPr>
        <w:pStyle w:val="Default"/>
        <w:jc w:val="both"/>
      </w:pPr>
      <w:r w:rsidRPr="0054564D">
        <w:t xml:space="preserve">- паспортизация рентгеновских кабинетов; </w:t>
      </w:r>
    </w:p>
    <w:p w:rsidR="008F3AF5" w:rsidRPr="0054564D" w:rsidRDefault="008F3AF5" w:rsidP="0054564D">
      <w:pPr>
        <w:pStyle w:val="Default"/>
        <w:jc w:val="both"/>
      </w:pPr>
      <w:r w:rsidRPr="0054564D">
        <w:t xml:space="preserve">- оснащение аппаратов приборами учёта дозы облучения пациента (проходными ионизационными камерами); </w:t>
      </w:r>
    </w:p>
    <w:p w:rsidR="008F3AF5" w:rsidRPr="0054564D" w:rsidRDefault="008F3AF5" w:rsidP="0054564D">
      <w:pPr>
        <w:pStyle w:val="Default"/>
        <w:jc w:val="both"/>
      </w:pPr>
      <w:r w:rsidRPr="0054564D">
        <w:t xml:space="preserve">- индивидуальная дозиметрия персонала медицинских рентгеновских кабинетов организована во всех окружных и муниципальных ЛПУ; </w:t>
      </w:r>
    </w:p>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xml:space="preserve">- усиление работы по повышению квалификации, подготовке специалистов в области лучевой диагностике, в особенности, по вопросам радиационной безопасности; </w:t>
      </w:r>
    </w:p>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минимизация необоснованных исследований;</w:t>
      </w:r>
    </w:p>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-усиление контроля за предоставляемой отчетностью.</w:t>
      </w:r>
    </w:p>
    <w:p w:rsidR="008F3AF5" w:rsidRPr="0054564D" w:rsidRDefault="008F3AF5" w:rsidP="0054564D">
      <w:pPr>
        <w:spacing w:after="0" w:line="240" w:lineRule="auto"/>
        <w:jc w:val="center"/>
        <w:rPr>
          <w:rFonts w:ascii="Times New Roman" w:hAnsi="Times New Roman" w:cs="Times New Roman"/>
          <w:b/>
          <w:sz w:val="24"/>
          <w:szCs w:val="24"/>
        </w:rPr>
      </w:pPr>
      <w:r w:rsidRPr="0054564D">
        <w:rPr>
          <w:rFonts w:ascii="Times New Roman" w:hAnsi="Times New Roman" w:cs="Times New Roman"/>
          <w:b/>
          <w:sz w:val="24"/>
          <w:szCs w:val="24"/>
        </w:rPr>
        <w:t>Радиационные аварии</w:t>
      </w:r>
    </w:p>
    <w:p w:rsidR="008F3AF5" w:rsidRPr="0054564D" w:rsidRDefault="008F3AF5" w:rsidP="0054564D">
      <w:pPr>
        <w:suppressAutoHyphens/>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xml:space="preserve">В 2018, 2019 году радиационные </w:t>
      </w:r>
      <w:proofErr w:type="gramStart"/>
      <w:r w:rsidRPr="0054564D">
        <w:rPr>
          <w:rFonts w:ascii="Times New Roman" w:hAnsi="Times New Roman" w:cs="Times New Roman"/>
          <w:sz w:val="24"/>
          <w:szCs w:val="24"/>
        </w:rPr>
        <w:t>аварии  не</w:t>
      </w:r>
      <w:proofErr w:type="gramEnd"/>
      <w:r w:rsidRPr="0054564D">
        <w:rPr>
          <w:rFonts w:ascii="Times New Roman" w:hAnsi="Times New Roman" w:cs="Times New Roman"/>
          <w:sz w:val="24"/>
          <w:szCs w:val="24"/>
        </w:rPr>
        <w:t xml:space="preserve"> зарегистрированы.</w:t>
      </w:r>
    </w:p>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xml:space="preserve">       В 2020</w:t>
      </w:r>
      <w:proofErr w:type="gramStart"/>
      <w:r w:rsidRPr="0054564D">
        <w:rPr>
          <w:rFonts w:ascii="Times New Roman" w:hAnsi="Times New Roman" w:cs="Times New Roman"/>
          <w:sz w:val="24"/>
          <w:szCs w:val="24"/>
        </w:rPr>
        <w:t>году  произошло</w:t>
      </w:r>
      <w:proofErr w:type="gramEnd"/>
      <w:r w:rsidRPr="0054564D">
        <w:rPr>
          <w:rFonts w:ascii="Times New Roman" w:hAnsi="Times New Roman" w:cs="Times New Roman"/>
          <w:sz w:val="24"/>
          <w:szCs w:val="24"/>
        </w:rPr>
        <w:t xml:space="preserve">  2  радиационных аварии  в ООО «Шлюмберже Восток» филиал в г. Нефтеюганске.  Обстоятельства аварий:   </w:t>
      </w:r>
    </w:p>
    <w:p w:rsidR="008F3AF5" w:rsidRPr="0054564D" w:rsidRDefault="008F3AF5" w:rsidP="0054564D">
      <w:pPr>
        <w:spacing w:after="0" w:line="240" w:lineRule="auto"/>
        <w:rPr>
          <w:rFonts w:ascii="Times New Roman" w:eastAsia="Calibri" w:hAnsi="Times New Roman" w:cs="Times New Roman"/>
          <w:sz w:val="24"/>
          <w:szCs w:val="24"/>
        </w:rPr>
      </w:pPr>
      <w:r w:rsidRPr="0054564D">
        <w:rPr>
          <w:rFonts w:ascii="Times New Roman" w:eastAsia="Calibri" w:hAnsi="Times New Roman" w:cs="Times New Roman"/>
          <w:sz w:val="24"/>
          <w:szCs w:val="24"/>
        </w:rPr>
        <w:t xml:space="preserve">-16 мая 2020 года при проведении работ на скважине №4А113 Уренгойского НГКМ, Ямало-Ненецкого автономного округа при обратной проработке произошел прихват КНБК с ИИИ.В скважине находится геофизический прибор КНБК, в составе которого находятся ИИИ: </w:t>
      </w:r>
    </w:p>
    <w:p w:rsidR="008F3AF5" w:rsidRPr="0054564D" w:rsidRDefault="008F3AF5" w:rsidP="0054564D">
      <w:pPr>
        <w:spacing w:after="0" w:line="240" w:lineRule="auto"/>
        <w:rPr>
          <w:rFonts w:ascii="Times New Roman" w:eastAsia="Calibri" w:hAnsi="Times New Roman" w:cs="Times New Roman"/>
          <w:sz w:val="24"/>
          <w:szCs w:val="24"/>
        </w:rPr>
      </w:pPr>
      <w:r w:rsidRPr="0054564D">
        <w:rPr>
          <w:rFonts w:ascii="Times New Roman" w:eastAsia="Calibri" w:hAnsi="Times New Roman" w:cs="Times New Roman"/>
          <w:sz w:val="24"/>
          <w:szCs w:val="24"/>
        </w:rPr>
        <w:t>- нейтронный источник Am-241-Be типа NSR-U зав. № Q1368 активностью 370 ГБк;</w:t>
      </w:r>
    </w:p>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eastAsia="Calibri" w:hAnsi="Times New Roman" w:cs="Times New Roman"/>
          <w:sz w:val="24"/>
          <w:szCs w:val="24"/>
        </w:rPr>
        <w:t>- гамма источник Cs-137 типа GSR-Z зав. № A3418 активностью 63 ГБк. 30 июня 2020 г. Авария ликвидирована установкой цементного моста была ликвидирована часть ствола 155.6 мм с находящейся на забое КНБК.</w:t>
      </w:r>
    </w:p>
    <w:p w:rsidR="008F3AF5" w:rsidRPr="0054564D" w:rsidRDefault="008F3AF5" w:rsidP="0054564D">
      <w:pPr>
        <w:spacing w:after="0" w:line="240" w:lineRule="auto"/>
        <w:rPr>
          <w:rFonts w:ascii="Times New Roman" w:eastAsia="Calibri" w:hAnsi="Times New Roman" w:cs="Times New Roman"/>
          <w:sz w:val="24"/>
          <w:szCs w:val="24"/>
        </w:rPr>
      </w:pPr>
      <w:r w:rsidRPr="0054564D">
        <w:rPr>
          <w:rFonts w:ascii="Times New Roman" w:eastAsia="Calibri" w:hAnsi="Times New Roman" w:cs="Times New Roman"/>
          <w:sz w:val="24"/>
          <w:szCs w:val="24"/>
        </w:rPr>
        <w:t xml:space="preserve">23 октября 2020г при проведении работ Южно-Русское скв № 6Т куст №602 Тазовского района Ямало-Ненецкого автономного округаВ результате </w:t>
      </w:r>
      <w:proofErr w:type="gramStart"/>
      <w:r w:rsidRPr="0054564D">
        <w:rPr>
          <w:rFonts w:ascii="Times New Roman" w:eastAsia="Calibri" w:hAnsi="Times New Roman" w:cs="Times New Roman"/>
          <w:sz w:val="24"/>
          <w:szCs w:val="24"/>
        </w:rPr>
        <w:t>осложнения  на</w:t>
      </w:r>
      <w:proofErr w:type="gramEnd"/>
      <w:r w:rsidRPr="0054564D">
        <w:rPr>
          <w:rFonts w:ascii="Times New Roman" w:eastAsia="Calibri" w:hAnsi="Times New Roman" w:cs="Times New Roman"/>
          <w:sz w:val="24"/>
          <w:szCs w:val="24"/>
        </w:rPr>
        <w:t xml:space="preserve"> подъеме КНБК потеряна подвижность компоновки. </w:t>
      </w:r>
    </w:p>
    <w:p w:rsidR="008F3AF5" w:rsidRPr="0054564D" w:rsidRDefault="008F3AF5" w:rsidP="0054564D">
      <w:pPr>
        <w:spacing w:after="0" w:line="240" w:lineRule="auto"/>
        <w:rPr>
          <w:rFonts w:ascii="Times New Roman" w:eastAsia="Calibri" w:hAnsi="Times New Roman" w:cs="Times New Roman"/>
          <w:sz w:val="24"/>
          <w:szCs w:val="24"/>
        </w:rPr>
      </w:pPr>
      <w:r w:rsidRPr="0054564D">
        <w:rPr>
          <w:rFonts w:ascii="Times New Roman" w:eastAsia="Calibri" w:hAnsi="Times New Roman" w:cs="Times New Roman"/>
          <w:sz w:val="24"/>
          <w:szCs w:val="24"/>
        </w:rPr>
        <w:t xml:space="preserve">В скважине находится геофизический прибор КНБК, в составе которого находятся ИИИ: </w:t>
      </w:r>
    </w:p>
    <w:p w:rsidR="008F3AF5" w:rsidRPr="0054564D" w:rsidRDefault="008F3AF5" w:rsidP="0054564D">
      <w:pPr>
        <w:spacing w:after="0" w:line="240" w:lineRule="auto"/>
        <w:rPr>
          <w:rFonts w:ascii="Times New Roman" w:eastAsia="Calibri" w:hAnsi="Times New Roman" w:cs="Times New Roman"/>
          <w:sz w:val="24"/>
          <w:szCs w:val="24"/>
        </w:rPr>
      </w:pPr>
      <w:r w:rsidRPr="0054564D">
        <w:rPr>
          <w:rFonts w:ascii="Times New Roman" w:eastAsia="Calibri" w:hAnsi="Times New Roman" w:cs="Times New Roman"/>
          <w:sz w:val="24"/>
          <w:szCs w:val="24"/>
        </w:rPr>
        <w:t>- гамма источник Cs-137 типа GGLS-DA №A2859 активностью 63 ГБк.</w:t>
      </w:r>
    </w:p>
    <w:p w:rsidR="008F3AF5" w:rsidRPr="0054564D" w:rsidRDefault="008F3AF5" w:rsidP="0054564D">
      <w:pPr>
        <w:spacing w:after="0" w:line="240" w:lineRule="auto"/>
        <w:rPr>
          <w:rFonts w:ascii="Times New Roman" w:eastAsia="Calibri" w:hAnsi="Times New Roman" w:cs="Times New Roman"/>
          <w:sz w:val="24"/>
          <w:szCs w:val="24"/>
        </w:rPr>
      </w:pPr>
      <w:r w:rsidRPr="0054564D">
        <w:rPr>
          <w:rFonts w:ascii="Times New Roman" w:eastAsia="Calibri" w:hAnsi="Times New Roman" w:cs="Times New Roman"/>
          <w:sz w:val="24"/>
          <w:szCs w:val="24"/>
        </w:rPr>
        <w:t>- генератор нейтронов PNG-HB №8359-51461 активностью 55,5 ГБк.</w:t>
      </w:r>
    </w:p>
    <w:p w:rsidR="008F3AF5" w:rsidRPr="0054564D" w:rsidRDefault="008F3AF5" w:rsidP="0054564D">
      <w:pPr>
        <w:spacing w:after="0" w:line="240" w:lineRule="auto"/>
        <w:rPr>
          <w:rFonts w:ascii="Times New Roman" w:eastAsia="Calibri" w:hAnsi="Times New Roman" w:cs="Times New Roman"/>
          <w:sz w:val="24"/>
          <w:szCs w:val="24"/>
        </w:rPr>
      </w:pPr>
      <w:r w:rsidRPr="0054564D">
        <w:rPr>
          <w:rFonts w:ascii="Times New Roman" w:eastAsia="Calibri" w:hAnsi="Times New Roman" w:cs="Times New Roman"/>
          <w:sz w:val="24"/>
          <w:szCs w:val="24"/>
        </w:rPr>
        <w:t>04.12.2020 в 14-00 заказчиком проекта ООО «РусГазБурение», проведена изоляция КНБК путем установки изоляционного цементного моста.</w:t>
      </w:r>
    </w:p>
    <w:p w:rsidR="008F3AF5" w:rsidRPr="00387267" w:rsidRDefault="008F3AF5" w:rsidP="0054564D">
      <w:pPr>
        <w:spacing w:after="0" w:line="240" w:lineRule="auto"/>
        <w:jc w:val="both"/>
        <w:rPr>
          <w:b/>
          <w:bCs/>
          <w:sz w:val="28"/>
          <w:szCs w:val="28"/>
          <w:highlight w:val="yellow"/>
          <w:u w:val="double"/>
        </w:rPr>
      </w:pPr>
      <w:r w:rsidRPr="0054564D">
        <w:rPr>
          <w:rFonts w:ascii="Times New Roman" w:hAnsi="Times New Roman" w:cs="Times New Roman"/>
          <w:sz w:val="24"/>
          <w:szCs w:val="24"/>
        </w:rPr>
        <w:tab/>
        <w:t xml:space="preserve">Превышения естественного радиационного фона не выявлено. </w:t>
      </w:r>
      <w:proofErr w:type="gramStart"/>
      <w:r w:rsidRPr="0054564D">
        <w:rPr>
          <w:rFonts w:ascii="Times New Roman" w:hAnsi="Times New Roman" w:cs="Times New Roman"/>
          <w:sz w:val="24"/>
          <w:szCs w:val="24"/>
        </w:rPr>
        <w:t>ООО«</w:t>
      </w:r>
      <w:proofErr w:type="gramEnd"/>
      <w:r w:rsidRPr="0054564D">
        <w:rPr>
          <w:rFonts w:ascii="Times New Roman" w:hAnsi="Times New Roman" w:cs="Times New Roman"/>
          <w:sz w:val="24"/>
          <w:szCs w:val="24"/>
        </w:rPr>
        <w:t xml:space="preserve">Шлюмберже Восток» осуществлял мониторинг уровней радиационного фона Радиационного воздействия на персонал и окружающую среду не зафиксировано. Пострадавших при нарушении нет. </w:t>
      </w:r>
    </w:p>
    <w:p w:rsidR="008F3AF5" w:rsidRPr="0054564D" w:rsidRDefault="008F3AF5" w:rsidP="0054564D">
      <w:pPr>
        <w:tabs>
          <w:tab w:val="left" w:pos="1701"/>
        </w:tabs>
        <w:spacing w:before="120" w:after="0" w:line="240" w:lineRule="auto"/>
        <w:jc w:val="center"/>
        <w:rPr>
          <w:rFonts w:ascii="Times New Roman" w:hAnsi="Times New Roman" w:cs="Times New Roman"/>
          <w:b/>
          <w:bCs/>
          <w:sz w:val="26"/>
          <w:szCs w:val="26"/>
        </w:rPr>
      </w:pPr>
      <w:r w:rsidRPr="0054564D">
        <w:rPr>
          <w:rFonts w:ascii="Times New Roman" w:hAnsi="Times New Roman" w:cs="Times New Roman"/>
          <w:b/>
          <w:bCs/>
          <w:sz w:val="26"/>
          <w:szCs w:val="26"/>
        </w:rPr>
        <w:t>1.1.2. Приоритетные санитарно-эпидемиологические и социальные факторы, формирующие негативные тенденции в состоянии здоровья населения города Пыть-Ях</w:t>
      </w:r>
    </w:p>
    <w:p w:rsidR="008F3AF5" w:rsidRPr="0054564D" w:rsidRDefault="008F3AF5" w:rsidP="0054564D">
      <w:pPr>
        <w:tabs>
          <w:tab w:val="left" w:pos="1701"/>
        </w:tabs>
        <w:spacing w:before="120" w:after="0" w:line="240" w:lineRule="auto"/>
        <w:jc w:val="center"/>
        <w:rPr>
          <w:rFonts w:ascii="Times New Roman" w:hAnsi="Times New Roman" w:cs="Times New Roman"/>
          <w:b/>
          <w:bCs/>
          <w:sz w:val="26"/>
          <w:szCs w:val="26"/>
        </w:rPr>
      </w:pPr>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 xml:space="preserve">Город Пыть-Ях сформирован за счет </w:t>
      </w:r>
      <w:proofErr w:type="gramStart"/>
      <w:r w:rsidRPr="0054564D">
        <w:rPr>
          <w:rFonts w:ascii="Times New Roman" w:hAnsi="Times New Roman" w:cs="Times New Roman"/>
          <w:sz w:val="24"/>
          <w:szCs w:val="24"/>
        </w:rPr>
        <w:t>слияния  вахтового</w:t>
      </w:r>
      <w:proofErr w:type="gramEnd"/>
      <w:r w:rsidRPr="0054564D">
        <w:rPr>
          <w:rFonts w:ascii="Times New Roman" w:hAnsi="Times New Roman" w:cs="Times New Roman"/>
          <w:sz w:val="24"/>
          <w:szCs w:val="24"/>
        </w:rPr>
        <w:t xml:space="preserve"> поселка Мамонтово и  пос. Пыть-Ях. Большую роль в дальнейшем становлении города сыграла железная дорога Тюмень – Сургут – Нижневартовск. На территории города расположен железнодорожный вокзал. 4 октября 1990 вахтовый поселок переименован в город Пыть-Ях. Сегодня в городе проживает 39844чел человек. Территория г. Пыть – Ях составляет 80 кв. километров. В основном в городе развивается нефтегазодобывающая промышленность и работают предприятия, обслуживающие нефтедобывающие предприятия. За 26 лет существования построены ДК «Россия», КСК «Факел», Детская школа искусств, кинотеатр Кедр, аквацентр «Дельфин», Детский реабилитационный центр «Журавушка», лыжная база «Северное сияние», Муниципальное образовательное учреждение средняя образовательная школа № 6, больничный комплекс на 320 коек, детские сады - «Аленький цветочек», «Белочка», «Солнышко», спортивный комплекс «Атлант», социальный приют для детей, библиотека с краеведческим музеем, жилые дома. Введено в эксплуатацию в 2015г.: здание </w:t>
      </w:r>
      <w:r w:rsidRPr="0054564D">
        <w:rPr>
          <w:rFonts w:ascii="Times New Roman" w:hAnsi="Times New Roman" w:cs="Times New Roman"/>
          <w:sz w:val="24"/>
          <w:szCs w:val="24"/>
        </w:rPr>
        <w:lastRenderedPageBreak/>
        <w:t>городская поликлиники. В 2016г д/с «Фантазия». В 2017</w:t>
      </w:r>
      <w:proofErr w:type="gramStart"/>
      <w:r w:rsidRPr="0054564D">
        <w:rPr>
          <w:rFonts w:ascii="Times New Roman" w:hAnsi="Times New Roman" w:cs="Times New Roman"/>
          <w:sz w:val="24"/>
          <w:szCs w:val="24"/>
        </w:rPr>
        <w:t>г  введены</w:t>
      </w:r>
      <w:proofErr w:type="gramEnd"/>
      <w:r w:rsidRPr="0054564D">
        <w:rPr>
          <w:rFonts w:ascii="Times New Roman" w:hAnsi="Times New Roman" w:cs="Times New Roman"/>
          <w:sz w:val="24"/>
          <w:szCs w:val="24"/>
        </w:rPr>
        <w:t xml:space="preserve"> в эксплуатацию  д/с «Золотой ключик», ДК «Кедр»(, после реконструкции).В 2018г завершена реконструкция ДК «Россия» и  Центра детского творчества. В 2020</w:t>
      </w:r>
      <w:proofErr w:type="gramStart"/>
      <w:r w:rsidRPr="0054564D">
        <w:rPr>
          <w:rFonts w:ascii="Times New Roman" w:hAnsi="Times New Roman" w:cs="Times New Roman"/>
          <w:sz w:val="24"/>
          <w:szCs w:val="24"/>
        </w:rPr>
        <w:t>году  введена</w:t>
      </w:r>
      <w:proofErr w:type="gramEnd"/>
      <w:r w:rsidRPr="0054564D">
        <w:rPr>
          <w:rFonts w:ascii="Times New Roman" w:hAnsi="Times New Roman" w:cs="Times New Roman"/>
          <w:sz w:val="24"/>
          <w:szCs w:val="24"/>
        </w:rPr>
        <w:t xml:space="preserve"> в эксплуатацию  школа-сад МАОУ «Промгимназия Созвездие»   Ведется и ежегодно сдаются в эксплуатацию жилые  многоквартирные дома.</w:t>
      </w:r>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 xml:space="preserve"> Лечебно – профилактическая сеть города представлена следующими учреждениями:</w:t>
      </w:r>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 Бюджетное учреждение ХМАО – Югры «Пыть – Яхская окружная клиническая больница» - имеет в своей структуре стационар на 216 коек, представленный: акушерским, педиатрическим, терапевтическим, , хирургическим с койками для лечения ожоговых больных , гинекологическим, травматологическим, операционным отделениями и отделением анестезиологии и реанимации, диагностическое отделение, отделение восстановительного лечения, рентгенологическое отделение, клинико-диагностическая лаборатория, отделение скорой медицинской помощи, патологоанатомическое отделение дневной стационар на 36 коек для соматических больных, детскую и взрослую поликлиники, женскую консультацию, фтизиатрическую службу и смотровую поликлинику;</w:t>
      </w:r>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 xml:space="preserve">- Автономное </w:t>
      </w:r>
      <w:proofErr w:type="gramStart"/>
      <w:r w:rsidRPr="0054564D">
        <w:rPr>
          <w:rFonts w:ascii="Times New Roman" w:hAnsi="Times New Roman" w:cs="Times New Roman"/>
          <w:sz w:val="24"/>
          <w:szCs w:val="24"/>
        </w:rPr>
        <w:t>учреждение  «</w:t>
      </w:r>
      <w:proofErr w:type="gramEnd"/>
      <w:r w:rsidRPr="0054564D">
        <w:rPr>
          <w:rFonts w:ascii="Times New Roman" w:hAnsi="Times New Roman" w:cs="Times New Roman"/>
          <w:sz w:val="24"/>
          <w:szCs w:val="24"/>
        </w:rPr>
        <w:t>Пыть – Яхская городская стоматологическая поликлиника»;</w:t>
      </w:r>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 Пыть - Яхский филиал КУ ХМАО-Югры «Центр профилактики и борьбы со СПИД», а также 4 частных стоматологических кабинетав.</w:t>
      </w:r>
    </w:p>
    <w:p w:rsidR="008F3AF5" w:rsidRPr="0054564D" w:rsidRDefault="008F3AF5" w:rsidP="0054564D">
      <w:pPr>
        <w:tabs>
          <w:tab w:val="left" w:pos="1701"/>
        </w:tabs>
        <w:spacing w:before="120" w:after="0" w:line="240" w:lineRule="auto"/>
        <w:jc w:val="center"/>
        <w:rPr>
          <w:rFonts w:ascii="Times New Roman" w:hAnsi="Times New Roman" w:cs="Times New Roman"/>
          <w:b/>
          <w:bCs/>
          <w:sz w:val="24"/>
          <w:szCs w:val="24"/>
          <w:highlight w:val="yellow"/>
        </w:rPr>
      </w:pPr>
    </w:p>
    <w:p w:rsidR="008F3AF5" w:rsidRPr="0054564D" w:rsidRDefault="008F3AF5" w:rsidP="0054564D">
      <w:pPr>
        <w:tabs>
          <w:tab w:val="left" w:pos="1701"/>
        </w:tabs>
        <w:spacing w:before="120" w:after="0" w:line="240" w:lineRule="auto"/>
        <w:jc w:val="center"/>
        <w:rPr>
          <w:rFonts w:ascii="Times New Roman" w:hAnsi="Times New Roman" w:cs="Times New Roman"/>
          <w:b/>
          <w:bCs/>
          <w:sz w:val="24"/>
          <w:szCs w:val="24"/>
        </w:rPr>
      </w:pPr>
      <w:r w:rsidRPr="0054564D">
        <w:rPr>
          <w:rFonts w:ascii="Times New Roman" w:hAnsi="Times New Roman" w:cs="Times New Roman"/>
          <w:b/>
          <w:bCs/>
          <w:sz w:val="24"/>
          <w:szCs w:val="24"/>
        </w:rPr>
        <w:t xml:space="preserve">Некоторые социально-экономические показатели по </w:t>
      </w:r>
      <w:proofErr w:type="gramStart"/>
      <w:r w:rsidRPr="0054564D">
        <w:rPr>
          <w:rFonts w:ascii="Times New Roman" w:hAnsi="Times New Roman" w:cs="Times New Roman"/>
          <w:b/>
          <w:bCs/>
          <w:sz w:val="24"/>
          <w:szCs w:val="24"/>
        </w:rPr>
        <w:t>городу  Пыть</w:t>
      </w:r>
      <w:proofErr w:type="gramEnd"/>
      <w:r w:rsidRPr="0054564D">
        <w:rPr>
          <w:rFonts w:ascii="Times New Roman" w:hAnsi="Times New Roman" w:cs="Times New Roman"/>
          <w:b/>
          <w:bCs/>
          <w:sz w:val="24"/>
          <w:szCs w:val="24"/>
        </w:rPr>
        <w:t>-Ях в динамике (2018–2020годы)</w:t>
      </w:r>
    </w:p>
    <w:p w:rsidR="008F3AF5" w:rsidRPr="0054564D" w:rsidRDefault="008F3AF5" w:rsidP="0054564D">
      <w:pPr>
        <w:spacing w:after="0" w:line="240" w:lineRule="auto"/>
        <w:ind w:firstLine="720"/>
        <w:jc w:val="both"/>
        <w:rPr>
          <w:rFonts w:ascii="Times New Roman" w:hAnsi="Times New Roman" w:cs="Times New Roman"/>
          <w:sz w:val="24"/>
          <w:szCs w:val="24"/>
        </w:rPr>
      </w:pPr>
      <w:r w:rsidRPr="0054564D">
        <w:rPr>
          <w:rFonts w:ascii="Times New Roman" w:hAnsi="Times New Roman" w:cs="Times New Roman"/>
          <w:sz w:val="24"/>
          <w:szCs w:val="24"/>
        </w:rPr>
        <w:t xml:space="preserve">В </w:t>
      </w:r>
      <w:proofErr w:type="gramStart"/>
      <w:r w:rsidRPr="0054564D">
        <w:rPr>
          <w:rFonts w:ascii="Times New Roman" w:hAnsi="Times New Roman" w:cs="Times New Roman"/>
          <w:sz w:val="24"/>
          <w:szCs w:val="24"/>
        </w:rPr>
        <w:t>динамике  за</w:t>
      </w:r>
      <w:proofErr w:type="gramEnd"/>
      <w:r w:rsidRPr="0054564D">
        <w:rPr>
          <w:rFonts w:ascii="Times New Roman" w:hAnsi="Times New Roman" w:cs="Times New Roman"/>
          <w:sz w:val="24"/>
          <w:szCs w:val="24"/>
        </w:rPr>
        <w:t xml:space="preserve"> 3 года   прослеживается увеличение  заработной платы  по средним и крупным предприятиям -в 2020г  на3.2 %, по сравнению с 2019г( в 2019г  на 9,8% по сравнению с 2018г, в 2018г по сравнению с 2017г рост составил 10,8%,). </w:t>
      </w:r>
    </w:p>
    <w:p w:rsidR="008F3AF5" w:rsidRPr="0054564D" w:rsidRDefault="008F3AF5" w:rsidP="0054564D">
      <w:pPr>
        <w:spacing w:after="0" w:line="240" w:lineRule="auto"/>
        <w:ind w:firstLine="720"/>
        <w:jc w:val="both"/>
        <w:rPr>
          <w:rFonts w:ascii="Times New Roman" w:hAnsi="Times New Roman" w:cs="Times New Roman"/>
          <w:sz w:val="24"/>
          <w:szCs w:val="24"/>
        </w:rPr>
      </w:pPr>
      <w:r w:rsidRPr="0054564D">
        <w:rPr>
          <w:rFonts w:ascii="Times New Roman" w:hAnsi="Times New Roman" w:cs="Times New Roman"/>
          <w:sz w:val="24"/>
          <w:szCs w:val="24"/>
        </w:rPr>
        <w:t xml:space="preserve">В динамике за 3 года по прогнозным </w:t>
      </w:r>
      <w:proofErr w:type="gramStart"/>
      <w:r w:rsidRPr="0054564D">
        <w:rPr>
          <w:rFonts w:ascii="Times New Roman" w:hAnsi="Times New Roman" w:cs="Times New Roman"/>
          <w:sz w:val="24"/>
          <w:szCs w:val="24"/>
        </w:rPr>
        <w:t>данным  запланирован</w:t>
      </w:r>
      <w:proofErr w:type="gramEnd"/>
      <w:r w:rsidRPr="0054564D">
        <w:rPr>
          <w:rFonts w:ascii="Times New Roman" w:hAnsi="Times New Roman" w:cs="Times New Roman"/>
          <w:sz w:val="24"/>
          <w:szCs w:val="24"/>
        </w:rPr>
        <w:t xml:space="preserve"> рост объемов производимой продукции  на в 2020г по сравнению с 2019г на 6,4%, по сравнению с 2018годом на 51,4%. </w:t>
      </w:r>
      <w:proofErr w:type="gramStart"/>
      <w:r w:rsidRPr="0054564D">
        <w:rPr>
          <w:rFonts w:ascii="Times New Roman" w:hAnsi="Times New Roman" w:cs="Times New Roman"/>
          <w:sz w:val="24"/>
          <w:szCs w:val="24"/>
        </w:rPr>
        <w:t>( табл</w:t>
      </w:r>
      <w:proofErr w:type="gramEnd"/>
      <w:r w:rsidRPr="0054564D">
        <w:rPr>
          <w:rFonts w:ascii="Times New Roman" w:hAnsi="Times New Roman" w:cs="Times New Roman"/>
          <w:sz w:val="24"/>
          <w:szCs w:val="24"/>
        </w:rPr>
        <w:t xml:space="preserve"> №1, рис №1). </w:t>
      </w:r>
    </w:p>
    <w:p w:rsidR="008F3AF5" w:rsidRPr="0054564D" w:rsidRDefault="008F3AF5" w:rsidP="0054564D">
      <w:pPr>
        <w:spacing w:after="0" w:line="240" w:lineRule="auto"/>
        <w:ind w:firstLine="720"/>
        <w:jc w:val="both"/>
        <w:rPr>
          <w:rFonts w:ascii="Times New Roman" w:hAnsi="Times New Roman" w:cs="Times New Roman"/>
          <w:sz w:val="24"/>
          <w:szCs w:val="24"/>
        </w:rPr>
      </w:pPr>
      <w:r w:rsidRPr="0054564D">
        <w:rPr>
          <w:rFonts w:ascii="Times New Roman" w:hAnsi="Times New Roman" w:cs="Times New Roman"/>
          <w:sz w:val="24"/>
          <w:szCs w:val="24"/>
        </w:rPr>
        <w:t>В 2020,2019</w:t>
      </w:r>
      <w:proofErr w:type="gramStart"/>
      <w:r w:rsidRPr="0054564D">
        <w:rPr>
          <w:rFonts w:ascii="Times New Roman" w:hAnsi="Times New Roman" w:cs="Times New Roman"/>
          <w:sz w:val="24"/>
          <w:szCs w:val="24"/>
        </w:rPr>
        <w:t>гг  процент</w:t>
      </w:r>
      <w:proofErr w:type="gramEnd"/>
      <w:r w:rsidRPr="0054564D">
        <w:rPr>
          <w:rFonts w:ascii="Times New Roman" w:hAnsi="Times New Roman" w:cs="Times New Roman"/>
          <w:sz w:val="24"/>
          <w:szCs w:val="24"/>
        </w:rPr>
        <w:t xml:space="preserve"> лиц, с доходами ниже прожиточного минимума не изменился и составил 3,14%. </w:t>
      </w:r>
    </w:p>
    <w:p w:rsidR="008F3AF5" w:rsidRPr="0054564D" w:rsidRDefault="008F3AF5" w:rsidP="0054564D">
      <w:pPr>
        <w:spacing w:after="0" w:line="240" w:lineRule="auto"/>
        <w:jc w:val="right"/>
        <w:rPr>
          <w:rFonts w:ascii="Times New Roman" w:hAnsi="Times New Roman" w:cs="Times New Roman"/>
        </w:rPr>
      </w:pPr>
      <w:r w:rsidRPr="0054564D">
        <w:rPr>
          <w:rFonts w:ascii="Times New Roman" w:hAnsi="Times New Roman" w:cs="Times New Roman"/>
        </w:rPr>
        <w:t>Таблица №1</w:t>
      </w:r>
    </w:p>
    <w:p w:rsidR="008F3AF5" w:rsidRPr="0054564D" w:rsidRDefault="008F3AF5" w:rsidP="0054564D">
      <w:pPr>
        <w:spacing w:after="0" w:line="240" w:lineRule="auto"/>
        <w:jc w:val="center"/>
        <w:rPr>
          <w:rFonts w:ascii="Times New Roman" w:hAnsi="Times New Roman" w:cs="Times New Roman"/>
          <w:b/>
          <w:bCs/>
        </w:rPr>
      </w:pPr>
      <w:r w:rsidRPr="0054564D">
        <w:rPr>
          <w:rFonts w:ascii="Times New Roman" w:hAnsi="Times New Roman" w:cs="Times New Roman"/>
          <w:b/>
          <w:bCs/>
        </w:rPr>
        <w:t>Социально-экономические показатели по городу Пыть-Ях в 2018-2020гг</w:t>
      </w:r>
    </w:p>
    <w:p w:rsidR="008F3AF5" w:rsidRPr="0054564D" w:rsidRDefault="008F3AF5" w:rsidP="0054564D">
      <w:pPr>
        <w:spacing w:before="20" w:after="0" w:line="240" w:lineRule="auto"/>
        <w:jc w:val="center"/>
        <w:rPr>
          <w:rFonts w:ascii="Times New Roman" w:hAnsi="Times New Roman" w:cs="Times New Roman"/>
          <w:b/>
          <w:bCs/>
          <w:sz w:val="24"/>
          <w:szCs w:val="24"/>
          <w:highlight w:val="yellow"/>
        </w:rPr>
      </w:pPr>
    </w:p>
    <w:tbl>
      <w:tblPr>
        <w:tblW w:w="9805" w:type="dxa"/>
        <w:jc w:val="center"/>
        <w:tblLayout w:type="fixed"/>
        <w:tblCellMar>
          <w:left w:w="30" w:type="dxa"/>
          <w:right w:w="30" w:type="dxa"/>
        </w:tblCellMar>
        <w:tblLook w:val="0000" w:firstRow="0" w:lastRow="0" w:firstColumn="0" w:lastColumn="0" w:noHBand="0" w:noVBand="0"/>
      </w:tblPr>
      <w:tblGrid>
        <w:gridCol w:w="4792"/>
        <w:gridCol w:w="1671"/>
        <w:gridCol w:w="1671"/>
        <w:gridCol w:w="1671"/>
      </w:tblGrid>
      <w:tr w:rsidR="008F3AF5" w:rsidRPr="0054564D" w:rsidTr="00630798">
        <w:trPr>
          <w:trHeight w:val="224"/>
          <w:jc w:val="center"/>
        </w:trPr>
        <w:tc>
          <w:tcPr>
            <w:tcW w:w="4792"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jc w:val="center"/>
              <w:rPr>
                <w:rFonts w:ascii="Times New Roman" w:hAnsi="Times New Roman" w:cs="Times New Roman"/>
                <w:snapToGrid w:val="0"/>
              </w:rPr>
            </w:pPr>
            <w:r w:rsidRPr="0054564D">
              <w:rPr>
                <w:rFonts w:ascii="Times New Roman" w:hAnsi="Times New Roman" w:cs="Times New Roman"/>
                <w:snapToGrid w:val="0"/>
              </w:rPr>
              <w:t>Наименование</w:t>
            </w:r>
          </w:p>
        </w:tc>
        <w:tc>
          <w:tcPr>
            <w:tcW w:w="1671"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jc w:val="center"/>
              <w:rPr>
                <w:rFonts w:ascii="Times New Roman" w:hAnsi="Times New Roman" w:cs="Times New Roman"/>
                <w:snapToGrid w:val="0"/>
              </w:rPr>
            </w:pPr>
            <w:r w:rsidRPr="0054564D">
              <w:rPr>
                <w:rFonts w:ascii="Times New Roman" w:hAnsi="Times New Roman" w:cs="Times New Roman"/>
                <w:snapToGrid w:val="0"/>
              </w:rPr>
              <w:t>2018г.</w:t>
            </w:r>
          </w:p>
        </w:tc>
        <w:tc>
          <w:tcPr>
            <w:tcW w:w="1671"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jc w:val="center"/>
              <w:rPr>
                <w:rFonts w:ascii="Times New Roman" w:hAnsi="Times New Roman" w:cs="Times New Roman"/>
                <w:snapToGrid w:val="0"/>
              </w:rPr>
            </w:pPr>
            <w:r w:rsidRPr="0054564D">
              <w:rPr>
                <w:rFonts w:ascii="Times New Roman" w:hAnsi="Times New Roman" w:cs="Times New Roman"/>
                <w:snapToGrid w:val="0"/>
              </w:rPr>
              <w:t>2019год</w:t>
            </w:r>
          </w:p>
        </w:tc>
        <w:tc>
          <w:tcPr>
            <w:tcW w:w="1671" w:type="dxa"/>
            <w:tcBorders>
              <w:top w:val="single" w:sz="6" w:space="0" w:color="auto"/>
              <w:left w:val="single" w:sz="6" w:space="0" w:color="auto"/>
              <w:bottom w:val="single" w:sz="4" w:space="0" w:color="auto"/>
              <w:right w:val="single" w:sz="6" w:space="0" w:color="auto"/>
            </w:tcBorders>
          </w:tcPr>
          <w:p w:rsidR="008F3AF5" w:rsidRPr="0054564D" w:rsidRDefault="008F3AF5" w:rsidP="0054564D">
            <w:pPr>
              <w:spacing w:before="20" w:after="0" w:line="240" w:lineRule="auto"/>
              <w:jc w:val="center"/>
              <w:rPr>
                <w:rFonts w:ascii="Times New Roman" w:hAnsi="Times New Roman" w:cs="Times New Roman"/>
                <w:snapToGrid w:val="0"/>
              </w:rPr>
            </w:pPr>
            <w:r w:rsidRPr="0054564D">
              <w:rPr>
                <w:rFonts w:ascii="Times New Roman" w:hAnsi="Times New Roman" w:cs="Times New Roman"/>
                <w:snapToGrid w:val="0"/>
              </w:rPr>
              <w:t>2020 год</w:t>
            </w:r>
          </w:p>
        </w:tc>
      </w:tr>
      <w:tr w:rsidR="008F3AF5" w:rsidRPr="0054564D" w:rsidTr="00630798">
        <w:trPr>
          <w:trHeight w:val="632"/>
          <w:jc w:val="center"/>
        </w:trPr>
        <w:tc>
          <w:tcPr>
            <w:tcW w:w="4792"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rPr>
                <w:rFonts w:ascii="Times New Roman" w:hAnsi="Times New Roman" w:cs="Times New Roman"/>
                <w:snapToGrid w:val="0"/>
                <w:sz w:val="24"/>
                <w:szCs w:val="24"/>
              </w:rPr>
            </w:pPr>
            <w:r w:rsidRPr="0054564D">
              <w:rPr>
                <w:rFonts w:ascii="Times New Roman" w:hAnsi="Times New Roman" w:cs="Times New Roman"/>
                <w:snapToGrid w:val="0"/>
                <w:sz w:val="24"/>
                <w:szCs w:val="24"/>
              </w:rPr>
              <w:t>Среднедушевой доход населения (руб./чел./мес.)</w:t>
            </w:r>
          </w:p>
        </w:tc>
        <w:tc>
          <w:tcPr>
            <w:tcW w:w="1671"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after="0" w:line="240" w:lineRule="auto"/>
              <w:jc w:val="center"/>
              <w:rPr>
                <w:rFonts w:ascii="Times New Roman" w:eastAsia="Calibri" w:hAnsi="Times New Roman" w:cs="Times New Roman"/>
                <w:sz w:val="24"/>
                <w:szCs w:val="24"/>
              </w:rPr>
            </w:pPr>
            <w:r w:rsidRPr="0054564D">
              <w:rPr>
                <w:rFonts w:ascii="Times New Roman" w:eastAsia="Calibri" w:hAnsi="Times New Roman" w:cs="Times New Roman"/>
                <w:sz w:val="24"/>
                <w:szCs w:val="24"/>
              </w:rPr>
              <w:t>37495,92</w:t>
            </w:r>
          </w:p>
          <w:p w:rsidR="008F3AF5" w:rsidRPr="0054564D" w:rsidRDefault="008F3AF5" w:rsidP="0054564D">
            <w:pPr>
              <w:spacing w:before="20" w:after="0" w:line="240" w:lineRule="auto"/>
              <w:jc w:val="center"/>
              <w:rPr>
                <w:rFonts w:ascii="Times New Roman" w:hAnsi="Times New Roman" w:cs="Times New Roman"/>
                <w:snapToGrid w:val="0"/>
                <w:sz w:val="24"/>
                <w:szCs w:val="24"/>
              </w:rPr>
            </w:pPr>
            <w:r w:rsidRPr="0054564D">
              <w:rPr>
                <w:rFonts w:ascii="Times New Roman" w:eastAsia="Calibri" w:hAnsi="Times New Roman" w:cs="Times New Roman"/>
                <w:sz w:val="24"/>
                <w:szCs w:val="24"/>
              </w:rPr>
              <w:t>(По оценочным данным за 2018</w:t>
            </w:r>
          </w:p>
        </w:tc>
        <w:tc>
          <w:tcPr>
            <w:tcW w:w="1671" w:type="dxa"/>
            <w:tcBorders>
              <w:top w:val="single" w:sz="6" w:space="0" w:color="auto"/>
              <w:left w:val="single" w:sz="6" w:space="0" w:color="auto"/>
              <w:bottom w:val="single" w:sz="6" w:space="0" w:color="auto"/>
              <w:right w:val="single" w:sz="4" w:space="0" w:color="auto"/>
            </w:tcBorders>
          </w:tcPr>
          <w:p w:rsidR="008F3AF5" w:rsidRPr="0054564D" w:rsidRDefault="008F3AF5" w:rsidP="0054564D">
            <w:pPr>
              <w:spacing w:before="20" w:after="0" w:line="240" w:lineRule="auto"/>
              <w:jc w:val="center"/>
              <w:rPr>
                <w:rFonts w:ascii="Times New Roman" w:hAnsi="Times New Roman" w:cs="Times New Roman"/>
                <w:snapToGrid w:val="0"/>
                <w:sz w:val="24"/>
                <w:szCs w:val="24"/>
              </w:rPr>
            </w:pPr>
            <w:r w:rsidRPr="0054564D">
              <w:rPr>
                <w:rFonts w:ascii="Times New Roman" w:hAnsi="Times New Roman" w:cs="Times New Roman"/>
                <w:snapToGrid w:val="0"/>
                <w:sz w:val="24"/>
                <w:szCs w:val="24"/>
              </w:rPr>
              <w:t>39250,13</w:t>
            </w:r>
          </w:p>
        </w:tc>
        <w:tc>
          <w:tcPr>
            <w:tcW w:w="1671"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color w:val="000000"/>
                <w:shd w:val="clear" w:color="auto" w:fill="F1F4F7"/>
              </w:rPr>
              <w:br/>
            </w:r>
            <w:r w:rsidRPr="0054564D">
              <w:rPr>
                <w:rFonts w:ascii="Times New Roman" w:hAnsi="Times New Roman" w:cs="Times New Roman"/>
                <w:sz w:val="24"/>
                <w:szCs w:val="24"/>
              </w:rPr>
              <w:t>Информация отсутствует</w:t>
            </w:r>
          </w:p>
        </w:tc>
      </w:tr>
      <w:tr w:rsidR="008F3AF5" w:rsidRPr="0054564D" w:rsidTr="00630798">
        <w:trPr>
          <w:trHeight w:val="597"/>
          <w:jc w:val="center"/>
        </w:trPr>
        <w:tc>
          <w:tcPr>
            <w:tcW w:w="4792"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rPr>
                <w:rFonts w:ascii="Times New Roman" w:hAnsi="Times New Roman" w:cs="Times New Roman"/>
                <w:snapToGrid w:val="0"/>
                <w:sz w:val="24"/>
                <w:szCs w:val="24"/>
              </w:rPr>
            </w:pPr>
            <w:r w:rsidRPr="0054564D">
              <w:rPr>
                <w:rFonts w:ascii="Times New Roman" w:hAnsi="Times New Roman" w:cs="Times New Roman"/>
                <w:snapToGrid w:val="0"/>
                <w:sz w:val="24"/>
                <w:szCs w:val="24"/>
              </w:rPr>
              <w:t>Стоим. мин. продукт. корзины (руб./чел./мес.)</w:t>
            </w:r>
          </w:p>
        </w:tc>
        <w:tc>
          <w:tcPr>
            <w:tcW w:w="1671"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4 698,04</w:t>
            </w:r>
          </w:p>
          <w:p w:rsidR="008F3AF5" w:rsidRPr="0054564D" w:rsidRDefault="008F3AF5" w:rsidP="0054564D">
            <w:pPr>
              <w:spacing w:before="20" w:after="0" w:line="240" w:lineRule="auto"/>
              <w:jc w:val="center"/>
              <w:rPr>
                <w:rFonts w:ascii="Times New Roman" w:hAnsi="Times New Roman" w:cs="Times New Roman"/>
                <w:snapToGrid w:val="0"/>
                <w:sz w:val="24"/>
                <w:szCs w:val="24"/>
              </w:rPr>
            </w:pPr>
            <w:r w:rsidRPr="0054564D">
              <w:rPr>
                <w:rFonts w:ascii="Times New Roman" w:hAnsi="Times New Roman" w:cs="Times New Roman"/>
                <w:sz w:val="24"/>
                <w:szCs w:val="24"/>
              </w:rPr>
              <w:t>По ХМАО-Югре</w:t>
            </w:r>
          </w:p>
        </w:tc>
        <w:tc>
          <w:tcPr>
            <w:tcW w:w="1671" w:type="dxa"/>
            <w:tcBorders>
              <w:top w:val="single" w:sz="6" w:space="0" w:color="auto"/>
              <w:left w:val="single" w:sz="6" w:space="0" w:color="auto"/>
              <w:bottom w:val="single" w:sz="6" w:space="0" w:color="auto"/>
              <w:right w:val="single" w:sz="4" w:space="0" w:color="auto"/>
            </w:tcBorders>
          </w:tcPr>
          <w:p w:rsidR="008F3AF5" w:rsidRPr="0054564D" w:rsidRDefault="008F3AF5" w:rsidP="0054564D">
            <w:pPr>
              <w:spacing w:before="20" w:after="0" w:line="240" w:lineRule="auto"/>
              <w:jc w:val="center"/>
              <w:rPr>
                <w:rFonts w:ascii="Times New Roman" w:hAnsi="Times New Roman" w:cs="Times New Roman"/>
                <w:snapToGrid w:val="0"/>
                <w:sz w:val="24"/>
                <w:szCs w:val="24"/>
              </w:rPr>
            </w:pPr>
            <w:r w:rsidRPr="0054564D">
              <w:rPr>
                <w:rFonts w:ascii="Times New Roman" w:hAnsi="Times New Roman" w:cs="Times New Roman"/>
                <w:snapToGrid w:val="0"/>
                <w:sz w:val="24"/>
                <w:szCs w:val="24"/>
              </w:rPr>
              <w:t>-</w:t>
            </w:r>
          </w:p>
        </w:tc>
        <w:tc>
          <w:tcPr>
            <w:tcW w:w="1671"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w:t>
            </w:r>
          </w:p>
        </w:tc>
      </w:tr>
      <w:tr w:rsidR="008F3AF5" w:rsidRPr="0054564D" w:rsidTr="00630798">
        <w:trPr>
          <w:trHeight w:val="296"/>
          <w:jc w:val="center"/>
        </w:trPr>
        <w:tc>
          <w:tcPr>
            <w:tcW w:w="4792"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rPr>
                <w:rFonts w:ascii="Times New Roman" w:hAnsi="Times New Roman" w:cs="Times New Roman"/>
                <w:snapToGrid w:val="0"/>
                <w:sz w:val="24"/>
                <w:szCs w:val="24"/>
              </w:rPr>
            </w:pPr>
            <w:r w:rsidRPr="0054564D">
              <w:rPr>
                <w:rFonts w:ascii="Times New Roman" w:hAnsi="Times New Roman" w:cs="Times New Roman"/>
                <w:snapToGrid w:val="0"/>
                <w:sz w:val="24"/>
                <w:szCs w:val="24"/>
              </w:rPr>
              <w:t>Средняя зар. плата (руб./чел./мес.)</w:t>
            </w:r>
          </w:p>
        </w:tc>
        <w:tc>
          <w:tcPr>
            <w:tcW w:w="1671"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62044,49</w:t>
            </w:r>
          </w:p>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(По оценочным данным за 2018)</w:t>
            </w:r>
          </w:p>
        </w:tc>
        <w:tc>
          <w:tcPr>
            <w:tcW w:w="1671" w:type="dxa"/>
            <w:tcBorders>
              <w:top w:val="single" w:sz="6" w:space="0" w:color="auto"/>
              <w:left w:val="single" w:sz="6" w:space="0" w:color="auto"/>
              <w:bottom w:val="single" w:sz="6" w:space="0" w:color="auto"/>
              <w:right w:val="single" w:sz="4" w:space="0" w:color="auto"/>
            </w:tcBorders>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 xml:space="preserve">68111,9 </w:t>
            </w:r>
            <w:proofErr w:type="gramStart"/>
            <w:r w:rsidRPr="0054564D">
              <w:rPr>
                <w:rFonts w:ascii="Times New Roman" w:hAnsi="Times New Roman" w:cs="Times New Roman"/>
                <w:sz w:val="24"/>
                <w:szCs w:val="24"/>
              </w:rPr>
              <w:t>( статистические</w:t>
            </w:r>
            <w:proofErr w:type="gramEnd"/>
            <w:r w:rsidRPr="0054564D">
              <w:rPr>
                <w:rFonts w:ascii="Times New Roman" w:hAnsi="Times New Roman" w:cs="Times New Roman"/>
                <w:sz w:val="24"/>
                <w:szCs w:val="24"/>
              </w:rPr>
              <w:t xml:space="preserve"> данные за 9 мес 2019г)</w:t>
            </w:r>
          </w:p>
        </w:tc>
        <w:tc>
          <w:tcPr>
            <w:tcW w:w="1671"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70 318,2</w:t>
            </w:r>
          </w:p>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Статистические данные за 9 месяцев 2020 года</w:t>
            </w:r>
          </w:p>
        </w:tc>
      </w:tr>
      <w:tr w:rsidR="008F3AF5" w:rsidRPr="0054564D" w:rsidTr="00630798">
        <w:trPr>
          <w:trHeight w:val="388"/>
          <w:jc w:val="center"/>
        </w:trPr>
        <w:tc>
          <w:tcPr>
            <w:tcW w:w="4792"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rPr>
                <w:rFonts w:ascii="Times New Roman" w:hAnsi="Times New Roman" w:cs="Times New Roman"/>
                <w:snapToGrid w:val="0"/>
                <w:sz w:val="24"/>
                <w:szCs w:val="24"/>
              </w:rPr>
            </w:pPr>
            <w:r w:rsidRPr="0054564D">
              <w:rPr>
                <w:rFonts w:ascii="Times New Roman" w:hAnsi="Times New Roman" w:cs="Times New Roman"/>
                <w:snapToGrid w:val="0"/>
                <w:sz w:val="24"/>
                <w:szCs w:val="24"/>
              </w:rPr>
              <w:t>Прожит. мин. (руб./чел./мес.)</w:t>
            </w:r>
          </w:p>
        </w:tc>
        <w:tc>
          <w:tcPr>
            <w:tcW w:w="1671"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14471,0</w:t>
            </w:r>
          </w:p>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(За 4 квартал 2018 по ХМАО-Югре)</w:t>
            </w:r>
          </w:p>
        </w:tc>
        <w:tc>
          <w:tcPr>
            <w:tcW w:w="1671" w:type="dxa"/>
            <w:tcBorders>
              <w:top w:val="single" w:sz="6" w:space="0" w:color="auto"/>
              <w:left w:val="single" w:sz="6" w:space="0" w:color="auto"/>
              <w:bottom w:val="single" w:sz="6" w:space="0" w:color="auto"/>
              <w:right w:val="single" w:sz="4" w:space="0" w:color="auto"/>
            </w:tcBorders>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14699</w:t>
            </w:r>
          </w:p>
        </w:tc>
        <w:tc>
          <w:tcPr>
            <w:tcW w:w="1671"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16 306</w:t>
            </w:r>
          </w:p>
        </w:tc>
      </w:tr>
      <w:tr w:rsidR="008F3AF5" w:rsidRPr="0054564D" w:rsidTr="00630798">
        <w:trPr>
          <w:trHeight w:val="352"/>
          <w:jc w:val="center"/>
        </w:trPr>
        <w:tc>
          <w:tcPr>
            <w:tcW w:w="4792"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rPr>
                <w:rFonts w:ascii="Times New Roman" w:hAnsi="Times New Roman" w:cs="Times New Roman"/>
                <w:snapToGrid w:val="0"/>
                <w:sz w:val="24"/>
                <w:szCs w:val="24"/>
              </w:rPr>
            </w:pPr>
            <w:r w:rsidRPr="0054564D">
              <w:rPr>
                <w:rFonts w:ascii="Times New Roman" w:hAnsi="Times New Roman" w:cs="Times New Roman"/>
                <w:snapToGrid w:val="0"/>
                <w:sz w:val="24"/>
                <w:szCs w:val="24"/>
              </w:rPr>
              <w:t>Количество жилой площади м</w:t>
            </w:r>
            <w:r w:rsidRPr="0054564D">
              <w:rPr>
                <w:rFonts w:ascii="Times New Roman" w:hAnsi="Times New Roman" w:cs="Times New Roman"/>
                <w:snapToGrid w:val="0"/>
                <w:sz w:val="24"/>
                <w:szCs w:val="24"/>
                <w:vertAlign w:val="superscript"/>
              </w:rPr>
              <w:t>2</w:t>
            </w:r>
            <w:r w:rsidRPr="0054564D">
              <w:rPr>
                <w:rFonts w:ascii="Times New Roman" w:hAnsi="Times New Roman" w:cs="Times New Roman"/>
                <w:snapToGrid w:val="0"/>
                <w:sz w:val="24"/>
                <w:szCs w:val="24"/>
              </w:rPr>
              <w:t>/чел.</w:t>
            </w:r>
          </w:p>
        </w:tc>
        <w:tc>
          <w:tcPr>
            <w:tcW w:w="1671"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17,3</w:t>
            </w:r>
          </w:p>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lastRenderedPageBreak/>
              <w:t>(расчетные данные)</w:t>
            </w:r>
          </w:p>
        </w:tc>
        <w:tc>
          <w:tcPr>
            <w:tcW w:w="1671" w:type="dxa"/>
            <w:tcBorders>
              <w:top w:val="single" w:sz="6" w:space="0" w:color="auto"/>
              <w:left w:val="single" w:sz="6" w:space="0" w:color="auto"/>
              <w:bottom w:val="single" w:sz="6" w:space="0" w:color="auto"/>
              <w:right w:val="single" w:sz="4" w:space="0" w:color="auto"/>
            </w:tcBorders>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lastRenderedPageBreak/>
              <w:t>18,42</w:t>
            </w:r>
          </w:p>
        </w:tc>
        <w:tc>
          <w:tcPr>
            <w:tcW w:w="1671"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18,5</w:t>
            </w:r>
          </w:p>
        </w:tc>
      </w:tr>
      <w:tr w:rsidR="008F3AF5" w:rsidRPr="0054564D" w:rsidTr="00630798">
        <w:trPr>
          <w:trHeight w:val="234"/>
          <w:jc w:val="center"/>
        </w:trPr>
        <w:tc>
          <w:tcPr>
            <w:tcW w:w="4792"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rPr>
                <w:rFonts w:ascii="Times New Roman" w:hAnsi="Times New Roman" w:cs="Times New Roman"/>
                <w:snapToGrid w:val="0"/>
                <w:sz w:val="24"/>
                <w:szCs w:val="24"/>
              </w:rPr>
            </w:pPr>
            <w:r w:rsidRPr="0054564D">
              <w:rPr>
                <w:rFonts w:ascii="Times New Roman" w:hAnsi="Times New Roman" w:cs="Times New Roman"/>
                <w:snapToGrid w:val="0"/>
                <w:sz w:val="24"/>
                <w:szCs w:val="24"/>
              </w:rPr>
              <w:t xml:space="preserve">Процент лиц с доходами ниже прожит. </w:t>
            </w:r>
            <w:proofErr w:type="gramStart"/>
            <w:r w:rsidRPr="0054564D">
              <w:rPr>
                <w:rFonts w:ascii="Times New Roman" w:hAnsi="Times New Roman" w:cs="Times New Roman"/>
                <w:snapToGrid w:val="0"/>
                <w:sz w:val="24"/>
                <w:szCs w:val="24"/>
              </w:rPr>
              <w:t>мин.( %)</w:t>
            </w:r>
            <w:proofErr w:type="gramEnd"/>
          </w:p>
        </w:tc>
        <w:tc>
          <w:tcPr>
            <w:tcW w:w="1671"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3,2</w:t>
            </w:r>
          </w:p>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(прогнозные данные)</w:t>
            </w:r>
          </w:p>
        </w:tc>
        <w:tc>
          <w:tcPr>
            <w:tcW w:w="1671" w:type="dxa"/>
            <w:tcBorders>
              <w:top w:val="single" w:sz="6" w:space="0" w:color="auto"/>
              <w:left w:val="single" w:sz="6" w:space="0" w:color="auto"/>
              <w:bottom w:val="single" w:sz="6" w:space="0" w:color="auto"/>
              <w:right w:val="single" w:sz="4" w:space="0" w:color="auto"/>
            </w:tcBorders>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3,14</w:t>
            </w:r>
          </w:p>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(прогнозные данные)</w:t>
            </w:r>
          </w:p>
        </w:tc>
        <w:tc>
          <w:tcPr>
            <w:tcW w:w="1671"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 xml:space="preserve">3,14 </w:t>
            </w:r>
          </w:p>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прогнозные данные</w:t>
            </w:r>
          </w:p>
        </w:tc>
      </w:tr>
      <w:tr w:rsidR="008F3AF5" w:rsidRPr="0054564D" w:rsidTr="00630798">
        <w:trPr>
          <w:trHeight w:val="386"/>
          <w:jc w:val="center"/>
        </w:trPr>
        <w:tc>
          <w:tcPr>
            <w:tcW w:w="4792"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rPr>
                <w:rFonts w:ascii="Times New Roman" w:hAnsi="Times New Roman" w:cs="Times New Roman"/>
                <w:snapToGrid w:val="0"/>
                <w:sz w:val="24"/>
                <w:szCs w:val="24"/>
              </w:rPr>
            </w:pPr>
            <w:r w:rsidRPr="0054564D">
              <w:rPr>
                <w:rFonts w:ascii="Times New Roman" w:hAnsi="Times New Roman" w:cs="Times New Roman"/>
                <w:snapToGrid w:val="0"/>
                <w:sz w:val="24"/>
                <w:szCs w:val="24"/>
              </w:rPr>
              <w:t>Объем производ. продукции (млн. руб)</w:t>
            </w:r>
          </w:p>
        </w:tc>
        <w:tc>
          <w:tcPr>
            <w:tcW w:w="1671"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23 689,8</w:t>
            </w:r>
          </w:p>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(По оценочным данным за 2018)</w:t>
            </w:r>
          </w:p>
        </w:tc>
        <w:tc>
          <w:tcPr>
            <w:tcW w:w="1671" w:type="dxa"/>
            <w:tcBorders>
              <w:top w:val="single" w:sz="6" w:space="0" w:color="auto"/>
              <w:left w:val="single" w:sz="6" w:space="0" w:color="auto"/>
              <w:bottom w:val="single" w:sz="6" w:space="0" w:color="auto"/>
              <w:right w:val="single" w:sz="4" w:space="0" w:color="auto"/>
            </w:tcBorders>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33703,2</w:t>
            </w:r>
          </w:p>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(прогнозные данные)</w:t>
            </w:r>
          </w:p>
        </w:tc>
        <w:tc>
          <w:tcPr>
            <w:tcW w:w="1671"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35 874,5</w:t>
            </w:r>
          </w:p>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прогнозные данные</w:t>
            </w:r>
          </w:p>
        </w:tc>
      </w:tr>
      <w:tr w:rsidR="008F3AF5" w:rsidRPr="0054564D" w:rsidTr="00630798">
        <w:trPr>
          <w:trHeight w:val="396"/>
          <w:jc w:val="center"/>
        </w:trPr>
        <w:tc>
          <w:tcPr>
            <w:tcW w:w="4792"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rPr>
                <w:rFonts w:ascii="Times New Roman" w:hAnsi="Times New Roman" w:cs="Times New Roman"/>
                <w:snapToGrid w:val="0"/>
                <w:sz w:val="24"/>
                <w:szCs w:val="24"/>
              </w:rPr>
            </w:pPr>
            <w:r w:rsidRPr="0054564D">
              <w:rPr>
                <w:rFonts w:ascii="Times New Roman" w:hAnsi="Times New Roman" w:cs="Times New Roman"/>
                <w:snapToGrid w:val="0"/>
                <w:sz w:val="24"/>
                <w:szCs w:val="24"/>
              </w:rPr>
              <w:t>Расходы на образование (руб/чел.)</w:t>
            </w:r>
          </w:p>
        </w:tc>
        <w:tc>
          <w:tcPr>
            <w:tcW w:w="1671"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40 767,0</w:t>
            </w:r>
          </w:p>
        </w:tc>
        <w:tc>
          <w:tcPr>
            <w:tcW w:w="1671" w:type="dxa"/>
            <w:tcBorders>
              <w:top w:val="single" w:sz="6" w:space="0" w:color="auto"/>
              <w:left w:val="single" w:sz="6" w:space="0" w:color="auto"/>
              <w:bottom w:val="single" w:sz="6" w:space="0" w:color="auto"/>
              <w:right w:val="single" w:sz="4" w:space="0" w:color="auto"/>
            </w:tcBorders>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42 800,0</w:t>
            </w:r>
          </w:p>
        </w:tc>
        <w:tc>
          <w:tcPr>
            <w:tcW w:w="1671"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after="0" w:line="240" w:lineRule="auto"/>
              <w:jc w:val="center"/>
              <w:rPr>
                <w:rFonts w:ascii="Times New Roman" w:hAnsi="Times New Roman" w:cs="Times New Roman"/>
                <w:sz w:val="26"/>
                <w:szCs w:val="26"/>
              </w:rPr>
            </w:pPr>
            <w:r w:rsidRPr="0054564D">
              <w:rPr>
                <w:rFonts w:ascii="Times New Roman" w:hAnsi="Times New Roman" w:cs="Times New Roman"/>
                <w:sz w:val="26"/>
                <w:szCs w:val="26"/>
              </w:rPr>
              <w:t>45 213,5</w:t>
            </w:r>
          </w:p>
          <w:p w:rsidR="008F3AF5" w:rsidRPr="0054564D" w:rsidRDefault="008F3AF5" w:rsidP="0054564D">
            <w:pPr>
              <w:spacing w:after="0" w:line="240" w:lineRule="auto"/>
              <w:jc w:val="center"/>
              <w:rPr>
                <w:rFonts w:ascii="Times New Roman" w:hAnsi="Times New Roman" w:cs="Times New Roman"/>
                <w:sz w:val="24"/>
                <w:szCs w:val="24"/>
              </w:rPr>
            </w:pPr>
          </w:p>
        </w:tc>
      </w:tr>
      <w:tr w:rsidR="008F3AF5" w:rsidRPr="0054564D" w:rsidTr="00630798">
        <w:trPr>
          <w:trHeight w:val="278"/>
          <w:jc w:val="center"/>
        </w:trPr>
        <w:tc>
          <w:tcPr>
            <w:tcW w:w="4792"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rPr>
                <w:rFonts w:ascii="Times New Roman" w:hAnsi="Times New Roman" w:cs="Times New Roman"/>
                <w:snapToGrid w:val="0"/>
                <w:sz w:val="24"/>
                <w:szCs w:val="24"/>
              </w:rPr>
            </w:pPr>
            <w:r w:rsidRPr="0054564D">
              <w:rPr>
                <w:rFonts w:ascii="Times New Roman" w:hAnsi="Times New Roman" w:cs="Times New Roman"/>
                <w:snapToGrid w:val="0"/>
                <w:sz w:val="24"/>
                <w:szCs w:val="24"/>
              </w:rPr>
              <w:t>Расходы на здравоохранение (руб/чел)</w:t>
            </w:r>
          </w:p>
        </w:tc>
        <w:tc>
          <w:tcPr>
            <w:tcW w:w="1671"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80,0</w:t>
            </w:r>
          </w:p>
        </w:tc>
        <w:tc>
          <w:tcPr>
            <w:tcW w:w="1671" w:type="dxa"/>
            <w:tcBorders>
              <w:top w:val="single" w:sz="6" w:space="0" w:color="auto"/>
              <w:left w:val="single" w:sz="6" w:space="0" w:color="auto"/>
              <w:bottom w:val="single" w:sz="6" w:space="0" w:color="auto"/>
              <w:right w:val="single" w:sz="4" w:space="0" w:color="auto"/>
            </w:tcBorders>
          </w:tcPr>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77,626</w:t>
            </w:r>
          </w:p>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4"/>
                <w:szCs w:val="24"/>
              </w:rPr>
              <w:t>(прогнозные данные)</w:t>
            </w:r>
          </w:p>
        </w:tc>
        <w:tc>
          <w:tcPr>
            <w:tcW w:w="1671"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after="0" w:line="240" w:lineRule="auto"/>
              <w:jc w:val="center"/>
              <w:rPr>
                <w:rFonts w:ascii="Times New Roman" w:hAnsi="Times New Roman" w:cs="Times New Roman"/>
                <w:sz w:val="26"/>
                <w:szCs w:val="26"/>
              </w:rPr>
            </w:pPr>
            <w:r w:rsidRPr="0054564D">
              <w:rPr>
                <w:rFonts w:ascii="Times New Roman" w:hAnsi="Times New Roman" w:cs="Times New Roman"/>
                <w:sz w:val="26"/>
                <w:szCs w:val="26"/>
              </w:rPr>
              <w:t>142,3</w:t>
            </w:r>
          </w:p>
          <w:p w:rsidR="008F3AF5" w:rsidRPr="0054564D" w:rsidRDefault="008F3AF5" w:rsidP="0054564D">
            <w:pPr>
              <w:spacing w:after="0" w:line="240" w:lineRule="auto"/>
              <w:jc w:val="center"/>
              <w:rPr>
                <w:rFonts w:ascii="Times New Roman" w:hAnsi="Times New Roman" w:cs="Times New Roman"/>
                <w:sz w:val="24"/>
                <w:szCs w:val="24"/>
              </w:rPr>
            </w:pPr>
            <w:r w:rsidRPr="0054564D">
              <w:rPr>
                <w:rFonts w:ascii="Times New Roman" w:hAnsi="Times New Roman" w:cs="Times New Roman"/>
                <w:sz w:val="26"/>
                <w:szCs w:val="26"/>
              </w:rPr>
              <w:t>прогнозные данные</w:t>
            </w:r>
          </w:p>
        </w:tc>
      </w:tr>
    </w:tbl>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 xml:space="preserve">В динамике регистрируется увеличение прожиточного минимума с2018года на 12.6% в 2020 </w:t>
      </w:r>
      <w:proofErr w:type="gramStart"/>
      <w:r w:rsidRPr="0054564D">
        <w:rPr>
          <w:rFonts w:ascii="Times New Roman" w:hAnsi="Times New Roman" w:cs="Times New Roman"/>
          <w:sz w:val="24"/>
          <w:szCs w:val="24"/>
        </w:rPr>
        <w:t>году .</w:t>
      </w:r>
      <w:proofErr w:type="gramEnd"/>
      <w:r w:rsidRPr="0054564D">
        <w:rPr>
          <w:rFonts w:ascii="Times New Roman" w:hAnsi="Times New Roman" w:cs="Times New Roman"/>
          <w:sz w:val="24"/>
          <w:szCs w:val="24"/>
        </w:rPr>
        <w:t xml:space="preserve">  (табл № 1).</w:t>
      </w:r>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В 2020</w:t>
      </w:r>
      <w:proofErr w:type="gramStart"/>
      <w:r w:rsidRPr="0054564D">
        <w:rPr>
          <w:rFonts w:ascii="Times New Roman" w:hAnsi="Times New Roman" w:cs="Times New Roman"/>
          <w:sz w:val="24"/>
          <w:szCs w:val="24"/>
        </w:rPr>
        <w:t>году ,</w:t>
      </w:r>
      <w:proofErr w:type="gramEnd"/>
      <w:r w:rsidRPr="0054564D">
        <w:rPr>
          <w:rFonts w:ascii="Times New Roman" w:hAnsi="Times New Roman" w:cs="Times New Roman"/>
          <w:sz w:val="24"/>
          <w:szCs w:val="24"/>
        </w:rPr>
        <w:t xml:space="preserve"> по  сравнению с 2019годом произошло  увеличение на 5,6%  –в 2019г на 4,98% количество  расходов на образование( учитывая  строительство школы-сада в 1 мрн)  на 1 чел: (табл №1).</w:t>
      </w:r>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 xml:space="preserve">Снижение в 2020 г увеличение заработной платы, среднедушевого дохода </w:t>
      </w:r>
      <w:proofErr w:type="gramStart"/>
      <w:r w:rsidRPr="0054564D">
        <w:rPr>
          <w:rFonts w:ascii="Times New Roman" w:hAnsi="Times New Roman" w:cs="Times New Roman"/>
          <w:sz w:val="24"/>
          <w:szCs w:val="24"/>
        </w:rPr>
        <w:t>населения,  объема</w:t>
      </w:r>
      <w:proofErr w:type="gramEnd"/>
      <w:r w:rsidRPr="0054564D">
        <w:rPr>
          <w:rFonts w:ascii="Times New Roman" w:hAnsi="Times New Roman" w:cs="Times New Roman"/>
          <w:sz w:val="24"/>
          <w:szCs w:val="24"/>
        </w:rPr>
        <w:t xml:space="preserve"> производимой продукции, стабилизация  количества лиц с доходами ниже прожиточного минимума. являются  показателями, характеризующими  улучшение  социально-экономической ситуации в городе.</w:t>
      </w:r>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 xml:space="preserve">В 2020 году по прогнозным данным регистрируется увеличение расходов   расходов на </w:t>
      </w:r>
      <w:proofErr w:type="gramStart"/>
      <w:r w:rsidRPr="0054564D">
        <w:rPr>
          <w:rFonts w:ascii="Times New Roman" w:hAnsi="Times New Roman" w:cs="Times New Roman"/>
          <w:sz w:val="24"/>
          <w:szCs w:val="24"/>
        </w:rPr>
        <w:t>здравоохранение  на</w:t>
      </w:r>
      <w:proofErr w:type="gramEnd"/>
      <w:r w:rsidRPr="0054564D">
        <w:rPr>
          <w:rFonts w:ascii="Times New Roman" w:hAnsi="Times New Roman" w:cs="Times New Roman"/>
          <w:sz w:val="24"/>
          <w:szCs w:val="24"/>
        </w:rPr>
        <w:t xml:space="preserve"> 83% по сравнению с 2019году, в 2019г снижение  на 3 % по сравнению с 2018г.(табл №1)</w:t>
      </w:r>
    </w:p>
    <w:p w:rsidR="008F3AF5" w:rsidRPr="0054564D" w:rsidRDefault="008F3AF5" w:rsidP="0054564D">
      <w:pPr>
        <w:spacing w:after="0" w:line="240" w:lineRule="auto"/>
        <w:ind w:firstLine="720"/>
        <w:jc w:val="both"/>
        <w:rPr>
          <w:rFonts w:ascii="Times New Roman" w:hAnsi="Times New Roman" w:cs="Times New Roman"/>
          <w:highlight w:val="yellow"/>
        </w:rPr>
      </w:pPr>
      <w:r w:rsidRPr="0054564D">
        <w:rPr>
          <w:rFonts w:ascii="Times New Roman" w:hAnsi="Times New Roman" w:cs="Times New Roman"/>
          <w:noProof/>
          <w:highlight w:val="yellow"/>
          <w:lang w:eastAsia="ru-RU"/>
        </w:rPr>
        <w:drawing>
          <wp:inline distT="0" distB="0" distL="0" distR="0">
            <wp:extent cx="5467350" cy="1981200"/>
            <wp:effectExtent l="0" t="0" r="0" b="0"/>
            <wp:docPr id="1" name="Диаграмма 1" descr="Горизонтальный кирпич"/>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F3AF5" w:rsidRPr="0054564D" w:rsidRDefault="008F3AF5" w:rsidP="0054564D">
      <w:pPr>
        <w:spacing w:after="0" w:line="240" w:lineRule="auto"/>
        <w:ind w:firstLine="720"/>
        <w:jc w:val="both"/>
        <w:rPr>
          <w:rFonts w:ascii="Times New Roman" w:hAnsi="Times New Roman" w:cs="Times New Roman"/>
        </w:rPr>
      </w:pPr>
      <w:r w:rsidRPr="0054564D">
        <w:rPr>
          <w:rFonts w:ascii="Times New Roman" w:hAnsi="Times New Roman" w:cs="Times New Roman"/>
          <w:b/>
        </w:rPr>
        <w:t>Рис. №1</w:t>
      </w:r>
      <w:r w:rsidRPr="0054564D">
        <w:rPr>
          <w:rFonts w:ascii="Times New Roman" w:hAnsi="Times New Roman" w:cs="Times New Roman"/>
        </w:rPr>
        <w:t>.</w:t>
      </w:r>
      <w:r w:rsidRPr="0054564D">
        <w:rPr>
          <w:rFonts w:ascii="Times New Roman" w:hAnsi="Times New Roman" w:cs="Times New Roman"/>
          <w:b/>
          <w:bCs/>
        </w:rPr>
        <w:t xml:space="preserve"> </w:t>
      </w:r>
      <w:proofErr w:type="gramStart"/>
      <w:r w:rsidRPr="0054564D">
        <w:rPr>
          <w:rFonts w:ascii="Times New Roman" w:hAnsi="Times New Roman" w:cs="Times New Roman"/>
          <w:bCs/>
        </w:rPr>
        <w:t>Динамика  доходов</w:t>
      </w:r>
      <w:proofErr w:type="gramEnd"/>
      <w:r w:rsidRPr="0054564D">
        <w:rPr>
          <w:rFonts w:ascii="Times New Roman" w:hAnsi="Times New Roman" w:cs="Times New Roman"/>
          <w:bCs/>
        </w:rPr>
        <w:t xml:space="preserve"> по городу Пыть-Ях 2018-2020года.</w:t>
      </w:r>
    </w:p>
    <w:p w:rsidR="008F3AF5" w:rsidRPr="0054564D" w:rsidRDefault="008F3AF5" w:rsidP="0054564D">
      <w:pPr>
        <w:pStyle w:val="a7"/>
        <w:ind w:firstLine="709"/>
        <w:jc w:val="both"/>
        <w:rPr>
          <w:sz w:val="24"/>
          <w:szCs w:val="24"/>
          <w:highlight w:val="yellow"/>
          <w:lang w:val="ru-RU"/>
        </w:rPr>
      </w:pPr>
    </w:p>
    <w:p w:rsidR="008F3AF5" w:rsidRPr="0054564D" w:rsidRDefault="008F3AF5" w:rsidP="0054564D">
      <w:pPr>
        <w:pStyle w:val="a7"/>
        <w:ind w:firstLine="709"/>
        <w:jc w:val="both"/>
        <w:rPr>
          <w:sz w:val="24"/>
          <w:szCs w:val="24"/>
        </w:rPr>
      </w:pPr>
      <w:r w:rsidRPr="0054564D">
        <w:rPr>
          <w:sz w:val="24"/>
          <w:szCs w:val="24"/>
        </w:rPr>
        <w:t>В процессе жизнедеятельности на человека воздействуют различные неблагоприятные факторы, а именно профессиональные, климатические, социальные и др.</w:t>
      </w:r>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 xml:space="preserve">Один из комплексов неблагоприятных климатических факторов, воздействующих на организм, представлен </w:t>
      </w:r>
      <w:proofErr w:type="gramStart"/>
      <w:r w:rsidRPr="0054564D">
        <w:rPr>
          <w:rFonts w:ascii="Times New Roman" w:hAnsi="Times New Roman" w:cs="Times New Roman"/>
          <w:sz w:val="24"/>
          <w:szCs w:val="24"/>
        </w:rPr>
        <w:t>на территориях</w:t>
      </w:r>
      <w:proofErr w:type="gramEnd"/>
      <w:r w:rsidRPr="0054564D">
        <w:rPr>
          <w:rFonts w:ascii="Times New Roman" w:hAnsi="Times New Roman" w:cs="Times New Roman"/>
          <w:sz w:val="24"/>
          <w:szCs w:val="24"/>
        </w:rPr>
        <w:t xml:space="preserve"> приравненных к районам крайнего севера. Север, для человека, является многокомпонентным экстремальным фактором, требующим существенной социальной и метаболической адаптации, что оказывает разностороннее влияние на организм, вызывая ряд изменений в направленности обменных процессов и функциональной активности всех его систем, равно как и изменяет потребность его в </w:t>
      </w:r>
      <w:proofErr w:type="gramStart"/>
      <w:r w:rsidRPr="0054564D">
        <w:rPr>
          <w:rFonts w:ascii="Times New Roman" w:hAnsi="Times New Roman" w:cs="Times New Roman"/>
          <w:sz w:val="24"/>
          <w:szCs w:val="24"/>
        </w:rPr>
        <w:t>энергии,  питательных</w:t>
      </w:r>
      <w:proofErr w:type="gramEnd"/>
      <w:r w:rsidRPr="0054564D">
        <w:rPr>
          <w:rFonts w:ascii="Times New Roman" w:hAnsi="Times New Roman" w:cs="Times New Roman"/>
          <w:sz w:val="24"/>
          <w:szCs w:val="24"/>
        </w:rPr>
        <w:t xml:space="preserve">, регуляторных веществах и биологически активных компонентах пищи.  </w:t>
      </w:r>
    </w:p>
    <w:p w:rsidR="008F3AF5" w:rsidRPr="0054564D" w:rsidRDefault="008F3AF5" w:rsidP="0054564D">
      <w:pPr>
        <w:spacing w:after="0" w:line="240" w:lineRule="auto"/>
        <w:ind w:firstLine="709"/>
        <w:rPr>
          <w:rFonts w:ascii="Times New Roman" w:hAnsi="Times New Roman" w:cs="Times New Roman"/>
          <w:sz w:val="24"/>
          <w:szCs w:val="24"/>
        </w:rPr>
      </w:pPr>
      <w:r w:rsidRPr="0054564D">
        <w:rPr>
          <w:rFonts w:ascii="Times New Roman" w:hAnsi="Times New Roman" w:cs="Times New Roman"/>
          <w:sz w:val="24"/>
          <w:szCs w:val="24"/>
        </w:rPr>
        <w:t>Климатические данные характерные для Пыть-Ях:</w:t>
      </w:r>
    </w:p>
    <w:p w:rsidR="008F3AF5" w:rsidRPr="0054564D" w:rsidRDefault="008F3AF5" w:rsidP="006A23B3">
      <w:pPr>
        <w:numPr>
          <w:ilvl w:val="0"/>
          <w:numId w:val="6"/>
        </w:numPr>
        <w:tabs>
          <w:tab w:val="clear" w:pos="1620"/>
        </w:tabs>
        <w:spacing w:after="0" w:line="240" w:lineRule="auto"/>
        <w:ind w:left="0" w:firstLine="709"/>
        <w:jc w:val="both"/>
        <w:rPr>
          <w:rFonts w:ascii="Times New Roman" w:hAnsi="Times New Roman" w:cs="Times New Roman"/>
          <w:sz w:val="24"/>
          <w:szCs w:val="24"/>
        </w:rPr>
      </w:pPr>
      <w:r w:rsidRPr="0054564D">
        <w:rPr>
          <w:rFonts w:ascii="Times New Roman" w:hAnsi="Times New Roman" w:cs="Times New Roman"/>
          <w:sz w:val="24"/>
          <w:szCs w:val="24"/>
        </w:rPr>
        <w:t xml:space="preserve">климатический район </w:t>
      </w:r>
      <w:r w:rsidRPr="0054564D">
        <w:rPr>
          <w:rFonts w:ascii="Times New Roman" w:hAnsi="Times New Roman" w:cs="Times New Roman"/>
          <w:sz w:val="24"/>
          <w:szCs w:val="24"/>
          <w:lang w:val="en-US"/>
        </w:rPr>
        <w:t>I</w:t>
      </w:r>
      <w:r w:rsidRPr="0054564D">
        <w:rPr>
          <w:rFonts w:ascii="Times New Roman" w:hAnsi="Times New Roman" w:cs="Times New Roman"/>
          <w:sz w:val="24"/>
          <w:szCs w:val="24"/>
        </w:rPr>
        <w:t>, подрайон Д,</w:t>
      </w:r>
    </w:p>
    <w:p w:rsidR="008F3AF5" w:rsidRPr="0054564D" w:rsidRDefault="008F3AF5" w:rsidP="006A23B3">
      <w:pPr>
        <w:numPr>
          <w:ilvl w:val="0"/>
          <w:numId w:val="6"/>
        </w:numPr>
        <w:tabs>
          <w:tab w:val="clear" w:pos="1620"/>
        </w:tabs>
        <w:spacing w:after="0" w:line="240" w:lineRule="auto"/>
        <w:ind w:left="0" w:firstLine="709"/>
        <w:jc w:val="both"/>
        <w:rPr>
          <w:rFonts w:ascii="Times New Roman" w:hAnsi="Times New Roman" w:cs="Times New Roman"/>
          <w:sz w:val="24"/>
          <w:szCs w:val="24"/>
        </w:rPr>
      </w:pPr>
      <w:r w:rsidRPr="0054564D">
        <w:rPr>
          <w:rFonts w:ascii="Times New Roman" w:hAnsi="Times New Roman" w:cs="Times New Roman"/>
          <w:sz w:val="24"/>
          <w:szCs w:val="24"/>
        </w:rPr>
        <w:t>средняя температура наиболее холодных суток -43</w:t>
      </w:r>
      <w:r w:rsidRPr="0054564D">
        <w:rPr>
          <w:rFonts w:ascii="Times New Roman" w:hAnsi="Times New Roman" w:cs="Times New Roman"/>
          <w:sz w:val="24"/>
          <w:szCs w:val="24"/>
          <w:vertAlign w:val="superscript"/>
        </w:rPr>
        <w:t>о</w:t>
      </w:r>
      <w:r w:rsidRPr="0054564D">
        <w:rPr>
          <w:rFonts w:ascii="Times New Roman" w:hAnsi="Times New Roman" w:cs="Times New Roman"/>
          <w:sz w:val="24"/>
          <w:szCs w:val="24"/>
        </w:rPr>
        <w:t>С,</w:t>
      </w:r>
    </w:p>
    <w:p w:rsidR="008F3AF5" w:rsidRPr="0054564D" w:rsidRDefault="008F3AF5" w:rsidP="006A23B3">
      <w:pPr>
        <w:numPr>
          <w:ilvl w:val="0"/>
          <w:numId w:val="6"/>
        </w:numPr>
        <w:tabs>
          <w:tab w:val="clear" w:pos="1620"/>
        </w:tabs>
        <w:spacing w:after="0" w:line="240" w:lineRule="auto"/>
        <w:ind w:left="0" w:firstLine="709"/>
        <w:jc w:val="both"/>
        <w:rPr>
          <w:rFonts w:ascii="Times New Roman" w:hAnsi="Times New Roman" w:cs="Times New Roman"/>
          <w:sz w:val="24"/>
          <w:szCs w:val="24"/>
        </w:rPr>
      </w:pPr>
      <w:r w:rsidRPr="0054564D">
        <w:rPr>
          <w:rFonts w:ascii="Times New Roman" w:hAnsi="Times New Roman" w:cs="Times New Roman"/>
          <w:sz w:val="24"/>
          <w:szCs w:val="24"/>
        </w:rPr>
        <w:t>зона влажности - нормальная,</w:t>
      </w:r>
    </w:p>
    <w:p w:rsidR="008F3AF5" w:rsidRPr="0054564D" w:rsidRDefault="008F3AF5" w:rsidP="006A23B3">
      <w:pPr>
        <w:numPr>
          <w:ilvl w:val="0"/>
          <w:numId w:val="6"/>
        </w:numPr>
        <w:tabs>
          <w:tab w:val="clear" w:pos="1620"/>
        </w:tabs>
        <w:spacing w:after="0" w:line="240" w:lineRule="auto"/>
        <w:ind w:left="0" w:firstLine="709"/>
        <w:jc w:val="both"/>
        <w:rPr>
          <w:rFonts w:ascii="Times New Roman" w:hAnsi="Times New Roman" w:cs="Times New Roman"/>
          <w:sz w:val="24"/>
          <w:szCs w:val="24"/>
        </w:rPr>
      </w:pPr>
      <w:r w:rsidRPr="0054564D">
        <w:rPr>
          <w:rFonts w:ascii="Times New Roman" w:hAnsi="Times New Roman" w:cs="Times New Roman"/>
          <w:sz w:val="24"/>
          <w:szCs w:val="24"/>
        </w:rPr>
        <w:lastRenderedPageBreak/>
        <w:t>продолжительность отопительного сезона – 258 дней,</w:t>
      </w:r>
    </w:p>
    <w:p w:rsidR="008F3AF5" w:rsidRPr="0054564D" w:rsidRDefault="008F3AF5" w:rsidP="006A23B3">
      <w:pPr>
        <w:numPr>
          <w:ilvl w:val="0"/>
          <w:numId w:val="6"/>
        </w:numPr>
        <w:tabs>
          <w:tab w:val="clear" w:pos="1620"/>
        </w:tabs>
        <w:spacing w:after="0" w:line="240" w:lineRule="auto"/>
        <w:ind w:left="0" w:firstLine="709"/>
        <w:jc w:val="both"/>
        <w:rPr>
          <w:rFonts w:ascii="Times New Roman" w:hAnsi="Times New Roman" w:cs="Times New Roman"/>
          <w:sz w:val="24"/>
          <w:szCs w:val="24"/>
        </w:rPr>
      </w:pPr>
      <w:r w:rsidRPr="0054564D">
        <w:rPr>
          <w:rFonts w:ascii="Times New Roman" w:hAnsi="Times New Roman" w:cs="Times New Roman"/>
          <w:sz w:val="24"/>
          <w:szCs w:val="24"/>
        </w:rPr>
        <w:t>нормативное значение ветрового давления – 30 кг/м</w:t>
      </w:r>
      <w:r w:rsidRPr="0054564D">
        <w:rPr>
          <w:rFonts w:ascii="Times New Roman" w:hAnsi="Times New Roman" w:cs="Times New Roman"/>
          <w:sz w:val="24"/>
          <w:szCs w:val="24"/>
          <w:vertAlign w:val="superscript"/>
        </w:rPr>
        <w:t>2</w:t>
      </w:r>
      <w:r w:rsidRPr="0054564D">
        <w:rPr>
          <w:rFonts w:ascii="Times New Roman" w:hAnsi="Times New Roman" w:cs="Times New Roman"/>
          <w:sz w:val="24"/>
          <w:szCs w:val="24"/>
        </w:rPr>
        <w:t>,</w:t>
      </w:r>
    </w:p>
    <w:p w:rsidR="008F3AF5" w:rsidRPr="0054564D" w:rsidRDefault="008F3AF5" w:rsidP="006A23B3">
      <w:pPr>
        <w:numPr>
          <w:ilvl w:val="0"/>
          <w:numId w:val="6"/>
        </w:numPr>
        <w:tabs>
          <w:tab w:val="clear" w:pos="1620"/>
        </w:tabs>
        <w:spacing w:after="0" w:line="240" w:lineRule="auto"/>
        <w:ind w:left="0" w:firstLine="709"/>
        <w:jc w:val="both"/>
        <w:rPr>
          <w:rFonts w:ascii="Times New Roman" w:hAnsi="Times New Roman" w:cs="Times New Roman"/>
          <w:sz w:val="24"/>
          <w:szCs w:val="24"/>
        </w:rPr>
      </w:pPr>
      <w:r w:rsidRPr="0054564D">
        <w:rPr>
          <w:rFonts w:ascii="Times New Roman" w:hAnsi="Times New Roman" w:cs="Times New Roman"/>
          <w:sz w:val="24"/>
          <w:szCs w:val="24"/>
        </w:rPr>
        <w:t>господствующее направление ветра – юго-западное,</w:t>
      </w:r>
    </w:p>
    <w:p w:rsidR="008F3AF5" w:rsidRPr="0054564D" w:rsidRDefault="008F3AF5" w:rsidP="0054564D">
      <w:pPr>
        <w:pStyle w:val="24"/>
        <w:spacing w:after="0" w:line="240" w:lineRule="auto"/>
        <w:ind w:left="0" w:firstLine="709"/>
        <w:jc w:val="both"/>
        <w:rPr>
          <w:sz w:val="24"/>
          <w:szCs w:val="24"/>
        </w:rPr>
      </w:pPr>
      <w:proofErr w:type="gramStart"/>
      <w:r w:rsidRPr="0054564D">
        <w:rPr>
          <w:sz w:val="24"/>
          <w:szCs w:val="24"/>
          <w:lang w:val="ru-RU"/>
        </w:rPr>
        <w:t>П</w:t>
      </w:r>
      <w:r w:rsidRPr="0054564D">
        <w:rPr>
          <w:sz w:val="24"/>
          <w:szCs w:val="24"/>
        </w:rPr>
        <w:t>омимо этого</w:t>
      </w:r>
      <w:proofErr w:type="gramEnd"/>
      <w:r w:rsidRPr="0054564D">
        <w:rPr>
          <w:sz w:val="24"/>
          <w:szCs w:val="24"/>
        </w:rPr>
        <w:t xml:space="preserve"> наблюдаются резкие перепады, в течение суток, атмосферного давления и температуры, также наблюдается низкая концентрация кислорода.</w:t>
      </w:r>
    </w:p>
    <w:p w:rsidR="008F3AF5" w:rsidRPr="0054564D" w:rsidRDefault="008F3AF5" w:rsidP="0054564D">
      <w:pPr>
        <w:pStyle w:val="a7"/>
        <w:ind w:firstLine="709"/>
        <w:jc w:val="both"/>
        <w:rPr>
          <w:i/>
          <w:iCs/>
          <w:sz w:val="24"/>
          <w:szCs w:val="24"/>
        </w:rPr>
      </w:pPr>
      <w:r w:rsidRPr="0054564D">
        <w:rPr>
          <w:sz w:val="24"/>
          <w:szCs w:val="24"/>
        </w:rPr>
        <w:t>Неблагоприятное воздействие всей совокупности факторов окружающей среды иногда создает угрозу жизни и здоровью человека либо угрозу жизни и здоровью будущих поколений. Проблемы установления причинно-следственных связей состояния здоровья населения и факторов окружающей среды являются актуальным предметом санитарно-эпидемиологических и медико-экологических исследований.</w:t>
      </w:r>
    </w:p>
    <w:p w:rsidR="008F3AF5" w:rsidRPr="0054564D" w:rsidRDefault="008F3AF5" w:rsidP="0054564D">
      <w:pPr>
        <w:pStyle w:val="a7"/>
        <w:ind w:firstLine="709"/>
        <w:jc w:val="both"/>
        <w:rPr>
          <w:sz w:val="24"/>
          <w:szCs w:val="24"/>
        </w:rPr>
      </w:pPr>
      <w:r w:rsidRPr="0054564D">
        <w:rPr>
          <w:sz w:val="24"/>
          <w:szCs w:val="24"/>
        </w:rPr>
        <w:t>На промышленных предприятиях города практически не проводится лабораторный контроль за содержанием вредных веществ в выбросах в атмосферный воздух. В городе отсутствуют стационарный и передвижные посты для определения их в приземном слое атмосферы.</w:t>
      </w:r>
    </w:p>
    <w:p w:rsidR="008F3AF5" w:rsidRPr="0054564D" w:rsidRDefault="008F3AF5" w:rsidP="0054564D">
      <w:pPr>
        <w:pStyle w:val="24"/>
        <w:spacing w:after="0" w:line="240" w:lineRule="auto"/>
        <w:ind w:left="0" w:firstLine="709"/>
        <w:jc w:val="both"/>
        <w:rPr>
          <w:sz w:val="24"/>
          <w:szCs w:val="24"/>
          <w:lang w:val="ru-RU"/>
        </w:rPr>
      </w:pPr>
      <w:r w:rsidRPr="0054564D">
        <w:rPr>
          <w:sz w:val="24"/>
          <w:szCs w:val="24"/>
        </w:rPr>
        <w:t>С 2009 года санитарно-гигиенической лабораторией ИЛЦ ФФБУЗ проводятся исследования  атмосферного воздуха на территории г. Пыть-Ях в рамках программы мониторинговых наблюдений за факторами среды обитания для социально-гигиенического мониторинга, расширяется спектр исследований</w:t>
      </w:r>
      <w:r w:rsidRPr="0054564D">
        <w:rPr>
          <w:sz w:val="24"/>
          <w:szCs w:val="24"/>
          <w:lang w:val="ru-RU"/>
        </w:rPr>
        <w:t>.</w:t>
      </w:r>
      <w:r w:rsidRPr="0054564D">
        <w:rPr>
          <w:sz w:val="24"/>
          <w:szCs w:val="24"/>
        </w:rPr>
        <w:t xml:space="preserve"> </w:t>
      </w:r>
    </w:p>
    <w:p w:rsidR="008F3AF5" w:rsidRPr="0054564D" w:rsidRDefault="008F3AF5" w:rsidP="0054564D">
      <w:pPr>
        <w:pStyle w:val="24"/>
        <w:spacing w:after="0" w:line="240" w:lineRule="auto"/>
        <w:ind w:left="0" w:firstLine="709"/>
        <w:jc w:val="both"/>
        <w:rPr>
          <w:sz w:val="24"/>
          <w:szCs w:val="24"/>
          <w:lang w:val="ru-RU"/>
        </w:rPr>
      </w:pPr>
      <w:r w:rsidRPr="0054564D">
        <w:rPr>
          <w:sz w:val="24"/>
          <w:szCs w:val="24"/>
        </w:rPr>
        <w:t>В 20</w:t>
      </w:r>
      <w:r w:rsidRPr="0054564D">
        <w:rPr>
          <w:sz w:val="24"/>
          <w:szCs w:val="24"/>
          <w:lang w:val="ru-RU"/>
        </w:rPr>
        <w:t>20</w:t>
      </w:r>
      <w:r w:rsidRPr="0054564D">
        <w:rPr>
          <w:sz w:val="24"/>
          <w:szCs w:val="24"/>
        </w:rPr>
        <w:t xml:space="preserve"> г. были проведены исследования атмосферного воздуха в 3-х мониторинговых точках. Исследования проводились по следующим  приоритетным загрязняющим веществам: взвешенные вещества (средняя концентрация  0,29 </w:t>
      </w:r>
      <w:r w:rsidRPr="0054564D">
        <w:t>мг/м</w:t>
      </w:r>
      <w:r w:rsidRPr="0054564D">
        <w:rPr>
          <w:vertAlign w:val="superscript"/>
        </w:rPr>
        <w:t>3</w:t>
      </w:r>
      <w:r w:rsidRPr="0054564D">
        <w:t>)</w:t>
      </w:r>
      <w:r w:rsidRPr="0054564D">
        <w:rPr>
          <w:sz w:val="24"/>
          <w:szCs w:val="24"/>
        </w:rPr>
        <w:t xml:space="preserve">, сера диоксид (средняя концентрация 0,035 </w:t>
      </w:r>
      <w:r w:rsidRPr="0054564D">
        <w:t>мг/м</w:t>
      </w:r>
      <w:r w:rsidRPr="0054564D">
        <w:rPr>
          <w:vertAlign w:val="superscript"/>
        </w:rPr>
        <w:t>3</w:t>
      </w:r>
      <w:r w:rsidRPr="0054564D">
        <w:t>)</w:t>
      </w:r>
      <w:r w:rsidRPr="0054564D">
        <w:rPr>
          <w:sz w:val="24"/>
          <w:szCs w:val="24"/>
        </w:rPr>
        <w:t xml:space="preserve">, азота диоксид (средняя концентрация  0,06 </w:t>
      </w:r>
      <w:r w:rsidRPr="0054564D">
        <w:t>мг/м</w:t>
      </w:r>
      <w:r w:rsidRPr="0054564D">
        <w:rPr>
          <w:vertAlign w:val="superscript"/>
        </w:rPr>
        <w:t>3</w:t>
      </w:r>
      <w:r w:rsidRPr="0054564D">
        <w:t>)</w:t>
      </w:r>
      <w:r w:rsidRPr="0054564D">
        <w:rPr>
          <w:sz w:val="24"/>
          <w:szCs w:val="24"/>
        </w:rPr>
        <w:t xml:space="preserve">, формальдегид (средняя концентрация  0,02 </w:t>
      </w:r>
      <w:r w:rsidRPr="0054564D">
        <w:t>мг/м</w:t>
      </w:r>
      <w:r w:rsidRPr="0054564D">
        <w:rPr>
          <w:vertAlign w:val="superscript"/>
        </w:rPr>
        <w:t>3</w:t>
      </w:r>
      <w:r w:rsidRPr="0054564D">
        <w:t>)</w:t>
      </w:r>
      <w:r w:rsidRPr="0054564D">
        <w:rPr>
          <w:sz w:val="24"/>
          <w:szCs w:val="24"/>
        </w:rPr>
        <w:t xml:space="preserve">, фенол (средняя концентрация  0,006 </w:t>
      </w:r>
      <w:r w:rsidRPr="0054564D">
        <w:t>мг/м</w:t>
      </w:r>
      <w:r w:rsidRPr="0054564D">
        <w:rPr>
          <w:vertAlign w:val="superscript"/>
        </w:rPr>
        <w:t>3</w:t>
      </w:r>
      <w:r w:rsidRPr="0054564D">
        <w:t>)</w:t>
      </w:r>
      <w:r w:rsidRPr="0054564D">
        <w:rPr>
          <w:lang w:val="ru-RU"/>
        </w:rPr>
        <w:t>.</w:t>
      </w:r>
      <w:r w:rsidRPr="0054564D">
        <w:rPr>
          <w:sz w:val="24"/>
          <w:szCs w:val="24"/>
        </w:rPr>
        <w:t xml:space="preserve"> Содержание вредных веществ за 20</w:t>
      </w:r>
      <w:r w:rsidRPr="0054564D">
        <w:rPr>
          <w:sz w:val="24"/>
          <w:szCs w:val="24"/>
          <w:lang w:val="ru-RU"/>
        </w:rPr>
        <w:t>20</w:t>
      </w:r>
      <w:r w:rsidRPr="0054564D">
        <w:rPr>
          <w:sz w:val="24"/>
          <w:szCs w:val="24"/>
        </w:rPr>
        <w:t>, как и</w:t>
      </w:r>
      <w:r w:rsidRPr="0054564D">
        <w:rPr>
          <w:sz w:val="24"/>
          <w:szCs w:val="24"/>
          <w:lang w:val="ru-RU"/>
        </w:rPr>
        <w:t xml:space="preserve"> </w:t>
      </w:r>
      <w:r w:rsidRPr="0054564D">
        <w:rPr>
          <w:sz w:val="24"/>
          <w:szCs w:val="24"/>
        </w:rPr>
        <w:t>в 201</w:t>
      </w:r>
      <w:r w:rsidRPr="0054564D">
        <w:rPr>
          <w:sz w:val="24"/>
          <w:szCs w:val="24"/>
          <w:lang w:val="ru-RU"/>
        </w:rPr>
        <w:t>9</w:t>
      </w:r>
      <w:r w:rsidRPr="0054564D">
        <w:rPr>
          <w:sz w:val="24"/>
          <w:szCs w:val="24"/>
        </w:rPr>
        <w:t>г.,201</w:t>
      </w:r>
      <w:r w:rsidRPr="0054564D">
        <w:rPr>
          <w:sz w:val="24"/>
          <w:szCs w:val="24"/>
          <w:lang w:val="ru-RU"/>
        </w:rPr>
        <w:t>8</w:t>
      </w:r>
      <w:r w:rsidRPr="0054564D">
        <w:rPr>
          <w:sz w:val="24"/>
          <w:szCs w:val="24"/>
        </w:rPr>
        <w:t xml:space="preserve">г. в исследуемых пробах по исследованным показателям не превысили </w:t>
      </w:r>
      <w:r w:rsidRPr="0054564D">
        <w:rPr>
          <w:sz w:val="24"/>
          <w:szCs w:val="24"/>
          <w:lang w:val="ru-RU"/>
        </w:rPr>
        <w:t xml:space="preserve"> нормируемые показатели.</w:t>
      </w:r>
    </w:p>
    <w:p w:rsidR="008F3AF5" w:rsidRPr="0054564D" w:rsidRDefault="008F3AF5" w:rsidP="0054564D">
      <w:pPr>
        <w:pStyle w:val="24"/>
        <w:spacing w:after="0" w:line="240" w:lineRule="auto"/>
        <w:ind w:left="0" w:firstLine="709"/>
        <w:jc w:val="both"/>
        <w:rPr>
          <w:sz w:val="24"/>
          <w:szCs w:val="24"/>
        </w:rPr>
      </w:pPr>
      <w:r w:rsidRPr="0054564D">
        <w:rPr>
          <w:sz w:val="24"/>
          <w:szCs w:val="24"/>
        </w:rPr>
        <w:t>За период 20</w:t>
      </w:r>
      <w:r w:rsidRPr="0054564D">
        <w:rPr>
          <w:sz w:val="24"/>
          <w:szCs w:val="24"/>
          <w:lang w:val="ru-RU"/>
        </w:rPr>
        <w:t>20</w:t>
      </w:r>
      <w:r w:rsidRPr="0054564D">
        <w:rPr>
          <w:sz w:val="24"/>
          <w:szCs w:val="24"/>
        </w:rPr>
        <w:t>-201</w:t>
      </w:r>
      <w:r w:rsidRPr="0054564D">
        <w:rPr>
          <w:sz w:val="24"/>
          <w:szCs w:val="24"/>
          <w:lang w:val="ru-RU"/>
        </w:rPr>
        <w:t>8</w:t>
      </w:r>
      <w:r w:rsidRPr="0054564D">
        <w:rPr>
          <w:sz w:val="24"/>
          <w:szCs w:val="24"/>
        </w:rPr>
        <w:t xml:space="preserve"> г.г. отмечается положительная динамика показателей атмосферного воздуха</w:t>
      </w:r>
      <w:r w:rsidRPr="0054564D">
        <w:rPr>
          <w:sz w:val="24"/>
          <w:szCs w:val="24"/>
          <w:lang w:val="ru-RU"/>
        </w:rPr>
        <w:t xml:space="preserve"> в мониторинговых точках</w:t>
      </w:r>
      <w:r w:rsidRPr="0054564D">
        <w:rPr>
          <w:sz w:val="24"/>
          <w:szCs w:val="24"/>
        </w:rPr>
        <w:t xml:space="preserve">. Проведение оценки атмосферного воздуха населенных мест по трем </w:t>
      </w:r>
      <w:r w:rsidRPr="0054564D">
        <w:rPr>
          <w:sz w:val="24"/>
          <w:szCs w:val="24"/>
          <w:lang w:val="ru-RU"/>
        </w:rPr>
        <w:t>точкам</w:t>
      </w:r>
      <w:r w:rsidRPr="0054564D">
        <w:rPr>
          <w:sz w:val="24"/>
          <w:szCs w:val="24"/>
        </w:rPr>
        <w:t xml:space="preserve"> по одному исследованию в каждой точке не  является выборочным и не свидетельствует об удовлетворительном состоянии воздушного бассейна., для  оценки состояния воздушного бассейна необходимо  проведение не менее 200 исследований по каждому показателю, в каждой точке в год.</w:t>
      </w:r>
    </w:p>
    <w:p w:rsidR="008F3AF5" w:rsidRPr="0054564D" w:rsidRDefault="008F3AF5" w:rsidP="0054564D">
      <w:pPr>
        <w:pStyle w:val="24"/>
        <w:spacing w:after="0" w:line="240" w:lineRule="auto"/>
        <w:ind w:left="0" w:firstLine="709"/>
        <w:jc w:val="both"/>
        <w:rPr>
          <w:sz w:val="24"/>
          <w:szCs w:val="24"/>
        </w:rPr>
      </w:pPr>
      <w:r w:rsidRPr="0054564D">
        <w:rPr>
          <w:sz w:val="24"/>
          <w:szCs w:val="24"/>
        </w:rPr>
        <w:t>Одной из причин улучшения показателей  атмосферного воздуха можно считать снижение транспортной нагрузки- ввод  в эксплуатацию объездной трассы Ханты-Мансийск-Тюмень, а также климатические условия (низкая температура  и повышенная влажность в летний период).</w:t>
      </w:r>
    </w:p>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В 2020-2018</w:t>
      </w:r>
      <w:proofErr w:type="gramStart"/>
      <w:r w:rsidRPr="0054564D">
        <w:rPr>
          <w:rFonts w:ascii="Times New Roman" w:hAnsi="Times New Roman" w:cs="Times New Roman"/>
          <w:sz w:val="24"/>
          <w:szCs w:val="24"/>
        </w:rPr>
        <w:t>гг  не</w:t>
      </w:r>
      <w:proofErr w:type="gramEnd"/>
      <w:r w:rsidRPr="0054564D">
        <w:rPr>
          <w:rFonts w:ascii="Times New Roman" w:hAnsi="Times New Roman" w:cs="Times New Roman"/>
          <w:sz w:val="24"/>
          <w:szCs w:val="24"/>
        </w:rPr>
        <w:t xml:space="preserve">  зарегистрированы превышения содержания взвешенных веществ  в зоне влияния промышленных предприятий .</w:t>
      </w:r>
    </w:p>
    <w:p w:rsidR="008F3AF5" w:rsidRPr="0054564D" w:rsidRDefault="008F3AF5" w:rsidP="0054564D">
      <w:pPr>
        <w:pStyle w:val="33"/>
        <w:spacing w:line="240" w:lineRule="auto"/>
        <w:ind w:firstLine="709"/>
        <w:rPr>
          <w:sz w:val="24"/>
          <w:szCs w:val="24"/>
          <w:lang w:val="ru-RU" w:eastAsia="ru-RU"/>
        </w:rPr>
      </w:pPr>
      <w:r w:rsidRPr="0054564D">
        <w:rPr>
          <w:sz w:val="24"/>
          <w:szCs w:val="24"/>
        </w:rPr>
        <w:t xml:space="preserve"> Как следствие этого первое место в группе лидирующих заболеваний занимают болезни органов дыхания, а в их структуре в целом и по возрастным группам лидируют такие виды патологии, как: хронические бронхиты, эмфиземы, бронхиальная астма. Причиной этому, вероятно, послужило неблагоприятное воздействие таких факторов окружающей среды, как атмосферный воздух, воздух рабочей зоны, микроклимат помещений. </w:t>
      </w:r>
      <w:r w:rsidRPr="0054564D">
        <w:rPr>
          <w:sz w:val="24"/>
          <w:szCs w:val="24"/>
          <w:lang w:val="ru-RU" w:eastAsia="ru-RU"/>
        </w:rPr>
        <w:t xml:space="preserve">а также крайне неблагоприятная эпидемиологическая обстановка, связанныя с заболеваемостью новой коронавирусной </w:t>
      </w:r>
      <w:proofErr w:type="gramStart"/>
      <w:r w:rsidRPr="0054564D">
        <w:rPr>
          <w:sz w:val="24"/>
          <w:szCs w:val="24"/>
          <w:lang w:val="ru-RU" w:eastAsia="ru-RU"/>
        </w:rPr>
        <w:t>инфекцией..</w:t>
      </w:r>
      <w:proofErr w:type="gramEnd"/>
      <w:r w:rsidRPr="0054564D">
        <w:rPr>
          <w:sz w:val="24"/>
          <w:szCs w:val="24"/>
          <w:lang w:val="ru-RU" w:eastAsia="ru-RU"/>
        </w:rPr>
        <w:t xml:space="preserve"> </w:t>
      </w:r>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 xml:space="preserve">    </w:t>
      </w:r>
    </w:p>
    <w:p w:rsidR="008F3AF5" w:rsidRPr="0054564D" w:rsidRDefault="008F3AF5" w:rsidP="0054564D">
      <w:pPr>
        <w:spacing w:after="0" w:line="240" w:lineRule="auto"/>
        <w:jc w:val="both"/>
        <w:rPr>
          <w:rFonts w:ascii="Times New Roman" w:hAnsi="Times New Roman" w:cs="Times New Roman"/>
        </w:rPr>
      </w:pPr>
      <w:r w:rsidRPr="0054564D">
        <w:rPr>
          <w:rFonts w:ascii="Times New Roman" w:hAnsi="Times New Roman" w:cs="Times New Roman"/>
          <w:sz w:val="24"/>
          <w:szCs w:val="24"/>
        </w:rPr>
        <w:t xml:space="preserve"> Самый высокий уровень заболеваемости, превышающий показатели на протяжении 3 </w:t>
      </w:r>
      <w:proofErr w:type="gramStart"/>
      <w:r w:rsidRPr="0054564D">
        <w:rPr>
          <w:rFonts w:ascii="Times New Roman" w:hAnsi="Times New Roman" w:cs="Times New Roman"/>
          <w:sz w:val="24"/>
          <w:szCs w:val="24"/>
        </w:rPr>
        <w:t>лет  по</w:t>
      </w:r>
      <w:proofErr w:type="gramEnd"/>
      <w:r w:rsidRPr="0054564D">
        <w:rPr>
          <w:rFonts w:ascii="Times New Roman" w:hAnsi="Times New Roman" w:cs="Times New Roman"/>
          <w:sz w:val="24"/>
          <w:szCs w:val="24"/>
        </w:rPr>
        <w:t xml:space="preserve"> другим классам болезней, по-прежнему зарегистрирован по классу болезни органов дыхания. На втором месте в 2020</w:t>
      </w:r>
      <w:proofErr w:type="gramStart"/>
      <w:r w:rsidRPr="0054564D">
        <w:rPr>
          <w:rFonts w:ascii="Times New Roman" w:hAnsi="Times New Roman" w:cs="Times New Roman"/>
          <w:sz w:val="24"/>
          <w:szCs w:val="24"/>
        </w:rPr>
        <w:t>году,  как</w:t>
      </w:r>
      <w:proofErr w:type="gramEnd"/>
      <w:r w:rsidRPr="0054564D">
        <w:rPr>
          <w:rFonts w:ascii="Times New Roman" w:hAnsi="Times New Roman" w:cs="Times New Roman"/>
          <w:sz w:val="24"/>
          <w:szCs w:val="24"/>
        </w:rPr>
        <w:t xml:space="preserve"> и в 2018-2019 гг., стоит показатель заболеваемости по классу болезни мочеполовой системы. На третьем месте в 2020 году показатель заболеваемости по классу б</w:t>
      </w:r>
      <w:r w:rsidRPr="0054564D">
        <w:rPr>
          <w:rFonts w:ascii="Times New Roman" w:hAnsi="Times New Roman" w:cs="Times New Roman"/>
        </w:rPr>
        <w:t xml:space="preserve">олезни костно-мышечной системы и соединительной </w:t>
      </w:r>
      <w:proofErr w:type="gramStart"/>
      <w:r w:rsidRPr="0054564D">
        <w:rPr>
          <w:rFonts w:ascii="Times New Roman" w:hAnsi="Times New Roman" w:cs="Times New Roman"/>
        </w:rPr>
        <w:t>ткани</w:t>
      </w:r>
      <w:r w:rsidRPr="0054564D">
        <w:rPr>
          <w:rFonts w:ascii="Times New Roman" w:hAnsi="Times New Roman" w:cs="Times New Roman"/>
          <w:sz w:val="24"/>
          <w:szCs w:val="24"/>
        </w:rPr>
        <w:t xml:space="preserve"> ,</w:t>
      </w:r>
      <w:proofErr w:type="gramEnd"/>
      <w:r w:rsidRPr="0054564D">
        <w:rPr>
          <w:rFonts w:ascii="Times New Roman" w:hAnsi="Times New Roman" w:cs="Times New Roman"/>
          <w:sz w:val="24"/>
          <w:szCs w:val="24"/>
        </w:rPr>
        <w:t xml:space="preserve"> как и в 2018-2019 гг.</w:t>
      </w:r>
    </w:p>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xml:space="preserve">Потреблением   населением для питьевых нужд, приготовления в пищу воды не соответствующей требованиям санитарных норм и правил является одним из факторов, </w:t>
      </w:r>
      <w:r w:rsidRPr="0054564D">
        <w:rPr>
          <w:rFonts w:ascii="Times New Roman" w:hAnsi="Times New Roman" w:cs="Times New Roman"/>
          <w:sz w:val="24"/>
          <w:szCs w:val="24"/>
        </w:rPr>
        <w:lastRenderedPageBreak/>
        <w:t xml:space="preserve">высокого уровня заболеваемости </w:t>
      </w:r>
      <w:proofErr w:type="gramStart"/>
      <w:r w:rsidRPr="0054564D">
        <w:rPr>
          <w:rFonts w:ascii="Times New Roman" w:hAnsi="Times New Roman" w:cs="Times New Roman"/>
          <w:sz w:val="24"/>
          <w:szCs w:val="24"/>
        </w:rPr>
        <w:t>по  классам</w:t>
      </w:r>
      <w:proofErr w:type="gramEnd"/>
      <w:r w:rsidRPr="0054564D">
        <w:rPr>
          <w:rFonts w:ascii="Times New Roman" w:hAnsi="Times New Roman" w:cs="Times New Roman"/>
          <w:sz w:val="24"/>
          <w:szCs w:val="24"/>
        </w:rPr>
        <w:t>: болезни системы пищеварения, мочеполовой системы.</w:t>
      </w:r>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rPr>
        <w:t xml:space="preserve">Смертность по причине злокачественных </w:t>
      </w:r>
      <w:proofErr w:type="gramStart"/>
      <w:r w:rsidRPr="0054564D">
        <w:rPr>
          <w:rFonts w:ascii="Times New Roman" w:hAnsi="Times New Roman" w:cs="Times New Roman"/>
          <w:sz w:val="24"/>
        </w:rPr>
        <w:t>новообразований  занимает</w:t>
      </w:r>
      <w:proofErr w:type="gramEnd"/>
      <w:r w:rsidRPr="0054564D">
        <w:rPr>
          <w:rFonts w:ascii="Times New Roman" w:hAnsi="Times New Roman" w:cs="Times New Roman"/>
          <w:sz w:val="24"/>
        </w:rPr>
        <w:t xml:space="preserve"> второе место в структуре причин смертности.</w:t>
      </w:r>
      <w:r w:rsidRPr="0054564D">
        <w:rPr>
          <w:rFonts w:ascii="Times New Roman" w:hAnsi="Times New Roman" w:cs="Times New Roman"/>
          <w:sz w:val="24"/>
          <w:szCs w:val="24"/>
        </w:rPr>
        <w:t xml:space="preserve"> Факторами, способствующими </w:t>
      </w:r>
      <w:proofErr w:type="gramStart"/>
      <w:r w:rsidRPr="0054564D">
        <w:rPr>
          <w:rFonts w:ascii="Times New Roman" w:hAnsi="Times New Roman" w:cs="Times New Roman"/>
          <w:sz w:val="24"/>
          <w:szCs w:val="24"/>
        </w:rPr>
        <w:t>развитию новообразований</w:t>
      </w:r>
      <w:proofErr w:type="gramEnd"/>
      <w:r w:rsidRPr="0054564D">
        <w:rPr>
          <w:rFonts w:ascii="Times New Roman" w:hAnsi="Times New Roman" w:cs="Times New Roman"/>
          <w:sz w:val="24"/>
          <w:szCs w:val="24"/>
        </w:rPr>
        <w:t xml:space="preserve"> является контакт с канцерогенными веществами и материалами.</w:t>
      </w:r>
    </w:p>
    <w:p w:rsidR="008F3AF5" w:rsidRPr="0054564D" w:rsidRDefault="008F3AF5" w:rsidP="0054564D">
      <w:pPr>
        <w:pStyle w:val="a7"/>
        <w:ind w:firstLine="709"/>
        <w:jc w:val="both"/>
        <w:rPr>
          <w:sz w:val="24"/>
          <w:szCs w:val="24"/>
          <w:lang w:val="ru-RU"/>
        </w:rPr>
      </w:pPr>
      <w:r w:rsidRPr="0054564D">
        <w:rPr>
          <w:sz w:val="24"/>
          <w:szCs w:val="24"/>
          <w:lang w:val="ru-RU"/>
        </w:rPr>
        <w:t xml:space="preserve">Доля всех проб воздуха рабочей </w:t>
      </w:r>
      <w:proofErr w:type="gramStart"/>
      <w:r w:rsidRPr="0054564D">
        <w:rPr>
          <w:sz w:val="24"/>
          <w:szCs w:val="24"/>
          <w:lang w:val="ru-RU"/>
        </w:rPr>
        <w:t>зоны ,</w:t>
      </w:r>
      <w:proofErr w:type="gramEnd"/>
      <w:r w:rsidRPr="0054564D">
        <w:rPr>
          <w:sz w:val="24"/>
          <w:szCs w:val="24"/>
          <w:lang w:val="ru-RU"/>
        </w:rPr>
        <w:t xml:space="preserve"> не соответствующих требованиям составила в 2019году-1,7%, в 2018году 4,3% ,    в  2017году 1,7%., в 2020г-превышений не зарегистрировано.</w:t>
      </w:r>
    </w:p>
    <w:p w:rsidR="008F3AF5" w:rsidRPr="0054564D" w:rsidRDefault="008F3AF5" w:rsidP="0054564D">
      <w:pPr>
        <w:pStyle w:val="a7"/>
        <w:ind w:firstLine="709"/>
        <w:jc w:val="both"/>
        <w:rPr>
          <w:sz w:val="24"/>
          <w:szCs w:val="24"/>
        </w:rPr>
      </w:pPr>
      <w:r w:rsidRPr="0054564D">
        <w:rPr>
          <w:sz w:val="24"/>
          <w:szCs w:val="24"/>
        </w:rPr>
        <w:t>В 201</w:t>
      </w:r>
      <w:r w:rsidRPr="0054564D">
        <w:rPr>
          <w:sz w:val="24"/>
          <w:szCs w:val="24"/>
          <w:lang w:val="ru-RU"/>
        </w:rPr>
        <w:t xml:space="preserve">9 </w:t>
      </w:r>
      <w:r w:rsidRPr="0054564D">
        <w:rPr>
          <w:sz w:val="24"/>
          <w:szCs w:val="24"/>
        </w:rPr>
        <w:t xml:space="preserve">году доля проб на пары и газы в воздухе рабочей зоны составила  </w:t>
      </w:r>
      <w:r w:rsidRPr="0054564D">
        <w:rPr>
          <w:sz w:val="24"/>
          <w:szCs w:val="24"/>
          <w:lang w:val="ru-RU"/>
        </w:rPr>
        <w:t>1,9% 2018г-</w:t>
      </w:r>
      <w:r w:rsidRPr="0054564D">
        <w:rPr>
          <w:sz w:val="24"/>
          <w:szCs w:val="24"/>
        </w:rPr>
        <w:t>3,3%, тогда  как в  20</w:t>
      </w:r>
      <w:r w:rsidRPr="0054564D">
        <w:rPr>
          <w:sz w:val="24"/>
          <w:szCs w:val="24"/>
          <w:lang w:val="ru-RU"/>
        </w:rPr>
        <w:t>20</w:t>
      </w:r>
      <w:r w:rsidRPr="0054564D">
        <w:rPr>
          <w:sz w:val="24"/>
          <w:szCs w:val="24"/>
        </w:rPr>
        <w:t>году</w:t>
      </w:r>
      <w:r w:rsidRPr="0054564D">
        <w:rPr>
          <w:sz w:val="24"/>
          <w:szCs w:val="24"/>
          <w:lang w:val="ru-RU"/>
        </w:rPr>
        <w:t xml:space="preserve"> </w:t>
      </w:r>
      <w:r w:rsidRPr="0054564D">
        <w:rPr>
          <w:sz w:val="24"/>
          <w:szCs w:val="24"/>
        </w:rPr>
        <w:t xml:space="preserve">проб,  превышающих ПДК в воздухе рабочей зоны на пары и газы не зарегистрировано. </w:t>
      </w:r>
    </w:p>
    <w:p w:rsidR="008F3AF5" w:rsidRPr="0054564D" w:rsidRDefault="008F3AF5" w:rsidP="0054564D">
      <w:pPr>
        <w:spacing w:after="0" w:line="240" w:lineRule="auto"/>
        <w:jc w:val="both"/>
        <w:rPr>
          <w:rFonts w:ascii="Times New Roman" w:hAnsi="Times New Roman" w:cs="Times New Roman"/>
          <w:bCs/>
          <w:iCs/>
          <w:sz w:val="24"/>
          <w:szCs w:val="24"/>
          <w:highlight w:val="yellow"/>
        </w:rPr>
      </w:pPr>
      <w:r w:rsidRPr="0054564D">
        <w:rPr>
          <w:rFonts w:ascii="Times New Roman" w:hAnsi="Times New Roman" w:cs="Times New Roman"/>
          <w:sz w:val="24"/>
          <w:szCs w:val="24"/>
        </w:rPr>
        <w:t xml:space="preserve"> В 2020, 2019году </w:t>
      </w:r>
      <w:proofErr w:type="gramStart"/>
      <w:r w:rsidRPr="0054564D">
        <w:rPr>
          <w:rFonts w:ascii="Times New Roman" w:hAnsi="Times New Roman" w:cs="Times New Roman"/>
          <w:sz w:val="24"/>
          <w:szCs w:val="24"/>
        </w:rPr>
        <w:t>( в</w:t>
      </w:r>
      <w:proofErr w:type="gramEnd"/>
      <w:r w:rsidRPr="0054564D">
        <w:rPr>
          <w:rFonts w:ascii="Times New Roman" w:hAnsi="Times New Roman" w:cs="Times New Roman"/>
          <w:sz w:val="24"/>
          <w:szCs w:val="24"/>
        </w:rPr>
        <w:t xml:space="preserve"> связи с минимальным количеством заявок, поручений ТО )  не выявлено проб,  превышающих предельно-допустимые концентрации в воздухе рабочей зоны на пыль и аэрозоли, тогда как  доля проб в воздухе рабочей зоны  на пыль и аэрозоли превышающая ПДК в 2018гг составила 17,6 %.</w:t>
      </w:r>
      <w:r w:rsidRPr="0054564D">
        <w:rPr>
          <w:rFonts w:ascii="Times New Roman" w:hAnsi="Times New Roman" w:cs="Times New Roman"/>
          <w:sz w:val="24"/>
          <w:szCs w:val="24"/>
          <w:highlight w:val="yellow"/>
        </w:rPr>
        <w:t xml:space="preserve"> </w:t>
      </w:r>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bCs/>
          <w:iCs/>
          <w:sz w:val="24"/>
          <w:szCs w:val="24"/>
        </w:rPr>
        <w:t xml:space="preserve">2020году проб в воздухе рабочей </w:t>
      </w:r>
      <w:proofErr w:type="gramStart"/>
      <w:r w:rsidRPr="0054564D">
        <w:rPr>
          <w:rFonts w:ascii="Times New Roman" w:hAnsi="Times New Roman" w:cs="Times New Roman"/>
          <w:bCs/>
          <w:iCs/>
          <w:sz w:val="24"/>
          <w:szCs w:val="24"/>
        </w:rPr>
        <w:t>зоны ,</w:t>
      </w:r>
      <w:proofErr w:type="gramEnd"/>
      <w:r w:rsidRPr="0054564D">
        <w:rPr>
          <w:rFonts w:ascii="Times New Roman" w:hAnsi="Times New Roman" w:cs="Times New Roman"/>
          <w:bCs/>
          <w:iCs/>
          <w:sz w:val="24"/>
          <w:szCs w:val="24"/>
        </w:rPr>
        <w:t xml:space="preserve"> не соответствующих требованиям на пары и газы 1,2 класса опасности  не зарегистрировано. В 2019 году количество проб, </w:t>
      </w:r>
      <w:proofErr w:type="gramStart"/>
      <w:r w:rsidRPr="0054564D">
        <w:rPr>
          <w:rFonts w:ascii="Times New Roman" w:hAnsi="Times New Roman" w:cs="Times New Roman"/>
          <w:bCs/>
          <w:iCs/>
          <w:sz w:val="24"/>
          <w:szCs w:val="24"/>
        </w:rPr>
        <w:t>превышающих  ПДК</w:t>
      </w:r>
      <w:proofErr w:type="gramEnd"/>
      <w:r w:rsidRPr="0054564D">
        <w:rPr>
          <w:rFonts w:ascii="Times New Roman" w:hAnsi="Times New Roman" w:cs="Times New Roman"/>
          <w:bCs/>
          <w:iCs/>
          <w:sz w:val="24"/>
          <w:szCs w:val="24"/>
        </w:rPr>
        <w:t xml:space="preserve"> в воздухе  рабочей зоны на пары и газы 1,2 класса опасности  составило ( 9 проб), тогда как  в 2018г составила 6 проб, </w:t>
      </w:r>
    </w:p>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xml:space="preserve">     В детских дошкольных организациях в воздухе замкнутых помещений выявлены в 2018году пробы </w:t>
      </w:r>
      <w:proofErr w:type="gramStart"/>
      <w:r w:rsidRPr="0054564D">
        <w:rPr>
          <w:rFonts w:ascii="Times New Roman" w:hAnsi="Times New Roman" w:cs="Times New Roman"/>
          <w:sz w:val="24"/>
          <w:szCs w:val="24"/>
        </w:rPr>
        <w:t>( веществ</w:t>
      </w:r>
      <w:proofErr w:type="gramEnd"/>
      <w:r w:rsidRPr="0054564D">
        <w:rPr>
          <w:rFonts w:ascii="Times New Roman" w:hAnsi="Times New Roman" w:cs="Times New Roman"/>
          <w:sz w:val="24"/>
          <w:szCs w:val="24"/>
        </w:rPr>
        <w:t xml:space="preserve"> 1-2 класса опасности) превышающие ПДК по фенолу и формальдегиду, доля несоответствующих требованиям  гигиенических нормативов проб составила 3,3 %..В 2019г , в 2020г  превышений ПДК в воздухе замкнутых помещений не установлено.</w:t>
      </w:r>
    </w:p>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bCs/>
          <w:iCs/>
          <w:sz w:val="24"/>
          <w:szCs w:val="24"/>
        </w:rPr>
        <w:t>В</w:t>
      </w:r>
      <w:r w:rsidRPr="0054564D">
        <w:rPr>
          <w:rFonts w:ascii="Times New Roman" w:hAnsi="Times New Roman" w:cs="Times New Roman"/>
          <w:sz w:val="24"/>
          <w:szCs w:val="24"/>
        </w:rPr>
        <w:t xml:space="preserve"> 2020году процент проб не соответствующих требований в </w:t>
      </w:r>
      <w:proofErr w:type="gramStart"/>
      <w:r w:rsidRPr="0054564D">
        <w:rPr>
          <w:rFonts w:ascii="Times New Roman" w:hAnsi="Times New Roman" w:cs="Times New Roman"/>
          <w:bCs/>
          <w:iCs/>
          <w:sz w:val="24"/>
          <w:szCs w:val="24"/>
        </w:rPr>
        <w:t>воздухе  замкнутых</w:t>
      </w:r>
      <w:proofErr w:type="gramEnd"/>
      <w:r w:rsidRPr="0054564D">
        <w:rPr>
          <w:rFonts w:ascii="Times New Roman" w:hAnsi="Times New Roman" w:cs="Times New Roman"/>
          <w:bCs/>
          <w:iCs/>
          <w:sz w:val="24"/>
          <w:szCs w:val="24"/>
        </w:rPr>
        <w:t xml:space="preserve"> помещений организации коммунального и социального назначения составил 4,7% -регистрируется снижение на  6,2%, тогда как , в 2019г</w:t>
      </w:r>
      <w:r w:rsidRPr="0054564D">
        <w:rPr>
          <w:rFonts w:ascii="Times New Roman" w:hAnsi="Times New Roman" w:cs="Times New Roman"/>
          <w:sz w:val="24"/>
          <w:szCs w:val="24"/>
        </w:rPr>
        <w:t xml:space="preserve"> процент проб не соответствующих требований составил </w:t>
      </w:r>
      <w:r w:rsidRPr="0054564D">
        <w:rPr>
          <w:rFonts w:ascii="Times New Roman" w:hAnsi="Times New Roman" w:cs="Times New Roman"/>
          <w:bCs/>
          <w:iCs/>
          <w:sz w:val="24"/>
          <w:szCs w:val="24"/>
        </w:rPr>
        <w:t>10,9%, в т.ч. по веществам 1,2.класса опасности ( 6 проб),</w:t>
      </w:r>
      <w:r w:rsidRPr="0054564D">
        <w:rPr>
          <w:rFonts w:ascii="Times New Roman" w:hAnsi="Times New Roman" w:cs="Times New Roman"/>
          <w:sz w:val="24"/>
          <w:szCs w:val="24"/>
        </w:rPr>
        <w:t xml:space="preserve"> что свидетельствует о низком контроле  со стороны  руководителей учреждений при проведении строительных, ремонтных работ.  </w:t>
      </w:r>
      <w:r w:rsidRPr="0054564D">
        <w:rPr>
          <w:rFonts w:ascii="Times New Roman" w:hAnsi="Times New Roman" w:cs="Times New Roman"/>
          <w:bCs/>
          <w:iCs/>
          <w:sz w:val="24"/>
          <w:szCs w:val="24"/>
        </w:rPr>
        <w:t xml:space="preserve">  </w:t>
      </w:r>
      <w:proofErr w:type="gramStart"/>
      <w:r w:rsidRPr="0054564D">
        <w:rPr>
          <w:rFonts w:ascii="Times New Roman" w:hAnsi="Times New Roman" w:cs="Times New Roman"/>
          <w:bCs/>
          <w:iCs/>
          <w:sz w:val="24"/>
          <w:szCs w:val="24"/>
        </w:rPr>
        <w:t>В  2018</w:t>
      </w:r>
      <w:proofErr w:type="gramEnd"/>
      <w:r w:rsidRPr="0054564D">
        <w:rPr>
          <w:rFonts w:ascii="Times New Roman" w:hAnsi="Times New Roman" w:cs="Times New Roman"/>
          <w:bCs/>
          <w:iCs/>
          <w:sz w:val="24"/>
          <w:szCs w:val="24"/>
        </w:rPr>
        <w:t>г. при проведении исследований воздуха  замкнутых помещений организации коммунального и социального назначения пробы, не соответствующих требованиям гигиенических нормативов не  зарегистрированы.</w:t>
      </w:r>
    </w:p>
    <w:p w:rsidR="008F3AF5" w:rsidRPr="0054564D" w:rsidRDefault="008F3AF5" w:rsidP="0054564D">
      <w:pPr>
        <w:pStyle w:val="33"/>
        <w:spacing w:line="240" w:lineRule="auto"/>
        <w:ind w:firstLine="709"/>
        <w:rPr>
          <w:sz w:val="24"/>
          <w:szCs w:val="24"/>
        </w:rPr>
      </w:pPr>
      <w:r w:rsidRPr="0054564D">
        <w:rPr>
          <w:sz w:val="24"/>
          <w:szCs w:val="24"/>
        </w:rPr>
        <w:t>Помимо климатографических факторов на человеческий организм также воздействуют загрязнения атмосферного воздуха, питьевой воды и продуктов питания.</w:t>
      </w:r>
    </w:p>
    <w:p w:rsidR="008F3AF5" w:rsidRPr="0054564D" w:rsidRDefault="008F3AF5" w:rsidP="0054564D">
      <w:pPr>
        <w:spacing w:after="0" w:line="240" w:lineRule="auto"/>
        <w:ind w:firstLine="709"/>
        <w:jc w:val="both"/>
        <w:rPr>
          <w:rFonts w:ascii="Times New Roman" w:hAnsi="Times New Roman" w:cs="Times New Roman"/>
        </w:rPr>
      </w:pPr>
      <w:r w:rsidRPr="0054564D">
        <w:rPr>
          <w:rFonts w:ascii="Times New Roman" w:hAnsi="Times New Roman" w:cs="Times New Roman"/>
          <w:sz w:val="24"/>
          <w:szCs w:val="24"/>
        </w:rPr>
        <w:t>По-прежнему существует проблема обеспечения населения города доброкачественной питьевой водой и пищевыми продуктами.</w:t>
      </w:r>
      <w:r w:rsidRPr="0054564D">
        <w:rPr>
          <w:rFonts w:ascii="Times New Roman" w:hAnsi="Times New Roman" w:cs="Times New Roman"/>
        </w:rPr>
        <w:t xml:space="preserve"> </w:t>
      </w:r>
    </w:p>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xml:space="preserve">В питьевой воде – приоритетным загрязнением является повышенное содержание железа, перманганатной окисляемости, цветности </w:t>
      </w:r>
      <w:proofErr w:type="gramStart"/>
      <w:r w:rsidRPr="0054564D">
        <w:rPr>
          <w:rFonts w:ascii="Times New Roman" w:hAnsi="Times New Roman" w:cs="Times New Roman"/>
          <w:sz w:val="24"/>
          <w:szCs w:val="24"/>
        </w:rPr>
        <w:t>и  аммиака</w:t>
      </w:r>
      <w:proofErr w:type="gramEnd"/>
      <w:r w:rsidRPr="0054564D">
        <w:rPr>
          <w:rFonts w:ascii="Times New Roman" w:hAnsi="Times New Roman" w:cs="Times New Roman"/>
          <w:sz w:val="24"/>
          <w:szCs w:val="24"/>
        </w:rPr>
        <w:t xml:space="preserve"> характерное для подземных водоисточников. </w:t>
      </w:r>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 xml:space="preserve">В связи с вводом в </w:t>
      </w:r>
      <w:proofErr w:type="gramStart"/>
      <w:r w:rsidRPr="0054564D">
        <w:rPr>
          <w:rFonts w:ascii="Times New Roman" w:hAnsi="Times New Roman" w:cs="Times New Roman"/>
          <w:sz w:val="24"/>
          <w:szCs w:val="24"/>
        </w:rPr>
        <w:t>эксплуатацию  в</w:t>
      </w:r>
      <w:proofErr w:type="gramEnd"/>
      <w:r w:rsidRPr="0054564D">
        <w:rPr>
          <w:rFonts w:ascii="Times New Roman" w:hAnsi="Times New Roman" w:cs="Times New Roman"/>
          <w:sz w:val="24"/>
          <w:szCs w:val="24"/>
        </w:rPr>
        <w:t xml:space="preserve"> 2010г водоочистных сооружений на ВОС -1 (по 1 и 2 микрорайону города), а также установкой на организациях и предприятиях города локальных систем доочистки воды  процент проб не соответствующих требованиям по санитарно-химическим показателям в 2019 г. из разводящей системы составил – </w:t>
      </w:r>
      <w:r w:rsidRPr="0054564D">
        <w:rPr>
          <w:rFonts w:ascii="Times New Roman" w:hAnsi="Times New Roman" w:cs="Times New Roman"/>
          <w:color w:val="000000"/>
          <w:sz w:val="24"/>
          <w:szCs w:val="24"/>
        </w:rPr>
        <w:t>64,66%</w:t>
      </w:r>
      <w:r w:rsidRPr="0054564D">
        <w:rPr>
          <w:rFonts w:ascii="Times New Roman" w:hAnsi="Times New Roman" w:cs="Times New Roman"/>
          <w:sz w:val="24"/>
          <w:szCs w:val="24"/>
        </w:rPr>
        <w:t xml:space="preserve">%. ВОС-4 до настоящего времени не подключены к разводящей сети 2а мрн и находятся в стадии отработки технологического процесса. ВОС2, ВОС-3 </w:t>
      </w:r>
      <w:proofErr w:type="gramStart"/>
      <w:r w:rsidRPr="0054564D">
        <w:rPr>
          <w:rFonts w:ascii="Times New Roman" w:hAnsi="Times New Roman" w:cs="Times New Roman"/>
          <w:sz w:val="24"/>
          <w:szCs w:val="24"/>
        </w:rPr>
        <w:t>система  очистки</w:t>
      </w:r>
      <w:proofErr w:type="gramEnd"/>
      <w:r w:rsidRPr="0054564D">
        <w:rPr>
          <w:rFonts w:ascii="Times New Roman" w:hAnsi="Times New Roman" w:cs="Times New Roman"/>
          <w:sz w:val="24"/>
          <w:szCs w:val="24"/>
        </w:rPr>
        <w:t xml:space="preserve"> воды отсутствует.  В микрорайонах города (кроме </w:t>
      </w:r>
      <w:proofErr w:type="gramStart"/>
      <w:r w:rsidRPr="0054564D">
        <w:rPr>
          <w:rFonts w:ascii="Times New Roman" w:hAnsi="Times New Roman" w:cs="Times New Roman"/>
          <w:sz w:val="24"/>
          <w:szCs w:val="24"/>
        </w:rPr>
        <w:t>1,и</w:t>
      </w:r>
      <w:proofErr w:type="gramEnd"/>
      <w:r w:rsidRPr="0054564D">
        <w:rPr>
          <w:rFonts w:ascii="Times New Roman" w:hAnsi="Times New Roman" w:cs="Times New Roman"/>
          <w:sz w:val="24"/>
          <w:szCs w:val="24"/>
        </w:rPr>
        <w:t xml:space="preserve"> 2 мкр,  7мрн, 2 А) вода для хозяйственно-питьевых нужд поступает населению без соответствующей очистки и водоподготовки. Очистка распределительных сетей по микрорайонам города не проводилась. По данным СГМ за 2019,2018, </w:t>
      </w:r>
      <w:proofErr w:type="gramStart"/>
      <w:r w:rsidRPr="0054564D">
        <w:rPr>
          <w:rFonts w:ascii="Times New Roman" w:hAnsi="Times New Roman" w:cs="Times New Roman"/>
          <w:sz w:val="24"/>
          <w:szCs w:val="24"/>
        </w:rPr>
        <w:t>г  не</w:t>
      </w:r>
      <w:proofErr w:type="gramEnd"/>
      <w:r w:rsidRPr="0054564D">
        <w:rPr>
          <w:rFonts w:ascii="Times New Roman" w:hAnsi="Times New Roman" w:cs="Times New Roman"/>
          <w:sz w:val="24"/>
          <w:szCs w:val="24"/>
        </w:rPr>
        <w:t xml:space="preserve"> зарегистрировано ни одной пробы в водопроводе, магистральной сети, распределительной сети, соответствующей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w:t>
      </w:r>
      <w:proofErr w:type="gramStart"/>
      <w:r w:rsidRPr="0054564D">
        <w:rPr>
          <w:rFonts w:ascii="Times New Roman" w:hAnsi="Times New Roman" w:cs="Times New Roman"/>
          <w:sz w:val="24"/>
          <w:szCs w:val="24"/>
        </w:rPr>
        <w:t>водоснабжения»  (</w:t>
      </w:r>
      <w:proofErr w:type="gramEnd"/>
      <w:r w:rsidRPr="0054564D">
        <w:rPr>
          <w:rFonts w:ascii="Times New Roman" w:hAnsi="Times New Roman" w:cs="Times New Roman"/>
          <w:sz w:val="24"/>
          <w:szCs w:val="24"/>
        </w:rPr>
        <w:t xml:space="preserve">с изменениями на 28 июня 2010г.),  ГН </w:t>
      </w:r>
      <w:r w:rsidRPr="0054564D">
        <w:rPr>
          <w:rFonts w:ascii="Times New Roman" w:hAnsi="Times New Roman" w:cs="Times New Roman"/>
          <w:sz w:val="24"/>
          <w:szCs w:val="24"/>
        </w:rPr>
        <w:lastRenderedPageBreak/>
        <w:t>2.1.5.1315-03 «Предельно-допустимые концентрации химических веществ в воде водных объектов хозяйственно-питьевого и культурно-бытового водопользования</w:t>
      </w:r>
    </w:p>
    <w:p w:rsidR="008F3AF5" w:rsidRPr="0054564D" w:rsidRDefault="008F3AF5" w:rsidP="0054564D">
      <w:pPr>
        <w:autoSpaceDE w:val="0"/>
        <w:autoSpaceDN w:val="0"/>
        <w:adjustRightInd w:val="0"/>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xml:space="preserve">По санитарно-химически показателям вода питьевая, на выходе с ВОС, в магистральных и распределительных сетях города </w:t>
      </w:r>
      <w:proofErr w:type="gramStart"/>
      <w:r w:rsidRPr="0054564D">
        <w:rPr>
          <w:rFonts w:ascii="Times New Roman" w:hAnsi="Times New Roman" w:cs="Times New Roman"/>
          <w:sz w:val="24"/>
          <w:szCs w:val="24"/>
        </w:rPr>
        <w:t>город  по</w:t>
      </w:r>
      <w:proofErr w:type="gramEnd"/>
      <w:r w:rsidRPr="0054564D">
        <w:rPr>
          <w:rFonts w:ascii="Times New Roman" w:hAnsi="Times New Roman" w:cs="Times New Roman"/>
          <w:sz w:val="24"/>
          <w:szCs w:val="24"/>
        </w:rPr>
        <w:t xml:space="preserve"> результатам  проведенных лабораторных  исследований в рамках контрольно- надзорных мероприятий и  социально-гигиенического мониторинга за 2020год  не соответствуют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w:t>
      </w:r>
      <w:proofErr w:type="gramStart"/>
      <w:r w:rsidRPr="0054564D">
        <w:rPr>
          <w:rFonts w:ascii="Times New Roman" w:hAnsi="Times New Roman" w:cs="Times New Roman"/>
          <w:sz w:val="24"/>
          <w:szCs w:val="24"/>
        </w:rPr>
        <w:t>водоснабжения»  (</w:t>
      </w:r>
      <w:proofErr w:type="gramEnd"/>
      <w:r w:rsidRPr="0054564D">
        <w:rPr>
          <w:rFonts w:ascii="Times New Roman" w:hAnsi="Times New Roman" w:cs="Times New Roman"/>
          <w:sz w:val="24"/>
          <w:szCs w:val="24"/>
        </w:rPr>
        <w:t>с изменениями на 28 июня 2010г.),  ГН 2.1.5.1315-03 «Предельно-допустимые концентрации химических веществ в воде водных объектов хозяйственно-питьевого и культурно-бытового водопользования»:</w:t>
      </w:r>
    </w:p>
    <w:p w:rsidR="008F3AF5" w:rsidRPr="0054564D" w:rsidRDefault="008F3AF5" w:rsidP="0054564D">
      <w:pPr>
        <w:autoSpaceDE w:val="0"/>
        <w:autoSpaceDN w:val="0"/>
        <w:adjustRightInd w:val="0"/>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xml:space="preserve">-на выходе с ВОС-1 -   по средним показателям: аммиак (по азоту), фториды, </w:t>
      </w:r>
      <w:proofErr w:type="gramStart"/>
      <w:r w:rsidRPr="0054564D">
        <w:rPr>
          <w:rFonts w:ascii="Times New Roman" w:hAnsi="Times New Roman" w:cs="Times New Roman"/>
          <w:sz w:val="24"/>
          <w:szCs w:val="24"/>
        </w:rPr>
        <w:t>железо ,мутность</w:t>
      </w:r>
      <w:proofErr w:type="gramEnd"/>
      <w:r w:rsidRPr="0054564D">
        <w:rPr>
          <w:rFonts w:ascii="Times New Roman" w:hAnsi="Times New Roman" w:cs="Times New Roman"/>
          <w:sz w:val="24"/>
          <w:szCs w:val="24"/>
        </w:rPr>
        <w:t>.</w:t>
      </w:r>
    </w:p>
    <w:p w:rsidR="008F3AF5" w:rsidRPr="0054564D" w:rsidRDefault="008F3AF5" w:rsidP="0054564D">
      <w:pPr>
        <w:autoSpaceDE w:val="0"/>
        <w:autoSpaceDN w:val="0"/>
        <w:adjustRightInd w:val="0"/>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xml:space="preserve">-разводящей сети, (холодного </w:t>
      </w:r>
      <w:proofErr w:type="gramStart"/>
      <w:r w:rsidRPr="0054564D">
        <w:rPr>
          <w:rFonts w:ascii="Times New Roman" w:hAnsi="Times New Roman" w:cs="Times New Roman"/>
          <w:sz w:val="24"/>
          <w:szCs w:val="24"/>
        </w:rPr>
        <w:t>водоснабжения)-</w:t>
      </w:r>
      <w:proofErr w:type="gramEnd"/>
      <w:r w:rsidRPr="0054564D">
        <w:rPr>
          <w:rFonts w:ascii="Times New Roman" w:hAnsi="Times New Roman" w:cs="Times New Roman"/>
          <w:sz w:val="24"/>
          <w:szCs w:val="24"/>
        </w:rPr>
        <w:t xml:space="preserve"> по средним показателям: железо, мутность, цветность.</w:t>
      </w:r>
    </w:p>
    <w:p w:rsidR="008F3AF5" w:rsidRPr="0054564D" w:rsidRDefault="008F3AF5" w:rsidP="0054564D">
      <w:pPr>
        <w:autoSpaceDE w:val="0"/>
        <w:autoSpaceDN w:val="0"/>
        <w:adjustRightInd w:val="0"/>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-в магистральных сетях по средним показателям: железо.</w:t>
      </w:r>
    </w:p>
    <w:p w:rsidR="008F3AF5" w:rsidRPr="0054564D" w:rsidRDefault="008F3AF5" w:rsidP="0054564D">
      <w:pPr>
        <w:autoSpaceDE w:val="0"/>
        <w:autoSpaceDN w:val="0"/>
        <w:adjustRightInd w:val="0"/>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xml:space="preserve">ВОС-1 </w:t>
      </w:r>
    </w:p>
    <w:p w:rsidR="008F3AF5" w:rsidRPr="0054564D" w:rsidRDefault="008F3AF5" w:rsidP="0054564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4564D">
        <w:rPr>
          <w:rFonts w:ascii="Times New Roman" w:hAnsi="Times New Roman" w:cs="Times New Roman"/>
          <w:sz w:val="24"/>
          <w:szCs w:val="24"/>
        </w:rPr>
        <w:t>-на выходе с ВОС-1 -   по средним показателям:</w:t>
      </w:r>
      <w:r w:rsidRPr="0054564D">
        <w:rPr>
          <w:rFonts w:ascii="Times New Roman" w:hAnsi="Times New Roman" w:cs="Times New Roman"/>
          <w:color w:val="000000"/>
          <w:sz w:val="24"/>
          <w:szCs w:val="24"/>
        </w:rPr>
        <w:t xml:space="preserve"> аммиак (по азоту), </w:t>
      </w:r>
      <w:proofErr w:type="gramStart"/>
      <w:r w:rsidRPr="0054564D">
        <w:rPr>
          <w:rFonts w:ascii="Times New Roman" w:hAnsi="Times New Roman" w:cs="Times New Roman"/>
          <w:color w:val="000000"/>
          <w:sz w:val="24"/>
          <w:szCs w:val="24"/>
        </w:rPr>
        <w:t>железо ,мутность</w:t>
      </w:r>
      <w:proofErr w:type="gramEnd"/>
      <w:r w:rsidRPr="0054564D">
        <w:rPr>
          <w:rFonts w:ascii="Times New Roman" w:hAnsi="Times New Roman" w:cs="Times New Roman"/>
          <w:color w:val="000000"/>
          <w:sz w:val="24"/>
          <w:szCs w:val="24"/>
        </w:rPr>
        <w:t>.</w:t>
      </w:r>
    </w:p>
    <w:p w:rsidR="008F3AF5" w:rsidRPr="0054564D" w:rsidRDefault="008F3AF5" w:rsidP="0054564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4564D">
        <w:rPr>
          <w:rFonts w:ascii="Times New Roman" w:hAnsi="Times New Roman" w:cs="Times New Roman"/>
          <w:sz w:val="24"/>
          <w:szCs w:val="24"/>
        </w:rPr>
        <w:t xml:space="preserve">-разводящей сети, (холодного </w:t>
      </w:r>
      <w:proofErr w:type="gramStart"/>
      <w:r w:rsidRPr="0054564D">
        <w:rPr>
          <w:rFonts w:ascii="Times New Roman" w:hAnsi="Times New Roman" w:cs="Times New Roman"/>
          <w:sz w:val="24"/>
          <w:szCs w:val="24"/>
        </w:rPr>
        <w:t>водоснабжения)-</w:t>
      </w:r>
      <w:proofErr w:type="gramEnd"/>
      <w:r w:rsidRPr="0054564D">
        <w:rPr>
          <w:rFonts w:ascii="Times New Roman" w:hAnsi="Times New Roman" w:cs="Times New Roman"/>
          <w:sz w:val="24"/>
          <w:szCs w:val="24"/>
        </w:rPr>
        <w:t xml:space="preserve"> по средним показателям: железо, </w:t>
      </w:r>
      <w:r w:rsidRPr="0054564D">
        <w:rPr>
          <w:rFonts w:ascii="Times New Roman" w:hAnsi="Times New Roman" w:cs="Times New Roman"/>
          <w:color w:val="000000"/>
          <w:sz w:val="24"/>
          <w:szCs w:val="24"/>
        </w:rPr>
        <w:t>мутность, цветность.</w:t>
      </w:r>
    </w:p>
    <w:p w:rsidR="008F3AF5" w:rsidRPr="0054564D" w:rsidRDefault="008F3AF5" w:rsidP="0054564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4564D">
        <w:rPr>
          <w:rFonts w:ascii="Times New Roman" w:hAnsi="Times New Roman" w:cs="Times New Roman"/>
          <w:color w:val="000000"/>
          <w:sz w:val="24"/>
          <w:szCs w:val="24"/>
        </w:rPr>
        <w:t>-в магистральных сетях</w:t>
      </w:r>
      <w:r w:rsidRPr="0054564D">
        <w:rPr>
          <w:rFonts w:ascii="Times New Roman" w:hAnsi="Times New Roman" w:cs="Times New Roman"/>
          <w:sz w:val="24"/>
          <w:szCs w:val="24"/>
        </w:rPr>
        <w:t xml:space="preserve"> по средним показателям: железо.</w:t>
      </w:r>
    </w:p>
    <w:p w:rsidR="008F3AF5" w:rsidRPr="0054564D" w:rsidRDefault="008F3AF5" w:rsidP="0054564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4564D">
        <w:rPr>
          <w:rFonts w:ascii="Times New Roman" w:hAnsi="Times New Roman" w:cs="Times New Roman"/>
          <w:sz w:val="24"/>
          <w:szCs w:val="24"/>
        </w:rPr>
        <w:t>ВОС-</w:t>
      </w:r>
      <w:proofErr w:type="gramStart"/>
      <w:r w:rsidRPr="0054564D">
        <w:rPr>
          <w:rFonts w:ascii="Times New Roman" w:hAnsi="Times New Roman" w:cs="Times New Roman"/>
          <w:sz w:val="24"/>
          <w:szCs w:val="24"/>
        </w:rPr>
        <w:t>2 :на</w:t>
      </w:r>
      <w:proofErr w:type="gramEnd"/>
      <w:r w:rsidRPr="0054564D">
        <w:rPr>
          <w:rFonts w:ascii="Times New Roman" w:hAnsi="Times New Roman" w:cs="Times New Roman"/>
          <w:sz w:val="24"/>
          <w:szCs w:val="24"/>
        </w:rPr>
        <w:t xml:space="preserve"> выходе с ВОС-2 -   по средним показателям:  о</w:t>
      </w:r>
      <w:r w:rsidRPr="0054564D">
        <w:rPr>
          <w:rFonts w:ascii="Times New Roman" w:hAnsi="Times New Roman" w:cs="Times New Roman"/>
          <w:color w:val="000000"/>
          <w:sz w:val="24"/>
          <w:szCs w:val="24"/>
        </w:rPr>
        <w:t>кисляемость перманганатная, железо, аммиак (по азоту),  привкус ,цветность, мутность;</w:t>
      </w:r>
    </w:p>
    <w:p w:rsidR="008F3AF5" w:rsidRPr="0054564D" w:rsidRDefault="008F3AF5" w:rsidP="0054564D">
      <w:pPr>
        <w:autoSpaceDE w:val="0"/>
        <w:autoSpaceDN w:val="0"/>
        <w:adjustRightInd w:val="0"/>
        <w:spacing w:after="0" w:line="240" w:lineRule="auto"/>
        <w:ind w:firstLine="708"/>
        <w:jc w:val="both"/>
        <w:rPr>
          <w:rFonts w:ascii="Times New Roman" w:hAnsi="Times New Roman" w:cs="Times New Roman"/>
          <w:color w:val="000000"/>
          <w:sz w:val="24"/>
          <w:szCs w:val="24"/>
          <w:highlight w:val="yellow"/>
        </w:rPr>
      </w:pPr>
      <w:r w:rsidRPr="0054564D">
        <w:rPr>
          <w:rFonts w:ascii="Times New Roman" w:hAnsi="Times New Roman" w:cs="Times New Roman"/>
          <w:sz w:val="24"/>
          <w:szCs w:val="24"/>
        </w:rPr>
        <w:t xml:space="preserve">-из разводящей сети, (холодного водоснабжения) -   по средним показателям: </w:t>
      </w:r>
      <w:proofErr w:type="gramStart"/>
      <w:r w:rsidRPr="0054564D">
        <w:rPr>
          <w:rFonts w:ascii="Times New Roman" w:hAnsi="Times New Roman" w:cs="Times New Roman"/>
          <w:sz w:val="24"/>
          <w:szCs w:val="24"/>
        </w:rPr>
        <w:t>цветность,  о</w:t>
      </w:r>
      <w:r w:rsidRPr="0054564D">
        <w:rPr>
          <w:rFonts w:ascii="Times New Roman" w:hAnsi="Times New Roman" w:cs="Times New Roman"/>
          <w:color w:val="000000"/>
          <w:sz w:val="24"/>
          <w:szCs w:val="24"/>
        </w:rPr>
        <w:t>кисляемость</w:t>
      </w:r>
      <w:proofErr w:type="gramEnd"/>
      <w:r w:rsidRPr="0054564D">
        <w:rPr>
          <w:rFonts w:ascii="Times New Roman" w:hAnsi="Times New Roman" w:cs="Times New Roman"/>
          <w:color w:val="000000"/>
          <w:sz w:val="24"/>
          <w:szCs w:val="24"/>
        </w:rPr>
        <w:t xml:space="preserve"> перманганатная, железо, привкус ,мутность, запах при  60</w:t>
      </w:r>
      <w:r w:rsidRPr="0054564D">
        <w:rPr>
          <w:rFonts w:ascii="Times New Roman" w:hAnsi="Times New Roman" w:cs="Times New Roman"/>
          <w:color w:val="000000"/>
          <w:sz w:val="24"/>
          <w:szCs w:val="24"/>
          <w:vertAlign w:val="superscript"/>
        </w:rPr>
        <w:t>0</w:t>
      </w:r>
      <w:r w:rsidRPr="0054564D">
        <w:rPr>
          <w:rFonts w:ascii="Times New Roman" w:hAnsi="Times New Roman" w:cs="Times New Roman"/>
          <w:color w:val="000000"/>
          <w:sz w:val="24"/>
          <w:szCs w:val="24"/>
        </w:rPr>
        <w:t>С</w:t>
      </w:r>
    </w:p>
    <w:p w:rsidR="008F3AF5" w:rsidRPr="0054564D" w:rsidRDefault="008F3AF5" w:rsidP="0054564D">
      <w:pPr>
        <w:autoSpaceDE w:val="0"/>
        <w:autoSpaceDN w:val="0"/>
        <w:adjustRightInd w:val="0"/>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xml:space="preserve">-на выходе с ВОС-3 - по средним </w:t>
      </w:r>
      <w:proofErr w:type="gramStart"/>
      <w:r w:rsidRPr="0054564D">
        <w:rPr>
          <w:rFonts w:ascii="Times New Roman" w:hAnsi="Times New Roman" w:cs="Times New Roman"/>
          <w:sz w:val="24"/>
          <w:szCs w:val="24"/>
        </w:rPr>
        <w:t>показателям:  аммиак</w:t>
      </w:r>
      <w:proofErr w:type="gramEnd"/>
      <w:r w:rsidRPr="0054564D">
        <w:rPr>
          <w:rFonts w:ascii="Times New Roman" w:hAnsi="Times New Roman" w:cs="Times New Roman"/>
          <w:sz w:val="24"/>
          <w:szCs w:val="24"/>
        </w:rPr>
        <w:t xml:space="preserve"> (по азоту), цветность, аммиак,  о</w:t>
      </w:r>
      <w:r w:rsidRPr="0054564D">
        <w:rPr>
          <w:rFonts w:ascii="Times New Roman" w:hAnsi="Times New Roman" w:cs="Times New Roman"/>
          <w:color w:val="000000"/>
          <w:sz w:val="24"/>
          <w:szCs w:val="24"/>
        </w:rPr>
        <w:t>кисляемость перманганатная, железо, привкус,</w:t>
      </w:r>
      <w:r w:rsidRPr="0054564D">
        <w:rPr>
          <w:rFonts w:ascii="Times New Roman" w:hAnsi="Times New Roman" w:cs="Times New Roman"/>
          <w:sz w:val="24"/>
          <w:szCs w:val="24"/>
        </w:rPr>
        <w:t xml:space="preserve"> </w:t>
      </w:r>
    </w:p>
    <w:p w:rsidR="008F3AF5" w:rsidRPr="0054564D" w:rsidRDefault="008F3AF5" w:rsidP="0054564D">
      <w:pPr>
        <w:autoSpaceDE w:val="0"/>
        <w:autoSpaceDN w:val="0"/>
        <w:adjustRightInd w:val="0"/>
        <w:spacing w:after="0" w:line="240" w:lineRule="auto"/>
        <w:jc w:val="both"/>
        <w:rPr>
          <w:rFonts w:ascii="Times New Roman" w:hAnsi="Times New Roman" w:cs="Times New Roman"/>
          <w:color w:val="000000"/>
          <w:sz w:val="24"/>
          <w:szCs w:val="24"/>
        </w:rPr>
      </w:pPr>
      <w:r w:rsidRPr="0054564D">
        <w:rPr>
          <w:rFonts w:ascii="Times New Roman" w:hAnsi="Times New Roman" w:cs="Times New Roman"/>
          <w:color w:val="000000"/>
          <w:sz w:val="24"/>
          <w:szCs w:val="24"/>
        </w:rPr>
        <w:t>-в магистральных сетях</w:t>
      </w:r>
      <w:r w:rsidRPr="0054564D">
        <w:rPr>
          <w:rFonts w:ascii="Times New Roman" w:hAnsi="Times New Roman" w:cs="Times New Roman"/>
          <w:sz w:val="24"/>
          <w:szCs w:val="24"/>
        </w:rPr>
        <w:t xml:space="preserve"> по средним </w:t>
      </w:r>
      <w:proofErr w:type="gramStart"/>
      <w:r w:rsidRPr="0054564D">
        <w:rPr>
          <w:rFonts w:ascii="Times New Roman" w:hAnsi="Times New Roman" w:cs="Times New Roman"/>
          <w:sz w:val="24"/>
          <w:szCs w:val="24"/>
        </w:rPr>
        <w:t>показателям:  аммиак</w:t>
      </w:r>
      <w:proofErr w:type="gramEnd"/>
      <w:r w:rsidRPr="0054564D">
        <w:rPr>
          <w:rFonts w:ascii="Times New Roman" w:hAnsi="Times New Roman" w:cs="Times New Roman"/>
          <w:sz w:val="24"/>
          <w:szCs w:val="24"/>
        </w:rPr>
        <w:t xml:space="preserve"> (по азоту), </w:t>
      </w:r>
      <w:r w:rsidRPr="0054564D">
        <w:rPr>
          <w:rFonts w:ascii="Times New Roman" w:hAnsi="Times New Roman" w:cs="Times New Roman"/>
          <w:color w:val="000000"/>
          <w:sz w:val="24"/>
          <w:szCs w:val="24"/>
        </w:rPr>
        <w:t xml:space="preserve">железо, </w:t>
      </w:r>
      <w:r w:rsidRPr="0054564D">
        <w:rPr>
          <w:rFonts w:ascii="Times New Roman" w:hAnsi="Times New Roman" w:cs="Times New Roman"/>
          <w:sz w:val="24"/>
          <w:szCs w:val="24"/>
        </w:rPr>
        <w:t>запах при 60 °C, о</w:t>
      </w:r>
      <w:r w:rsidRPr="0054564D">
        <w:rPr>
          <w:rFonts w:ascii="Times New Roman" w:hAnsi="Times New Roman" w:cs="Times New Roman"/>
          <w:color w:val="000000"/>
          <w:sz w:val="24"/>
          <w:szCs w:val="24"/>
        </w:rPr>
        <w:t>кисляемость перманганатная, мутность, привкус, цветность;</w:t>
      </w:r>
    </w:p>
    <w:p w:rsidR="008F3AF5" w:rsidRPr="0054564D" w:rsidRDefault="008F3AF5" w:rsidP="0054564D">
      <w:pPr>
        <w:autoSpaceDE w:val="0"/>
        <w:autoSpaceDN w:val="0"/>
        <w:adjustRightInd w:val="0"/>
        <w:spacing w:after="0" w:line="240" w:lineRule="auto"/>
        <w:jc w:val="both"/>
        <w:rPr>
          <w:rFonts w:ascii="Times New Roman" w:hAnsi="Times New Roman" w:cs="Times New Roman"/>
          <w:color w:val="000000"/>
          <w:sz w:val="24"/>
          <w:szCs w:val="24"/>
        </w:rPr>
      </w:pPr>
      <w:r w:rsidRPr="0054564D">
        <w:rPr>
          <w:rFonts w:ascii="Times New Roman" w:hAnsi="Times New Roman" w:cs="Times New Roman"/>
          <w:color w:val="000000"/>
          <w:sz w:val="24"/>
          <w:szCs w:val="24"/>
        </w:rPr>
        <w:t xml:space="preserve">ВОС-4 </w:t>
      </w:r>
      <w:r w:rsidRPr="0054564D">
        <w:rPr>
          <w:rFonts w:ascii="Times New Roman" w:hAnsi="Times New Roman" w:cs="Times New Roman"/>
          <w:sz w:val="24"/>
          <w:szCs w:val="24"/>
        </w:rPr>
        <w:t>на выходе с ВОС-</w:t>
      </w:r>
      <w:proofErr w:type="gramStart"/>
      <w:r w:rsidRPr="0054564D">
        <w:rPr>
          <w:rFonts w:ascii="Times New Roman" w:hAnsi="Times New Roman" w:cs="Times New Roman"/>
          <w:sz w:val="24"/>
          <w:szCs w:val="24"/>
        </w:rPr>
        <w:t>4  по</w:t>
      </w:r>
      <w:proofErr w:type="gramEnd"/>
      <w:r w:rsidRPr="0054564D">
        <w:rPr>
          <w:rFonts w:ascii="Times New Roman" w:hAnsi="Times New Roman" w:cs="Times New Roman"/>
          <w:sz w:val="24"/>
          <w:szCs w:val="24"/>
        </w:rPr>
        <w:t xml:space="preserve"> средним показателям:  запах при 20 °C ,запах при 60 °C , привкус, мутность.  </w:t>
      </w:r>
      <w:proofErr w:type="gramStart"/>
      <w:r w:rsidRPr="0054564D">
        <w:rPr>
          <w:rFonts w:ascii="Times New Roman" w:hAnsi="Times New Roman" w:cs="Times New Roman"/>
          <w:sz w:val="24"/>
          <w:szCs w:val="24"/>
        </w:rPr>
        <w:t xml:space="preserve">цветность,   </w:t>
      </w:r>
      <w:proofErr w:type="gramEnd"/>
      <w:r w:rsidRPr="0054564D">
        <w:rPr>
          <w:rFonts w:ascii="Times New Roman" w:hAnsi="Times New Roman" w:cs="Times New Roman"/>
          <w:sz w:val="24"/>
          <w:szCs w:val="24"/>
        </w:rPr>
        <w:t>о</w:t>
      </w:r>
      <w:r w:rsidRPr="0054564D">
        <w:rPr>
          <w:rFonts w:ascii="Times New Roman" w:hAnsi="Times New Roman" w:cs="Times New Roman"/>
          <w:color w:val="000000"/>
          <w:sz w:val="24"/>
          <w:szCs w:val="24"/>
        </w:rPr>
        <w:t>кисляемость перманганатная, железо, аммиак ( по азоту);</w:t>
      </w:r>
    </w:p>
    <w:p w:rsidR="008F3AF5" w:rsidRPr="0054564D" w:rsidRDefault="008F3AF5" w:rsidP="0054564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4564D">
        <w:rPr>
          <w:rFonts w:ascii="Times New Roman" w:hAnsi="Times New Roman" w:cs="Times New Roman"/>
          <w:sz w:val="24"/>
          <w:szCs w:val="24"/>
        </w:rPr>
        <w:t>-из разводящей сети (холодного водоснабжения) по средним показателям -   по средним показателям: запах при 60 °</w:t>
      </w:r>
      <w:proofErr w:type="gramStart"/>
      <w:r w:rsidRPr="0054564D">
        <w:rPr>
          <w:rFonts w:ascii="Times New Roman" w:hAnsi="Times New Roman" w:cs="Times New Roman"/>
          <w:sz w:val="24"/>
          <w:szCs w:val="24"/>
        </w:rPr>
        <w:t>C ,</w:t>
      </w:r>
      <w:proofErr w:type="gramEnd"/>
      <w:r w:rsidRPr="0054564D">
        <w:rPr>
          <w:rFonts w:ascii="Times New Roman" w:hAnsi="Times New Roman" w:cs="Times New Roman"/>
          <w:sz w:val="24"/>
          <w:szCs w:val="24"/>
        </w:rPr>
        <w:t xml:space="preserve"> привкус, мутность.  </w:t>
      </w:r>
      <w:proofErr w:type="gramStart"/>
      <w:r w:rsidRPr="0054564D">
        <w:rPr>
          <w:rFonts w:ascii="Times New Roman" w:hAnsi="Times New Roman" w:cs="Times New Roman"/>
          <w:sz w:val="24"/>
          <w:szCs w:val="24"/>
        </w:rPr>
        <w:t xml:space="preserve">цветность,   </w:t>
      </w:r>
      <w:proofErr w:type="gramEnd"/>
      <w:r w:rsidRPr="0054564D">
        <w:rPr>
          <w:rFonts w:ascii="Times New Roman" w:hAnsi="Times New Roman" w:cs="Times New Roman"/>
          <w:sz w:val="24"/>
          <w:szCs w:val="24"/>
        </w:rPr>
        <w:t>о</w:t>
      </w:r>
      <w:r w:rsidRPr="0054564D">
        <w:rPr>
          <w:rFonts w:ascii="Times New Roman" w:hAnsi="Times New Roman" w:cs="Times New Roman"/>
          <w:color w:val="000000"/>
          <w:sz w:val="24"/>
          <w:szCs w:val="24"/>
        </w:rPr>
        <w:t>кисляемость перманганатная, железо ;</w:t>
      </w:r>
    </w:p>
    <w:p w:rsidR="008F3AF5" w:rsidRPr="0054564D" w:rsidRDefault="008F3AF5" w:rsidP="0054564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4564D">
        <w:rPr>
          <w:rFonts w:ascii="Times New Roman" w:hAnsi="Times New Roman" w:cs="Times New Roman"/>
          <w:color w:val="000000"/>
          <w:sz w:val="24"/>
          <w:szCs w:val="24"/>
        </w:rPr>
        <w:t>-в магистральных сетях</w:t>
      </w:r>
      <w:r w:rsidRPr="0054564D">
        <w:rPr>
          <w:rFonts w:ascii="Times New Roman" w:hAnsi="Times New Roman" w:cs="Times New Roman"/>
          <w:sz w:val="24"/>
          <w:szCs w:val="24"/>
        </w:rPr>
        <w:t xml:space="preserve"> по средним показателям: по показателям: запах при 20 °</w:t>
      </w:r>
      <w:proofErr w:type="gramStart"/>
      <w:r w:rsidRPr="0054564D">
        <w:rPr>
          <w:rFonts w:ascii="Times New Roman" w:hAnsi="Times New Roman" w:cs="Times New Roman"/>
          <w:sz w:val="24"/>
          <w:szCs w:val="24"/>
        </w:rPr>
        <w:t>C ,запах</w:t>
      </w:r>
      <w:proofErr w:type="gramEnd"/>
      <w:r w:rsidRPr="0054564D">
        <w:rPr>
          <w:rFonts w:ascii="Times New Roman" w:hAnsi="Times New Roman" w:cs="Times New Roman"/>
          <w:sz w:val="24"/>
          <w:szCs w:val="24"/>
        </w:rPr>
        <w:t xml:space="preserve"> при 60 °C , привкус, мутность.  </w:t>
      </w:r>
      <w:proofErr w:type="gramStart"/>
      <w:r w:rsidRPr="0054564D">
        <w:rPr>
          <w:rFonts w:ascii="Times New Roman" w:hAnsi="Times New Roman" w:cs="Times New Roman"/>
          <w:sz w:val="24"/>
          <w:szCs w:val="24"/>
        </w:rPr>
        <w:t xml:space="preserve">цветность,   </w:t>
      </w:r>
      <w:proofErr w:type="gramEnd"/>
      <w:r w:rsidRPr="0054564D">
        <w:rPr>
          <w:rFonts w:ascii="Times New Roman" w:hAnsi="Times New Roman" w:cs="Times New Roman"/>
          <w:sz w:val="24"/>
          <w:szCs w:val="24"/>
        </w:rPr>
        <w:t>о</w:t>
      </w:r>
      <w:r w:rsidRPr="0054564D">
        <w:rPr>
          <w:rFonts w:ascii="Times New Roman" w:hAnsi="Times New Roman" w:cs="Times New Roman"/>
          <w:color w:val="000000"/>
          <w:sz w:val="24"/>
          <w:szCs w:val="24"/>
        </w:rPr>
        <w:t>кисляемость перманганатная, железо, аммиак ( по азоту);</w:t>
      </w:r>
    </w:p>
    <w:p w:rsidR="008F3AF5" w:rsidRPr="0054564D" w:rsidRDefault="008F3AF5" w:rsidP="0054564D">
      <w:pPr>
        <w:autoSpaceDE w:val="0"/>
        <w:autoSpaceDN w:val="0"/>
        <w:adjustRightInd w:val="0"/>
        <w:spacing w:after="0" w:line="240" w:lineRule="auto"/>
        <w:jc w:val="both"/>
        <w:rPr>
          <w:rFonts w:ascii="Times New Roman" w:hAnsi="Times New Roman" w:cs="Times New Roman"/>
          <w:b/>
          <w:sz w:val="24"/>
          <w:szCs w:val="24"/>
        </w:rPr>
      </w:pPr>
      <w:r w:rsidRPr="0054564D">
        <w:rPr>
          <w:rFonts w:ascii="Times New Roman" w:hAnsi="Times New Roman" w:cs="Times New Roman"/>
          <w:sz w:val="24"/>
          <w:szCs w:val="24"/>
        </w:rPr>
        <w:t xml:space="preserve">ВОС «Южно-Балыкского </w:t>
      </w:r>
      <w:proofErr w:type="gramStart"/>
      <w:r w:rsidRPr="0054564D">
        <w:rPr>
          <w:rFonts w:ascii="Times New Roman" w:hAnsi="Times New Roman" w:cs="Times New Roman"/>
          <w:sz w:val="24"/>
          <w:szCs w:val="24"/>
        </w:rPr>
        <w:t>ГПЗ»-</w:t>
      </w:r>
      <w:proofErr w:type="gramEnd"/>
      <w:r w:rsidRPr="0054564D">
        <w:rPr>
          <w:rFonts w:ascii="Times New Roman" w:hAnsi="Times New Roman" w:cs="Times New Roman"/>
          <w:sz w:val="24"/>
          <w:szCs w:val="24"/>
        </w:rPr>
        <w:t>филиал «СибурТюменьГаз</w:t>
      </w:r>
      <w:r w:rsidRPr="0054564D">
        <w:rPr>
          <w:rFonts w:ascii="Times New Roman" w:hAnsi="Times New Roman" w:cs="Times New Roman"/>
          <w:b/>
          <w:sz w:val="24"/>
          <w:szCs w:val="24"/>
        </w:rPr>
        <w:t xml:space="preserve">»: </w:t>
      </w:r>
    </w:p>
    <w:p w:rsidR="008F3AF5" w:rsidRPr="0054564D" w:rsidRDefault="008F3AF5" w:rsidP="0054564D">
      <w:pPr>
        <w:autoSpaceDE w:val="0"/>
        <w:autoSpaceDN w:val="0"/>
        <w:adjustRightInd w:val="0"/>
        <w:spacing w:after="0" w:line="240" w:lineRule="auto"/>
        <w:jc w:val="both"/>
        <w:rPr>
          <w:rFonts w:ascii="Times New Roman" w:hAnsi="Times New Roman" w:cs="Times New Roman"/>
          <w:color w:val="000000"/>
          <w:sz w:val="24"/>
          <w:szCs w:val="24"/>
        </w:rPr>
      </w:pPr>
      <w:r w:rsidRPr="0054564D">
        <w:rPr>
          <w:rFonts w:ascii="Times New Roman" w:hAnsi="Times New Roman" w:cs="Times New Roman"/>
          <w:sz w:val="24"/>
          <w:szCs w:val="24"/>
        </w:rPr>
        <w:t xml:space="preserve">-на выходе с ВОС по средним показателям: </w:t>
      </w:r>
      <w:r w:rsidRPr="0054564D">
        <w:rPr>
          <w:rFonts w:ascii="Times New Roman" w:hAnsi="Times New Roman" w:cs="Times New Roman"/>
          <w:color w:val="000000"/>
          <w:sz w:val="24"/>
          <w:szCs w:val="24"/>
        </w:rPr>
        <w:t>железо, мутность;</w:t>
      </w:r>
    </w:p>
    <w:p w:rsidR="008F3AF5" w:rsidRPr="0054564D" w:rsidRDefault="008F3AF5" w:rsidP="0054564D">
      <w:pPr>
        <w:autoSpaceDE w:val="0"/>
        <w:autoSpaceDN w:val="0"/>
        <w:adjustRightInd w:val="0"/>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xml:space="preserve">-разводящей сети (холодного </w:t>
      </w:r>
      <w:proofErr w:type="gramStart"/>
      <w:r w:rsidRPr="0054564D">
        <w:rPr>
          <w:rFonts w:ascii="Times New Roman" w:hAnsi="Times New Roman" w:cs="Times New Roman"/>
          <w:sz w:val="24"/>
          <w:szCs w:val="24"/>
        </w:rPr>
        <w:t>водоснабжения)-</w:t>
      </w:r>
      <w:proofErr w:type="gramEnd"/>
      <w:r w:rsidRPr="0054564D">
        <w:rPr>
          <w:rFonts w:ascii="Times New Roman" w:hAnsi="Times New Roman" w:cs="Times New Roman"/>
          <w:sz w:val="24"/>
          <w:szCs w:val="24"/>
        </w:rPr>
        <w:t xml:space="preserve">   по средним показателям: окисляемость  перманганатная, цветность, мутность</w:t>
      </w:r>
      <w:r w:rsidRPr="0054564D">
        <w:rPr>
          <w:rFonts w:ascii="Times New Roman" w:hAnsi="Times New Roman" w:cs="Times New Roman"/>
          <w:color w:val="000000"/>
          <w:sz w:val="24"/>
          <w:szCs w:val="24"/>
        </w:rPr>
        <w:t>, железо, аммиак (по азоту),</w:t>
      </w:r>
      <w:r w:rsidRPr="0054564D">
        <w:rPr>
          <w:rFonts w:ascii="Times New Roman" w:hAnsi="Times New Roman" w:cs="Times New Roman"/>
          <w:sz w:val="24"/>
          <w:szCs w:val="24"/>
        </w:rPr>
        <w:t xml:space="preserve"> </w:t>
      </w:r>
    </w:p>
    <w:p w:rsidR="008F3AF5" w:rsidRPr="0054564D" w:rsidRDefault="008F3AF5" w:rsidP="0054564D">
      <w:pPr>
        <w:autoSpaceDE w:val="0"/>
        <w:autoSpaceDN w:val="0"/>
        <w:adjustRightInd w:val="0"/>
        <w:spacing w:after="0" w:line="240" w:lineRule="auto"/>
        <w:jc w:val="both"/>
        <w:rPr>
          <w:rFonts w:ascii="Times New Roman" w:hAnsi="Times New Roman" w:cs="Times New Roman"/>
          <w:color w:val="000000"/>
          <w:sz w:val="24"/>
          <w:szCs w:val="24"/>
        </w:rPr>
      </w:pPr>
      <w:r w:rsidRPr="0054564D">
        <w:rPr>
          <w:rFonts w:ascii="Times New Roman" w:hAnsi="Times New Roman" w:cs="Times New Roman"/>
          <w:color w:val="000000"/>
          <w:sz w:val="24"/>
          <w:szCs w:val="24"/>
        </w:rPr>
        <w:t>-из магистральных сетей-</w:t>
      </w:r>
      <w:r w:rsidRPr="0054564D">
        <w:rPr>
          <w:rFonts w:ascii="Times New Roman" w:hAnsi="Times New Roman" w:cs="Times New Roman"/>
          <w:sz w:val="24"/>
          <w:szCs w:val="24"/>
        </w:rPr>
        <w:t xml:space="preserve"> по средним </w:t>
      </w:r>
      <w:proofErr w:type="gramStart"/>
      <w:r w:rsidRPr="0054564D">
        <w:rPr>
          <w:rFonts w:ascii="Times New Roman" w:hAnsi="Times New Roman" w:cs="Times New Roman"/>
          <w:sz w:val="24"/>
          <w:szCs w:val="24"/>
        </w:rPr>
        <w:t xml:space="preserve">показателям:  </w:t>
      </w:r>
      <w:r w:rsidRPr="0054564D">
        <w:rPr>
          <w:rFonts w:ascii="Times New Roman" w:hAnsi="Times New Roman" w:cs="Times New Roman"/>
          <w:color w:val="000000"/>
          <w:sz w:val="24"/>
          <w:szCs w:val="24"/>
        </w:rPr>
        <w:t>железо</w:t>
      </w:r>
      <w:proofErr w:type="gramEnd"/>
      <w:r w:rsidRPr="0054564D">
        <w:rPr>
          <w:rFonts w:ascii="Times New Roman" w:hAnsi="Times New Roman" w:cs="Times New Roman"/>
          <w:color w:val="000000"/>
          <w:sz w:val="24"/>
          <w:szCs w:val="24"/>
        </w:rPr>
        <w:t>,</w:t>
      </w:r>
      <w:r w:rsidRPr="0054564D">
        <w:rPr>
          <w:rFonts w:ascii="Times New Roman" w:hAnsi="Times New Roman" w:cs="Times New Roman"/>
          <w:sz w:val="24"/>
          <w:szCs w:val="24"/>
        </w:rPr>
        <w:t xml:space="preserve"> цветность</w:t>
      </w:r>
      <w:r w:rsidRPr="0054564D">
        <w:rPr>
          <w:rFonts w:ascii="Times New Roman" w:hAnsi="Times New Roman" w:cs="Times New Roman"/>
          <w:color w:val="000000"/>
          <w:sz w:val="24"/>
          <w:szCs w:val="24"/>
        </w:rPr>
        <w:t>,  мутность, запах при 60</w:t>
      </w:r>
      <w:r w:rsidRPr="0054564D">
        <w:rPr>
          <w:rFonts w:ascii="Times New Roman" w:hAnsi="Times New Roman" w:cs="Times New Roman"/>
          <w:color w:val="000000"/>
          <w:sz w:val="24"/>
          <w:szCs w:val="24"/>
          <w:vertAlign w:val="superscript"/>
        </w:rPr>
        <w:t>0</w:t>
      </w:r>
      <w:r w:rsidRPr="0054564D">
        <w:rPr>
          <w:rFonts w:ascii="Times New Roman" w:hAnsi="Times New Roman" w:cs="Times New Roman"/>
          <w:color w:val="000000"/>
          <w:sz w:val="24"/>
          <w:szCs w:val="24"/>
        </w:rPr>
        <w:t>С;</w:t>
      </w:r>
    </w:p>
    <w:p w:rsidR="008F3AF5" w:rsidRPr="0054564D" w:rsidRDefault="008F3AF5" w:rsidP="0054564D">
      <w:pPr>
        <w:pStyle w:val="a7"/>
        <w:jc w:val="both"/>
        <w:rPr>
          <w:sz w:val="24"/>
          <w:szCs w:val="24"/>
          <w:lang w:val="ru-RU"/>
        </w:rPr>
      </w:pPr>
      <w:r w:rsidRPr="0054564D">
        <w:rPr>
          <w:sz w:val="24"/>
          <w:szCs w:val="24"/>
          <w:lang w:val="ru-RU"/>
        </w:rPr>
        <w:t>В динамике 2018-2020 году п</w:t>
      </w:r>
      <w:r w:rsidRPr="0054564D">
        <w:rPr>
          <w:sz w:val="24"/>
          <w:szCs w:val="24"/>
        </w:rPr>
        <w:t xml:space="preserve">роцент проб воды несоответствующей требованиям по микробиологическим </w:t>
      </w:r>
      <w:proofErr w:type="gramStart"/>
      <w:r w:rsidRPr="0054564D">
        <w:rPr>
          <w:sz w:val="24"/>
          <w:szCs w:val="24"/>
        </w:rPr>
        <w:t>показателям  с</w:t>
      </w:r>
      <w:proofErr w:type="gramEnd"/>
      <w:r w:rsidRPr="0054564D">
        <w:rPr>
          <w:sz w:val="24"/>
          <w:szCs w:val="24"/>
        </w:rPr>
        <w:t xml:space="preserve"> разводящей  сети и водопроводов  </w:t>
      </w:r>
      <w:r w:rsidRPr="0054564D">
        <w:rPr>
          <w:sz w:val="24"/>
          <w:szCs w:val="24"/>
          <w:lang w:val="ru-RU"/>
        </w:rPr>
        <w:t>увеличился  и  составил 1,36% в 2020г, -в 2019г-0,34%, и регистрируется практически на уровне 2018г.</w:t>
      </w:r>
    </w:p>
    <w:p w:rsidR="008F3AF5" w:rsidRPr="0054564D" w:rsidRDefault="008F3AF5" w:rsidP="0054564D">
      <w:pPr>
        <w:pStyle w:val="a7"/>
        <w:jc w:val="both"/>
        <w:rPr>
          <w:sz w:val="24"/>
          <w:szCs w:val="24"/>
          <w:lang w:val="ru-RU"/>
        </w:rPr>
      </w:pPr>
      <w:r w:rsidRPr="0054564D">
        <w:rPr>
          <w:sz w:val="24"/>
          <w:szCs w:val="24"/>
          <w:lang w:val="ru-RU"/>
        </w:rPr>
        <w:t xml:space="preserve">В 2020году зарегистрирован рост количества проб воды, не соответствующей требованиям по микробиологическим показателям из подземных источников и </w:t>
      </w:r>
      <w:proofErr w:type="gramStart"/>
      <w:r w:rsidRPr="0054564D">
        <w:rPr>
          <w:sz w:val="24"/>
          <w:szCs w:val="24"/>
          <w:lang w:val="ru-RU"/>
        </w:rPr>
        <w:t>составил  5</w:t>
      </w:r>
      <w:proofErr w:type="gramEnd"/>
      <w:r w:rsidRPr="0054564D">
        <w:rPr>
          <w:sz w:val="24"/>
          <w:szCs w:val="24"/>
          <w:lang w:val="ru-RU"/>
        </w:rPr>
        <w:t>,8%, в 2019году-2,9%, тогда как в 2018 году несоответствующих проб не обнаружено, возможной причиной  снижения качества воды по микробиологическим показателям является ухудшение содержания ЗСО 1 пояса водоисточников.</w:t>
      </w:r>
    </w:p>
    <w:p w:rsidR="008F3AF5" w:rsidRPr="0054564D" w:rsidRDefault="008F3AF5" w:rsidP="0054564D">
      <w:pPr>
        <w:pStyle w:val="a7"/>
        <w:jc w:val="both"/>
        <w:rPr>
          <w:color w:val="000000"/>
          <w:sz w:val="24"/>
          <w:szCs w:val="24"/>
          <w:lang w:val="ru-RU"/>
        </w:rPr>
      </w:pPr>
      <w:proofErr w:type="gramStart"/>
      <w:r w:rsidRPr="0054564D">
        <w:rPr>
          <w:color w:val="000000"/>
          <w:sz w:val="24"/>
          <w:szCs w:val="24"/>
          <w:lang w:val="ru-RU"/>
        </w:rPr>
        <w:t>В  2020</w:t>
      </w:r>
      <w:proofErr w:type="gramEnd"/>
      <w:r w:rsidRPr="0054564D">
        <w:rPr>
          <w:color w:val="000000"/>
          <w:sz w:val="24"/>
          <w:szCs w:val="24"/>
          <w:lang w:val="ru-RU"/>
        </w:rPr>
        <w:t>гг, по сравнению с 2019г  увеличился процент проб воды</w:t>
      </w:r>
      <w:r w:rsidRPr="0054564D">
        <w:rPr>
          <w:color w:val="000000"/>
          <w:sz w:val="24"/>
          <w:szCs w:val="24"/>
        </w:rPr>
        <w:t xml:space="preserve"> </w:t>
      </w:r>
      <w:r w:rsidRPr="0054564D">
        <w:rPr>
          <w:color w:val="000000"/>
          <w:sz w:val="24"/>
          <w:szCs w:val="24"/>
          <w:lang w:val="ru-RU"/>
        </w:rPr>
        <w:t xml:space="preserve">из разводящих сетей и водопроводов  </w:t>
      </w:r>
      <w:r w:rsidRPr="0054564D">
        <w:rPr>
          <w:color w:val="000000"/>
          <w:sz w:val="24"/>
          <w:szCs w:val="24"/>
        </w:rPr>
        <w:t>несоответствующих санитарно-гигиеническим нормативам</w:t>
      </w:r>
      <w:r w:rsidRPr="0054564D">
        <w:rPr>
          <w:color w:val="000000"/>
          <w:sz w:val="24"/>
          <w:szCs w:val="24"/>
          <w:lang w:val="ru-RU"/>
        </w:rPr>
        <w:t xml:space="preserve"> на 17,36 % по сравнению с 2019г и составил 64,66% , в 2018г- </w:t>
      </w:r>
      <w:r w:rsidRPr="0054564D">
        <w:rPr>
          <w:sz w:val="22"/>
          <w:szCs w:val="22"/>
        </w:rPr>
        <w:t>59,4</w:t>
      </w:r>
      <w:r w:rsidRPr="0054564D">
        <w:rPr>
          <w:sz w:val="22"/>
          <w:szCs w:val="22"/>
          <w:lang w:val="ru-RU"/>
        </w:rPr>
        <w:t>%</w:t>
      </w:r>
      <w:r w:rsidRPr="0054564D">
        <w:rPr>
          <w:color w:val="000000"/>
          <w:sz w:val="24"/>
          <w:szCs w:val="24"/>
          <w:lang w:val="ru-RU"/>
        </w:rPr>
        <w:t>.</w:t>
      </w:r>
    </w:p>
    <w:p w:rsidR="008F3AF5" w:rsidRPr="0054564D" w:rsidRDefault="008F3AF5" w:rsidP="0054564D">
      <w:pPr>
        <w:pStyle w:val="a7"/>
        <w:jc w:val="both"/>
        <w:rPr>
          <w:color w:val="000000"/>
          <w:sz w:val="24"/>
          <w:szCs w:val="24"/>
          <w:lang w:val="ru-RU"/>
        </w:rPr>
      </w:pPr>
      <w:r w:rsidRPr="0054564D">
        <w:rPr>
          <w:color w:val="000000"/>
          <w:sz w:val="24"/>
          <w:szCs w:val="24"/>
          <w:lang w:val="ru-RU"/>
        </w:rPr>
        <w:lastRenderedPageBreak/>
        <w:t>В 2019</w:t>
      </w:r>
      <w:proofErr w:type="gramStart"/>
      <w:r w:rsidRPr="0054564D">
        <w:rPr>
          <w:color w:val="000000"/>
          <w:sz w:val="24"/>
          <w:szCs w:val="24"/>
          <w:lang w:val="ru-RU"/>
        </w:rPr>
        <w:t>г( 3</w:t>
      </w:r>
      <w:proofErr w:type="gramEnd"/>
      <w:r w:rsidRPr="0054564D">
        <w:rPr>
          <w:color w:val="000000"/>
          <w:sz w:val="24"/>
          <w:szCs w:val="24"/>
          <w:lang w:val="ru-RU"/>
        </w:rPr>
        <w:t xml:space="preserve"> пробы), 2018году(6 проб)  в 100% исследуемых проб температура горячей  воды соответствовала требованиям в ДОУ города, тогда как в 2020г ( 2 пробы) температура горячей воды была занижена. В динамике </w:t>
      </w:r>
      <w:proofErr w:type="gramStart"/>
      <w:r w:rsidRPr="0054564D">
        <w:rPr>
          <w:color w:val="000000"/>
          <w:sz w:val="24"/>
          <w:szCs w:val="24"/>
          <w:lang w:val="ru-RU"/>
        </w:rPr>
        <w:t>регистрируется  снижение</w:t>
      </w:r>
      <w:proofErr w:type="gramEnd"/>
      <w:r w:rsidRPr="0054564D">
        <w:rPr>
          <w:color w:val="000000"/>
          <w:sz w:val="24"/>
          <w:szCs w:val="24"/>
          <w:lang w:val="ru-RU"/>
        </w:rPr>
        <w:t xml:space="preserve"> контроля, со стороны  руководителей ДОУ города  по  контролю, за обеспечением  в детских садах температурного режима мытья  кухонной и столовой посуды и может явиться одной из причин возникновения инфекционной заболеваемости, передающейся водным  и контактно-бытовым путем: с 6 проб соответствующих требованиям в 2018г до 2 проб не соответствующих требованиям в 2020г . </w:t>
      </w:r>
    </w:p>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 xml:space="preserve">Процент </w:t>
      </w:r>
      <w:proofErr w:type="gramStart"/>
      <w:r w:rsidRPr="0054564D">
        <w:rPr>
          <w:rFonts w:ascii="Times New Roman" w:hAnsi="Times New Roman" w:cs="Times New Roman"/>
          <w:sz w:val="24"/>
          <w:szCs w:val="24"/>
        </w:rPr>
        <w:t>проб  воды</w:t>
      </w:r>
      <w:proofErr w:type="gramEnd"/>
      <w:r w:rsidRPr="0054564D">
        <w:rPr>
          <w:rFonts w:ascii="Times New Roman" w:hAnsi="Times New Roman" w:cs="Times New Roman"/>
          <w:sz w:val="24"/>
          <w:szCs w:val="24"/>
        </w:rPr>
        <w:t xml:space="preserve"> подземных источников  несоответствующих требованиям санитарно-гигиенических нормативов в динамике  незначительно колеблется в диапазоне  </w:t>
      </w:r>
      <w:r w:rsidRPr="0054564D">
        <w:rPr>
          <w:rFonts w:ascii="Times New Roman" w:hAnsi="Times New Roman" w:cs="Times New Roman"/>
        </w:rPr>
        <w:t>64,66</w:t>
      </w:r>
      <w:r w:rsidRPr="0054564D">
        <w:rPr>
          <w:rFonts w:ascii="Times New Roman" w:hAnsi="Times New Roman" w:cs="Times New Roman"/>
          <w:sz w:val="24"/>
          <w:szCs w:val="24"/>
        </w:rPr>
        <w:t>%-2020г,  до 32,579 %-в  2019году составил ( процент несоответствующих проб снизился по причине проведения исследований только на тяжелые металлы).</w:t>
      </w:r>
    </w:p>
    <w:p w:rsidR="008F3AF5" w:rsidRPr="0054564D" w:rsidRDefault="008F3AF5" w:rsidP="0054564D">
      <w:pPr>
        <w:spacing w:after="0" w:line="240" w:lineRule="auto"/>
        <w:ind w:firstLine="567"/>
        <w:jc w:val="both"/>
        <w:rPr>
          <w:rFonts w:ascii="Times New Roman" w:hAnsi="Times New Roman" w:cs="Times New Roman"/>
          <w:color w:val="000000"/>
          <w:sz w:val="24"/>
          <w:szCs w:val="24"/>
        </w:rPr>
      </w:pPr>
      <w:r w:rsidRPr="0054564D">
        <w:rPr>
          <w:rFonts w:ascii="Times New Roman" w:hAnsi="Times New Roman" w:cs="Times New Roman"/>
          <w:color w:val="000000"/>
          <w:sz w:val="24"/>
          <w:szCs w:val="24"/>
        </w:rPr>
        <w:t>В 2020</w:t>
      </w:r>
      <w:proofErr w:type="gramStart"/>
      <w:r w:rsidRPr="0054564D">
        <w:rPr>
          <w:rFonts w:ascii="Times New Roman" w:hAnsi="Times New Roman" w:cs="Times New Roman"/>
          <w:color w:val="000000"/>
          <w:sz w:val="24"/>
          <w:szCs w:val="24"/>
        </w:rPr>
        <w:t>году  остается</w:t>
      </w:r>
      <w:proofErr w:type="gramEnd"/>
      <w:r w:rsidRPr="0054564D">
        <w:rPr>
          <w:rFonts w:ascii="Times New Roman" w:hAnsi="Times New Roman" w:cs="Times New Roman"/>
          <w:color w:val="000000"/>
          <w:sz w:val="24"/>
          <w:szCs w:val="24"/>
        </w:rPr>
        <w:t xml:space="preserve"> высоким количества проб не соответствующих требованиям по показателям:</w:t>
      </w:r>
    </w:p>
    <w:p w:rsidR="008F3AF5" w:rsidRPr="0054564D" w:rsidRDefault="008F3AF5" w:rsidP="0054564D">
      <w:pPr>
        <w:spacing w:after="0" w:line="240" w:lineRule="auto"/>
        <w:ind w:firstLine="567"/>
        <w:jc w:val="both"/>
        <w:rPr>
          <w:rFonts w:ascii="Times New Roman" w:hAnsi="Times New Roman" w:cs="Times New Roman"/>
          <w:color w:val="000000"/>
          <w:sz w:val="24"/>
          <w:szCs w:val="24"/>
        </w:rPr>
      </w:pPr>
      <w:r w:rsidRPr="0054564D">
        <w:rPr>
          <w:rFonts w:ascii="Times New Roman" w:hAnsi="Times New Roman" w:cs="Times New Roman"/>
          <w:color w:val="000000"/>
          <w:sz w:val="24"/>
          <w:szCs w:val="24"/>
        </w:rPr>
        <w:t xml:space="preserve">- аммиак </w:t>
      </w:r>
      <w:proofErr w:type="gramStart"/>
      <w:r w:rsidRPr="0054564D">
        <w:rPr>
          <w:rFonts w:ascii="Times New Roman" w:hAnsi="Times New Roman" w:cs="Times New Roman"/>
          <w:color w:val="000000"/>
          <w:sz w:val="24"/>
          <w:szCs w:val="24"/>
        </w:rPr>
        <w:t>( по</w:t>
      </w:r>
      <w:proofErr w:type="gramEnd"/>
      <w:r w:rsidRPr="0054564D">
        <w:rPr>
          <w:rFonts w:ascii="Times New Roman" w:hAnsi="Times New Roman" w:cs="Times New Roman"/>
          <w:color w:val="000000"/>
          <w:sz w:val="24"/>
          <w:szCs w:val="24"/>
        </w:rPr>
        <w:t xml:space="preserve"> азоту) 46,15% исследованных проб превышают ПДК: до 1 ПДК-53,85 %, от 1,1-до 2 ПДК-41,31%, от 2.1 до 5 ПДК-3,85 % исследованных проб по СГМ;</w:t>
      </w:r>
    </w:p>
    <w:p w:rsidR="008F3AF5" w:rsidRPr="0054564D" w:rsidRDefault="008F3AF5" w:rsidP="0054564D">
      <w:pPr>
        <w:spacing w:after="0" w:line="240" w:lineRule="auto"/>
        <w:ind w:firstLine="567"/>
        <w:jc w:val="both"/>
        <w:rPr>
          <w:rFonts w:ascii="Times New Roman" w:hAnsi="Times New Roman" w:cs="Times New Roman"/>
          <w:sz w:val="24"/>
          <w:szCs w:val="24"/>
        </w:rPr>
      </w:pPr>
      <w:r w:rsidRPr="0054564D">
        <w:rPr>
          <w:rFonts w:ascii="Times New Roman" w:hAnsi="Times New Roman" w:cs="Times New Roman"/>
          <w:color w:val="000000"/>
          <w:sz w:val="24"/>
          <w:szCs w:val="24"/>
        </w:rPr>
        <w:t xml:space="preserve">- железо-88,5% исследованных проб превышают ПДК: до 1 ПДК-11,54 %, от 1,1-до 2 ПДК-11,54%, от 2.1 до 5 ПДК-42,31 %, более 5,1 ПДК-34,62% исследованных проб по </w:t>
      </w:r>
      <w:proofErr w:type="gramStart"/>
      <w:r w:rsidRPr="0054564D">
        <w:rPr>
          <w:rFonts w:ascii="Times New Roman" w:hAnsi="Times New Roman" w:cs="Times New Roman"/>
          <w:color w:val="000000"/>
          <w:sz w:val="24"/>
          <w:szCs w:val="24"/>
        </w:rPr>
        <w:t>СГМ ;</w:t>
      </w:r>
      <w:proofErr w:type="gramEnd"/>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Таким образом 39844 человек г. Пыть-Ях не обеспечены питьевой водой соответствующего качества.</w:t>
      </w:r>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 xml:space="preserve">Потреблением   населением для питьевых нужд, приготовления в пищу воды не соответствующей требованиям санитарных норм и правил является одним из факторов, высокого уровня заболеваемости </w:t>
      </w:r>
      <w:proofErr w:type="gramStart"/>
      <w:r w:rsidRPr="0054564D">
        <w:rPr>
          <w:rFonts w:ascii="Times New Roman" w:hAnsi="Times New Roman" w:cs="Times New Roman"/>
          <w:sz w:val="24"/>
          <w:szCs w:val="24"/>
        </w:rPr>
        <w:t>по  классам</w:t>
      </w:r>
      <w:proofErr w:type="gramEnd"/>
      <w:r w:rsidRPr="0054564D">
        <w:rPr>
          <w:rFonts w:ascii="Times New Roman" w:hAnsi="Times New Roman" w:cs="Times New Roman"/>
          <w:sz w:val="24"/>
          <w:szCs w:val="24"/>
        </w:rPr>
        <w:t xml:space="preserve">: болезни системы пищеварения, мочеполовой системы. </w:t>
      </w:r>
    </w:p>
    <w:p w:rsidR="008F3AF5" w:rsidRPr="0054564D" w:rsidRDefault="008F3AF5" w:rsidP="0054564D">
      <w:pPr>
        <w:spacing w:after="0" w:line="240" w:lineRule="auto"/>
        <w:ind w:firstLine="709"/>
        <w:jc w:val="both"/>
        <w:rPr>
          <w:rFonts w:ascii="Times New Roman" w:hAnsi="Times New Roman" w:cs="Times New Roman"/>
          <w:b/>
          <w:bCs/>
          <w:sz w:val="24"/>
          <w:szCs w:val="24"/>
        </w:rPr>
      </w:pPr>
      <w:r w:rsidRPr="0054564D">
        <w:rPr>
          <w:rFonts w:ascii="Times New Roman" w:hAnsi="Times New Roman" w:cs="Times New Roman"/>
          <w:sz w:val="24"/>
          <w:szCs w:val="24"/>
        </w:rPr>
        <w:t xml:space="preserve">Инфекционной заболеваемости, связанной с водным фактором </w:t>
      </w:r>
      <w:proofErr w:type="gramStart"/>
      <w:r w:rsidRPr="0054564D">
        <w:rPr>
          <w:rFonts w:ascii="Times New Roman" w:hAnsi="Times New Roman" w:cs="Times New Roman"/>
          <w:sz w:val="24"/>
          <w:szCs w:val="24"/>
        </w:rPr>
        <w:t>передачи  за</w:t>
      </w:r>
      <w:proofErr w:type="gramEnd"/>
      <w:r w:rsidRPr="0054564D">
        <w:rPr>
          <w:rFonts w:ascii="Times New Roman" w:hAnsi="Times New Roman" w:cs="Times New Roman"/>
          <w:sz w:val="24"/>
          <w:szCs w:val="24"/>
        </w:rPr>
        <w:t xml:space="preserve"> 2018-2020г года не зарегистрировано. </w:t>
      </w:r>
    </w:p>
    <w:p w:rsidR="008F3AF5" w:rsidRPr="0054564D" w:rsidRDefault="008F3AF5" w:rsidP="0054564D">
      <w:pPr>
        <w:tabs>
          <w:tab w:val="left" w:pos="1701"/>
        </w:tabs>
        <w:spacing w:before="240" w:after="0" w:line="240" w:lineRule="auto"/>
        <w:jc w:val="center"/>
        <w:rPr>
          <w:rFonts w:ascii="Times New Roman" w:hAnsi="Times New Roman" w:cs="Times New Roman"/>
          <w:b/>
          <w:sz w:val="26"/>
          <w:szCs w:val="26"/>
        </w:rPr>
      </w:pPr>
      <w:proofErr w:type="gramStart"/>
      <w:r w:rsidRPr="0054564D">
        <w:rPr>
          <w:rFonts w:ascii="Times New Roman" w:hAnsi="Times New Roman" w:cs="Times New Roman"/>
          <w:b/>
          <w:bCs/>
          <w:sz w:val="26"/>
          <w:szCs w:val="26"/>
        </w:rPr>
        <w:t xml:space="preserve">Глава  </w:t>
      </w:r>
      <w:r w:rsidRPr="0054564D">
        <w:rPr>
          <w:rFonts w:ascii="Times New Roman" w:hAnsi="Times New Roman" w:cs="Times New Roman"/>
          <w:b/>
          <w:sz w:val="26"/>
          <w:szCs w:val="26"/>
        </w:rPr>
        <w:t>1.2</w:t>
      </w:r>
      <w:proofErr w:type="gramEnd"/>
      <w:r w:rsidRPr="0054564D">
        <w:rPr>
          <w:rFonts w:ascii="Times New Roman" w:hAnsi="Times New Roman" w:cs="Times New Roman"/>
          <w:b/>
          <w:sz w:val="26"/>
          <w:szCs w:val="26"/>
        </w:rPr>
        <w:t>. Анализ состояния заболеваемости  массовыми неинфекционными заболеваниями (отравлениями) и приоритетными заболеваниями в связи с воздействием факторов среды обитания населения г. Пыть-Ях</w:t>
      </w:r>
    </w:p>
    <w:p w:rsidR="008F3AF5" w:rsidRPr="0054564D" w:rsidRDefault="008F3AF5" w:rsidP="0054564D">
      <w:pPr>
        <w:tabs>
          <w:tab w:val="left" w:pos="1701"/>
        </w:tabs>
        <w:spacing w:before="240" w:after="0" w:line="240" w:lineRule="auto"/>
        <w:jc w:val="center"/>
        <w:rPr>
          <w:rFonts w:ascii="Times New Roman" w:hAnsi="Times New Roman" w:cs="Times New Roman"/>
          <w:b/>
          <w:sz w:val="26"/>
          <w:szCs w:val="26"/>
        </w:rPr>
      </w:pPr>
      <w:proofErr w:type="gramStart"/>
      <w:r w:rsidRPr="0054564D">
        <w:rPr>
          <w:rFonts w:ascii="Times New Roman" w:hAnsi="Times New Roman" w:cs="Times New Roman"/>
          <w:b/>
          <w:sz w:val="26"/>
          <w:szCs w:val="26"/>
        </w:rPr>
        <w:t>1.2.1  Анализ</w:t>
      </w:r>
      <w:proofErr w:type="gramEnd"/>
      <w:r w:rsidRPr="0054564D">
        <w:rPr>
          <w:rFonts w:ascii="Times New Roman" w:hAnsi="Times New Roman" w:cs="Times New Roman"/>
          <w:b/>
          <w:sz w:val="26"/>
          <w:szCs w:val="26"/>
        </w:rPr>
        <w:t xml:space="preserve"> состояния заболеваемости  массовыми неинфекционными заболеваниями (отравлениями) и приоритетными заболеваниями в связи с воздействием факторов среды обитания населения г. Пыть-Ях</w:t>
      </w:r>
    </w:p>
    <w:p w:rsidR="008F3AF5" w:rsidRPr="0054564D" w:rsidRDefault="008F3AF5" w:rsidP="0054564D">
      <w:pPr>
        <w:spacing w:before="120" w:after="0" w:line="240" w:lineRule="auto"/>
        <w:jc w:val="center"/>
        <w:rPr>
          <w:rFonts w:ascii="Times New Roman" w:hAnsi="Times New Roman" w:cs="Times New Roman"/>
          <w:b/>
          <w:sz w:val="24"/>
          <w:szCs w:val="24"/>
        </w:rPr>
      </w:pPr>
      <w:r w:rsidRPr="0054564D">
        <w:rPr>
          <w:rFonts w:ascii="Times New Roman" w:hAnsi="Times New Roman" w:cs="Times New Roman"/>
          <w:b/>
          <w:sz w:val="24"/>
          <w:szCs w:val="24"/>
        </w:rPr>
        <w:t>Медико-демографические показатели здоровья населения.</w:t>
      </w:r>
    </w:p>
    <w:p w:rsidR="008F3AF5" w:rsidRPr="0054564D" w:rsidRDefault="008F3AF5" w:rsidP="0054564D">
      <w:pPr>
        <w:spacing w:after="0" w:line="240" w:lineRule="auto"/>
        <w:ind w:firstLine="709"/>
        <w:jc w:val="both"/>
        <w:rPr>
          <w:rFonts w:ascii="Times New Roman" w:hAnsi="Times New Roman" w:cs="Times New Roman"/>
          <w:sz w:val="24"/>
        </w:rPr>
      </w:pPr>
      <w:r w:rsidRPr="0054564D">
        <w:rPr>
          <w:rFonts w:ascii="Times New Roman" w:hAnsi="Times New Roman" w:cs="Times New Roman"/>
          <w:sz w:val="24"/>
        </w:rPr>
        <w:tab/>
        <w:t>Важнейшими параметрами, характеризующими состояние здоровья населения, являются социально-экономические и медико-демографические показатели.</w:t>
      </w:r>
    </w:p>
    <w:p w:rsidR="008F3AF5" w:rsidRPr="0054564D" w:rsidRDefault="008F3AF5" w:rsidP="0054564D">
      <w:pPr>
        <w:spacing w:after="0" w:line="240" w:lineRule="auto"/>
        <w:jc w:val="both"/>
        <w:rPr>
          <w:rFonts w:ascii="Times New Roman" w:hAnsi="Times New Roman" w:cs="Times New Roman"/>
          <w:sz w:val="24"/>
        </w:rPr>
      </w:pPr>
    </w:p>
    <w:p w:rsidR="008F3AF5" w:rsidRPr="0054564D" w:rsidRDefault="008F3AF5" w:rsidP="0054564D">
      <w:pPr>
        <w:spacing w:after="0" w:line="240" w:lineRule="auto"/>
        <w:jc w:val="right"/>
        <w:outlineLvl w:val="0"/>
        <w:rPr>
          <w:rFonts w:ascii="Times New Roman" w:hAnsi="Times New Roman" w:cs="Times New Roman"/>
        </w:rPr>
      </w:pPr>
      <w:r w:rsidRPr="0054564D">
        <w:rPr>
          <w:rFonts w:ascii="Times New Roman" w:hAnsi="Times New Roman" w:cs="Times New Roman"/>
        </w:rPr>
        <w:t>Таблица №1</w:t>
      </w:r>
    </w:p>
    <w:p w:rsidR="008F3AF5" w:rsidRPr="0054564D" w:rsidRDefault="008F3AF5" w:rsidP="0054564D">
      <w:pPr>
        <w:spacing w:after="0" w:line="240" w:lineRule="auto"/>
        <w:jc w:val="center"/>
        <w:outlineLvl w:val="0"/>
        <w:rPr>
          <w:rFonts w:ascii="Times New Roman" w:hAnsi="Times New Roman" w:cs="Times New Roman"/>
          <w:b/>
        </w:rPr>
      </w:pPr>
      <w:r w:rsidRPr="0054564D">
        <w:rPr>
          <w:rFonts w:ascii="Times New Roman" w:hAnsi="Times New Roman" w:cs="Times New Roman"/>
          <w:b/>
        </w:rPr>
        <w:t>Численность населения в городе Пыть-Ях</w:t>
      </w:r>
    </w:p>
    <w:p w:rsidR="008F3AF5" w:rsidRPr="0054564D" w:rsidRDefault="008F3AF5" w:rsidP="0054564D">
      <w:pPr>
        <w:spacing w:after="0" w:line="240" w:lineRule="auto"/>
        <w:jc w:val="both"/>
        <w:outlineLvl w:val="0"/>
        <w:rPr>
          <w:rFonts w:ascii="Times New Roman" w:hAnsi="Times New Roman" w:cs="Times New Roman"/>
          <w:sz w:val="24"/>
        </w:rPr>
      </w:pPr>
    </w:p>
    <w:tbl>
      <w:tblPr>
        <w:tblW w:w="9311" w:type="dxa"/>
        <w:tblLook w:val="0000" w:firstRow="0" w:lastRow="0" w:firstColumn="0" w:lastColumn="0" w:noHBand="0" w:noVBand="0"/>
      </w:tblPr>
      <w:tblGrid>
        <w:gridCol w:w="4115"/>
        <w:gridCol w:w="1732"/>
        <w:gridCol w:w="1732"/>
        <w:gridCol w:w="1732"/>
      </w:tblGrid>
      <w:tr w:rsidR="008F3AF5" w:rsidRPr="0054564D" w:rsidTr="00630798">
        <w:trPr>
          <w:trHeight w:val="277"/>
        </w:trPr>
        <w:tc>
          <w:tcPr>
            <w:tcW w:w="41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3AF5" w:rsidRPr="0054564D" w:rsidRDefault="008F3AF5" w:rsidP="0054564D">
            <w:pPr>
              <w:spacing w:before="20" w:after="0" w:line="240" w:lineRule="auto"/>
              <w:ind w:left="57"/>
              <w:jc w:val="center"/>
              <w:rPr>
                <w:rFonts w:ascii="Times New Roman" w:hAnsi="Times New Roman" w:cs="Times New Roman"/>
                <w:bCs/>
              </w:rPr>
            </w:pPr>
            <w:r w:rsidRPr="0054564D">
              <w:rPr>
                <w:rFonts w:ascii="Times New Roman" w:hAnsi="Times New Roman" w:cs="Times New Roman"/>
                <w:bCs/>
              </w:rPr>
              <w:t>наименование</w:t>
            </w:r>
          </w:p>
        </w:tc>
        <w:tc>
          <w:tcPr>
            <w:tcW w:w="1732"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bCs/>
              </w:rPr>
            </w:pPr>
            <w:r w:rsidRPr="0054564D">
              <w:rPr>
                <w:rFonts w:ascii="Times New Roman" w:hAnsi="Times New Roman" w:cs="Times New Roman"/>
              </w:rPr>
              <w:t>2018</w:t>
            </w:r>
          </w:p>
        </w:tc>
        <w:tc>
          <w:tcPr>
            <w:tcW w:w="1732"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bCs/>
              </w:rPr>
            </w:pPr>
            <w:r w:rsidRPr="0054564D">
              <w:rPr>
                <w:rFonts w:ascii="Times New Roman" w:hAnsi="Times New Roman" w:cs="Times New Roman"/>
              </w:rPr>
              <w:t>2019</w:t>
            </w:r>
          </w:p>
        </w:tc>
        <w:tc>
          <w:tcPr>
            <w:tcW w:w="1732"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bCs/>
              </w:rPr>
            </w:pPr>
            <w:r w:rsidRPr="0054564D">
              <w:rPr>
                <w:rFonts w:ascii="Times New Roman" w:hAnsi="Times New Roman" w:cs="Times New Roman"/>
                <w:bCs/>
              </w:rPr>
              <w:t>2020</w:t>
            </w:r>
          </w:p>
        </w:tc>
      </w:tr>
      <w:tr w:rsidR="008F3AF5" w:rsidRPr="0054564D" w:rsidTr="00630798">
        <w:trPr>
          <w:trHeight w:val="277"/>
        </w:trPr>
        <w:tc>
          <w:tcPr>
            <w:tcW w:w="4115" w:type="dxa"/>
            <w:tcBorders>
              <w:top w:val="nil"/>
              <w:left w:val="single" w:sz="4" w:space="0" w:color="auto"/>
              <w:bottom w:val="single" w:sz="4" w:space="0" w:color="auto"/>
              <w:right w:val="single" w:sz="4" w:space="0" w:color="auto"/>
            </w:tcBorders>
            <w:shd w:val="clear" w:color="auto" w:fill="auto"/>
            <w:noWrap/>
            <w:vAlign w:val="bottom"/>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население всего:</w:t>
            </w:r>
          </w:p>
        </w:tc>
        <w:tc>
          <w:tcPr>
            <w:tcW w:w="1732" w:type="dxa"/>
            <w:tcBorders>
              <w:top w:val="nil"/>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42183</w:t>
            </w:r>
          </w:p>
        </w:tc>
        <w:tc>
          <w:tcPr>
            <w:tcW w:w="1732" w:type="dxa"/>
            <w:tcBorders>
              <w:top w:val="nil"/>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41223</w:t>
            </w:r>
          </w:p>
        </w:tc>
        <w:tc>
          <w:tcPr>
            <w:tcW w:w="1732" w:type="dxa"/>
            <w:tcBorders>
              <w:top w:val="nil"/>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39844</w:t>
            </w:r>
          </w:p>
        </w:tc>
      </w:tr>
      <w:tr w:rsidR="008F3AF5" w:rsidRPr="0054564D" w:rsidTr="00630798">
        <w:trPr>
          <w:trHeight w:val="277"/>
        </w:trPr>
        <w:tc>
          <w:tcPr>
            <w:tcW w:w="4115" w:type="dxa"/>
            <w:tcBorders>
              <w:top w:val="nil"/>
              <w:left w:val="single" w:sz="4" w:space="0" w:color="auto"/>
              <w:bottom w:val="single" w:sz="4" w:space="0" w:color="auto"/>
              <w:right w:val="single" w:sz="4" w:space="0" w:color="auto"/>
            </w:tcBorders>
            <w:shd w:val="clear" w:color="auto" w:fill="auto"/>
            <w:noWrap/>
            <w:vAlign w:val="bottom"/>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в т.ч.: Дети 0-14</w:t>
            </w:r>
          </w:p>
        </w:tc>
        <w:tc>
          <w:tcPr>
            <w:tcW w:w="1732" w:type="dxa"/>
            <w:tcBorders>
              <w:top w:val="nil"/>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8998</w:t>
            </w:r>
          </w:p>
        </w:tc>
        <w:tc>
          <w:tcPr>
            <w:tcW w:w="1732" w:type="dxa"/>
            <w:tcBorders>
              <w:top w:val="nil"/>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8834</w:t>
            </w:r>
          </w:p>
        </w:tc>
        <w:tc>
          <w:tcPr>
            <w:tcW w:w="1732" w:type="dxa"/>
            <w:tcBorders>
              <w:top w:val="nil"/>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8726</w:t>
            </w:r>
          </w:p>
        </w:tc>
      </w:tr>
      <w:tr w:rsidR="008F3AF5" w:rsidRPr="0054564D" w:rsidTr="00630798">
        <w:trPr>
          <w:trHeight w:val="277"/>
        </w:trPr>
        <w:tc>
          <w:tcPr>
            <w:tcW w:w="4115" w:type="dxa"/>
            <w:tcBorders>
              <w:top w:val="nil"/>
              <w:left w:val="single" w:sz="4" w:space="0" w:color="auto"/>
              <w:bottom w:val="single" w:sz="4" w:space="0" w:color="auto"/>
              <w:right w:val="single" w:sz="4" w:space="0" w:color="auto"/>
            </w:tcBorders>
            <w:shd w:val="clear" w:color="auto" w:fill="auto"/>
            <w:noWrap/>
            <w:vAlign w:val="bottom"/>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Подростки 15-17</w:t>
            </w:r>
          </w:p>
        </w:tc>
        <w:tc>
          <w:tcPr>
            <w:tcW w:w="1732" w:type="dxa"/>
            <w:tcBorders>
              <w:top w:val="nil"/>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1062</w:t>
            </w:r>
          </w:p>
        </w:tc>
        <w:tc>
          <w:tcPr>
            <w:tcW w:w="1732" w:type="dxa"/>
            <w:tcBorders>
              <w:top w:val="nil"/>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1124</w:t>
            </w:r>
          </w:p>
        </w:tc>
        <w:tc>
          <w:tcPr>
            <w:tcW w:w="1732" w:type="dxa"/>
            <w:tcBorders>
              <w:top w:val="nil"/>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1018</w:t>
            </w:r>
          </w:p>
        </w:tc>
      </w:tr>
      <w:tr w:rsidR="008F3AF5" w:rsidRPr="0054564D" w:rsidTr="00630798">
        <w:trPr>
          <w:trHeight w:val="277"/>
        </w:trPr>
        <w:tc>
          <w:tcPr>
            <w:tcW w:w="4115" w:type="dxa"/>
            <w:tcBorders>
              <w:top w:val="nil"/>
              <w:left w:val="single" w:sz="4" w:space="0" w:color="auto"/>
              <w:bottom w:val="single" w:sz="4" w:space="0" w:color="auto"/>
              <w:right w:val="single" w:sz="4" w:space="0" w:color="auto"/>
            </w:tcBorders>
            <w:shd w:val="clear" w:color="auto" w:fill="auto"/>
            <w:noWrap/>
            <w:vAlign w:val="bottom"/>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Взросл. 18 и ст.</w:t>
            </w:r>
          </w:p>
        </w:tc>
        <w:tc>
          <w:tcPr>
            <w:tcW w:w="1732" w:type="dxa"/>
            <w:tcBorders>
              <w:top w:val="nil"/>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32123</w:t>
            </w:r>
          </w:p>
        </w:tc>
        <w:tc>
          <w:tcPr>
            <w:tcW w:w="1732" w:type="dxa"/>
            <w:tcBorders>
              <w:top w:val="nil"/>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31265</w:t>
            </w:r>
          </w:p>
        </w:tc>
        <w:tc>
          <w:tcPr>
            <w:tcW w:w="1732" w:type="dxa"/>
            <w:tcBorders>
              <w:top w:val="nil"/>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30100</w:t>
            </w:r>
          </w:p>
        </w:tc>
      </w:tr>
    </w:tbl>
    <w:p w:rsidR="008F3AF5" w:rsidRPr="0054564D" w:rsidRDefault="008F3AF5" w:rsidP="0054564D">
      <w:pPr>
        <w:spacing w:after="0" w:line="240" w:lineRule="auto"/>
        <w:jc w:val="both"/>
        <w:rPr>
          <w:rFonts w:ascii="Times New Roman" w:hAnsi="Times New Roman" w:cs="Times New Roman"/>
          <w:highlight w:val="yellow"/>
        </w:rPr>
      </w:pPr>
    </w:p>
    <w:p w:rsidR="008F3AF5" w:rsidRPr="0054564D" w:rsidRDefault="008F3AF5" w:rsidP="0054564D">
      <w:pPr>
        <w:spacing w:after="0" w:line="240" w:lineRule="auto"/>
        <w:ind w:firstLine="709"/>
        <w:jc w:val="both"/>
        <w:rPr>
          <w:rFonts w:ascii="Times New Roman" w:hAnsi="Times New Roman" w:cs="Times New Roman"/>
          <w:sz w:val="24"/>
        </w:rPr>
      </w:pPr>
      <w:bookmarkStart w:id="14" w:name="_Hlk63347370"/>
      <w:r w:rsidRPr="0054564D">
        <w:rPr>
          <w:rFonts w:ascii="Times New Roman" w:hAnsi="Times New Roman" w:cs="Times New Roman"/>
          <w:sz w:val="24"/>
        </w:rPr>
        <w:t xml:space="preserve">В 2019 году численность </w:t>
      </w:r>
      <w:proofErr w:type="gramStart"/>
      <w:r w:rsidRPr="0054564D">
        <w:rPr>
          <w:rFonts w:ascii="Times New Roman" w:hAnsi="Times New Roman" w:cs="Times New Roman"/>
          <w:sz w:val="24"/>
        </w:rPr>
        <w:t>населения  уменьшилась</w:t>
      </w:r>
      <w:proofErr w:type="gramEnd"/>
      <w:r w:rsidRPr="0054564D">
        <w:rPr>
          <w:rFonts w:ascii="Times New Roman" w:hAnsi="Times New Roman" w:cs="Times New Roman"/>
          <w:sz w:val="24"/>
        </w:rPr>
        <w:t xml:space="preserve"> на 1379 человек  по  сравнению с прошлым годом (таб. № 1)- отрицательная динамика. Прибыло в 2019 году 261 человек, выбыло 1610 человек, родилось 436 человек, и умерло 268 человек. Наблюдается снижение количества населения на 3,3 % </w:t>
      </w:r>
      <w:proofErr w:type="gramStart"/>
      <w:r w:rsidRPr="0054564D">
        <w:rPr>
          <w:rFonts w:ascii="Times New Roman" w:hAnsi="Times New Roman" w:cs="Times New Roman"/>
          <w:sz w:val="24"/>
        </w:rPr>
        <w:t>( в</w:t>
      </w:r>
      <w:proofErr w:type="gramEnd"/>
      <w:r w:rsidRPr="0054564D">
        <w:rPr>
          <w:rFonts w:ascii="Times New Roman" w:hAnsi="Times New Roman" w:cs="Times New Roman"/>
          <w:sz w:val="24"/>
        </w:rPr>
        <w:t xml:space="preserve"> 2019г на  2,28 %</w:t>
      </w:r>
      <w:bookmarkEnd w:id="14"/>
      <w:r w:rsidRPr="0054564D">
        <w:rPr>
          <w:rFonts w:ascii="Times New Roman" w:hAnsi="Times New Roman" w:cs="Times New Roman"/>
          <w:sz w:val="24"/>
        </w:rPr>
        <w:t xml:space="preserve">). Механическое движение населения составило в 2020году -1379 человек </w:t>
      </w:r>
      <w:proofErr w:type="gramStart"/>
      <w:r w:rsidRPr="0054564D">
        <w:rPr>
          <w:rFonts w:ascii="Times New Roman" w:hAnsi="Times New Roman" w:cs="Times New Roman"/>
          <w:sz w:val="24"/>
        </w:rPr>
        <w:t>( в</w:t>
      </w:r>
      <w:proofErr w:type="gramEnd"/>
      <w:r w:rsidRPr="0054564D">
        <w:rPr>
          <w:rFonts w:ascii="Times New Roman" w:hAnsi="Times New Roman" w:cs="Times New Roman"/>
          <w:sz w:val="24"/>
        </w:rPr>
        <w:t>2019 году – 1216 человек).</w:t>
      </w:r>
    </w:p>
    <w:p w:rsidR="008F3AF5" w:rsidRPr="0054564D" w:rsidRDefault="008F3AF5" w:rsidP="0054564D">
      <w:pPr>
        <w:spacing w:after="0" w:line="240" w:lineRule="auto"/>
        <w:ind w:left="720"/>
        <w:jc w:val="both"/>
        <w:rPr>
          <w:rFonts w:ascii="Times New Roman" w:hAnsi="Times New Roman" w:cs="Times New Roman"/>
          <w:sz w:val="24"/>
        </w:rPr>
      </w:pPr>
    </w:p>
    <w:p w:rsidR="008F3AF5" w:rsidRPr="0054564D" w:rsidRDefault="008F3AF5" w:rsidP="0054564D">
      <w:pPr>
        <w:spacing w:after="0" w:line="240" w:lineRule="auto"/>
        <w:jc w:val="both"/>
        <w:rPr>
          <w:rFonts w:ascii="Times New Roman" w:hAnsi="Times New Roman" w:cs="Times New Roman"/>
        </w:rPr>
      </w:pPr>
      <w:r w:rsidRPr="0054564D">
        <w:rPr>
          <w:rFonts w:ascii="Times New Roman" w:hAnsi="Times New Roman" w:cs="Times New Roman"/>
          <w:noProof/>
          <w:lang w:eastAsia="ru-RU"/>
        </w:rPr>
        <w:lastRenderedPageBreak/>
        <w:drawing>
          <wp:inline distT="0" distB="0" distL="0" distR="0">
            <wp:extent cx="5715000" cy="2238375"/>
            <wp:effectExtent l="0" t="0" r="0" b="0"/>
            <wp:docPr id="21" name="Диаграмма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F3AF5" w:rsidRPr="0054564D" w:rsidRDefault="008F3AF5" w:rsidP="0054564D">
      <w:pPr>
        <w:pStyle w:val="8"/>
        <w:rPr>
          <w:rFonts w:ascii="Times New Roman" w:hAnsi="Times New Roman"/>
          <w:b/>
          <w:sz w:val="22"/>
          <w:szCs w:val="22"/>
        </w:rPr>
      </w:pPr>
      <w:r w:rsidRPr="0054564D">
        <w:rPr>
          <w:rFonts w:ascii="Times New Roman" w:hAnsi="Times New Roman"/>
          <w:b/>
          <w:sz w:val="22"/>
          <w:szCs w:val="22"/>
        </w:rPr>
        <w:t>Рис. №1. Динамика численности населения по городу Пыть-Ях  за 2018-2020гг</w:t>
      </w:r>
    </w:p>
    <w:p w:rsidR="008F3AF5" w:rsidRPr="0054564D" w:rsidRDefault="008F3AF5" w:rsidP="0054564D">
      <w:pPr>
        <w:spacing w:after="0" w:line="240" w:lineRule="auto"/>
        <w:jc w:val="both"/>
        <w:rPr>
          <w:rFonts w:ascii="Times New Roman" w:hAnsi="Times New Roman" w:cs="Times New Roman"/>
          <w:sz w:val="24"/>
          <w:highlight w:val="yellow"/>
        </w:rPr>
      </w:pPr>
    </w:p>
    <w:p w:rsidR="008F3AF5" w:rsidRPr="0054564D" w:rsidRDefault="008F3AF5" w:rsidP="0054564D">
      <w:pPr>
        <w:spacing w:after="0" w:line="240" w:lineRule="auto"/>
        <w:ind w:firstLine="720"/>
        <w:jc w:val="both"/>
        <w:rPr>
          <w:rFonts w:ascii="Times New Roman" w:hAnsi="Times New Roman" w:cs="Times New Roman"/>
          <w:sz w:val="24"/>
        </w:rPr>
      </w:pPr>
      <w:bookmarkStart w:id="15" w:name="_Hlk63348022"/>
      <w:r w:rsidRPr="0054564D">
        <w:rPr>
          <w:rFonts w:ascii="Times New Roman" w:hAnsi="Times New Roman" w:cs="Times New Roman"/>
          <w:sz w:val="24"/>
        </w:rPr>
        <w:t xml:space="preserve">По соотношению возрастных групп «Дети 0-14» и «50 и старше» определяется тип структуры населения. В 2020 году 69,2 % </w:t>
      </w:r>
      <w:proofErr w:type="gramStart"/>
      <w:r w:rsidRPr="0054564D">
        <w:rPr>
          <w:rFonts w:ascii="Times New Roman" w:hAnsi="Times New Roman" w:cs="Times New Roman"/>
          <w:sz w:val="24"/>
        </w:rPr>
        <w:t>( 2019</w:t>
      </w:r>
      <w:proofErr w:type="gramEnd"/>
      <w:r w:rsidRPr="0054564D">
        <w:rPr>
          <w:rFonts w:ascii="Times New Roman" w:hAnsi="Times New Roman" w:cs="Times New Roman"/>
          <w:sz w:val="24"/>
        </w:rPr>
        <w:t xml:space="preserve"> году 70,2 % ,в 2018 году – 71,0 %)  населения  города составляют дети от 0 до 14лет и взрослые лица от 15лет до 49 лет,население возрастной группы 50лет и старше в 2020г.составило </w:t>
      </w:r>
      <w:bookmarkStart w:id="16" w:name="_Hlk62757647"/>
      <w:r w:rsidRPr="0054564D">
        <w:rPr>
          <w:rFonts w:ascii="Times New Roman" w:hAnsi="Times New Roman" w:cs="Times New Roman"/>
          <w:sz w:val="24"/>
        </w:rPr>
        <w:t>30,8%</w:t>
      </w:r>
      <w:bookmarkEnd w:id="16"/>
      <w:r w:rsidRPr="0054564D">
        <w:rPr>
          <w:rFonts w:ascii="Times New Roman" w:hAnsi="Times New Roman" w:cs="Times New Roman"/>
          <w:sz w:val="24"/>
        </w:rPr>
        <w:t>( в  2019г.- 29,8%,в2018г.-28,9%),что свидетельствует о прогрессивном типе населения, но в динамике прослеживается увеличение в возрастной группе«50 и старше» и снижение в возрастной группе «Дети 0-14».</w:t>
      </w:r>
    </w:p>
    <w:bookmarkEnd w:id="15"/>
    <w:p w:rsidR="008F3AF5" w:rsidRPr="0054564D" w:rsidRDefault="008F3AF5" w:rsidP="0054564D">
      <w:pPr>
        <w:spacing w:after="0" w:line="240" w:lineRule="auto"/>
        <w:ind w:firstLine="720"/>
        <w:jc w:val="both"/>
        <w:rPr>
          <w:rFonts w:ascii="Times New Roman" w:hAnsi="Times New Roman" w:cs="Times New Roman"/>
          <w:sz w:val="24"/>
        </w:rPr>
      </w:pPr>
      <w:r w:rsidRPr="0054564D">
        <w:rPr>
          <w:rFonts w:ascii="Times New Roman" w:hAnsi="Times New Roman" w:cs="Times New Roman"/>
          <w:sz w:val="24"/>
        </w:rPr>
        <w:t xml:space="preserve">В динамике за 3 года возрастная структура населения существенно не </w:t>
      </w:r>
      <w:proofErr w:type="gramStart"/>
      <w:r w:rsidRPr="0054564D">
        <w:rPr>
          <w:rFonts w:ascii="Times New Roman" w:hAnsi="Times New Roman" w:cs="Times New Roman"/>
          <w:sz w:val="24"/>
        </w:rPr>
        <w:t>изменилась  (</w:t>
      </w:r>
      <w:proofErr w:type="gramEnd"/>
      <w:r w:rsidRPr="0054564D">
        <w:rPr>
          <w:rFonts w:ascii="Times New Roman" w:hAnsi="Times New Roman" w:cs="Times New Roman"/>
          <w:sz w:val="24"/>
        </w:rPr>
        <w:t>таблица №2).</w:t>
      </w:r>
    </w:p>
    <w:p w:rsidR="008F3AF5" w:rsidRPr="0054564D" w:rsidRDefault="008F3AF5" w:rsidP="0054564D">
      <w:pPr>
        <w:spacing w:after="0" w:line="240" w:lineRule="auto"/>
        <w:rPr>
          <w:rFonts w:ascii="Times New Roman" w:hAnsi="Times New Roman" w:cs="Times New Roman"/>
          <w:highlight w:val="yellow"/>
        </w:rPr>
      </w:pPr>
    </w:p>
    <w:p w:rsidR="008F3AF5" w:rsidRPr="0054564D" w:rsidRDefault="008F3AF5" w:rsidP="0054564D">
      <w:pPr>
        <w:spacing w:after="0" w:line="240" w:lineRule="auto"/>
        <w:jc w:val="right"/>
        <w:rPr>
          <w:rFonts w:ascii="Times New Roman" w:hAnsi="Times New Roman" w:cs="Times New Roman"/>
        </w:rPr>
      </w:pPr>
      <w:r w:rsidRPr="0054564D">
        <w:rPr>
          <w:rFonts w:ascii="Times New Roman" w:hAnsi="Times New Roman" w:cs="Times New Roman"/>
        </w:rPr>
        <w:t>Таблица № 2</w:t>
      </w:r>
    </w:p>
    <w:p w:rsidR="008F3AF5" w:rsidRPr="0054564D" w:rsidRDefault="008F3AF5" w:rsidP="0054564D">
      <w:pPr>
        <w:pStyle w:val="8"/>
        <w:rPr>
          <w:rFonts w:ascii="Times New Roman" w:hAnsi="Times New Roman"/>
          <w:sz w:val="22"/>
          <w:szCs w:val="22"/>
        </w:rPr>
      </w:pPr>
      <w:r w:rsidRPr="0054564D">
        <w:rPr>
          <w:rFonts w:ascii="Times New Roman" w:hAnsi="Times New Roman"/>
          <w:sz w:val="22"/>
          <w:szCs w:val="22"/>
        </w:rPr>
        <w:t>Динамика возрастной  структуры населения в %</w:t>
      </w:r>
    </w:p>
    <w:p w:rsidR="008F3AF5" w:rsidRPr="0054564D" w:rsidRDefault="008F3AF5" w:rsidP="0054564D">
      <w:pPr>
        <w:spacing w:after="0" w:line="240" w:lineRule="auto"/>
        <w:rPr>
          <w:rFonts w:ascii="Times New Roman" w:hAnsi="Times New Roman" w:cs="Times New Roman"/>
        </w:rPr>
      </w:pPr>
    </w:p>
    <w:tbl>
      <w:tblPr>
        <w:tblW w:w="936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992"/>
        <w:gridCol w:w="998"/>
        <w:gridCol w:w="1162"/>
        <w:gridCol w:w="1328"/>
        <w:gridCol w:w="1288"/>
        <w:gridCol w:w="1071"/>
        <w:gridCol w:w="864"/>
      </w:tblGrid>
      <w:tr w:rsidR="008F3AF5" w:rsidRPr="0054564D" w:rsidTr="00630798">
        <w:trPr>
          <w:trHeight w:val="304"/>
        </w:trPr>
        <w:tc>
          <w:tcPr>
            <w:tcW w:w="665" w:type="dxa"/>
            <w:vMerge w:val="restart"/>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 п/п</w:t>
            </w:r>
          </w:p>
        </w:tc>
        <w:tc>
          <w:tcPr>
            <w:tcW w:w="1992" w:type="dxa"/>
            <w:vMerge w:val="restart"/>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Возрастная группа</w:t>
            </w:r>
          </w:p>
        </w:tc>
        <w:tc>
          <w:tcPr>
            <w:tcW w:w="2160" w:type="dxa"/>
            <w:gridSpan w:val="2"/>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2018</w:t>
            </w:r>
          </w:p>
        </w:tc>
        <w:tc>
          <w:tcPr>
            <w:tcW w:w="2616" w:type="dxa"/>
            <w:gridSpan w:val="2"/>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2019</w:t>
            </w:r>
          </w:p>
        </w:tc>
        <w:tc>
          <w:tcPr>
            <w:tcW w:w="1935" w:type="dxa"/>
            <w:gridSpan w:val="2"/>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2020</w:t>
            </w:r>
          </w:p>
        </w:tc>
      </w:tr>
      <w:tr w:rsidR="008F3AF5" w:rsidRPr="0054564D" w:rsidTr="00630798">
        <w:trPr>
          <w:trHeight w:val="145"/>
        </w:trPr>
        <w:tc>
          <w:tcPr>
            <w:tcW w:w="665" w:type="dxa"/>
            <w:vMerge/>
          </w:tcPr>
          <w:p w:rsidR="008F3AF5" w:rsidRPr="0054564D" w:rsidRDefault="008F3AF5" w:rsidP="0054564D">
            <w:pPr>
              <w:spacing w:before="20" w:after="0" w:line="240" w:lineRule="auto"/>
              <w:jc w:val="center"/>
              <w:rPr>
                <w:rFonts w:ascii="Times New Roman" w:hAnsi="Times New Roman" w:cs="Times New Roman"/>
              </w:rPr>
            </w:pPr>
          </w:p>
        </w:tc>
        <w:tc>
          <w:tcPr>
            <w:tcW w:w="1992" w:type="dxa"/>
            <w:vMerge/>
          </w:tcPr>
          <w:p w:rsidR="008F3AF5" w:rsidRPr="0054564D" w:rsidRDefault="008F3AF5" w:rsidP="0054564D">
            <w:pPr>
              <w:spacing w:before="20" w:after="0" w:line="240" w:lineRule="auto"/>
              <w:jc w:val="center"/>
              <w:rPr>
                <w:rFonts w:ascii="Times New Roman" w:hAnsi="Times New Roman" w:cs="Times New Roman"/>
              </w:rPr>
            </w:pPr>
          </w:p>
        </w:tc>
        <w:tc>
          <w:tcPr>
            <w:tcW w:w="998"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Числ.</w:t>
            </w:r>
          </w:p>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абс.</w:t>
            </w:r>
          </w:p>
        </w:tc>
        <w:tc>
          <w:tcPr>
            <w:tcW w:w="1162"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w:t>
            </w:r>
          </w:p>
        </w:tc>
        <w:tc>
          <w:tcPr>
            <w:tcW w:w="1328"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Числ.</w:t>
            </w:r>
          </w:p>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абс.</w:t>
            </w:r>
          </w:p>
        </w:tc>
        <w:tc>
          <w:tcPr>
            <w:tcW w:w="1288"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w:t>
            </w:r>
          </w:p>
        </w:tc>
        <w:tc>
          <w:tcPr>
            <w:tcW w:w="1071"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Числ.</w:t>
            </w:r>
          </w:p>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абс.</w:t>
            </w:r>
          </w:p>
        </w:tc>
        <w:tc>
          <w:tcPr>
            <w:tcW w:w="864"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w:t>
            </w:r>
          </w:p>
        </w:tc>
      </w:tr>
      <w:tr w:rsidR="008F3AF5" w:rsidRPr="0054564D" w:rsidTr="00630798">
        <w:trPr>
          <w:trHeight w:val="431"/>
        </w:trPr>
        <w:tc>
          <w:tcPr>
            <w:tcW w:w="665"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1</w:t>
            </w:r>
          </w:p>
        </w:tc>
        <w:tc>
          <w:tcPr>
            <w:tcW w:w="1992"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дети 0-14 л.</w:t>
            </w:r>
          </w:p>
        </w:tc>
        <w:tc>
          <w:tcPr>
            <w:tcW w:w="998" w:type="dxa"/>
          </w:tcPr>
          <w:p w:rsidR="008F3AF5" w:rsidRPr="0054564D" w:rsidRDefault="008F3AF5" w:rsidP="0054564D">
            <w:pPr>
              <w:spacing w:before="20" w:after="0" w:line="240" w:lineRule="auto"/>
              <w:jc w:val="center"/>
              <w:rPr>
                <w:rFonts w:ascii="Times New Roman" w:hAnsi="Times New Roman" w:cs="Times New Roman"/>
                <w:color w:val="000000"/>
              </w:rPr>
            </w:pPr>
            <w:r w:rsidRPr="0054564D">
              <w:rPr>
                <w:rFonts w:ascii="Times New Roman" w:hAnsi="Times New Roman" w:cs="Times New Roman"/>
              </w:rPr>
              <w:t>8998</w:t>
            </w:r>
          </w:p>
        </w:tc>
        <w:tc>
          <w:tcPr>
            <w:tcW w:w="116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21,3</w:t>
            </w:r>
          </w:p>
        </w:tc>
        <w:tc>
          <w:tcPr>
            <w:tcW w:w="1328" w:type="dxa"/>
          </w:tcPr>
          <w:p w:rsidR="008F3AF5" w:rsidRPr="0054564D" w:rsidRDefault="008F3AF5" w:rsidP="0054564D">
            <w:pPr>
              <w:spacing w:before="20" w:after="0" w:line="240" w:lineRule="auto"/>
              <w:jc w:val="center"/>
              <w:rPr>
                <w:rFonts w:ascii="Times New Roman" w:hAnsi="Times New Roman" w:cs="Times New Roman"/>
                <w:color w:val="000000"/>
              </w:rPr>
            </w:pPr>
            <w:r w:rsidRPr="0054564D">
              <w:rPr>
                <w:rFonts w:ascii="Times New Roman" w:hAnsi="Times New Roman" w:cs="Times New Roman"/>
              </w:rPr>
              <w:t>8834</w:t>
            </w:r>
          </w:p>
        </w:tc>
        <w:tc>
          <w:tcPr>
            <w:tcW w:w="1288"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21,4</w:t>
            </w:r>
          </w:p>
        </w:tc>
        <w:tc>
          <w:tcPr>
            <w:tcW w:w="1071" w:type="dxa"/>
            <w:tcBorders>
              <w:top w:val="nil"/>
              <w:left w:val="single" w:sz="4" w:space="0" w:color="auto"/>
              <w:bottom w:val="single" w:sz="4" w:space="0" w:color="auto"/>
              <w:right w:val="single" w:sz="4" w:space="0" w:color="auto"/>
            </w:tcBorders>
          </w:tcPr>
          <w:p w:rsidR="008F3AF5" w:rsidRPr="0054564D" w:rsidRDefault="008F3AF5" w:rsidP="0054564D">
            <w:pPr>
              <w:spacing w:before="20" w:after="0" w:line="240" w:lineRule="auto"/>
              <w:jc w:val="center"/>
              <w:rPr>
                <w:rFonts w:ascii="Times New Roman" w:hAnsi="Times New Roman" w:cs="Times New Roman"/>
                <w:color w:val="000000"/>
              </w:rPr>
            </w:pPr>
            <w:r w:rsidRPr="0054564D">
              <w:rPr>
                <w:rFonts w:ascii="Times New Roman" w:hAnsi="Times New Roman" w:cs="Times New Roman"/>
              </w:rPr>
              <w:t>8726</w:t>
            </w:r>
          </w:p>
        </w:tc>
        <w:tc>
          <w:tcPr>
            <w:tcW w:w="864"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color w:val="000000"/>
              </w:rPr>
              <w:t>21,9</w:t>
            </w:r>
          </w:p>
        </w:tc>
      </w:tr>
      <w:tr w:rsidR="008F3AF5" w:rsidRPr="0054564D" w:rsidTr="00630798">
        <w:trPr>
          <w:trHeight w:val="411"/>
        </w:trPr>
        <w:tc>
          <w:tcPr>
            <w:tcW w:w="665"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w:t>
            </w:r>
          </w:p>
        </w:tc>
        <w:tc>
          <w:tcPr>
            <w:tcW w:w="1992"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15-49л.</w:t>
            </w:r>
          </w:p>
        </w:tc>
        <w:tc>
          <w:tcPr>
            <w:tcW w:w="998" w:type="dxa"/>
          </w:tcPr>
          <w:p w:rsidR="008F3AF5" w:rsidRPr="0054564D" w:rsidRDefault="008F3AF5" w:rsidP="0054564D">
            <w:pPr>
              <w:spacing w:before="20" w:after="0" w:line="240" w:lineRule="auto"/>
              <w:jc w:val="center"/>
              <w:rPr>
                <w:rFonts w:ascii="Times New Roman" w:hAnsi="Times New Roman" w:cs="Times New Roman"/>
                <w:color w:val="000000"/>
              </w:rPr>
            </w:pPr>
            <w:r w:rsidRPr="0054564D">
              <w:rPr>
                <w:rFonts w:ascii="Times New Roman" w:hAnsi="Times New Roman" w:cs="Times New Roman"/>
              </w:rPr>
              <w:t>20976</w:t>
            </w:r>
          </w:p>
        </w:tc>
        <w:tc>
          <w:tcPr>
            <w:tcW w:w="116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49,7</w:t>
            </w:r>
          </w:p>
        </w:tc>
        <w:tc>
          <w:tcPr>
            <w:tcW w:w="1328" w:type="dxa"/>
          </w:tcPr>
          <w:p w:rsidR="008F3AF5" w:rsidRPr="0054564D" w:rsidRDefault="008F3AF5" w:rsidP="0054564D">
            <w:pPr>
              <w:spacing w:before="20" w:after="0" w:line="240" w:lineRule="auto"/>
              <w:jc w:val="center"/>
              <w:rPr>
                <w:rFonts w:ascii="Times New Roman" w:hAnsi="Times New Roman" w:cs="Times New Roman"/>
                <w:color w:val="000000"/>
              </w:rPr>
            </w:pPr>
            <w:r w:rsidRPr="0054564D">
              <w:rPr>
                <w:rFonts w:ascii="Times New Roman" w:hAnsi="Times New Roman" w:cs="Times New Roman"/>
              </w:rPr>
              <w:t>20101</w:t>
            </w:r>
          </w:p>
        </w:tc>
        <w:tc>
          <w:tcPr>
            <w:tcW w:w="1288"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48,8</w:t>
            </w:r>
          </w:p>
        </w:tc>
        <w:tc>
          <w:tcPr>
            <w:tcW w:w="1071" w:type="dxa"/>
            <w:tcBorders>
              <w:top w:val="nil"/>
              <w:left w:val="single" w:sz="4" w:space="0" w:color="auto"/>
              <w:bottom w:val="single" w:sz="4" w:space="0" w:color="auto"/>
              <w:right w:val="single" w:sz="4" w:space="0" w:color="auto"/>
            </w:tcBorders>
          </w:tcPr>
          <w:p w:rsidR="008F3AF5" w:rsidRPr="0054564D" w:rsidRDefault="008F3AF5" w:rsidP="0054564D">
            <w:pPr>
              <w:spacing w:before="20" w:after="0" w:line="240" w:lineRule="auto"/>
              <w:jc w:val="center"/>
              <w:rPr>
                <w:rFonts w:ascii="Times New Roman" w:hAnsi="Times New Roman" w:cs="Times New Roman"/>
                <w:color w:val="000000"/>
              </w:rPr>
            </w:pPr>
            <w:r w:rsidRPr="0054564D">
              <w:rPr>
                <w:rFonts w:ascii="Times New Roman" w:hAnsi="Times New Roman" w:cs="Times New Roman"/>
              </w:rPr>
              <w:t>18862</w:t>
            </w:r>
          </w:p>
        </w:tc>
        <w:tc>
          <w:tcPr>
            <w:tcW w:w="864"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color w:val="000000"/>
              </w:rPr>
              <w:t>37,4</w:t>
            </w:r>
          </w:p>
        </w:tc>
      </w:tr>
      <w:tr w:rsidR="008F3AF5" w:rsidRPr="0054564D" w:rsidTr="00630798">
        <w:trPr>
          <w:trHeight w:val="319"/>
        </w:trPr>
        <w:tc>
          <w:tcPr>
            <w:tcW w:w="665"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3</w:t>
            </w:r>
          </w:p>
        </w:tc>
        <w:tc>
          <w:tcPr>
            <w:tcW w:w="1992"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50 л. и старше</w:t>
            </w:r>
          </w:p>
        </w:tc>
        <w:tc>
          <w:tcPr>
            <w:tcW w:w="998" w:type="dxa"/>
          </w:tcPr>
          <w:p w:rsidR="008F3AF5" w:rsidRPr="0054564D" w:rsidRDefault="008F3AF5" w:rsidP="0054564D">
            <w:pPr>
              <w:spacing w:before="20" w:after="0" w:line="240" w:lineRule="auto"/>
              <w:jc w:val="center"/>
              <w:rPr>
                <w:rFonts w:ascii="Times New Roman" w:hAnsi="Times New Roman" w:cs="Times New Roman"/>
                <w:color w:val="000000"/>
              </w:rPr>
            </w:pPr>
            <w:r w:rsidRPr="0054564D">
              <w:rPr>
                <w:rFonts w:ascii="Times New Roman" w:hAnsi="Times New Roman" w:cs="Times New Roman"/>
              </w:rPr>
              <w:t>12209</w:t>
            </w:r>
          </w:p>
        </w:tc>
        <w:tc>
          <w:tcPr>
            <w:tcW w:w="116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28,9</w:t>
            </w:r>
          </w:p>
        </w:tc>
        <w:tc>
          <w:tcPr>
            <w:tcW w:w="1328" w:type="dxa"/>
          </w:tcPr>
          <w:p w:rsidR="008F3AF5" w:rsidRPr="0054564D" w:rsidRDefault="008F3AF5" w:rsidP="0054564D">
            <w:pPr>
              <w:spacing w:before="20" w:after="0" w:line="240" w:lineRule="auto"/>
              <w:jc w:val="center"/>
              <w:rPr>
                <w:rFonts w:ascii="Times New Roman" w:hAnsi="Times New Roman" w:cs="Times New Roman"/>
                <w:color w:val="000000"/>
              </w:rPr>
            </w:pPr>
            <w:r w:rsidRPr="0054564D">
              <w:rPr>
                <w:rFonts w:ascii="Times New Roman" w:hAnsi="Times New Roman" w:cs="Times New Roman"/>
              </w:rPr>
              <w:t>12288</w:t>
            </w:r>
          </w:p>
        </w:tc>
        <w:tc>
          <w:tcPr>
            <w:tcW w:w="1288"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29,8</w:t>
            </w:r>
          </w:p>
        </w:tc>
        <w:tc>
          <w:tcPr>
            <w:tcW w:w="1071" w:type="dxa"/>
            <w:tcBorders>
              <w:top w:val="nil"/>
              <w:left w:val="single" w:sz="4" w:space="0" w:color="auto"/>
              <w:bottom w:val="single" w:sz="4" w:space="0" w:color="auto"/>
              <w:right w:val="single" w:sz="4" w:space="0" w:color="auto"/>
            </w:tcBorders>
          </w:tcPr>
          <w:p w:rsidR="008F3AF5" w:rsidRPr="0054564D" w:rsidRDefault="008F3AF5" w:rsidP="0054564D">
            <w:pPr>
              <w:spacing w:before="20" w:after="0" w:line="240" w:lineRule="auto"/>
              <w:jc w:val="center"/>
              <w:rPr>
                <w:rFonts w:ascii="Times New Roman" w:hAnsi="Times New Roman" w:cs="Times New Roman"/>
                <w:color w:val="000000"/>
              </w:rPr>
            </w:pPr>
            <w:r w:rsidRPr="0054564D">
              <w:rPr>
                <w:rFonts w:ascii="Times New Roman" w:hAnsi="Times New Roman" w:cs="Times New Roman"/>
              </w:rPr>
              <w:t>12256</w:t>
            </w:r>
          </w:p>
        </w:tc>
        <w:tc>
          <w:tcPr>
            <w:tcW w:w="864"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color w:val="000000"/>
              </w:rPr>
              <w:t>30,7</w:t>
            </w:r>
          </w:p>
        </w:tc>
      </w:tr>
    </w:tbl>
    <w:p w:rsidR="008F3AF5" w:rsidRPr="0054564D" w:rsidRDefault="008F3AF5" w:rsidP="0054564D">
      <w:pPr>
        <w:spacing w:after="0" w:line="240" w:lineRule="auto"/>
        <w:rPr>
          <w:rFonts w:ascii="Times New Roman" w:hAnsi="Times New Roman" w:cs="Times New Roman"/>
        </w:rPr>
      </w:pPr>
    </w:p>
    <w:p w:rsidR="008F3AF5" w:rsidRPr="0054564D" w:rsidRDefault="008F3AF5" w:rsidP="0054564D">
      <w:pPr>
        <w:spacing w:before="120" w:after="0" w:line="240" w:lineRule="auto"/>
        <w:jc w:val="center"/>
        <w:rPr>
          <w:rFonts w:ascii="Times New Roman" w:hAnsi="Times New Roman" w:cs="Times New Roman"/>
          <w:b/>
          <w:sz w:val="24"/>
          <w:szCs w:val="24"/>
        </w:rPr>
      </w:pPr>
      <w:r w:rsidRPr="0054564D">
        <w:rPr>
          <w:rFonts w:ascii="Times New Roman" w:hAnsi="Times New Roman" w:cs="Times New Roman"/>
          <w:b/>
          <w:sz w:val="24"/>
          <w:szCs w:val="24"/>
        </w:rPr>
        <w:t>Медико - демографические показатели:</w:t>
      </w:r>
    </w:p>
    <w:p w:rsidR="008F3AF5" w:rsidRPr="0054564D" w:rsidRDefault="008F3AF5" w:rsidP="0054564D">
      <w:pPr>
        <w:spacing w:after="0" w:line="240" w:lineRule="auto"/>
        <w:ind w:firstLine="709"/>
        <w:jc w:val="both"/>
        <w:rPr>
          <w:rFonts w:ascii="Times New Roman" w:hAnsi="Times New Roman" w:cs="Times New Roman"/>
          <w:sz w:val="24"/>
        </w:rPr>
      </w:pPr>
      <w:r w:rsidRPr="0054564D">
        <w:rPr>
          <w:rFonts w:ascii="Times New Roman" w:hAnsi="Times New Roman" w:cs="Times New Roman"/>
          <w:sz w:val="24"/>
        </w:rPr>
        <w:t xml:space="preserve">В 2020году по г Пыть-Ях родилось 436 ребенка </w:t>
      </w:r>
      <w:proofErr w:type="gramStart"/>
      <w:r w:rsidRPr="0054564D">
        <w:rPr>
          <w:rFonts w:ascii="Times New Roman" w:hAnsi="Times New Roman" w:cs="Times New Roman"/>
          <w:sz w:val="24"/>
        </w:rPr>
        <w:t>и  мертворожденных</w:t>
      </w:r>
      <w:proofErr w:type="gramEnd"/>
      <w:r w:rsidRPr="0054564D">
        <w:rPr>
          <w:rFonts w:ascii="Times New Roman" w:hAnsi="Times New Roman" w:cs="Times New Roman"/>
          <w:sz w:val="24"/>
        </w:rPr>
        <w:t xml:space="preserve"> 4чел  , в 2019 году родилось 454 ребенка,  в том числе мертворожденных -1 чел., в 2018году по г. Пыть-Ях   родилось 539 детей,  в том числе мертворожденных -1 чел., ( таблица № 3)</w:t>
      </w:r>
    </w:p>
    <w:p w:rsidR="008F3AF5" w:rsidRPr="0054564D" w:rsidRDefault="008F3AF5" w:rsidP="0054564D">
      <w:pPr>
        <w:spacing w:after="0" w:line="240" w:lineRule="auto"/>
        <w:ind w:firstLine="709"/>
        <w:jc w:val="both"/>
        <w:rPr>
          <w:rFonts w:ascii="Times New Roman" w:hAnsi="Times New Roman" w:cs="Times New Roman"/>
          <w:sz w:val="24"/>
        </w:rPr>
      </w:pPr>
      <w:r w:rsidRPr="0054564D">
        <w:rPr>
          <w:rFonts w:ascii="Times New Roman" w:hAnsi="Times New Roman" w:cs="Times New Roman"/>
          <w:sz w:val="24"/>
        </w:rPr>
        <w:t xml:space="preserve">В динамике за 3 </w:t>
      </w:r>
      <w:proofErr w:type="gramStart"/>
      <w:r w:rsidRPr="0054564D">
        <w:rPr>
          <w:rFonts w:ascii="Times New Roman" w:hAnsi="Times New Roman" w:cs="Times New Roman"/>
          <w:sz w:val="24"/>
        </w:rPr>
        <w:t>года  отмечается</w:t>
      </w:r>
      <w:proofErr w:type="gramEnd"/>
      <w:r w:rsidRPr="0054564D">
        <w:rPr>
          <w:rFonts w:ascii="Times New Roman" w:hAnsi="Times New Roman" w:cs="Times New Roman"/>
          <w:sz w:val="24"/>
        </w:rPr>
        <w:t xml:space="preserve"> снижение  рождаемости по абсолютным значениям на  4,1 %, по сравнению с 2019г и  23,6% по сравнению с 2018г. Динамика отрицательная. </w:t>
      </w:r>
    </w:p>
    <w:p w:rsidR="008F3AF5" w:rsidRPr="0054564D" w:rsidRDefault="008F3AF5" w:rsidP="0054564D">
      <w:pPr>
        <w:spacing w:after="0" w:line="240" w:lineRule="auto"/>
        <w:jc w:val="right"/>
        <w:rPr>
          <w:rFonts w:ascii="Times New Roman" w:hAnsi="Times New Roman" w:cs="Times New Roman"/>
        </w:rPr>
      </w:pPr>
      <w:r w:rsidRPr="0054564D">
        <w:rPr>
          <w:rFonts w:ascii="Times New Roman" w:hAnsi="Times New Roman" w:cs="Times New Roman"/>
        </w:rPr>
        <w:t>Таблица № 3</w:t>
      </w:r>
    </w:p>
    <w:p w:rsidR="008F3AF5" w:rsidRPr="0054564D" w:rsidRDefault="008F3AF5" w:rsidP="0054564D">
      <w:pPr>
        <w:spacing w:after="0" w:line="240" w:lineRule="auto"/>
        <w:jc w:val="center"/>
        <w:rPr>
          <w:rFonts w:ascii="Times New Roman" w:hAnsi="Times New Roman" w:cs="Times New Roman"/>
          <w:b/>
        </w:rPr>
      </w:pPr>
      <w:r w:rsidRPr="0054564D">
        <w:rPr>
          <w:rFonts w:ascii="Times New Roman" w:hAnsi="Times New Roman" w:cs="Times New Roman"/>
          <w:b/>
        </w:rPr>
        <w:t xml:space="preserve">Динамика количества </w:t>
      </w:r>
      <w:proofErr w:type="gramStart"/>
      <w:r w:rsidRPr="0054564D">
        <w:rPr>
          <w:rFonts w:ascii="Times New Roman" w:hAnsi="Times New Roman" w:cs="Times New Roman"/>
          <w:b/>
        </w:rPr>
        <w:t>родившихся  по</w:t>
      </w:r>
      <w:proofErr w:type="gramEnd"/>
      <w:r w:rsidRPr="0054564D">
        <w:rPr>
          <w:rFonts w:ascii="Times New Roman" w:hAnsi="Times New Roman" w:cs="Times New Roman"/>
          <w:b/>
        </w:rPr>
        <w:t xml:space="preserve"> годам:</w:t>
      </w:r>
    </w:p>
    <w:p w:rsidR="008F3AF5" w:rsidRPr="0054564D" w:rsidRDefault="008F3AF5" w:rsidP="0054564D">
      <w:pPr>
        <w:spacing w:after="0" w:line="240" w:lineRule="auto"/>
        <w:jc w:val="both"/>
        <w:rPr>
          <w:rFonts w:ascii="Times New Roman" w:hAnsi="Times New Roman" w:cs="Times New Roman"/>
          <w:sz w:val="24"/>
        </w:rPr>
      </w:pP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7"/>
        <w:gridCol w:w="858"/>
        <w:gridCol w:w="1101"/>
        <w:gridCol w:w="1101"/>
      </w:tblGrid>
      <w:tr w:rsidR="008F3AF5" w:rsidRPr="0054564D" w:rsidTr="00630798">
        <w:trPr>
          <w:trHeight w:val="315"/>
        </w:trPr>
        <w:tc>
          <w:tcPr>
            <w:tcW w:w="6477"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Отчетный период</w:t>
            </w:r>
          </w:p>
        </w:tc>
        <w:tc>
          <w:tcPr>
            <w:tcW w:w="858"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2018</w:t>
            </w:r>
          </w:p>
        </w:tc>
        <w:tc>
          <w:tcPr>
            <w:tcW w:w="1101"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2019</w:t>
            </w:r>
          </w:p>
        </w:tc>
        <w:tc>
          <w:tcPr>
            <w:tcW w:w="1101"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2020</w:t>
            </w:r>
          </w:p>
        </w:tc>
      </w:tr>
      <w:tr w:rsidR="008F3AF5" w:rsidRPr="0054564D" w:rsidTr="00630798">
        <w:trPr>
          <w:trHeight w:val="315"/>
        </w:trPr>
        <w:tc>
          <w:tcPr>
            <w:tcW w:w="6477"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Родилось по г. Пыть-Ях всего (с мертворожден.) абс.</w:t>
            </w:r>
          </w:p>
        </w:tc>
        <w:tc>
          <w:tcPr>
            <w:tcW w:w="858"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539</w:t>
            </w:r>
          </w:p>
        </w:tc>
        <w:tc>
          <w:tcPr>
            <w:tcW w:w="1101"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before="20" w:after="0" w:line="240" w:lineRule="auto"/>
              <w:jc w:val="center"/>
              <w:rPr>
                <w:rFonts w:ascii="Times New Roman" w:hAnsi="Times New Roman" w:cs="Times New Roman"/>
                <w:color w:val="000000"/>
              </w:rPr>
            </w:pPr>
            <w:r w:rsidRPr="0054564D">
              <w:rPr>
                <w:rFonts w:ascii="Times New Roman" w:hAnsi="Times New Roman" w:cs="Times New Roman"/>
              </w:rPr>
              <w:t>454</w:t>
            </w:r>
          </w:p>
        </w:tc>
        <w:tc>
          <w:tcPr>
            <w:tcW w:w="1101"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before="20" w:after="0" w:line="240" w:lineRule="auto"/>
              <w:jc w:val="center"/>
              <w:rPr>
                <w:rFonts w:ascii="Times New Roman" w:hAnsi="Times New Roman" w:cs="Times New Roman"/>
                <w:color w:val="000000"/>
              </w:rPr>
            </w:pPr>
            <w:r w:rsidRPr="0054564D">
              <w:rPr>
                <w:rFonts w:ascii="Times New Roman" w:hAnsi="Times New Roman" w:cs="Times New Roman"/>
                <w:color w:val="000000"/>
              </w:rPr>
              <w:t>440</w:t>
            </w:r>
          </w:p>
        </w:tc>
      </w:tr>
    </w:tbl>
    <w:p w:rsidR="008F3AF5" w:rsidRPr="0054564D" w:rsidRDefault="008F3AF5" w:rsidP="0054564D">
      <w:pPr>
        <w:spacing w:before="120" w:after="0" w:line="240" w:lineRule="auto"/>
        <w:ind w:left="1080"/>
        <w:jc w:val="center"/>
        <w:rPr>
          <w:rFonts w:ascii="Times New Roman" w:hAnsi="Times New Roman" w:cs="Times New Roman"/>
          <w:b/>
          <w:sz w:val="24"/>
          <w:szCs w:val="24"/>
        </w:rPr>
      </w:pPr>
      <w:r w:rsidRPr="0054564D">
        <w:rPr>
          <w:rFonts w:ascii="Times New Roman" w:hAnsi="Times New Roman" w:cs="Times New Roman"/>
          <w:b/>
          <w:sz w:val="24"/>
          <w:szCs w:val="24"/>
        </w:rPr>
        <w:t>Рождаемость</w:t>
      </w:r>
    </w:p>
    <w:p w:rsidR="008F3AF5" w:rsidRPr="0054564D" w:rsidRDefault="008F3AF5" w:rsidP="0054564D">
      <w:pPr>
        <w:spacing w:after="0" w:line="240" w:lineRule="auto"/>
        <w:jc w:val="both"/>
        <w:rPr>
          <w:rFonts w:ascii="Times New Roman" w:hAnsi="Times New Roman" w:cs="Times New Roman"/>
          <w:sz w:val="24"/>
        </w:rPr>
      </w:pPr>
      <w:r w:rsidRPr="0054564D">
        <w:rPr>
          <w:rFonts w:ascii="Times New Roman" w:hAnsi="Times New Roman" w:cs="Times New Roman"/>
          <w:bCs/>
          <w:sz w:val="24"/>
          <w:szCs w:val="24"/>
        </w:rPr>
        <w:t xml:space="preserve">Показатель </w:t>
      </w:r>
      <w:proofErr w:type="gramStart"/>
      <w:r w:rsidRPr="0054564D">
        <w:rPr>
          <w:rFonts w:ascii="Times New Roman" w:hAnsi="Times New Roman" w:cs="Times New Roman"/>
          <w:bCs/>
          <w:sz w:val="24"/>
          <w:szCs w:val="24"/>
        </w:rPr>
        <w:t>рождаемости  в</w:t>
      </w:r>
      <w:proofErr w:type="gramEnd"/>
      <w:r w:rsidRPr="0054564D">
        <w:rPr>
          <w:rFonts w:ascii="Times New Roman" w:hAnsi="Times New Roman" w:cs="Times New Roman"/>
          <w:bCs/>
          <w:sz w:val="24"/>
          <w:szCs w:val="24"/>
        </w:rPr>
        <w:t xml:space="preserve"> 2020г на 1000 населения составляет 10,9 </w:t>
      </w:r>
      <w:r w:rsidRPr="0054564D">
        <w:rPr>
          <w:rFonts w:ascii="Times New Roman" w:hAnsi="Times New Roman" w:cs="Times New Roman"/>
          <w:sz w:val="24"/>
        </w:rPr>
        <w:t>(таб. № 4).</w:t>
      </w:r>
    </w:p>
    <w:p w:rsidR="008F3AF5" w:rsidRPr="0054564D" w:rsidRDefault="008F3AF5" w:rsidP="0054564D">
      <w:pPr>
        <w:spacing w:after="0" w:line="240" w:lineRule="auto"/>
        <w:jc w:val="both"/>
        <w:rPr>
          <w:rFonts w:ascii="Times New Roman" w:hAnsi="Times New Roman" w:cs="Times New Roman"/>
          <w:sz w:val="24"/>
        </w:rPr>
      </w:pPr>
      <w:r w:rsidRPr="0054564D">
        <w:rPr>
          <w:rFonts w:ascii="Times New Roman" w:hAnsi="Times New Roman" w:cs="Times New Roman"/>
          <w:sz w:val="24"/>
        </w:rPr>
        <w:t>Для расчета показателя рождаемости берется цифра родившихся живыми – 436</w:t>
      </w:r>
    </w:p>
    <w:p w:rsidR="008F3AF5" w:rsidRPr="0054564D" w:rsidRDefault="008F3AF5" w:rsidP="0054564D">
      <w:pPr>
        <w:spacing w:after="0" w:line="240" w:lineRule="auto"/>
        <w:jc w:val="both"/>
        <w:rPr>
          <w:rFonts w:ascii="Times New Roman" w:hAnsi="Times New Roman" w:cs="Times New Roman"/>
          <w:sz w:val="24"/>
        </w:rPr>
      </w:pPr>
      <w:r w:rsidRPr="0054564D">
        <w:rPr>
          <w:rFonts w:ascii="Times New Roman" w:hAnsi="Times New Roman" w:cs="Times New Roman"/>
          <w:sz w:val="24"/>
        </w:rPr>
        <w:t xml:space="preserve">Показатель рождаемости в 2019 году на 1000 населения </w:t>
      </w:r>
      <w:proofErr w:type="gramStart"/>
      <w:r w:rsidRPr="0054564D">
        <w:rPr>
          <w:rFonts w:ascii="Times New Roman" w:hAnsi="Times New Roman" w:cs="Times New Roman"/>
          <w:sz w:val="24"/>
        </w:rPr>
        <w:t>составляет  11</w:t>
      </w:r>
      <w:proofErr w:type="gramEnd"/>
      <w:r w:rsidRPr="0054564D">
        <w:rPr>
          <w:rFonts w:ascii="Times New Roman" w:hAnsi="Times New Roman" w:cs="Times New Roman"/>
          <w:sz w:val="24"/>
        </w:rPr>
        <w:t xml:space="preserve">,0  </w:t>
      </w:r>
      <w:bookmarkStart w:id="17" w:name="_Hlk62758827"/>
      <w:r w:rsidRPr="0054564D">
        <w:rPr>
          <w:rFonts w:ascii="Times New Roman" w:hAnsi="Times New Roman" w:cs="Times New Roman"/>
          <w:sz w:val="24"/>
        </w:rPr>
        <w:t>(таб. № 4).</w:t>
      </w:r>
    </w:p>
    <w:p w:rsidR="008F3AF5" w:rsidRPr="0054564D" w:rsidRDefault="008F3AF5" w:rsidP="0054564D">
      <w:pPr>
        <w:spacing w:after="0" w:line="240" w:lineRule="auto"/>
        <w:jc w:val="both"/>
        <w:rPr>
          <w:rFonts w:ascii="Times New Roman" w:hAnsi="Times New Roman" w:cs="Times New Roman"/>
          <w:sz w:val="24"/>
        </w:rPr>
      </w:pPr>
      <w:bookmarkStart w:id="18" w:name="_Hlk62758661"/>
      <w:bookmarkEnd w:id="17"/>
      <w:r w:rsidRPr="0054564D">
        <w:rPr>
          <w:rFonts w:ascii="Times New Roman" w:hAnsi="Times New Roman" w:cs="Times New Roman"/>
          <w:sz w:val="24"/>
        </w:rPr>
        <w:t>Для расчета показателя рождаемости берется цифра родившихся живыми – 453</w:t>
      </w:r>
    </w:p>
    <w:bookmarkEnd w:id="18"/>
    <w:p w:rsidR="008F3AF5" w:rsidRPr="0054564D" w:rsidRDefault="008F3AF5" w:rsidP="0054564D">
      <w:pPr>
        <w:spacing w:after="0" w:line="240" w:lineRule="auto"/>
        <w:jc w:val="both"/>
        <w:rPr>
          <w:rFonts w:ascii="Times New Roman" w:hAnsi="Times New Roman" w:cs="Times New Roman"/>
          <w:sz w:val="24"/>
        </w:rPr>
      </w:pPr>
      <w:r w:rsidRPr="0054564D">
        <w:rPr>
          <w:rFonts w:ascii="Times New Roman" w:hAnsi="Times New Roman" w:cs="Times New Roman"/>
          <w:sz w:val="24"/>
        </w:rPr>
        <w:t xml:space="preserve">Показатель рождаемости в 2018 году на 1000 населения </w:t>
      </w:r>
      <w:proofErr w:type="gramStart"/>
      <w:r w:rsidRPr="0054564D">
        <w:rPr>
          <w:rFonts w:ascii="Times New Roman" w:hAnsi="Times New Roman" w:cs="Times New Roman"/>
          <w:sz w:val="24"/>
        </w:rPr>
        <w:t>составляет  13</w:t>
      </w:r>
      <w:proofErr w:type="gramEnd"/>
      <w:r w:rsidRPr="0054564D">
        <w:rPr>
          <w:rFonts w:ascii="Times New Roman" w:hAnsi="Times New Roman" w:cs="Times New Roman"/>
          <w:sz w:val="24"/>
        </w:rPr>
        <w:t>,0   (таб. № 4).</w:t>
      </w:r>
    </w:p>
    <w:p w:rsidR="008F3AF5" w:rsidRPr="0054564D" w:rsidRDefault="008F3AF5" w:rsidP="0054564D">
      <w:pPr>
        <w:spacing w:after="0" w:line="240" w:lineRule="auto"/>
        <w:jc w:val="both"/>
        <w:rPr>
          <w:rFonts w:ascii="Times New Roman" w:hAnsi="Times New Roman" w:cs="Times New Roman"/>
          <w:sz w:val="24"/>
        </w:rPr>
      </w:pPr>
      <w:r w:rsidRPr="0054564D">
        <w:rPr>
          <w:rFonts w:ascii="Times New Roman" w:hAnsi="Times New Roman" w:cs="Times New Roman"/>
          <w:sz w:val="24"/>
        </w:rPr>
        <w:lastRenderedPageBreak/>
        <w:t>Для расчета показателя рождаемости берется цифра родившихся живыми – 538</w:t>
      </w:r>
    </w:p>
    <w:p w:rsidR="008F3AF5" w:rsidRPr="0054564D" w:rsidRDefault="008F3AF5" w:rsidP="0054564D">
      <w:pPr>
        <w:spacing w:after="0" w:line="240" w:lineRule="auto"/>
        <w:jc w:val="right"/>
        <w:rPr>
          <w:rFonts w:ascii="Times New Roman" w:hAnsi="Times New Roman" w:cs="Times New Roman"/>
        </w:rPr>
      </w:pPr>
      <w:r w:rsidRPr="0054564D">
        <w:rPr>
          <w:rFonts w:ascii="Times New Roman" w:hAnsi="Times New Roman" w:cs="Times New Roman"/>
        </w:rPr>
        <w:t>Таблица № 4</w:t>
      </w:r>
    </w:p>
    <w:p w:rsidR="008F3AF5" w:rsidRPr="0054564D" w:rsidRDefault="008F3AF5" w:rsidP="0054564D">
      <w:pPr>
        <w:spacing w:after="0" w:line="240" w:lineRule="auto"/>
        <w:jc w:val="center"/>
        <w:rPr>
          <w:rFonts w:ascii="Times New Roman" w:hAnsi="Times New Roman" w:cs="Times New Roman"/>
          <w:b/>
        </w:rPr>
      </w:pPr>
      <w:r w:rsidRPr="0054564D">
        <w:rPr>
          <w:rFonts w:ascii="Times New Roman" w:hAnsi="Times New Roman" w:cs="Times New Roman"/>
          <w:b/>
        </w:rPr>
        <w:t>Динамика рождаемости по городу Пыть-Ях.</w:t>
      </w:r>
    </w:p>
    <w:p w:rsidR="008F3AF5" w:rsidRPr="0054564D" w:rsidRDefault="008F3AF5" w:rsidP="0054564D">
      <w:pPr>
        <w:spacing w:after="0" w:line="240" w:lineRule="auto"/>
        <w:rPr>
          <w:rFonts w:ascii="Times New Roman" w:hAnsi="Times New Roman" w:cs="Times New Roman"/>
        </w:rPr>
      </w:pPr>
    </w:p>
    <w:tbl>
      <w:tblPr>
        <w:tblW w:w="9307" w:type="dxa"/>
        <w:tblLayout w:type="fixed"/>
        <w:tblCellMar>
          <w:left w:w="30" w:type="dxa"/>
          <w:right w:w="30" w:type="dxa"/>
        </w:tblCellMar>
        <w:tblLook w:val="0000" w:firstRow="0" w:lastRow="0" w:firstColumn="0" w:lastColumn="0" w:noHBand="0" w:noVBand="0"/>
      </w:tblPr>
      <w:tblGrid>
        <w:gridCol w:w="4734"/>
        <w:gridCol w:w="1549"/>
        <w:gridCol w:w="1887"/>
        <w:gridCol w:w="1137"/>
      </w:tblGrid>
      <w:tr w:rsidR="008F3AF5" w:rsidRPr="0054564D" w:rsidTr="00630798">
        <w:trPr>
          <w:trHeight w:val="306"/>
        </w:trPr>
        <w:tc>
          <w:tcPr>
            <w:tcW w:w="4734"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ind w:left="-314" w:firstLine="314"/>
              <w:jc w:val="center"/>
              <w:rPr>
                <w:rFonts w:ascii="Times New Roman" w:hAnsi="Times New Roman" w:cs="Times New Roman"/>
                <w:snapToGrid w:val="0"/>
              </w:rPr>
            </w:pPr>
            <w:proofErr w:type="gramStart"/>
            <w:r w:rsidRPr="0054564D">
              <w:rPr>
                <w:rFonts w:ascii="Times New Roman" w:hAnsi="Times New Roman" w:cs="Times New Roman"/>
                <w:snapToGrid w:val="0"/>
              </w:rPr>
              <w:t>Наименование  территории</w:t>
            </w:r>
            <w:proofErr w:type="gramEnd"/>
          </w:p>
        </w:tc>
        <w:tc>
          <w:tcPr>
            <w:tcW w:w="1549"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jc w:val="center"/>
              <w:rPr>
                <w:rFonts w:ascii="Times New Roman" w:hAnsi="Times New Roman" w:cs="Times New Roman"/>
                <w:snapToGrid w:val="0"/>
              </w:rPr>
            </w:pPr>
            <w:r w:rsidRPr="0054564D">
              <w:rPr>
                <w:rFonts w:ascii="Times New Roman" w:hAnsi="Times New Roman" w:cs="Times New Roman"/>
              </w:rPr>
              <w:t>2018</w:t>
            </w:r>
          </w:p>
        </w:tc>
        <w:tc>
          <w:tcPr>
            <w:tcW w:w="1887"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jc w:val="center"/>
              <w:rPr>
                <w:rFonts w:ascii="Times New Roman" w:hAnsi="Times New Roman" w:cs="Times New Roman"/>
                <w:snapToGrid w:val="0"/>
              </w:rPr>
            </w:pPr>
            <w:r w:rsidRPr="0054564D">
              <w:rPr>
                <w:rFonts w:ascii="Times New Roman" w:hAnsi="Times New Roman" w:cs="Times New Roman"/>
              </w:rPr>
              <w:t>2019</w:t>
            </w:r>
          </w:p>
        </w:tc>
        <w:tc>
          <w:tcPr>
            <w:tcW w:w="1137"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jc w:val="center"/>
              <w:rPr>
                <w:rFonts w:ascii="Times New Roman" w:hAnsi="Times New Roman" w:cs="Times New Roman"/>
                <w:snapToGrid w:val="0"/>
              </w:rPr>
            </w:pPr>
            <w:r w:rsidRPr="0054564D">
              <w:rPr>
                <w:rFonts w:ascii="Times New Roman" w:hAnsi="Times New Roman" w:cs="Times New Roman"/>
                <w:snapToGrid w:val="0"/>
              </w:rPr>
              <w:t>2020</w:t>
            </w:r>
          </w:p>
        </w:tc>
      </w:tr>
      <w:tr w:rsidR="008F3AF5" w:rsidRPr="0054564D" w:rsidTr="00630798">
        <w:trPr>
          <w:trHeight w:val="306"/>
        </w:trPr>
        <w:tc>
          <w:tcPr>
            <w:tcW w:w="4734"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rPr>
                <w:rFonts w:ascii="Times New Roman" w:hAnsi="Times New Roman" w:cs="Times New Roman"/>
                <w:snapToGrid w:val="0"/>
              </w:rPr>
            </w:pPr>
            <w:r w:rsidRPr="0054564D">
              <w:rPr>
                <w:rFonts w:ascii="Times New Roman" w:hAnsi="Times New Roman" w:cs="Times New Roman"/>
                <w:snapToGrid w:val="0"/>
              </w:rPr>
              <w:t>г. Пыть-Ях</w:t>
            </w:r>
          </w:p>
        </w:tc>
        <w:tc>
          <w:tcPr>
            <w:tcW w:w="1549"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jc w:val="center"/>
              <w:rPr>
                <w:rFonts w:ascii="Times New Roman" w:hAnsi="Times New Roman" w:cs="Times New Roman"/>
                <w:snapToGrid w:val="0"/>
              </w:rPr>
            </w:pPr>
            <w:r w:rsidRPr="0054564D">
              <w:rPr>
                <w:rFonts w:ascii="Times New Roman" w:hAnsi="Times New Roman" w:cs="Times New Roman"/>
              </w:rPr>
              <w:t>13,0</w:t>
            </w:r>
          </w:p>
        </w:tc>
        <w:tc>
          <w:tcPr>
            <w:tcW w:w="1887"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jc w:val="center"/>
              <w:rPr>
                <w:rFonts w:ascii="Times New Roman" w:hAnsi="Times New Roman" w:cs="Times New Roman"/>
                <w:snapToGrid w:val="0"/>
              </w:rPr>
            </w:pPr>
            <w:r w:rsidRPr="0054564D">
              <w:rPr>
                <w:rFonts w:ascii="Times New Roman" w:hAnsi="Times New Roman" w:cs="Times New Roman"/>
              </w:rPr>
              <w:t>11,0</w:t>
            </w:r>
          </w:p>
        </w:tc>
        <w:tc>
          <w:tcPr>
            <w:tcW w:w="1137"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jc w:val="center"/>
              <w:rPr>
                <w:rFonts w:ascii="Times New Roman" w:hAnsi="Times New Roman" w:cs="Times New Roman"/>
                <w:snapToGrid w:val="0"/>
              </w:rPr>
            </w:pPr>
            <w:r w:rsidRPr="0054564D">
              <w:rPr>
                <w:rFonts w:ascii="Times New Roman" w:hAnsi="Times New Roman" w:cs="Times New Roman"/>
                <w:snapToGrid w:val="0"/>
              </w:rPr>
              <w:t>10,9</w:t>
            </w:r>
          </w:p>
        </w:tc>
      </w:tr>
    </w:tbl>
    <w:p w:rsidR="008F3AF5" w:rsidRPr="0054564D" w:rsidRDefault="008F3AF5" w:rsidP="0054564D">
      <w:pPr>
        <w:spacing w:after="0" w:line="240" w:lineRule="auto"/>
        <w:ind w:firstLine="720"/>
        <w:jc w:val="both"/>
        <w:rPr>
          <w:rFonts w:ascii="Times New Roman" w:hAnsi="Times New Roman" w:cs="Times New Roman"/>
          <w:sz w:val="24"/>
          <w:highlight w:val="yellow"/>
        </w:rPr>
      </w:pPr>
    </w:p>
    <w:p w:rsidR="008F3AF5" w:rsidRPr="0054564D" w:rsidRDefault="008F3AF5" w:rsidP="0054564D">
      <w:pPr>
        <w:spacing w:after="0" w:line="240" w:lineRule="auto"/>
        <w:ind w:firstLine="720"/>
        <w:jc w:val="both"/>
        <w:rPr>
          <w:rFonts w:ascii="Times New Roman" w:hAnsi="Times New Roman" w:cs="Times New Roman"/>
          <w:sz w:val="24"/>
        </w:rPr>
      </w:pPr>
      <w:r w:rsidRPr="0054564D">
        <w:rPr>
          <w:rFonts w:ascii="Times New Roman" w:hAnsi="Times New Roman" w:cs="Times New Roman"/>
          <w:sz w:val="24"/>
        </w:rPr>
        <w:t>В динамике наблюдается снижение показателя рождаемости на 1000 населения в городе Пыть-Ях на 2,</w:t>
      </w:r>
      <w:proofErr w:type="gramStart"/>
      <w:r w:rsidRPr="0054564D">
        <w:rPr>
          <w:rFonts w:ascii="Times New Roman" w:hAnsi="Times New Roman" w:cs="Times New Roman"/>
          <w:sz w:val="24"/>
        </w:rPr>
        <w:t>1  по</w:t>
      </w:r>
      <w:proofErr w:type="gramEnd"/>
      <w:r w:rsidRPr="0054564D">
        <w:rPr>
          <w:rFonts w:ascii="Times New Roman" w:hAnsi="Times New Roman" w:cs="Times New Roman"/>
          <w:sz w:val="24"/>
        </w:rPr>
        <w:t xml:space="preserve"> сравнении с 2018г ,  по сравнению с 2019годом незначительной снижение на 0,1(в 2019 на 2,0  по сравнении с 2018 годом).  (таблица №4, рисунок №2).</w:t>
      </w:r>
    </w:p>
    <w:p w:rsidR="008F3AF5" w:rsidRPr="0054564D" w:rsidRDefault="008F3AF5" w:rsidP="0054564D">
      <w:pPr>
        <w:spacing w:after="0" w:line="240" w:lineRule="auto"/>
        <w:ind w:firstLine="720"/>
        <w:jc w:val="both"/>
        <w:rPr>
          <w:rFonts w:ascii="Times New Roman" w:hAnsi="Times New Roman" w:cs="Times New Roman"/>
          <w:sz w:val="24"/>
        </w:rPr>
      </w:pPr>
    </w:p>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noProof/>
          <w:lang w:eastAsia="ru-RU"/>
        </w:rPr>
        <w:drawing>
          <wp:inline distT="0" distB="0" distL="0" distR="0">
            <wp:extent cx="6010275" cy="1038225"/>
            <wp:effectExtent l="0" t="0" r="0" b="0"/>
            <wp:docPr id="20" name="Диаграм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Рис. № 2. Динамика показателей рождаемости (на 1000) населения по г. Пыть-Ях</w:t>
      </w:r>
    </w:p>
    <w:p w:rsidR="008F3AF5" w:rsidRPr="0054564D" w:rsidRDefault="008F3AF5" w:rsidP="0054564D">
      <w:pPr>
        <w:spacing w:before="120" w:after="0" w:line="240" w:lineRule="auto"/>
        <w:ind w:firstLine="720"/>
        <w:jc w:val="center"/>
        <w:rPr>
          <w:rFonts w:ascii="Times New Roman" w:hAnsi="Times New Roman" w:cs="Times New Roman"/>
          <w:b/>
          <w:sz w:val="24"/>
          <w:szCs w:val="24"/>
          <w:highlight w:val="yellow"/>
        </w:rPr>
      </w:pPr>
    </w:p>
    <w:p w:rsidR="008F3AF5" w:rsidRPr="0054564D" w:rsidRDefault="008F3AF5" w:rsidP="0054564D">
      <w:pPr>
        <w:spacing w:before="120" w:after="0" w:line="240" w:lineRule="auto"/>
        <w:ind w:firstLine="720"/>
        <w:jc w:val="center"/>
        <w:rPr>
          <w:rFonts w:ascii="Times New Roman" w:hAnsi="Times New Roman" w:cs="Times New Roman"/>
          <w:b/>
          <w:sz w:val="24"/>
          <w:szCs w:val="24"/>
        </w:rPr>
      </w:pPr>
      <w:r w:rsidRPr="0054564D">
        <w:rPr>
          <w:rFonts w:ascii="Times New Roman" w:hAnsi="Times New Roman" w:cs="Times New Roman"/>
          <w:b/>
          <w:sz w:val="24"/>
          <w:szCs w:val="24"/>
        </w:rPr>
        <w:t>Смертность</w:t>
      </w:r>
    </w:p>
    <w:p w:rsidR="008F3AF5" w:rsidRPr="0054564D" w:rsidRDefault="008F3AF5" w:rsidP="0054564D">
      <w:pPr>
        <w:spacing w:before="120" w:after="0" w:line="240" w:lineRule="auto"/>
        <w:ind w:firstLine="720"/>
        <w:jc w:val="center"/>
        <w:rPr>
          <w:rFonts w:ascii="Times New Roman" w:hAnsi="Times New Roman" w:cs="Times New Roman"/>
          <w:b/>
          <w:sz w:val="24"/>
          <w:szCs w:val="24"/>
        </w:rPr>
      </w:pPr>
    </w:p>
    <w:p w:rsidR="008F3AF5" w:rsidRPr="0054564D" w:rsidRDefault="008F3AF5" w:rsidP="0054564D">
      <w:pPr>
        <w:spacing w:after="0" w:line="240" w:lineRule="auto"/>
        <w:ind w:firstLine="720"/>
        <w:jc w:val="both"/>
        <w:rPr>
          <w:rFonts w:ascii="Times New Roman" w:hAnsi="Times New Roman" w:cs="Times New Roman"/>
          <w:sz w:val="24"/>
        </w:rPr>
      </w:pPr>
      <w:r w:rsidRPr="0054564D">
        <w:rPr>
          <w:rFonts w:ascii="Times New Roman" w:hAnsi="Times New Roman" w:cs="Times New Roman"/>
          <w:sz w:val="24"/>
          <w:szCs w:val="24"/>
        </w:rPr>
        <w:t xml:space="preserve">В 2020г г    абсолютный </w:t>
      </w:r>
      <w:proofErr w:type="gramStart"/>
      <w:r w:rsidRPr="0054564D">
        <w:rPr>
          <w:rFonts w:ascii="Times New Roman" w:hAnsi="Times New Roman" w:cs="Times New Roman"/>
          <w:sz w:val="24"/>
          <w:szCs w:val="24"/>
        </w:rPr>
        <w:t>показатель  смертности</w:t>
      </w:r>
      <w:proofErr w:type="gramEnd"/>
      <w:r w:rsidRPr="0054564D">
        <w:rPr>
          <w:rFonts w:ascii="Times New Roman" w:hAnsi="Times New Roman" w:cs="Times New Roman"/>
          <w:sz w:val="24"/>
          <w:szCs w:val="24"/>
        </w:rPr>
        <w:t xml:space="preserve">    по г. Пыть-Ях составил 268 и увеличился, по сравнению с 2018 годом на 35,4%, по сравнению с 2018годом  на 15%.  </w:t>
      </w:r>
      <w:r w:rsidRPr="0054564D">
        <w:rPr>
          <w:rFonts w:ascii="Times New Roman" w:hAnsi="Times New Roman" w:cs="Times New Roman"/>
          <w:sz w:val="24"/>
        </w:rPr>
        <w:t xml:space="preserve">(таблица № 5, рис № </w:t>
      </w:r>
      <w:proofErr w:type="gramStart"/>
      <w:r w:rsidRPr="0054564D">
        <w:rPr>
          <w:rFonts w:ascii="Times New Roman" w:hAnsi="Times New Roman" w:cs="Times New Roman"/>
          <w:sz w:val="24"/>
        </w:rPr>
        <w:t>3 )</w:t>
      </w:r>
      <w:proofErr w:type="gramEnd"/>
      <w:r w:rsidRPr="0054564D">
        <w:rPr>
          <w:rFonts w:ascii="Times New Roman" w:hAnsi="Times New Roman" w:cs="Times New Roman"/>
          <w:sz w:val="24"/>
        </w:rPr>
        <w:t xml:space="preserve">. </w:t>
      </w:r>
    </w:p>
    <w:p w:rsidR="008F3AF5" w:rsidRPr="0054564D" w:rsidRDefault="008F3AF5" w:rsidP="0054564D">
      <w:pPr>
        <w:spacing w:after="0" w:line="240" w:lineRule="auto"/>
        <w:ind w:firstLine="720"/>
        <w:jc w:val="right"/>
        <w:rPr>
          <w:rFonts w:ascii="Times New Roman" w:hAnsi="Times New Roman" w:cs="Times New Roman"/>
        </w:rPr>
      </w:pPr>
      <w:r w:rsidRPr="0054564D">
        <w:rPr>
          <w:rFonts w:ascii="Times New Roman" w:hAnsi="Times New Roman" w:cs="Times New Roman"/>
        </w:rPr>
        <w:t>Таблица № 5</w:t>
      </w:r>
    </w:p>
    <w:p w:rsidR="008F3AF5" w:rsidRPr="0054564D" w:rsidRDefault="008F3AF5" w:rsidP="0054564D">
      <w:pPr>
        <w:spacing w:after="0" w:line="240" w:lineRule="auto"/>
        <w:jc w:val="center"/>
        <w:rPr>
          <w:rFonts w:ascii="Times New Roman" w:hAnsi="Times New Roman" w:cs="Times New Roman"/>
          <w:b/>
        </w:rPr>
      </w:pPr>
      <w:r w:rsidRPr="0054564D">
        <w:rPr>
          <w:rFonts w:ascii="Times New Roman" w:hAnsi="Times New Roman" w:cs="Times New Roman"/>
          <w:b/>
        </w:rPr>
        <w:t xml:space="preserve">Абсолютные </w:t>
      </w:r>
      <w:proofErr w:type="gramStart"/>
      <w:r w:rsidRPr="0054564D">
        <w:rPr>
          <w:rFonts w:ascii="Times New Roman" w:hAnsi="Times New Roman" w:cs="Times New Roman"/>
          <w:b/>
        </w:rPr>
        <w:t>показатели  смертности</w:t>
      </w:r>
      <w:proofErr w:type="gramEnd"/>
      <w:r w:rsidRPr="0054564D">
        <w:rPr>
          <w:rFonts w:ascii="Times New Roman" w:hAnsi="Times New Roman" w:cs="Times New Roman"/>
          <w:b/>
        </w:rPr>
        <w:t xml:space="preserve"> по городу Пыть-Ях</w:t>
      </w:r>
    </w:p>
    <w:p w:rsidR="008F3AF5" w:rsidRPr="0054564D" w:rsidRDefault="008F3AF5" w:rsidP="0054564D">
      <w:pPr>
        <w:spacing w:after="0" w:line="240" w:lineRule="auto"/>
        <w:jc w:val="both"/>
        <w:rPr>
          <w:rFonts w:ascii="Times New Roman" w:hAnsi="Times New Roman" w:cs="Times New Roman"/>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7"/>
        <w:gridCol w:w="1250"/>
        <w:gridCol w:w="1276"/>
        <w:gridCol w:w="1755"/>
      </w:tblGrid>
      <w:tr w:rsidR="008F3AF5" w:rsidRPr="0054564D" w:rsidTr="00630798">
        <w:trPr>
          <w:trHeight w:val="298"/>
          <w:jc w:val="center"/>
        </w:trPr>
        <w:tc>
          <w:tcPr>
            <w:tcW w:w="4987"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Умерло</w:t>
            </w:r>
          </w:p>
        </w:tc>
        <w:tc>
          <w:tcPr>
            <w:tcW w:w="1250"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snapToGrid w:val="0"/>
              </w:rPr>
            </w:pPr>
            <w:r w:rsidRPr="0054564D">
              <w:rPr>
                <w:rFonts w:ascii="Times New Roman" w:hAnsi="Times New Roman" w:cs="Times New Roman"/>
              </w:rPr>
              <w:t>2018г.</w:t>
            </w:r>
          </w:p>
        </w:tc>
        <w:tc>
          <w:tcPr>
            <w:tcW w:w="1276"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snapToGrid w:val="0"/>
              </w:rPr>
            </w:pPr>
            <w:r w:rsidRPr="0054564D">
              <w:rPr>
                <w:rFonts w:ascii="Times New Roman" w:hAnsi="Times New Roman" w:cs="Times New Roman"/>
              </w:rPr>
              <w:t>2019г.</w:t>
            </w:r>
          </w:p>
        </w:tc>
        <w:tc>
          <w:tcPr>
            <w:tcW w:w="1755"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snapToGrid w:val="0"/>
              </w:rPr>
            </w:pPr>
            <w:r w:rsidRPr="0054564D">
              <w:rPr>
                <w:rFonts w:ascii="Times New Roman" w:hAnsi="Times New Roman" w:cs="Times New Roman"/>
                <w:snapToGrid w:val="0"/>
              </w:rPr>
              <w:t>2020г</w:t>
            </w:r>
          </w:p>
        </w:tc>
      </w:tr>
      <w:tr w:rsidR="008F3AF5" w:rsidRPr="0054564D" w:rsidTr="00630798">
        <w:trPr>
          <w:trHeight w:val="377"/>
          <w:jc w:val="center"/>
        </w:trPr>
        <w:tc>
          <w:tcPr>
            <w:tcW w:w="4987"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всего по г. Пыть-Ях</w:t>
            </w:r>
          </w:p>
        </w:tc>
        <w:tc>
          <w:tcPr>
            <w:tcW w:w="1250"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233</w:t>
            </w:r>
          </w:p>
        </w:tc>
        <w:tc>
          <w:tcPr>
            <w:tcW w:w="1276"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198</w:t>
            </w:r>
          </w:p>
        </w:tc>
        <w:tc>
          <w:tcPr>
            <w:tcW w:w="1755"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268</w:t>
            </w:r>
          </w:p>
        </w:tc>
      </w:tr>
      <w:tr w:rsidR="008F3AF5" w:rsidRPr="0054564D" w:rsidTr="00630798">
        <w:trPr>
          <w:trHeight w:val="242"/>
          <w:jc w:val="center"/>
        </w:trPr>
        <w:tc>
          <w:tcPr>
            <w:tcW w:w="4987"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в т.ч. до 1 г.</w:t>
            </w:r>
          </w:p>
        </w:tc>
        <w:tc>
          <w:tcPr>
            <w:tcW w:w="1250"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1</w:t>
            </w:r>
          </w:p>
        </w:tc>
        <w:tc>
          <w:tcPr>
            <w:tcW w:w="1755" w:type="dxa"/>
            <w:tcBorders>
              <w:top w:val="single" w:sz="4" w:space="0" w:color="auto"/>
              <w:left w:val="single" w:sz="4" w:space="0" w:color="auto"/>
              <w:bottom w:val="single" w:sz="4" w:space="0" w:color="auto"/>
              <w:right w:val="single" w:sz="4" w:space="0" w:color="auto"/>
            </w:tcBorders>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0</w:t>
            </w:r>
          </w:p>
        </w:tc>
      </w:tr>
    </w:tbl>
    <w:p w:rsidR="008F3AF5" w:rsidRPr="0054564D" w:rsidRDefault="008F3AF5" w:rsidP="0054564D">
      <w:pPr>
        <w:spacing w:after="0" w:line="240" w:lineRule="auto"/>
        <w:ind w:firstLine="709"/>
        <w:jc w:val="both"/>
        <w:rPr>
          <w:rFonts w:ascii="Times New Roman" w:hAnsi="Times New Roman" w:cs="Times New Roman"/>
          <w:sz w:val="24"/>
        </w:rPr>
      </w:pPr>
    </w:p>
    <w:p w:rsidR="008F3AF5" w:rsidRPr="0054564D" w:rsidRDefault="008F3AF5" w:rsidP="0054564D">
      <w:pPr>
        <w:spacing w:after="0" w:line="240" w:lineRule="auto"/>
        <w:ind w:firstLine="709"/>
        <w:jc w:val="both"/>
        <w:rPr>
          <w:rFonts w:ascii="Times New Roman" w:hAnsi="Times New Roman" w:cs="Times New Roman"/>
          <w:sz w:val="24"/>
        </w:rPr>
      </w:pPr>
      <w:r w:rsidRPr="0054564D">
        <w:rPr>
          <w:rFonts w:ascii="Times New Roman" w:hAnsi="Times New Roman" w:cs="Times New Roman"/>
          <w:sz w:val="24"/>
        </w:rPr>
        <w:t>В 2020 году детей, умерших до 1 года не зарегистрировано.</w:t>
      </w:r>
    </w:p>
    <w:p w:rsidR="008F3AF5" w:rsidRPr="0054564D" w:rsidRDefault="008F3AF5" w:rsidP="0054564D">
      <w:pPr>
        <w:spacing w:after="0" w:line="240" w:lineRule="auto"/>
        <w:ind w:firstLine="709"/>
        <w:jc w:val="both"/>
        <w:rPr>
          <w:rFonts w:ascii="Times New Roman" w:hAnsi="Times New Roman" w:cs="Times New Roman"/>
          <w:sz w:val="24"/>
        </w:rPr>
      </w:pPr>
      <w:r w:rsidRPr="0054564D">
        <w:rPr>
          <w:rFonts w:ascii="Times New Roman" w:hAnsi="Times New Roman" w:cs="Times New Roman"/>
          <w:sz w:val="24"/>
        </w:rPr>
        <w:t xml:space="preserve"> В 2019 </w:t>
      </w:r>
      <w:proofErr w:type="gramStart"/>
      <w:r w:rsidRPr="0054564D">
        <w:rPr>
          <w:rFonts w:ascii="Times New Roman" w:hAnsi="Times New Roman" w:cs="Times New Roman"/>
          <w:sz w:val="24"/>
        </w:rPr>
        <w:t>году  зарегистрирован</w:t>
      </w:r>
      <w:proofErr w:type="gramEnd"/>
      <w:r w:rsidRPr="0054564D">
        <w:rPr>
          <w:rFonts w:ascii="Times New Roman" w:hAnsi="Times New Roman" w:cs="Times New Roman"/>
          <w:sz w:val="24"/>
        </w:rPr>
        <w:t xml:space="preserve">  1 ребенок, умерший до 1 года, наблюдается снижение по сравнению с  2018 г. ( в абс. с 4 детей в 2018г.)</w:t>
      </w:r>
    </w:p>
    <w:p w:rsidR="008F3AF5" w:rsidRPr="0054564D" w:rsidRDefault="008F3AF5" w:rsidP="0054564D">
      <w:pPr>
        <w:spacing w:after="0" w:line="240" w:lineRule="auto"/>
        <w:ind w:firstLine="709"/>
        <w:jc w:val="both"/>
        <w:rPr>
          <w:rFonts w:ascii="Times New Roman" w:hAnsi="Times New Roman" w:cs="Times New Roman"/>
          <w:sz w:val="24"/>
        </w:rPr>
      </w:pPr>
      <w:r w:rsidRPr="0054564D">
        <w:rPr>
          <w:rFonts w:ascii="Times New Roman" w:hAnsi="Times New Roman" w:cs="Times New Roman"/>
          <w:sz w:val="24"/>
        </w:rPr>
        <w:t xml:space="preserve">В 2018 </w:t>
      </w:r>
      <w:proofErr w:type="gramStart"/>
      <w:r w:rsidRPr="0054564D">
        <w:rPr>
          <w:rFonts w:ascii="Times New Roman" w:hAnsi="Times New Roman" w:cs="Times New Roman"/>
          <w:sz w:val="24"/>
        </w:rPr>
        <w:t>году  зарегистрировано</w:t>
      </w:r>
      <w:proofErr w:type="gramEnd"/>
      <w:r w:rsidRPr="0054564D">
        <w:rPr>
          <w:rFonts w:ascii="Times New Roman" w:hAnsi="Times New Roman" w:cs="Times New Roman"/>
          <w:sz w:val="24"/>
        </w:rPr>
        <w:t xml:space="preserve">  4 ребенка, умерших до 1 года, наблюдается рост по сравнению с  2017 г. ( в абс. 2 </w:t>
      </w:r>
      <w:proofErr w:type="gramStart"/>
      <w:r w:rsidRPr="0054564D">
        <w:rPr>
          <w:rFonts w:ascii="Times New Roman" w:hAnsi="Times New Roman" w:cs="Times New Roman"/>
          <w:sz w:val="24"/>
        </w:rPr>
        <w:t>ребенка  в</w:t>
      </w:r>
      <w:proofErr w:type="gramEnd"/>
      <w:r w:rsidRPr="0054564D">
        <w:rPr>
          <w:rFonts w:ascii="Times New Roman" w:hAnsi="Times New Roman" w:cs="Times New Roman"/>
          <w:sz w:val="24"/>
        </w:rPr>
        <w:t xml:space="preserve"> 2017году).</w:t>
      </w:r>
    </w:p>
    <w:p w:rsidR="008F3AF5" w:rsidRPr="0054564D" w:rsidRDefault="008F3AF5" w:rsidP="0054564D">
      <w:pPr>
        <w:spacing w:after="0" w:line="240" w:lineRule="auto"/>
        <w:ind w:firstLine="709"/>
        <w:jc w:val="both"/>
        <w:rPr>
          <w:rFonts w:ascii="Times New Roman" w:hAnsi="Times New Roman" w:cs="Times New Roman"/>
          <w:sz w:val="24"/>
        </w:rPr>
      </w:pPr>
    </w:p>
    <w:p w:rsidR="008F3AF5" w:rsidRPr="0054564D" w:rsidRDefault="008F3AF5" w:rsidP="0054564D">
      <w:pPr>
        <w:spacing w:after="0" w:line="240" w:lineRule="auto"/>
        <w:jc w:val="right"/>
        <w:rPr>
          <w:rFonts w:ascii="Times New Roman" w:hAnsi="Times New Roman" w:cs="Times New Roman"/>
        </w:rPr>
      </w:pPr>
      <w:r w:rsidRPr="0054564D">
        <w:rPr>
          <w:rFonts w:ascii="Times New Roman" w:hAnsi="Times New Roman" w:cs="Times New Roman"/>
          <w:noProof/>
          <w:lang w:eastAsia="ru-RU"/>
        </w:rPr>
        <w:drawing>
          <wp:inline distT="0" distB="0" distL="0" distR="0">
            <wp:extent cx="6343650" cy="2276475"/>
            <wp:effectExtent l="0" t="0" r="0" b="0"/>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F3AF5" w:rsidRPr="0054564D" w:rsidRDefault="008F3AF5" w:rsidP="0054564D">
      <w:pPr>
        <w:spacing w:after="0" w:line="240" w:lineRule="auto"/>
        <w:jc w:val="right"/>
        <w:rPr>
          <w:rFonts w:ascii="Times New Roman" w:hAnsi="Times New Roman" w:cs="Times New Roman"/>
        </w:rPr>
      </w:pPr>
      <w:r w:rsidRPr="0054564D">
        <w:rPr>
          <w:rFonts w:ascii="Times New Roman" w:hAnsi="Times New Roman" w:cs="Times New Roman"/>
        </w:rPr>
        <w:t>Рис.  № 3. Динамика показателей смертности по городу Пыть-Ях в 2018-2020гг</w:t>
      </w:r>
    </w:p>
    <w:p w:rsidR="008F3AF5" w:rsidRPr="0054564D" w:rsidRDefault="008F3AF5" w:rsidP="0054564D">
      <w:pPr>
        <w:spacing w:before="120" w:after="0" w:line="240" w:lineRule="auto"/>
        <w:jc w:val="center"/>
        <w:rPr>
          <w:rFonts w:ascii="Times New Roman" w:hAnsi="Times New Roman" w:cs="Times New Roman"/>
          <w:b/>
          <w:snapToGrid w:val="0"/>
          <w:sz w:val="24"/>
          <w:szCs w:val="24"/>
        </w:rPr>
      </w:pPr>
    </w:p>
    <w:p w:rsidR="008F3AF5" w:rsidRPr="0054564D" w:rsidRDefault="008F3AF5" w:rsidP="0054564D">
      <w:pPr>
        <w:spacing w:before="120" w:after="0" w:line="240" w:lineRule="auto"/>
        <w:jc w:val="center"/>
        <w:rPr>
          <w:rFonts w:ascii="Times New Roman" w:hAnsi="Times New Roman" w:cs="Times New Roman"/>
          <w:b/>
          <w:sz w:val="24"/>
          <w:szCs w:val="24"/>
        </w:rPr>
      </w:pPr>
      <w:r w:rsidRPr="0054564D">
        <w:rPr>
          <w:rFonts w:ascii="Times New Roman" w:hAnsi="Times New Roman" w:cs="Times New Roman"/>
          <w:b/>
          <w:snapToGrid w:val="0"/>
          <w:sz w:val="24"/>
          <w:szCs w:val="24"/>
        </w:rPr>
        <w:lastRenderedPageBreak/>
        <w:t>Структура причин смертности населения города Пыть-Ях в 2018-2020 годах</w:t>
      </w:r>
    </w:p>
    <w:p w:rsidR="008F3AF5" w:rsidRPr="0054564D" w:rsidRDefault="008F3AF5" w:rsidP="0054564D">
      <w:pPr>
        <w:spacing w:after="0" w:line="240" w:lineRule="auto"/>
        <w:jc w:val="both"/>
        <w:rPr>
          <w:rFonts w:ascii="Times New Roman" w:hAnsi="Times New Roman" w:cs="Times New Roman"/>
          <w:sz w:val="24"/>
        </w:rPr>
      </w:pPr>
    </w:p>
    <w:p w:rsidR="008F3AF5" w:rsidRPr="0054564D" w:rsidRDefault="008F3AF5" w:rsidP="0054564D">
      <w:pPr>
        <w:spacing w:after="0" w:line="240" w:lineRule="auto"/>
        <w:jc w:val="right"/>
        <w:rPr>
          <w:rFonts w:ascii="Times New Roman" w:hAnsi="Times New Roman" w:cs="Times New Roman"/>
        </w:rPr>
      </w:pPr>
      <w:r w:rsidRPr="0054564D">
        <w:rPr>
          <w:rFonts w:ascii="Times New Roman" w:hAnsi="Times New Roman" w:cs="Times New Roman"/>
        </w:rPr>
        <w:t>Таблица №6</w:t>
      </w:r>
    </w:p>
    <w:p w:rsidR="008F3AF5" w:rsidRPr="0054564D" w:rsidRDefault="008F3AF5" w:rsidP="0054564D">
      <w:pPr>
        <w:spacing w:after="0" w:line="240" w:lineRule="auto"/>
        <w:jc w:val="center"/>
        <w:rPr>
          <w:rFonts w:ascii="Times New Roman" w:hAnsi="Times New Roman" w:cs="Times New Roman"/>
        </w:rPr>
      </w:pPr>
      <w:r w:rsidRPr="0054564D">
        <w:rPr>
          <w:rFonts w:ascii="Times New Roman" w:hAnsi="Times New Roman" w:cs="Times New Roman"/>
          <w:b/>
        </w:rPr>
        <w:t>Показатели смертности на 1000 населения</w:t>
      </w:r>
    </w:p>
    <w:tbl>
      <w:tblPr>
        <w:tblW w:w="9120" w:type="dxa"/>
        <w:jc w:val="center"/>
        <w:tblCellMar>
          <w:left w:w="30" w:type="dxa"/>
          <w:right w:w="30" w:type="dxa"/>
        </w:tblCellMar>
        <w:tblLook w:val="0000" w:firstRow="0" w:lastRow="0" w:firstColumn="0" w:lastColumn="0" w:noHBand="0" w:noVBand="0"/>
      </w:tblPr>
      <w:tblGrid>
        <w:gridCol w:w="4820"/>
        <w:gridCol w:w="1417"/>
        <w:gridCol w:w="1276"/>
        <w:gridCol w:w="1607"/>
      </w:tblGrid>
      <w:tr w:rsidR="008F3AF5" w:rsidRPr="0054564D" w:rsidTr="00630798">
        <w:trPr>
          <w:trHeight w:val="312"/>
          <w:jc w:val="center"/>
        </w:trPr>
        <w:tc>
          <w:tcPr>
            <w:tcW w:w="4820"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ind w:left="57" w:hanging="179"/>
              <w:jc w:val="center"/>
              <w:rPr>
                <w:rFonts w:ascii="Times New Roman" w:hAnsi="Times New Roman" w:cs="Times New Roman"/>
                <w:snapToGrid w:val="0"/>
              </w:rPr>
            </w:pPr>
            <w:r w:rsidRPr="0054564D">
              <w:rPr>
                <w:rFonts w:ascii="Times New Roman" w:hAnsi="Times New Roman" w:cs="Times New Roman"/>
                <w:snapToGrid w:val="0"/>
              </w:rPr>
              <w:t>Отчетные период</w:t>
            </w:r>
          </w:p>
        </w:tc>
        <w:tc>
          <w:tcPr>
            <w:tcW w:w="1417"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ind w:left="57"/>
              <w:jc w:val="center"/>
              <w:rPr>
                <w:rFonts w:ascii="Times New Roman" w:hAnsi="Times New Roman" w:cs="Times New Roman"/>
                <w:snapToGrid w:val="0"/>
              </w:rPr>
            </w:pPr>
            <w:r w:rsidRPr="0054564D">
              <w:rPr>
                <w:rFonts w:ascii="Times New Roman" w:hAnsi="Times New Roman" w:cs="Times New Roman"/>
              </w:rPr>
              <w:t>2018</w:t>
            </w:r>
          </w:p>
        </w:tc>
        <w:tc>
          <w:tcPr>
            <w:tcW w:w="1276"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ind w:left="57"/>
              <w:jc w:val="center"/>
              <w:rPr>
                <w:rFonts w:ascii="Times New Roman" w:hAnsi="Times New Roman" w:cs="Times New Roman"/>
                <w:snapToGrid w:val="0"/>
              </w:rPr>
            </w:pPr>
            <w:r w:rsidRPr="0054564D">
              <w:rPr>
                <w:rFonts w:ascii="Times New Roman" w:hAnsi="Times New Roman" w:cs="Times New Roman"/>
              </w:rPr>
              <w:t>2019</w:t>
            </w:r>
          </w:p>
        </w:tc>
        <w:tc>
          <w:tcPr>
            <w:tcW w:w="1607"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ind w:left="57"/>
              <w:jc w:val="center"/>
              <w:rPr>
                <w:rFonts w:ascii="Times New Roman" w:hAnsi="Times New Roman" w:cs="Times New Roman"/>
                <w:snapToGrid w:val="0"/>
              </w:rPr>
            </w:pPr>
            <w:r w:rsidRPr="0054564D">
              <w:rPr>
                <w:rFonts w:ascii="Times New Roman" w:hAnsi="Times New Roman" w:cs="Times New Roman"/>
                <w:snapToGrid w:val="0"/>
              </w:rPr>
              <w:t>2020</w:t>
            </w:r>
          </w:p>
        </w:tc>
      </w:tr>
      <w:tr w:rsidR="008F3AF5" w:rsidRPr="0054564D" w:rsidTr="00630798">
        <w:trPr>
          <w:trHeight w:val="312"/>
          <w:jc w:val="center"/>
        </w:trPr>
        <w:tc>
          <w:tcPr>
            <w:tcW w:w="4820"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ind w:left="57"/>
              <w:jc w:val="center"/>
              <w:rPr>
                <w:rFonts w:ascii="Times New Roman" w:hAnsi="Times New Roman" w:cs="Times New Roman"/>
                <w:snapToGrid w:val="0"/>
              </w:rPr>
            </w:pPr>
            <w:r w:rsidRPr="0054564D">
              <w:rPr>
                <w:rFonts w:ascii="Times New Roman" w:hAnsi="Times New Roman" w:cs="Times New Roman"/>
                <w:snapToGrid w:val="0"/>
              </w:rPr>
              <w:t>Наименование территории г. Пыть-Ях</w:t>
            </w:r>
          </w:p>
        </w:tc>
        <w:tc>
          <w:tcPr>
            <w:tcW w:w="1417"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ind w:left="57"/>
              <w:jc w:val="center"/>
              <w:rPr>
                <w:rFonts w:ascii="Times New Roman" w:hAnsi="Times New Roman" w:cs="Times New Roman"/>
                <w:snapToGrid w:val="0"/>
              </w:rPr>
            </w:pPr>
            <w:r w:rsidRPr="0054564D">
              <w:rPr>
                <w:rFonts w:ascii="Times New Roman" w:hAnsi="Times New Roman" w:cs="Times New Roman"/>
              </w:rPr>
              <w:t>6,0</w:t>
            </w:r>
          </w:p>
        </w:tc>
        <w:tc>
          <w:tcPr>
            <w:tcW w:w="1276"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ind w:left="57"/>
              <w:jc w:val="center"/>
              <w:rPr>
                <w:rFonts w:ascii="Times New Roman" w:hAnsi="Times New Roman" w:cs="Times New Roman"/>
                <w:snapToGrid w:val="0"/>
              </w:rPr>
            </w:pPr>
            <w:r w:rsidRPr="0054564D">
              <w:rPr>
                <w:rFonts w:ascii="Times New Roman" w:hAnsi="Times New Roman" w:cs="Times New Roman"/>
              </w:rPr>
              <w:t>4,8</w:t>
            </w:r>
          </w:p>
        </w:tc>
        <w:tc>
          <w:tcPr>
            <w:tcW w:w="1607"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ind w:left="57"/>
              <w:jc w:val="center"/>
              <w:rPr>
                <w:rFonts w:ascii="Times New Roman" w:hAnsi="Times New Roman" w:cs="Times New Roman"/>
                <w:snapToGrid w:val="0"/>
              </w:rPr>
            </w:pPr>
            <w:r w:rsidRPr="0054564D">
              <w:rPr>
                <w:rFonts w:ascii="Times New Roman" w:hAnsi="Times New Roman" w:cs="Times New Roman"/>
                <w:snapToGrid w:val="0"/>
              </w:rPr>
              <w:t>6,97</w:t>
            </w:r>
          </w:p>
        </w:tc>
      </w:tr>
    </w:tbl>
    <w:p w:rsidR="008F3AF5" w:rsidRPr="0054564D" w:rsidRDefault="008F3AF5" w:rsidP="0054564D">
      <w:pPr>
        <w:spacing w:after="0" w:line="240" w:lineRule="auto"/>
        <w:ind w:firstLine="720"/>
        <w:jc w:val="both"/>
        <w:rPr>
          <w:rFonts w:ascii="Times New Roman" w:hAnsi="Times New Roman" w:cs="Times New Roman"/>
          <w:sz w:val="24"/>
        </w:rPr>
      </w:pPr>
    </w:p>
    <w:p w:rsidR="008F3AF5" w:rsidRPr="0054564D" w:rsidRDefault="008F3AF5" w:rsidP="0054564D">
      <w:pPr>
        <w:spacing w:after="0" w:line="240" w:lineRule="auto"/>
        <w:ind w:firstLine="720"/>
        <w:jc w:val="both"/>
        <w:rPr>
          <w:rFonts w:ascii="Times New Roman" w:hAnsi="Times New Roman" w:cs="Times New Roman"/>
          <w:sz w:val="24"/>
        </w:rPr>
      </w:pPr>
      <w:r w:rsidRPr="0054564D">
        <w:rPr>
          <w:rFonts w:ascii="Times New Roman" w:hAnsi="Times New Roman" w:cs="Times New Roman"/>
          <w:sz w:val="24"/>
        </w:rPr>
        <w:t xml:space="preserve">В 2020году показатель </w:t>
      </w:r>
      <w:proofErr w:type="gramStart"/>
      <w:r w:rsidRPr="0054564D">
        <w:rPr>
          <w:rFonts w:ascii="Times New Roman" w:hAnsi="Times New Roman" w:cs="Times New Roman"/>
          <w:sz w:val="24"/>
        </w:rPr>
        <w:t>смертности ,</w:t>
      </w:r>
      <w:proofErr w:type="gramEnd"/>
      <w:r w:rsidRPr="0054564D">
        <w:rPr>
          <w:rFonts w:ascii="Times New Roman" w:hAnsi="Times New Roman" w:cs="Times New Roman"/>
          <w:sz w:val="24"/>
        </w:rPr>
        <w:t xml:space="preserve"> по сравнению с 2019годом увеличился на 39,6% , по сравнению с 2018годом на 11,7%.</w:t>
      </w:r>
    </w:p>
    <w:p w:rsidR="008F3AF5" w:rsidRPr="0054564D" w:rsidRDefault="008F3AF5" w:rsidP="0054564D">
      <w:pPr>
        <w:spacing w:after="0" w:line="240" w:lineRule="auto"/>
        <w:ind w:firstLine="720"/>
        <w:jc w:val="both"/>
        <w:rPr>
          <w:rFonts w:ascii="Times New Roman" w:hAnsi="Times New Roman" w:cs="Times New Roman"/>
          <w:sz w:val="24"/>
        </w:rPr>
      </w:pPr>
      <w:r w:rsidRPr="0054564D">
        <w:rPr>
          <w:rFonts w:ascii="Times New Roman" w:hAnsi="Times New Roman" w:cs="Times New Roman"/>
          <w:sz w:val="24"/>
        </w:rPr>
        <w:t xml:space="preserve">По шкале смертности показатель оценивается как </w:t>
      </w:r>
      <w:proofErr w:type="gramStart"/>
      <w:r w:rsidRPr="0054564D">
        <w:rPr>
          <w:rFonts w:ascii="Times New Roman" w:hAnsi="Times New Roman" w:cs="Times New Roman"/>
          <w:sz w:val="24"/>
        </w:rPr>
        <w:t>низкий .</w:t>
      </w:r>
      <w:proofErr w:type="gramEnd"/>
    </w:p>
    <w:p w:rsidR="008F3AF5" w:rsidRPr="0054564D" w:rsidRDefault="008F3AF5" w:rsidP="0054564D">
      <w:pPr>
        <w:spacing w:after="0" w:line="240" w:lineRule="auto"/>
        <w:ind w:firstLine="709"/>
        <w:jc w:val="both"/>
        <w:rPr>
          <w:rFonts w:ascii="Times New Roman" w:hAnsi="Times New Roman" w:cs="Times New Roman"/>
          <w:sz w:val="24"/>
        </w:rPr>
      </w:pPr>
      <w:r w:rsidRPr="0054564D">
        <w:rPr>
          <w:rFonts w:ascii="Times New Roman" w:hAnsi="Times New Roman" w:cs="Times New Roman"/>
          <w:sz w:val="24"/>
        </w:rPr>
        <w:t xml:space="preserve">Качественный уровень состояния показателя смертности в городе Пыть-Ях на </w:t>
      </w:r>
      <w:proofErr w:type="gramStart"/>
      <w:r w:rsidRPr="0054564D">
        <w:rPr>
          <w:rFonts w:ascii="Times New Roman" w:hAnsi="Times New Roman" w:cs="Times New Roman"/>
          <w:sz w:val="24"/>
        </w:rPr>
        <w:t>протяжении  3</w:t>
      </w:r>
      <w:proofErr w:type="gramEnd"/>
      <w:r w:rsidRPr="0054564D">
        <w:rPr>
          <w:rFonts w:ascii="Times New Roman" w:hAnsi="Times New Roman" w:cs="Times New Roman"/>
          <w:sz w:val="24"/>
        </w:rPr>
        <w:t xml:space="preserve"> лет оценивается как низкий.</w:t>
      </w:r>
    </w:p>
    <w:p w:rsidR="008F3AF5" w:rsidRPr="0054564D" w:rsidRDefault="008F3AF5" w:rsidP="0054564D">
      <w:pPr>
        <w:spacing w:after="0" w:line="240" w:lineRule="auto"/>
        <w:ind w:firstLine="720"/>
        <w:jc w:val="both"/>
        <w:rPr>
          <w:rFonts w:ascii="Times New Roman" w:hAnsi="Times New Roman" w:cs="Times New Roman"/>
          <w:sz w:val="24"/>
        </w:rPr>
      </w:pPr>
      <w:r w:rsidRPr="0054564D">
        <w:rPr>
          <w:rFonts w:ascii="Times New Roman" w:hAnsi="Times New Roman" w:cs="Times New Roman"/>
          <w:sz w:val="24"/>
        </w:rPr>
        <w:t>В 2020 году по сравнению с 2018-19 г.г. годом структура причин смертности существенно не изменилась.</w:t>
      </w:r>
    </w:p>
    <w:p w:rsidR="008F3AF5" w:rsidRPr="0054564D" w:rsidRDefault="008F3AF5" w:rsidP="0054564D">
      <w:pPr>
        <w:spacing w:after="0" w:line="240" w:lineRule="auto"/>
        <w:ind w:firstLine="709"/>
        <w:jc w:val="both"/>
        <w:rPr>
          <w:rFonts w:ascii="Times New Roman" w:hAnsi="Times New Roman" w:cs="Times New Roman"/>
          <w:sz w:val="24"/>
        </w:rPr>
      </w:pPr>
      <w:r w:rsidRPr="0054564D">
        <w:rPr>
          <w:rFonts w:ascii="Times New Roman" w:hAnsi="Times New Roman" w:cs="Times New Roman"/>
          <w:sz w:val="24"/>
        </w:rPr>
        <w:t>По-прежнему в структуре причин смертности населения города Пыть-Ях лидируют такие классы болезней, как:</w:t>
      </w:r>
    </w:p>
    <w:p w:rsidR="008F3AF5" w:rsidRPr="0054564D" w:rsidRDefault="008F3AF5" w:rsidP="0054564D">
      <w:pPr>
        <w:spacing w:after="0" w:line="240" w:lineRule="auto"/>
        <w:ind w:firstLine="709"/>
        <w:jc w:val="both"/>
        <w:rPr>
          <w:rFonts w:ascii="Times New Roman" w:hAnsi="Times New Roman" w:cs="Times New Roman"/>
          <w:sz w:val="24"/>
        </w:rPr>
      </w:pPr>
      <w:r w:rsidRPr="0054564D">
        <w:rPr>
          <w:rFonts w:ascii="Times New Roman" w:hAnsi="Times New Roman" w:cs="Times New Roman"/>
          <w:sz w:val="24"/>
        </w:rPr>
        <w:t xml:space="preserve">1.Болезни системы кровообращения </w:t>
      </w:r>
      <w:r w:rsidRPr="0054564D">
        <w:rPr>
          <w:rFonts w:ascii="Times New Roman" w:hAnsi="Times New Roman" w:cs="Times New Roman"/>
          <w:sz w:val="24"/>
        </w:rPr>
        <w:tab/>
        <w:t xml:space="preserve">- </w:t>
      </w:r>
      <w:r w:rsidRPr="0054564D">
        <w:rPr>
          <w:rFonts w:ascii="Times New Roman" w:hAnsi="Times New Roman" w:cs="Times New Roman"/>
          <w:color w:val="000000"/>
        </w:rPr>
        <w:t>39,9 %, в 2019г-</w:t>
      </w:r>
      <w:r w:rsidRPr="0054564D">
        <w:rPr>
          <w:rFonts w:ascii="Times New Roman" w:hAnsi="Times New Roman" w:cs="Times New Roman"/>
          <w:sz w:val="24"/>
        </w:rPr>
        <w:t>36,11%,2018 г. – 35,86%;</w:t>
      </w:r>
    </w:p>
    <w:p w:rsidR="008F3AF5" w:rsidRPr="0054564D" w:rsidRDefault="008F3AF5" w:rsidP="0054564D">
      <w:pPr>
        <w:spacing w:after="0" w:line="240" w:lineRule="auto"/>
        <w:ind w:firstLine="709"/>
        <w:jc w:val="both"/>
        <w:rPr>
          <w:rFonts w:ascii="Times New Roman" w:hAnsi="Times New Roman" w:cs="Times New Roman"/>
          <w:sz w:val="24"/>
        </w:rPr>
      </w:pPr>
      <w:r w:rsidRPr="0054564D">
        <w:rPr>
          <w:rFonts w:ascii="Times New Roman" w:hAnsi="Times New Roman" w:cs="Times New Roman"/>
          <w:sz w:val="24"/>
        </w:rPr>
        <w:t xml:space="preserve">2. Злокачественные </w:t>
      </w:r>
      <w:proofErr w:type="gramStart"/>
      <w:r w:rsidRPr="0054564D">
        <w:rPr>
          <w:rFonts w:ascii="Times New Roman" w:hAnsi="Times New Roman" w:cs="Times New Roman"/>
          <w:sz w:val="24"/>
        </w:rPr>
        <w:t>новообразования  -</w:t>
      </w:r>
      <w:proofErr w:type="gramEnd"/>
      <w:r w:rsidRPr="0054564D">
        <w:rPr>
          <w:rFonts w:ascii="Times New Roman" w:hAnsi="Times New Roman" w:cs="Times New Roman"/>
          <w:sz w:val="24"/>
        </w:rPr>
        <w:t xml:space="preserve"> 18% , в 2019г-25,46%,  2018 г.- 24,47%;</w:t>
      </w:r>
    </w:p>
    <w:p w:rsidR="008F3AF5" w:rsidRPr="0054564D" w:rsidRDefault="008F3AF5" w:rsidP="0054564D">
      <w:pPr>
        <w:spacing w:after="0" w:line="240" w:lineRule="auto"/>
        <w:ind w:firstLine="709"/>
        <w:jc w:val="both"/>
        <w:rPr>
          <w:rFonts w:ascii="Times New Roman" w:hAnsi="Times New Roman" w:cs="Times New Roman"/>
          <w:sz w:val="24"/>
        </w:rPr>
      </w:pPr>
      <w:r w:rsidRPr="0054564D">
        <w:rPr>
          <w:rFonts w:ascii="Times New Roman" w:hAnsi="Times New Roman" w:cs="Times New Roman"/>
          <w:sz w:val="24"/>
        </w:rPr>
        <w:t xml:space="preserve">3. Несчастные случаи, травмы -14.4%, в 2019г-12,5 </w:t>
      </w:r>
      <w:proofErr w:type="gramStart"/>
      <w:r w:rsidRPr="0054564D">
        <w:rPr>
          <w:rFonts w:ascii="Times New Roman" w:hAnsi="Times New Roman" w:cs="Times New Roman"/>
          <w:sz w:val="24"/>
        </w:rPr>
        <w:t>% ,</w:t>
      </w:r>
      <w:proofErr w:type="gramEnd"/>
      <w:r w:rsidRPr="0054564D">
        <w:rPr>
          <w:rFonts w:ascii="Times New Roman" w:hAnsi="Times New Roman" w:cs="Times New Roman"/>
          <w:sz w:val="24"/>
        </w:rPr>
        <w:t xml:space="preserve"> 2018 г.  – 11,39 %;</w:t>
      </w:r>
    </w:p>
    <w:p w:rsidR="008F3AF5" w:rsidRPr="0054564D" w:rsidRDefault="008F3AF5" w:rsidP="0054564D">
      <w:pPr>
        <w:spacing w:after="0" w:line="240" w:lineRule="auto"/>
        <w:ind w:left="709"/>
        <w:jc w:val="both"/>
        <w:rPr>
          <w:rFonts w:ascii="Times New Roman" w:hAnsi="Times New Roman" w:cs="Times New Roman"/>
          <w:sz w:val="24"/>
        </w:rPr>
      </w:pPr>
      <w:r w:rsidRPr="0054564D">
        <w:rPr>
          <w:rFonts w:ascii="Times New Roman" w:hAnsi="Times New Roman" w:cs="Times New Roman"/>
          <w:sz w:val="24"/>
        </w:rPr>
        <w:t xml:space="preserve">4. </w:t>
      </w:r>
      <w:proofErr w:type="gramStart"/>
      <w:r w:rsidRPr="0054564D">
        <w:rPr>
          <w:rFonts w:ascii="Times New Roman" w:hAnsi="Times New Roman" w:cs="Times New Roman"/>
          <w:sz w:val="24"/>
        </w:rPr>
        <w:t>Инфекционные  и</w:t>
      </w:r>
      <w:proofErr w:type="gramEnd"/>
      <w:r w:rsidRPr="0054564D">
        <w:rPr>
          <w:rFonts w:ascii="Times New Roman" w:hAnsi="Times New Roman" w:cs="Times New Roman"/>
          <w:sz w:val="24"/>
        </w:rPr>
        <w:t xml:space="preserve">   паразитарные заболевания, в том числе КОВИД-19-8.7% ( в 2019г-5,1%( в 2019году  в структуре смертности занимал 5 место );</w:t>
      </w:r>
    </w:p>
    <w:p w:rsidR="008F3AF5" w:rsidRPr="0054564D" w:rsidRDefault="008F3AF5" w:rsidP="0054564D">
      <w:pPr>
        <w:spacing w:after="0" w:line="240" w:lineRule="auto"/>
        <w:ind w:left="709"/>
        <w:jc w:val="both"/>
        <w:rPr>
          <w:rFonts w:ascii="Times New Roman" w:hAnsi="Times New Roman" w:cs="Times New Roman"/>
          <w:sz w:val="24"/>
        </w:rPr>
      </w:pPr>
      <w:proofErr w:type="gramStart"/>
      <w:r w:rsidRPr="0054564D">
        <w:rPr>
          <w:rFonts w:ascii="Times New Roman" w:hAnsi="Times New Roman" w:cs="Times New Roman"/>
          <w:sz w:val="24"/>
        </w:rPr>
        <w:t>5.Болезни  эндокринной</w:t>
      </w:r>
      <w:proofErr w:type="gramEnd"/>
      <w:r w:rsidRPr="0054564D">
        <w:rPr>
          <w:rFonts w:ascii="Times New Roman" w:hAnsi="Times New Roman" w:cs="Times New Roman"/>
          <w:sz w:val="24"/>
        </w:rPr>
        <w:t xml:space="preserve"> системы-7.2%, в 2019г-9,7% ( в 2019году  в структуре смертности занимал 4 место );</w:t>
      </w:r>
    </w:p>
    <w:p w:rsidR="008F3AF5" w:rsidRPr="0054564D" w:rsidRDefault="008F3AF5" w:rsidP="0054564D">
      <w:pPr>
        <w:spacing w:after="0" w:line="240" w:lineRule="auto"/>
        <w:ind w:firstLine="709"/>
        <w:jc w:val="both"/>
        <w:rPr>
          <w:rFonts w:ascii="Times New Roman" w:hAnsi="Times New Roman" w:cs="Times New Roman"/>
          <w:sz w:val="24"/>
        </w:rPr>
      </w:pPr>
      <w:r w:rsidRPr="0054564D">
        <w:rPr>
          <w:rFonts w:ascii="Times New Roman" w:hAnsi="Times New Roman" w:cs="Times New Roman"/>
          <w:sz w:val="24"/>
        </w:rPr>
        <w:t>6. Болезни органов пищеварения-6,1%</w:t>
      </w:r>
    </w:p>
    <w:p w:rsidR="008F3AF5" w:rsidRPr="0054564D" w:rsidRDefault="008F3AF5" w:rsidP="0054564D">
      <w:pPr>
        <w:spacing w:after="0" w:line="240" w:lineRule="auto"/>
        <w:ind w:firstLine="709"/>
        <w:jc w:val="both"/>
        <w:rPr>
          <w:rFonts w:ascii="Times New Roman" w:hAnsi="Times New Roman" w:cs="Times New Roman"/>
          <w:sz w:val="24"/>
        </w:rPr>
      </w:pPr>
      <w:proofErr w:type="gramStart"/>
      <w:r w:rsidRPr="0054564D">
        <w:rPr>
          <w:rFonts w:ascii="Times New Roman" w:hAnsi="Times New Roman" w:cs="Times New Roman"/>
          <w:sz w:val="24"/>
        </w:rPr>
        <w:t>7.Болезни  нервной</w:t>
      </w:r>
      <w:proofErr w:type="gramEnd"/>
      <w:r w:rsidRPr="0054564D">
        <w:rPr>
          <w:rFonts w:ascii="Times New Roman" w:hAnsi="Times New Roman" w:cs="Times New Roman"/>
          <w:sz w:val="24"/>
        </w:rPr>
        <w:t xml:space="preserve"> системы – 1,4%;</w:t>
      </w:r>
    </w:p>
    <w:p w:rsidR="008F3AF5" w:rsidRPr="0054564D" w:rsidRDefault="008F3AF5" w:rsidP="0054564D">
      <w:pPr>
        <w:spacing w:after="0" w:line="240" w:lineRule="auto"/>
        <w:ind w:left="720"/>
        <w:jc w:val="both"/>
        <w:rPr>
          <w:rFonts w:ascii="Times New Roman" w:hAnsi="Times New Roman" w:cs="Times New Roman"/>
          <w:sz w:val="24"/>
        </w:rPr>
      </w:pPr>
      <w:r w:rsidRPr="0054564D">
        <w:rPr>
          <w:rFonts w:ascii="Times New Roman" w:hAnsi="Times New Roman" w:cs="Times New Roman"/>
          <w:sz w:val="24"/>
        </w:rPr>
        <w:t xml:space="preserve">8. </w:t>
      </w:r>
      <w:proofErr w:type="gramStart"/>
      <w:r w:rsidRPr="0054564D">
        <w:rPr>
          <w:rFonts w:ascii="Times New Roman" w:hAnsi="Times New Roman" w:cs="Times New Roman"/>
          <w:sz w:val="24"/>
        </w:rPr>
        <w:t>Болезни  органов</w:t>
      </w:r>
      <w:proofErr w:type="gramEnd"/>
      <w:r w:rsidRPr="0054564D">
        <w:rPr>
          <w:rFonts w:ascii="Times New Roman" w:hAnsi="Times New Roman" w:cs="Times New Roman"/>
          <w:sz w:val="24"/>
        </w:rPr>
        <w:t xml:space="preserve"> дыхания- 1.4% ( в 2019г-2.3%);</w:t>
      </w:r>
    </w:p>
    <w:p w:rsidR="008F3AF5" w:rsidRPr="0054564D" w:rsidRDefault="008F3AF5" w:rsidP="0054564D">
      <w:pPr>
        <w:spacing w:after="0" w:line="240" w:lineRule="auto"/>
        <w:ind w:left="720"/>
        <w:jc w:val="both"/>
        <w:rPr>
          <w:rFonts w:ascii="Times New Roman" w:hAnsi="Times New Roman" w:cs="Times New Roman"/>
          <w:sz w:val="24"/>
        </w:rPr>
      </w:pPr>
      <w:r w:rsidRPr="0054564D">
        <w:rPr>
          <w:rFonts w:ascii="Times New Roman" w:hAnsi="Times New Roman" w:cs="Times New Roman"/>
          <w:sz w:val="24"/>
        </w:rPr>
        <w:t xml:space="preserve">9. </w:t>
      </w:r>
      <w:proofErr w:type="gramStart"/>
      <w:r w:rsidRPr="0054564D">
        <w:rPr>
          <w:rFonts w:ascii="Times New Roman" w:hAnsi="Times New Roman" w:cs="Times New Roman"/>
          <w:sz w:val="24"/>
        </w:rPr>
        <w:t>Симптомы  и</w:t>
      </w:r>
      <w:proofErr w:type="gramEnd"/>
      <w:r w:rsidRPr="0054564D">
        <w:rPr>
          <w:rFonts w:ascii="Times New Roman" w:hAnsi="Times New Roman" w:cs="Times New Roman"/>
          <w:sz w:val="24"/>
        </w:rPr>
        <w:t xml:space="preserve"> признаки и отклонения,  не классифицированные в  других рубриках-1.4% в 2019г-3,2%.</w:t>
      </w:r>
    </w:p>
    <w:p w:rsidR="008F3AF5" w:rsidRPr="0054564D" w:rsidRDefault="008F3AF5" w:rsidP="0054564D">
      <w:pPr>
        <w:spacing w:after="0" w:line="240" w:lineRule="auto"/>
        <w:ind w:right="-852"/>
        <w:jc w:val="center"/>
        <w:rPr>
          <w:rFonts w:ascii="Times New Roman" w:hAnsi="Times New Roman" w:cs="Times New Roman"/>
        </w:rPr>
      </w:pPr>
      <w:r w:rsidRPr="0054564D">
        <w:rPr>
          <w:rFonts w:ascii="Times New Roman" w:hAnsi="Times New Roman" w:cs="Times New Roman"/>
          <w:b/>
          <w:noProof/>
          <w:sz w:val="24"/>
          <w:szCs w:val="24"/>
          <w:lang w:eastAsia="ru-RU"/>
        </w:rPr>
        <w:drawing>
          <wp:inline distT="0" distB="0" distL="0" distR="0">
            <wp:extent cx="5343525" cy="2971800"/>
            <wp:effectExtent l="0" t="0" r="0" b="0"/>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F3AF5" w:rsidRPr="0054564D" w:rsidRDefault="008F3AF5" w:rsidP="0054564D">
      <w:pPr>
        <w:spacing w:after="0" w:line="240" w:lineRule="auto"/>
        <w:ind w:right="-852"/>
        <w:jc w:val="center"/>
        <w:rPr>
          <w:rFonts w:ascii="Times New Roman" w:hAnsi="Times New Roman" w:cs="Times New Roman"/>
        </w:rPr>
      </w:pPr>
      <w:r w:rsidRPr="0054564D">
        <w:rPr>
          <w:rFonts w:ascii="Times New Roman" w:hAnsi="Times New Roman" w:cs="Times New Roman"/>
        </w:rPr>
        <w:t xml:space="preserve">Рис.  № 4.  </w:t>
      </w:r>
      <w:proofErr w:type="gramStart"/>
      <w:r w:rsidRPr="0054564D">
        <w:rPr>
          <w:rFonts w:ascii="Times New Roman" w:hAnsi="Times New Roman" w:cs="Times New Roman"/>
        </w:rPr>
        <w:t>Структура  смертности</w:t>
      </w:r>
      <w:proofErr w:type="gramEnd"/>
      <w:r w:rsidRPr="0054564D">
        <w:rPr>
          <w:rFonts w:ascii="Times New Roman" w:hAnsi="Times New Roman" w:cs="Times New Roman"/>
        </w:rPr>
        <w:t xml:space="preserve"> населения   города  Пыть-Ях в 2020г. по причинам смерти.</w:t>
      </w:r>
    </w:p>
    <w:p w:rsidR="008F3AF5" w:rsidRPr="0054564D" w:rsidRDefault="008F3AF5" w:rsidP="0054564D">
      <w:pPr>
        <w:spacing w:after="0" w:line="240" w:lineRule="auto"/>
        <w:rPr>
          <w:rFonts w:ascii="Times New Roman" w:hAnsi="Times New Roman" w:cs="Times New Roman"/>
          <w:sz w:val="24"/>
          <w:szCs w:val="24"/>
          <w:highlight w:val="yellow"/>
        </w:rPr>
      </w:pPr>
    </w:p>
    <w:p w:rsidR="008F3AF5" w:rsidRPr="0054564D" w:rsidRDefault="008F3AF5" w:rsidP="0054564D">
      <w:pPr>
        <w:spacing w:before="120" w:after="0" w:line="240" w:lineRule="auto"/>
        <w:jc w:val="center"/>
        <w:rPr>
          <w:rFonts w:ascii="Times New Roman" w:hAnsi="Times New Roman" w:cs="Times New Roman"/>
          <w:b/>
          <w:snapToGrid w:val="0"/>
          <w:sz w:val="24"/>
          <w:szCs w:val="24"/>
        </w:rPr>
      </w:pPr>
      <w:r w:rsidRPr="0054564D">
        <w:rPr>
          <w:rFonts w:ascii="Times New Roman" w:hAnsi="Times New Roman" w:cs="Times New Roman"/>
          <w:b/>
          <w:snapToGrid w:val="0"/>
          <w:sz w:val="24"/>
          <w:szCs w:val="24"/>
        </w:rPr>
        <w:t>Младенческая смертность (на 1000 родившихся живыми)</w:t>
      </w:r>
    </w:p>
    <w:p w:rsidR="008F3AF5" w:rsidRPr="0054564D" w:rsidRDefault="008F3AF5" w:rsidP="0054564D">
      <w:pPr>
        <w:spacing w:before="120" w:after="0" w:line="240" w:lineRule="auto"/>
        <w:rPr>
          <w:rFonts w:ascii="Times New Roman" w:hAnsi="Times New Roman" w:cs="Times New Roman"/>
          <w:snapToGrid w:val="0"/>
          <w:sz w:val="24"/>
          <w:szCs w:val="24"/>
        </w:rPr>
      </w:pPr>
      <w:r w:rsidRPr="0054564D">
        <w:rPr>
          <w:rFonts w:ascii="Times New Roman" w:hAnsi="Times New Roman" w:cs="Times New Roman"/>
          <w:snapToGrid w:val="0"/>
          <w:sz w:val="24"/>
          <w:szCs w:val="24"/>
        </w:rPr>
        <w:t xml:space="preserve">В 2020году </w:t>
      </w:r>
      <w:proofErr w:type="gramStart"/>
      <w:r w:rsidRPr="0054564D">
        <w:rPr>
          <w:rFonts w:ascii="Times New Roman" w:hAnsi="Times New Roman" w:cs="Times New Roman"/>
          <w:snapToGrid w:val="0"/>
          <w:sz w:val="24"/>
          <w:szCs w:val="24"/>
        </w:rPr>
        <w:t>случаев  младенческой</w:t>
      </w:r>
      <w:proofErr w:type="gramEnd"/>
      <w:r w:rsidRPr="0054564D">
        <w:rPr>
          <w:rFonts w:ascii="Times New Roman" w:hAnsi="Times New Roman" w:cs="Times New Roman"/>
          <w:snapToGrid w:val="0"/>
          <w:sz w:val="24"/>
          <w:szCs w:val="24"/>
        </w:rPr>
        <w:t xml:space="preserve"> смертности по г Пыть-Ях не зарегистрировано. В 2019 г. </w:t>
      </w:r>
      <w:proofErr w:type="gramStart"/>
      <w:r w:rsidRPr="0054564D">
        <w:rPr>
          <w:rFonts w:ascii="Times New Roman" w:hAnsi="Times New Roman" w:cs="Times New Roman"/>
          <w:snapToGrid w:val="0"/>
          <w:sz w:val="24"/>
          <w:szCs w:val="24"/>
        </w:rPr>
        <w:t>отмечается  снижение</w:t>
      </w:r>
      <w:proofErr w:type="gramEnd"/>
      <w:r w:rsidRPr="0054564D">
        <w:rPr>
          <w:rFonts w:ascii="Times New Roman" w:hAnsi="Times New Roman" w:cs="Times New Roman"/>
          <w:snapToGrid w:val="0"/>
          <w:sz w:val="24"/>
          <w:szCs w:val="24"/>
        </w:rPr>
        <w:t xml:space="preserve"> показателя  младенческой  смертности  до 2,0  по сравнению с 2018 г( 7,5). и с  2017г.(3,6)  (таблица</w:t>
      </w:r>
      <w:r w:rsidRPr="0054564D">
        <w:rPr>
          <w:rFonts w:ascii="Times New Roman" w:hAnsi="Times New Roman" w:cs="Times New Roman"/>
          <w:snapToGrid w:val="0"/>
          <w:sz w:val="28"/>
        </w:rPr>
        <w:t xml:space="preserve"> </w:t>
      </w:r>
      <w:r w:rsidRPr="0054564D">
        <w:rPr>
          <w:rFonts w:ascii="Times New Roman" w:hAnsi="Times New Roman" w:cs="Times New Roman"/>
          <w:snapToGrid w:val="0"/>
          <w:sz w:val="24"/>
          <w:szCs w:val="24"/>
        </w:rPr>
        <w:t>№7) .</w:t>
      </w:r>
    </w:p>
    <w:p w:rsidR="008F3AF5" w:rsidRPr="0054564D" w:rsidRDefault="008F3AF5" w:rsidP="0054564D">
      <w:pPr>
        <w:spacing w:after="0" w:line="240" w:lineRule="auto"/>
        <w:jc w:val="right"/>
        <w:rPr>
          <w:rFonts w:ascii="Times New Roman" w:hAnsi="Times New Roman" w:cs="Times New Roman"/>
          <w:snapToGrid w:val="0"/>
        </w:rPr>
      </w:pPr>
      <w:r w:rsidRPr="0054564D">
        <w:rPr>
          <w:rFonts w:ascii="Times New Roman" w:hAnsi="Times New Roman" w:cs="Times New Roman"/>
          <w:snapToGrid w:val="0"/>
        </w:rPr>
        <w:t>Таблица №7</w:t>
      </w:r>
    </w:p>
    <w:p w:rsidR="008F3AF5" w:rsidRPr="0054564D" w:rsidRDefault="008F3AF5" w:rsidP="0054564D">
      <w:pPr>
        <w:spacing w:after="0" w:line="240" w:lineRule="auto"/>
        <w:jc w:val="center"/>
        <w:rPr>
          <w:rFonts w:ascii="Times New Roman" w:hAnsi="Times New Roman" w:cs="Times New Roman"/>
          <w:b/>
          <w:snapToGrid w:val="0"/>
        </w:rPr>
      </w:pPr>
      <w:r w:rsidRPr="0054564D">
        <w:rPr>
          <w:rFonts w:ascii="Times New Roman" w:hAnsi="Times New Roman" w:cs="Times New Roman"/>
          <w:b/>
          <w:snapToGrid w:val="0"/>
        </w:rPr>
        <w:t>Динамика показателей младенческой смертности по городу Пыть-Ях</w:t>
      </w:r>
    </w:p>
    <w:tbl>
      <w:tblPr>
        <w:tblW w:w="7941" w:type="dxa"/>
        <w:tblInd w:w="567" w:type="dxa"/>
        <w:tblLayout w:type="fixed"/>
        <w:tblCellMar>
          <w:left w:w="30" w:type="dxa"/>
          <w:right w:w="30" w:type="dxa"/>
        </w:tblCellMar>
        <w:tblLook w:val="0000" w:firstRow="0" w:lastRow="0" w:firstColumn="0" w:lastColumn="0" w:noHBand="0" w:noVBand="0"/>
      </w:tblPr>
      <w:tblGrid>
        <w:gridCol w:w="3382"/>
        <w:gridCol w:w="1618"/>
        <w:gridCol w:w="1470"/>
        <w:gridCol w:w="1471"/>
      </w:tblGrid>
      <w:tr w:rsidR="008F3AF5" w:rsidRPr="0054564D" w:rsidTr="00630798">
        <w:trPr>
          <w:trHeight w:val="432"/>
        </w:trPr>
        <w:tc>
          <w:tcPr>
            <w:tcW w:w="3382"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ind w:left="57"/>
              <w:jc w:val="center"/>
              <w:rPr>
                <w:rFonts w:ascii="Times New Roman" w:hAnsi="Times New Roman" w:cs="Times New Roman"/>
                <w:snapToGrid w:val="0"/>
              </w:rPr>
            </w:pPr>
            <w:r w:rsidRPr="0054564D">
              <w:rPr>
                <w:rFonts w:ascii="Times New Roman" w:hAnsi="Times New Roman" w:cs="Times New Roman"/>
                <w:snapToGrid w:val="0"/>
              </w:rPr>
              <w:lastRenderedPageBreak/>
              <w:t>г. Пыть-Ях</w:t>
            </w:r>
          </w:p>
        </w:tc>
        <w:tc>
          <w:tcPr>
            <w:tcW w:w="1618"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ind w:left="57"/>
              <w:jc w:val="center"/>
              <w:rPr>
                <w:rFonts w:ascii="Times New Roman" w:hAnsi="Times New Roman" w:cs="Times New Roman"/>
                <w:snapToGrid w:val="0"/>
              </w:rPr>
            </w:pPr>
            <w:r w:rsidRPr="0054564D">
              <w:rPr>
                <w:rFonts w:ascii="Times New Roman" w:hAnsi="Times New Roman" w:cs="Times New Roman"/>
                <w:snapToGrid w:val="0"/>
              </w:rPr>
              <w:t>2018</w:t>
            </w:r>
          </w:p>
        </w:tc>
        <w:tc>
          <w:tcPr>
            <w:tcW w:w="1470"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ind w:left="57"/>
              <w:jc w:val="center"/>
              <w:rPr>
                <w:rFonts w:ascii="Times New Roman" w:hAnsi="Times New Roman" w:cs="Times New Roman"/>
                <w:snapToGrid w:val="0"/>
              </w:rPr>
            </w:pPr>
            <w:r w:rsidRPr="0054564D">
              <w:rPr>
                <w:rFonts w:ascii="Times New Roman" w:hAnsi="Times New Roman" w:cs="Times New Roman"/>
                <w:snapToGrid w:val="0"/>
              </w:rPr>
              <w:t>2019</w:t>
            </w:r>
          </w:p>
        </w:tc>
        <w:tc>
          <w:tcPr>
            <w:tcW w:w="1471"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ind w:left="57"/>
              <w:jc w:val="center"/>
              <w:rPr>
                <w:rFonts w:ascii="Times New Roman" w:hAnsi="Times New Roman" w:cs="Times New Roman"/>
                <w:snapToGrid w:val="0"/>
              </w:rPr>
            </w:pPr>
            <w:r w:rsidRPr="0054564D">
              <w:rPr>
                <w:rFonts w:ascii="Times New Roman" w:hAnsi="Times New Roman" w:cs="Times New Roman"/>
                <w:snapToGrid w:val="0"/>
              </w:rPr>
              <w:t>2020</w:t>
            </w:r>
          </w:p>
        </w:tc>
      </w:tr>
      <w:tr w:rsidR="008F3AF5" w:rsidRPr="0054564D" w:rsidTr="00630798">
        <w:trPr>
          <w:trHeight w:val="432"/>
        </w:trPr>
        <w:tc>
          <w:tcPr>
            <w:tcW w:w="3382"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ind w:left="57"/>
              <w:jc w:val="center"/>
              <w:rPr>
                <w:rFonts w:ascii="Times New Roman" w:hAnsi="Times New Roman" w:cs="Times New Roman"/>
                <w:snapToGrid w:val="0"/>
              </w:rPr>
            </w:pPr>
            <w:r w:rsidRPr="0054564D">
              <w:rPr>
                <w:rFonts w:ascii="Times New Roman" w:hAnsi="Times New Roman" w:cs="Times New Roman"/>
                <w:snapToGrid w:val="0"/>
              </w:rPr>
              <w:t>Показатель младенческой смертности</w:t>
            </w:r>
          </w:p>
        </w:tc>
        <w:tc>
          <w:tcPr>
            <w:tcW w:w="1618"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ind w:left="57"/>
              <w:jc w:val="center"/>
              <w:rPr>
                <w:rFonts w:ascii="Times New Roman" w:hAnsi="Times New Roman" w:cs="Times New Roman"/>
                <w:snapToGrid w:val="0"/>
              </w:rPr>
            </w:pPr>
            <w:r w:rsidRPr="0054564D">
              <w:rPr>
                <w:rFonts w:ascii="Times New Roman" w:hAnsi="Times New Roman" w:cs="Times New Roman"/>
                <w:snapToGrid w:val="0"/>
              </w:rPr>
              <w:t>7,5</w:t>
            </w:r>
          </w:p>
        </w:tc>
        <w:tc>
          <w:tcPr>
            <w:tcW w:w="1470"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ind w:left="57"/>
              <w:jc w:val="center"/>
              <w:rPr>
                <w:rFonts w:ascii="Times New Roman" w:hAnsi="Times New Roman" w:cs="Times New Roman"/>
                <w:snapToGrid w:val="0"/>
              </w:rPr>
            </w:pPr>
            <w:r w:rsidRPr="0054564D">
              <w:rPr>
                <w:rFonts w:ascii="Times New Roman" w:hAnsi="Times New Roman" w:cs="Times New Roman"/>
                <w:snapToGrid w:val="0"/>
              </w:rPr>
              <w:t>2,0</w:t>
            </w:r>
          </w:p>
        </w:tc>
        <w:tc>
          <w:tcPr>
            <w:tcW w:w="1471"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ind w:left="57"/>
              <w:jc w:val="center"/>
              <w:rPr>
                <w:rFonts w:ascii="Times New Roman" w:hAnsi="Times New Roman" w:cs="Times New Roman"/>
                <w:snapToGrid w:val="0"/>
              </w:rPr>
            </w:pPr>
            <w:r w:rsidRPr="0054564D">
              <w:rPr>
                <w:rFonts w:ascii="Times New Roman" w:hAnsi="Times New Roman" w:cs="Times New Roman"/>
                <w:snapToGrid w:val="0"/>
              </w:rPr>
              <w:t>0</w:t>
            </w:r>
          </w:p>
        </w:tc>
      </w:tr>
    </w:tbl>
    <w:p w:rsidR="008F3AF5" w:rsidRPr="0054564D" w:rsidRDefault="008F3AF5" w:rsidP="0054564D">
      <w:pPr>
        <w:spacing w:after="0" w:line="240" w:lineRule="auto"/>
        <w:jc w:val="center"/>
        <w:rPr>
          <w:rFonts w:ascii="Times New Roman" w:hAnsi="Times New Roman" w:cs="Times New Roman"/>
        </w:rPr>
      </w:pPr>
      <w:r w:rsidRPr="0054564D">
        <w:rPr>
          <w:rFonts w:ascii="Times New Roman" w:hAnsi="Times New Roman" w:cs="Times New Roman"/>
          <w:b/>
          <w:noProof/>
          <w:lang w:eastAsia="ru-RU"/>
        </w:rPr>
        <w:drawing>
          <wp:inline distT="0" distB="0" distL="0" distR="0">
            <wp:extent cx="5829300" cy="1800225"/>
            <wp:effectExtent l="0" t="0" r="0" b="0"/>
            <wp:docPr id="17" name="Диаграмма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54564D">
        <w:rPr>
          <w:rFonts w:ascii="Times New Roman" w:hAnsi="Times New Roman" w:cs="Times New Roman"/>
        </w:rPr>
        <w:t>Рис. № 5. Динамика показателя младенческой смертности в г. Пыть-Ях по годам.</w:t>
      </w:r>
    </w:p>
    <w:p w:rsidR="008F3AF5" w:rsidRPr="0054564D" w:rsidRDefault="008F3AF5" w:rsidP="0054564D">
      <w:pPr>
        <w:spacing w:after="0" w:line="240" w:lineRule="auto"/>
        <w:ind w:firstLine="709"/>
        <w:jc w:val="both"/>
        <w:rPr>
          <w:rFonts w:ascii="Times New Roman" w:hAnsi="Times New Roman" w:cs="Times New Roman"/>
          <w:sz w:val="24"/>
          <w:szCs w:val="24"/>
          <w:highlight w:val="yellow"/>
        </w:rPr>
      </w:pPr>
    </w:p>
    <w:p w:rsidR="008F3AF5" w:rsidRPr="0054564D" w:rsidRDefault="008F3AF5" w:rsidP="0054564D">
      <w:pPr>
        <w:spacing w:after="0" w:line="240" w:lineRule="auto"/>
        <w:jc w:val="right"/>
        <w:rPr>
          <w:rFonts w:ascii="Times New Roman" w:hAnsi="Times New Roman" w:cs="Times New Roman"/>
        </w:rPr>
      </w:pPr>
      <w:r w:rsidRPr="0054564D">
        <w:rPr>
          <w:rFonts w:ascii="Times New Roman" w:hAnsi="Times New Roman" w:cs="Times New Roman"/>
        </w:rPr>
        <w:t>Таблица №8</w:t>
      </w:r>
    </w:p>
    <w:p w:rsidR="008F3AF5" w:rsidRPr="0054564D" w:rsidRDefault="008F3AF5" w:rsidP="0054564D">
      <w:pPr>
        <w:pStyle w:val="31"/>
        <w:ind w:firstLine="720"/>
        <w:jc w:val="left"/>
        <w:rPr>
          <w:i/>
          <w:sz w:val="22"/>
          <w:szCs w:val="22"/>
        </w:rPr>
      </w:pPr>
      <w:r w:rsidRPr="0054564D">
        <w:rPr>
          <w:i/>
          <w:sz w:val="22"/>
          <w:szCs w:val="22"/>
        </w:rPr>
        <w:t>Показатели мертворождаемости по городу Пыть-Ях в динамике по годам</w:t>
      </w:r>
    </w:p>
    <w:p w:rsidR="008F3AF5" w:rsidRPr="0054564D" w:rsidRDefault="008F3AF5" w:rsidP="0054564D">
      <w:pPr>
        <w:spacing w:after="0" w:line="240" w:lineRule="auto"/>
        <w:ind w:firstLine="709"/>
        <w:jc w:val="both"/>
        <w:rPr>
          <w:rFonts w:ascii="Times New Roman" w:hAnsi="Times New Roman" w:cs="Times New Roman"/>
          <w:sz w:val="24"/>
          <w:szCs w:val="24"/>
          <w:highlight w:val="yellow"/>
        </w:rPr>
      </w:pPr>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 xml:space="preserve">В 2020 г. детей, родившихся мертвыми </w:t>
      </w:r>
      <w:proofErr w:type="gramStart"/>
      <w:r w:rsidRPr="0054564D">
        <w:rPr>
          <w:rFonts w:ascii="Times New Roman" w:hAnsi="Times New Roman" w:cs="Times New Roman"/>
          <w:sz w:val="24"/>
          <w:szCs w:val="24"/>
        </w:rPr>
        <w:t>зарегистрировано  4</w:t>
      </w:r>
      <w:proofErr w:type="gramEnd"/>
      <w:r w:rsidRPr="0054564D">
        <w:rPr>
          <w:rFonts w:ascii="Times New Roman" w:hAnsi="Times New Roman" w:cs="Times New Roman"/>
          <w:sz w:val="24"/>
          <w:szCs w:val="24"/>
        </w:rPr>
        <w:t xml:space="preserve"> чел показатель мертворождаемости по городу Пыть-Ях составил 9.1  -отрицательная  динамика , в 2019 г 2,2 (1 чел), в 2018 гг. показатель мертворождаемости составил 1,9.   </w:t>
      </w:r>
    </w:p>
    <w:p w:rsidR="008F3AF5" w:rsidRPr="0054564D" w:rsidRDefault="008F3AF5" w:rsidP="0054564D">
      <w:pPr>
        <w:spacing w:after="0" w:line="240" w:lineRule="auto"/>
        <w:rPr>
          <w:rFonts w:ascii="Times New Roman" w:hAnsi="Times New Roman" w:cs="Times New Roman"/>
        </w:rPr>
      </w:pP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86"/>
        <w:gridCol w:w="1456"/>
        <w:gridCol w:w="1456"/>
        <w:gridCol w:w="1457"/>
      </w:tblGrid>
      <w:tr w:rsidR="008F3AF5" w:rsidRPr="0054564D" w:rsidTr="00630798">
        <w:trPr>
          <w:trHeight w:val="256"/>
          <w:jc w:val="center"/>
        </w:trPr>
        <w:tc>
          <w:tcPr>
            <w:tcW w:w="3986" w:type="dxa"/>
          </w:tcPr>
          <w:p w:rsidR="008F3AF5" w:rsidRPr="0054564D" w:rsidRDefault="008F3AF5" w:rsidP="0054564D">
            <w:pPr>
              <w:spacing w:before="20" w:after="0" w:line="240" w:lineRule="auto"/>
              <w:ind w:left="57"/>
              <w:jc w:val="center"/>
              <w:rPr>
                <w:rFonts w:ascii="Times New Roman" w:hAnsi="Times New Roman" w:cs="Times New Roman"/>
                <w:snapToGrid w:val="0"/>
              </w:rPr>
            </w:pPr>
            <w:proofErr w:type="gramStart"/>
            <w:r w:rsidRPr="0054564D">
              <w:rPr>
                <w:rFonts w:ascii="Times New Roman" w:hAnsi="Times New Roman" w:cs="Times New Roman"/>
                <w:snapToGrid w:val="0"/>
              </w:rPr>
              <w:t>Отчетный  период</w:t>
            </w:r>
            <w:proofErr w:type="gramEnd"/>
          </w:p>
        </w:tc>
        <w:tc>
          <w:tcPr>
            <w:tcW w:w="1456"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2018</w:t>
            </w:r>
          </w:p>
        </w:tc>
        <w:tc>
          <w:tcPr>
            <w:tcW w:w="1456"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2019</w:t>
            </w:r>
          </w:p>
        </w:tc>
        <w:tc>
          <w:tcPr>
            <w:tcW w:w="1457" w:type="dxa"/>
          </w:tcPr>
          <w:p w:rsidR="008F3AF5" w:rsidRPr="0054564D" w:rsidRDefault="008F3AF5" w:rsidP="0054564D">
            <w:pPr>
              <w:spacing w:before="20" w:after="0" w:line="240" w:lineRule="auto"/>
              <w:ind w:left="57"/>
              <w:jc w:val="center"/>
              <w:rPr>
                <w:rFonts w:ascii="Times New Roman" w:hAnsi="Times New Roman" w:cs="Times New Roman"/>
                <w:snapToGrid w:val="0"/>
              </w:rPr>
            </w:pPr>
            <w:r w:rsidRPr="0054564D">
              <w:rPr>
                <w:rFonts w:ascii="Times New Roman" w:hAnsi="Times New Roman" w:cs="Times New Roman"/>
                <w:snapToGrid w:val="0"/>
              </w:rPr>
              <w:t>2020</w:t>
            </w:r>
          </w:p>
        </w:tc>
      </w:tr>
      <w:tr w:rsidR="008F3AF5" w:rsidRPr="0054564D" w:rsidTr="00630798">
        <w:trPr>
          <w:trHeight w:val="669"/>
          <w:jc w:val="center"/>
        </w:trPr>
        <w:tc>
          <w:tcPr>
            <w:tcW w:w="3986" w:type="dxa"/>
          </w:tcPr>
          <w:p w:rsidR="008F3AF5" w:rsidRPr="0054564D" w:rsidRDefault="008F3AF5" w:rsidP="0054564D">
            <w:pPr>
              <w:spacing w:before="20" w:after="0" w:line="240" w:lineRule="auto"/>
              <w:ind w:left="57" w:hanging="769"/>
              <w:jc w:val="center"/>
              <w:rPr>
                <w:rFonts w:ascii="Times New Roman" w:hAnsi="Times New Roman" w:cs="Times New Roman"/>
                <w:snapToGrid w:val="0"/>
              </w:rPr>
            </w:pPr>
            <w:r w:rsidRPr="0054564D">
              <w:rPr>
                <w:rFonts w:ascii="Times New Roman" w:hAnsi="Times New Roman" w:cs="Times New Roman"/>
                <w:snapToGrid w:val="0"/>
              </w:rPr>
              <w:t xml:space="preserve">   Показатель мертворождаемости в</w:t>
            </w:r>
          </w:p>
          <w:p w:rsidR="008F3AF5" w:rsidRPr="0054564D" w:rsidRDefault="008F3AF5" w:rsidP="0054564D">
            <w:pPr>
              <w:spacing w:before="20" w:after="0" w:line="240" w:lineRule="auto"/>
              <w:ind w:left="57" w:hanging="769"/>
              <w:rPr>
                <w:rFonts w:ascii="Times New Roman" w:hAnsi="Times New Roman" w:cs="Times New Roman"/>
                <w:snapToGrid w:val="0"/>
              </w:rPr>
            </w:pPr>
            <w:r w:rsidRPr="0054564D">
              <w:rPr>
                <w:rFonts w:ascii="Times New Roman" w:hAnsi="Times New Roman" w:cs="Times New Roman"/>
                <w:snapToGrid w:val="0"/>
              </w:rPr>
              <w:t xml:space="preserve">             г. Пыть-Ях</w:t>
            </w:r>
          </w:p>
        </w:tc>
        <w:tc>
          <w:tcPr>
            <w:tcW w:w="1456"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1,9</w:t>
            </w:r>
          </w:p>
        </w:tc>
        <w:tc>
          <w:tcPr>
            <w:tcW w:w="1456"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2,2</w:t>
            </w:r>
          </w:p>
        </w:tc>
        <w:tc>
          <w:tcPr>
            <w:tcW w:w="1457" w:type="dxa"/>
          </w:tcPr>
          <w:p w:rsidR="008F3AF5" w:rsidRPr="0054564D" w:rsidRDefault="008F3AF5" w:rsidP="0054564D">
            <w:pPr>
              <w:spacing w:before="20" w:after="0" w:line="240" w:lineRule="auto"/>
              <w:ind w:left="57"/>
              <w:jc w:val="center"/>
              <w:rPr>
                <w:rFonts w:ascii="Times New Roman" w:hAnsi="Times New Roman" w:cs="Times New Roman"/>
                <w:snapToGrid w:val="0"/>
              </w:rPr>
            </w:pPr>
            <w:r w:rsidRPr="0054564D">
              <w:rPr>
                <w:rFonts w:ascii="Times New Roman" w:hAnsi="Times New Roman" w:cs="Times New Roman"/>
                <w:snapToGrid w:val="0"/>
              </w:rPr>
              <w:t>9,1</w:t>
            </w:r>
          </w:p>
        </w:tc>
      </w:tr>
    </w:tbl>
    <w:p w:rsidR="008F3AF5" w:rsidRPr="0054564D" w:rsidRDefault="008F3AF5" w:rsidP="0054564D">
      <w:pPr>
        <w:spacing w:after="0" w:line="240" w:lineRule="auto"/>
        <w:jc w:val="center"/>
        <w:rPr>
          <w:rFonts w:ascii="Times New Roman" w:hAnsi="Times New Roman" w:cs="Times New Roman"/>
          <w:b/>
        </w:rPr>
      </w:pPr>
      <w:r w:rsidRPr="0054564D">
        <w:rPr>
          <w:rFonts w:ascii="Times New Roman" w:hAnsi="Times New Roman" w:cs="Times New Roman"/>
          <w:b/>
          <w:noProof/>
          <w:lang w:eastAsia="ru-RU"/>
        </w:rPr>
        <w:drawing>
          <wp:inline distT="0" distB="0" distL="0" distR="0">
            <wp:extent cx="5457825" cy="2324100"/>
            <wp:effectExtent l="0" t="0" r="0" b="0"/>
            <wp:docPr id="16" name="Диаграмма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 xml:space="preserve">Рис. № 6. Динамика </w:t>
      </w:r>
      <w:proofErr w:type="gramStart"/>
      <w:r w:rsidRPr="0054564D">
        <w:rPr>
          <w:rFonts w:ascii="Times New Roman" w:hAnsi="Times New Roman" w:cs="Times New Roman"/>
        </w:rPr>
        <w:t>показателей  мертворождаемости</w:t>
      </w:r>
      <w:proofErr w:type="gramEnd"/>
      <w:r w:rsidRPr="0054564D">
        <w:rPr>
          <w:rFonts w:ascii="Times New Roman" w:hAnsi="Times New Roman" w:cs="Times New Roman"/>
        </w:rPr>
        <w:t xml:space="preserve">  по г. Пыть-Ях (2018-2020 гг.).</w:t>
      </w:r>
    </w:p>
    <w:p w:rsidR="008F3AF5" w:rsidRPr="0054564D" w:rsidRDefault="008F3AF5" w:rsidP="0054564D">
      <w:pPr>
        <w:spacing w:after="0" w:line="240" w:lineRule="auto"/>
        <w:rPr>
          <w:rFonts w:ascii="Times New Roman" w:hAnsi="Times New Roman" w:cs="Times New Roman"/>
        </w:rPr>
      </w:pPr>
    </w:p>
    <w:p w:rsidR="008F3AF5" w:rsidRPr="0054564D" w:rsidRDefault="008F3AF5" w:rsidP="0054564D">
      <w:pPr>
        <w:spacing w:before="120" w:after="0" w:line="240" w:lineRule="auto"/>
        <w:jc w:val="center"/>
        <w:outlineLvl w:val="0"/>
        <w:rPr>
          <w:rFonts w:ascii="Times New Roman" w:hAnsi="Times New Roman" w:cs="Times New Roman"/>
          <w:b/>
          <w:sz w:val="24"/>
          <w:szCs w:val="24"/>
        </w:rPr>
      </w:pPr>
      <w:r w:rsidRPr="0054564D">
        <w:rPr>
          <w:rFonts w:ascii="Times New Roman" w:hAnsi="Times New Roman" w:cs="Times New Roman"/>
          <w:b/>
          <w:sz w:val="24"/>
          <w:szCs w:val="24"/>
        </w:rPr>
        <w:t>Естественный прирост</w:t>
      </w:r>
    </w:p>
    <w:p w:rsidR="008F3AF5" w:rsidRPr="0054564D" w:rsidRDefault="008F3AF5" w:rsidP="0054564D">
      <w:pPr>
        <w:spacing w:after="0" w:line="240" w:lineRule="auto"/>
        <w:ind w:firstLine="709"/>
        <w:jc w:val="both"/>
        <w:rPr>
          <w:rFonts w:ascii="Times New Roman" w:hAnsi="Times New Roman" w:cs="Times New Roman"/>
          <w:sz w:val="24"/>
          <w:highlight w:val="yellow"/>
        </w:rPr>
      </w:pPr>
    </w:p>
    <w:p w:rsidR="008F3AF5" w:rsidRPr="0054564D" w:rsidRDefault="008F3AF5" w:rsidP="0054564D">
      <w:pPr>
        <w:spacing w:after="0" w:line="240" w:lineRule="auto"/>
        <w:ind w:firstLine="709"/>
        <w:jc w:val="both"/>
        <w:rPr>
          <w:rFonts w:ascii="Times New Roman" w:hAnsi="Times New Roman" w:cs="Times New Roman"/>
          <w:sz w:val="24"/>
        </w:rPr>
      </w:pPr>
      <w:r w:rsidRPr="0054564D">
        <w:rPr>
          <w:rFonts w:ascii="Times New Roman" w:hAnsi="Times New Roman" w:cs="Times New Roman"/>
          <w:sz w:val="24"/>
        </w:rPr>
        <w:t xml:space="preserve">В динамике наблюдается стойкое снижение естественного </w:t>
      </w:r>
      <w:proofErr w:type="gramStart"/>
      <w:r w:rsidRPr="0054564D">
        <w:rPr>
          <w:rFonts w:ascii="Times New Roman" w:hAnsi="Times New Roman" w:cs="Times New Roman"/>
          <w:sz w:val="24"/>
        </w:rPr>
        <w:t>прироста  населения</w:t>
      </w:r>
      <w:proofErr w:type="gramEnd"/>
      <w:r w:rsidRPr="0054564D">
        <w:rPr>
          <w:rFonts w:ascii="Times New Roman" w:hAnsi="Times New Roman" w:cs="Times New Roman"/>
          <w:sz w:val="24"/>
        </w:rPr>
        <w:t xml:space="preserve"> в городе Пыть-Ях: показатель естественного прироста и составил 4.2 в 2020году, это самый низкий показатель-отрицательная динамика, в 2019гпоказатель  на 1000 населения составил 6,2  и 7.23 на 1000 населения в 2018г. (таблица № 9).</w:t>
      </w:r>
    </w:p>
    <w:p w:rsidR="008F3AF5" w:rsidRPr="0054564D" w:rsidRDefault="008F3AF5" w:rsidP="0054564D">
      <w:pPr>
        <w:spacing w:after="0" w:line="240" w:lineRule="auto"/>
        <w:ind w:firstLine="709"/>
        <w:jc w:val="right"/>
        <w:rPr>
          <w:rFonts w:ascii="Times New Roman" w:hAnsi="Times New Roman" w:cs="Times New Roman"/>
        </w:rPr>
      </w:pPr>
      <w:r w:rsidRPr="0054564D">
        <w:rPr>
          <w:rFonts w:ascii="Times New Roman" w:hAnsi="Times New Roman" w:cs="Times New Roman"/>
        </w:rPr>
        <w:t>Таблица №9</w:t>
      </w:r>
    </w:p>
    <w:p w:rsidR="008F3AF5" w:rsidRPr="0054564D" w:rsidRDefault="008F3AF5" w:rsidP="0054564D">
      <w:pPr>
        <w:spacing w:after="0" w:line="240" w:lineRule="auto"/>
        <w:jc w:val="center"/>
        <w:rPr>
          <w:rFonts w:ascii="Times New Roman" w:hAnsi="Times New Roman" w:cs="Times New Roman"/>
          <w:b/>
        </w:rPr>
      </w:pPr>
      <w:r w:rsidRPr="0054564D">
        <w:rPr>
          <w:rFonts w:ascii="Times New Roman" w:hAnsi="Times New Roman" w:cs="Times New Roman"/>
          <w:b/>
        </w:rPr>
        <w:t>Динамика естественного прироста по городу Пыть-Ях</w:t>
      </w:r>
    </w:p>
    <w:tbl>
      <w:tblPr>
        <w:tblW w:w="9069" w:type="dxa"/>
        <w:jc w:val="center"/>
        <w:tblLayout w:type="fixed"/>
        <w:tblCellMar>
          <w:left w:w="30" w:type="dxa"/>
          <w:right w:w="30" w:type="dxa"/>
        </w:tblCellMar>
        <w:tblLook w:val="0000" w:firstRow="0" w:lastRow="0" w:firstColumn="0" w:lastColumn="0" w:noHBand="0" w:noVBand="0"/>
      </w:tblPr>
      <w:tblGrid>
        <w:gridCol w:w="4610"/>
        <w:gridCol w:w="1486"/>
        <w:gridCol w:w="1486"/>
        <w:gridCol w:w="1487"/>
      </w:tblGrid>
      <w:tr w:rsidR="008F3AF5" w:rsidRPr="0054564D" w:rsidTr="00630798">
        <w:trPr>
          <w:trHeight w:val="313"/>
          <w:jc w:val="center"/>
        </w:trPr>
        <w:tc>
          <w:tcPr>
            <w:tcW w:w="4610"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rPr>
                <w:rFonts w:ascii="Times New Roman" w:hAnsi="Times New Roman" w:cs="Times New Roman"/>
                <w:snapToGrid w:val="0"/>
              </w:rPr>
            </w:pPr>
            <w:proofErr w:type="gramStart"/>
            <w:r w:rsidRPr="0054564D">
              <w:rPr>
                <w:rFonts w:ascii="Times New Roman" w:hAnsi="Times New Roman" w:cs="Times New Roman"/>
                <w:snapToGrid w:val="0"/>
              </w:rPr>
              <w:t>Отчетный  период</w:t>
            </w:r>
            <w:proofErr w:type="gramEnd"/>
          </w:p>
        </w:tc>
        <w:tc>
          <w:tcPr>
            <w:tcW w:w="1486"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jc w:val="center"/>
              <w:rPr>
                <w:rFonts w:ascii="Times New Roman" w:hAnsi="Times New Roman" w:cs="Times New Roman"/>
                <w:snapToGrid w:val="0"/>
              </w:rPr>
            </w:pPr>
            <w:r w:rsidRPr="0054564D">
              <w:rPr>
                <w:rFonts w:ascii="Times New Roman" w:hAnsi="Times New Roman" w:cs="Times New Roman"/>
              </w:rPr>
              <w:t>2018</w:t>
            </w:r>
          </w:p>
        </w:tc>
        <w:tc>
          <w:tcPr>
            <w:tcW w:w="1486"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jc w:val="center"/>
              <w:rPr>
                <w:rFonts w:ascii="Times New Roman" w:hAnsi="Times New Roman" w:cs="Times New Roman"/>
                <w:snapToGrid w:val="0"/>
              </w:rPr>
            </w:pPr>
            <w:r w:rsidRPr="0054564D">
              <w:rPr>
                <w:rFonts w:ascii="Times New Roman" w:hAnsi="Times New Roman" w:cs="Times New Roman"/>
              </w:rPr>
              <w:t>2019</w:t>
            </w:r>
          </w:p>
        </w:tc>
        <w:tc>
          <w:tcPr>
            <w:tcW w:w="1487"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jc w:val="center"/>
              <w:rPr>
                <w:rFonts w:ascii="Times New Roman" w:hAnsi="Times New Roman" w:cs="Times New Roman"/>
                <w:snapToGrid w:val="0"/>
              </w:rPr>
            </w:pPr>
            <w:r w:rsidRPr="0054564D">
              <w:rPr>
                <w:rFonts w:ascii="Times New Roman" w:hAnsi="Times New Roman" w:cs="Times New Roman"/>
                <w:snapToGrid w:val="0"/>
              </w:rPr>
              <w:t>2020</w:t>
            </w:r>
          </w:p>
        </w:tc>
      </w:tr>
      <w:tr w:rsidR="008F3AF5" w:rsidRPr="0054564D" w:rsidTr="00630798">
        <w:trPr>
          <w:trHeight w:val="313"/>
          <w:jc w:val="center"/>
        </w:trPr>
        <w:tc>
          <w:tcPr>
            <w:tcW w:w="4610"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rPr>
                <w:rFonts w:ascii="Times New Roman" w:hAnsi="Times New Roman" w:cs="Times New Roman"/>
                <w:snapToGrid w:val="0"/>
              </w:rPr>
            </w:pPr>
            <w:r w:rsidRPr="0054564D">
              <w:rPr>
                <w:rFonts w:ascii="Times New Roman" w:hAnsi="Times New Roman" w:cs="Times New Roman"/>
                <w:snapToGrid w:val="0"/>
              </w:rPr>
              <w:t>Территория г. Пыть-Ях</w:t>
            </w:r>
          </w:p>
        </w:tc>
        <w:tc>
          <w:tcPr>
            <w:tcW w:w="1486"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jc w:val="center"/>
              <w:rPr>
                <w:rFonts w:ascii="Times New Roman" w:hAnsi="Times New Roman" w:cs="Times New Roman"/>
                <w:snapToGrid w:val="0"/>
              </w:rPr>
            </w:pPr>
            <w:r w:rsidRPr="0054564D">
              <w:rPr>
                <w:rFonts w:ascii="Times New Roman" w:hAnsi="Times New Roman" w:cs="Times New Roman"/>
              </w:rPr>
              <w:t>7,23</w:t>
            </w:r>
          </w:p>
        </w:tc>
        <w:tc>
          <w:tcPr>
            <w:tcW w:w="1486"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jc w:val="center"/>
              <w:rPr>
                <w:rFonts w:ascii="Times New Roman" w:hAnsi="Times New Roman" w:cs="Times New Roman"/>
                <w:snapToGrid w:val="0"/>
              </w:rPr>
            </w:pPr>
            <w:r w:rsidRPr="0054564D">
              <w:rPr>
                <w:rFonts w:ascii="Times New Roman" w:hAnsi="Times New Roman" w:cs="Times New Roman"/>
              </w:rPr>
              <w:t>6,2</w:t>
            </w:r>
          </w:p>
        </w:tc>
        <w:tc>
          <w:tcPr>
            <w:tcW w:w="1487" w:type="dxa"/>
            <w:tcBorders>
              <w:top w:val="single" w:sz="6" w:space="0" w:color="auto"/>
              <w:left w:val="single" w:sz="6" w:space="0" w:color="auto"/>
              <w:bottom w:val="single" w:sz="6" w:space="0" w:color="auto"/>
              <w:right w:val="single" w:sz="6" w:space="0" w:color="auto"/>
            </w:tcBorders>
          </w:tcPr>
          <w:p w:rsidR="008F3AF5" w:rsidRPr="0054564D" w:rsidRDefault="008F3AF5" w:rsidP="0054564D">
            <w:pPr>
              <w:spacing w:before="20" w:after="0" w:line="240" w:lineRule="auto"/>
              <w:jc w:val="center"/>
              <w:rPr>
                <w:rFonts w:ascii="Times New Roman" w:hAnsi="Times New Roman" w:cs="Times New Roman"/>
                <w:snapToGrid w:val="0"/>
              </w:rPr>
            </w:pPr>
            <w:r w:rsidRPr="0054564D">
              <w:rPr>
                <w:rFonts w:ascii="Times New Roman" w:hAnsi="Times New Roman" w:cs="Times New Roman"/>
                <w:snapToGrid w:val="0"/>
              </w:rPr>
              <w:t>4,2</w:t>
            </w:r>
          </w:p>
        </w:tc>
      </w:tr>
    </w:tbl>
    <w:p w:rsidR="008F3AF5" w:rsidRPr="0054564D" w:rsidRDefault="008F3AF5" w:rsidP="0054564D">
      <w:pPr>
        <w:pStyle w:val="a5"/>
        <w:spacing w:before="120"/>
        <w:jc w:val="both"/>
        <w:rPr>
          <w:sz w:val="24"/>
          <w:szCs w:val="24"/>
          <w:highlight w:val="yellow"/>
          <w:lang w:val="ru-RU"/>
        </w:rPr>
      </w:pPr>
    </w:p>
    <w:p w:rsidR="008F3AF5" w:rsidRPr="0054564D" w:rsidRDefault="008F3AF5" w:rsidP="0054564D">
      <w:pPr>
        <w:pStyle w:val="a5"/>
        <w:spacing w:before="120"/>
        <w:jc w:val="both"/>
        <w:rPr>
          <w:sz w:val="24"/>
          <w:szCs w:val="24"/>
        </w:rPr>
      </w:pPr>
      <w:r w:rsidRPr="0054564D">
        <w:rPr>
          <w:sz w:val="24"/>
          <w:szCs w:val="24"/>
        </w:rPr>
        <w:t>Структура общей заболеваемости и ранговое место отдельных классов болезней.</w:t>
      </w:r>
    </w:p>
    <w:p w:rsidR="008F3AF5" w:rsidRPr="0054564D" w:rsidRDefault="008F3AF5" w:rsidP="0054564D">
      <w:pPr>
        <w:pStyle w:val="33"/>
        <w:spacing w:line="240" w:lineRule="auto"/>
        <w:ind w:firstLine="709"/>
        <w:rPr>
          <w:szCs w:val="24"/>
        </w:rPr>
      </w:pPr>
    </w:p>
    <w:p w:rsidR="008F3AF5" w:rsidRPr="0054564D" w:rsidRDefault="008F3AF5" w:rsidP="0054564D">
      <w:pPr>
        <w:pStyle w:val="33"/>
        <w:spacing w:line="240" w:lineRule="auto"/>
        <w:ind w:firstLine="709"/>
        <w:rPr>
          <w:szCs w:val="24"/>
        </w:rPr>
      </w:pPr>
      <w:r w:rsidRPr="0054564D">
        <w:rPr>
          <w:szCs w:val="24"/>
        </w:rPr>
        <w:t xml:space="preserve">В 2020году, по сравнению с 2019годом показатель общей заболеваемости на 1000  населения снизился на 3,6% , по сравнению с 2019годом, но выше на 1,5%, по сравнению с 2018годом.( таблица № 10). </w:t>
      </w:r>
    </w:p>
    <w:p w:rsidR="008F3AF5" w:rsidRPr="0054564D" w:rsidRDefault="008F3AF5" w:rsidP="0054564D">
      <w:pPr>
        <w:pStyle w:val="33"/>
        <w:spacing w:line="240" w:lineRule="auto"/>
        <w:ind w:firstLine="709"/>
        <w:jc w:val="right"/>
        <w:rPr>
          <w:sz w:val="22"/>
          <w:szCs w:val="22"/>
        </w:rPr>
      </w:pPr>
      <w:r w:rsidRPr="0054564D">
        <w:rPr>
          <w:sz w:val="22"/>
          <w:szCs w:val="22"/>
        </w:rPr>
        <w:t>Таблица № 10</w:t>
      </w:r>
    </w:p>
    <w:p w:rsidR="008F3AF5" w:rsidRPr="0054564D" w:rsidRDefault="008F3AF5" w:rsidP="0054564D">
      <w:pPr>
        <w:spacing w:after="0" w:line="240" w:lineRule="auto"/>
        <w:jc w:val="center"/>
        <w:rPr>
          <w:rFonts w:ascii="Times New Roman" w:hAnsi="Times New Roman" w:cs="Times New Roman"/>
          <w:b/>
          <w:snapToGrid w:val="0"/>
        </w:rPr>
      </w:pPr>
      <w:r w:rsidRPr="0054564D">
        <w:rPr>
          <w:rFonts w:ascii="Times New Roman" w:hAnsi="Times New Roman" w:cs="Times New Roman"/>
          <w:b/>
          <w:snapToGrid w:val="0"/>
        </w:rPr>
        <w:t>Динамика показателей общей заболеваемости (на 1000 населения) за 2018-2020 годы</w:t>
      </w:r>
    </w:p>
    <w:tbl>
      <w:tblPr>
        <w:tblW w:w="9214" w:type="dxa"/>
        <w:tblInd w:w="172" w:type="dxa"/>
        <w:tblLayout w:type="fixed"/>
        <w:tblCellMar>
          <w:left w:w="30" w:type="dxa"/>
          <w:right w:w="30" w:type="dxa"/>
        </w:tblCellMar>
        <w:tblLook w:val="0000" w:firstRow="0" w:lastRow="0" w:firstColumn="0" w:lastColumn="0" w:noHBand="0" w:noVBand="0"/>
      </w:tblPr>
      <w:tblGrid>
        <w:gridCol w:w="3951"/>
        <w:gridCol w:w="1738"/>
        <w:gridCol w:w="1738"/>
        <w:gridCol w:w="1787"/>
      </w:tblGrid>
      <w:tr w:rsidR="008F3AF5" w:rsidRPr="0054564D" w:rsidTr="00630798">
        <w:trPr>
          <w:trHeight w:val="266"/>
        </w:trPr>
        <w:tc>
          <w:tcPr>
            <w:tcW w:w="3951" w:type="dxa"/>
            <w:tcBorders>
              <w:top w:val="single" w:sz="2" w:space="0" w:color="000000"/>
              <w:left w:val="single" w:sz="2" w:space="0" w:color="000000"/>
              <w:bottom w:val="single" w:sz="2" w:space="0" w:color="000000"/>
              <w:right w:val="single" w:sz="2" w:space="0" w:color="000000"/>
            </w:tcBorders>
          </w:tcPr>
          <w:p w:rsidR="008F3AF5" w:rsidRPr="0054564D" w:rsidRDefault="008F3AF5" w:rsidP="0054564D">
            <w:pPr>
              <w:spacing w:before="20" w:after="0" w:line="240" w:lineRule="auto"/>
              <w:ind w:left="57"/>
              <w:rPr>
                <w:rFonts w:ascii="Times New Roman" w:hAnsi="Times New Roman" w:cs="Times New Roman"/>
                <w:snapToGrid w:val="0"/>
              </w:rPr>
            </w:pPr>
            <w:r w:rsidRPr="0054564D">
              <w:rPr>
                <w:rFonts w:ascii="Times New Roman" w:hAnsi="Times New Roman" w:cs="Times New Roman"/>
                <w:snapToGrid w:val="0"/>
              </w:rPr>
              <w:t>Наименование структуры</w:t>
            </w:r>
          </w:p>
        </w:tc>
        <w:tc>
          <w:tcPr>
            <w:tcW w:w="1738" w:type="dxa"/>
            <w:tcBorders>
              <w:top w:val="single" w:sz="2" w:space="0" w:color="000000"/>
              <w:left w:val="single" w:sz="2" w:space="0" w:color="000000"/>
              <w:bottom w:val="single" w:sz="2" w:space="0" w:color="000000"/>
              <w:right w:val="single" w:sz="2" w:space="0" w:color="000000"/>
            </w:tcBorders>
          </w:tcPr>
          <w:p w:rsidR="008F3AF5" w:rsidRPr="0054564D" w:rsidRDefault="008F3AF5" w:rsidP="0054564D">
            <w:pPr>
              <w:spacing w:before="20" w:after="0" w:line="240" w:lineRule="auto"/>
              <w:ind w:left="57"/>
              <w:rPr>
                <w:rFonts w:ascii="Times New Roman" w:hAnsi="Times New Roman" w:cs="Times New Roman"/>
                <w:snapToGrid w:val="0"/>
              </w:rPr>
            </w:pPr>
            <w:r w:rsidRPr="0054564D">
              <w:rPr>
                <w:rFonts w:ascii="Times New Roman" w:hAnsi="Times New Roman" w:cs="Times New Roman"/>
              </w:rPr>
              <w:t>2018</w:t>
            </w:r>
          </w:p>
        </w:tc>
        <w:tc>
          <w:tcPr>
            <w:tcW w:w="1738" w:type="dxa"/>
            <w:tcBorders>
              <w:top w:val="single" w:sz="2" w:space="0" w:color="000000"/>
              <w:left w:val="single" w:sz="2" w:space="0" w:color="000000"/>
              <w:bottom w:val="single" w:sz="2" w:space="0" w:color="000000"/>
              <w:right w:val="single" w:sz="2" w:space="0" w:color="000000"/>
            </w:tcBorders>
          </w:tcPr>
          <w:p w:rsidR="008F3AF5" w:rsidRPr="0054564D" w:rsidRDefault="008F3AF5" w:rsidP="0054564D">
            <w:pPr>
              <w:spacing w:before="20" w:after="0" w:line="240" w:lineRule="auto"/>
              <w:ind w:left="57"/>
              <w:rPr>
                <w:rFonts w:ascii="Times New Roman" w:hAnsi="Times New Roman" w:cs="Times New Roman"/>
                <w:snapToGrid w:val="0"/>
              </w:rPr>
            </w:pPr>
            <w:r w:rsidRPr="0054564D">
              <w:rPr>
                <w:rFonts w:ascii="Times New Roman" w:hAnsi="Times New Roman" w:cs="Times New Roman"/>
              </w:rPr>
              <w:t>2019</w:t>
            </w:r>
          </w:p>
        </w:tc>
        <w:tc>
          <w:tcPr>
            <w:tcW w:w="1787" w:type="dxa"/>
            <w:tcBorders>
              <w:top w:val="single" w:sz="2" w:space="0" w:color="000000"/>
              <w:left w:val="single" w:sz="2" w:space="0" w:color="000000"/>
              <w:bottom w:val="single" w:sz="2" w:space="0" w:color="000000"/>
              <w:right w:val="single" w:sz="2" w:space="0" w:color="000000"/>
            </w:tcBorders>
          </w:tcPr>
          <w:p w:rsidR="008F3AF5" w:rsidRPr="0054564D" w:rsidRDefault="008F3AF5" w:rsidP="0054564D">
            <w:pPr>
              <w:spacing w:before="20" w:after="0" w:line="240" w:lineRule="auto"/>
              <w:ind w:left="57"/>
              <w:rPr>
                <w:rFonts w:ascii="Times New Roman" w:hAnsi="Times New Roman" w:cs="Times New Roman"/>
                <w:snapToGrid w:val="0"/>
              </w:rPr>
            </w:pPr>
            <w:r w:rsidRPr="0054564D">
              <w:rPr>
                <w:rFonts w:ascii="Times New Roman" w:hAnsi="Times New Roman" w:cs="Times New Roman"/>
                <w:snapToGrid w:val="0"/>
              </w:rPr>
              <w:t>2020</w:t>
            </w:r>
          </w:p>
        </w:tc>
      </w:tr>
      <w:tr w:rsidR="008F3AF5" w:rsidRPr="0054564D" w:rsidTr="00630798">
        <w:trPr>
          <w:trHeight w:val="233"/>
        </w:trPr>
        <w:tc>
          <w:tcPr>
            <w:tcW w:w="3951" w:type="dxa"/>
            <w:tcBorders>
              <w:top w:val="single" w:sz="2" w:space="0" w:color="000000"/>
              <w:left w:val="single" w:sz="2" w:space="0" w:color="000000"/>
              <w:bottom w:val="single" w:sz="2" w:space="0" w:color="000000"/>
              <w:right w:val="single" w:sz="2" w:space="0" w:color="000000"/>
            </w:tcBorders>
          </w:tcPr>
          <w:p w:rsidR="008F3AF5" w:rsidRPr="0054564D" w:rsidRDefault="008F3AF5" w:rsidP="0054564D">
            <w:pPr>
              <w:spacing w:before="20" w:after="0" w:line="240" w:lineRule="auto"/>
              <w:ind w:left="57"/>
              <w:rPr>
                <w:rFonts w:ascii="Times New Roman" w:hAnsi="Times New Roman" w:cs="Times New Roman"/>
                <w:snapToGrid w:val="0"/>
              </w:rPr>
            </w:pPr>
            <w:r w:rsidRPr="0054564D">
              <w:rPr>
                <w:rFonts w:ascii="Times New Roman" w:hAnsi="Times New Roman" w:cs="Times New Roman"/>
                <w:snapToGrid w:val="0"/>
              </w:rPr>
              <w:t xml:space="preserve">Всего </w:t>
            </w:r>
            <w:proofErr w:type="gramStart"/>
            <w:r w:rsidRPr="0054564D">
              <w:rPr>
                <w:rFonts w:ascii="Times New Roman" w:hAnsi="Times New Roman" w:cs="Times New Roman"/>
                <w:snapToGrid w:val="0"/>
              </w:rPr>
              <w:t>населения  в</w:t>
            </w:r>
            <w:proofErr w:type="gramEnd"/>
            <w:r w:rsidRPr="0054564D">
              <w:rPr>
                <w:rFonts w:ascii="Times New Roman" w:hAnsi="Times New Roman" w:cs="Times New Roman"/>
                <w:snapToGrid w:val="0"/>
              </w:rPr>
              <w:t xml:space="preserve"> т. ч.</w:t>
            </w:r>
          </w:p>
        </w:tc>
        <w:tc>
          <w:tcPr>
            <w:tcW w:w="1738" w:type="dxa"/>
            <w:tcBorders>
              <w:top w:val="single" w:sz="2" w:space="0" w:color="000000"/>
              <w:left w:val="single" w:sz="2" w:space="0" w:color="000000"/>
              <w:bottom w:val="single" w:sz="2" w:space="0" w:color="000000"/>
              <w:right w:val="single" w:sz="2" w:space="0" w:color="000000"/>
            </w:tcBorders>
          </w:tcPr>
          <w:p w:rsidR="008F3AF5" w:rsidRPr="0054564D" w:rsidRDefault="008F3AF5" w:rsidP="0054564D">
            <w:pPr>
              <w:spacing w:before="20" w:after="0" w:line="240" w:lineRule="auto"/>
              <w:ind w:left="57"/>
              <w:rPr>
                <w:rFonts w:ascii="Times New Roman" w:hAnsi="Times New Roman" w:cs="Times New Roman"/>
                <w:color w:val="000000"/>
              </w:rPr>
            </w:pPr>
            <w:r w:rsidRPr="0054564D">
              <w:rPr>
                <w:rFonts w:ascii="Times New Roman" w:hAnsi="Times New Roman" w:cs="Times New Roman"/>
              </w:rPr>
              <w:t>2022,66</w:t>
            </w:r>
          </w:p>
        </w:tc>
        <w:tc>
          <w:tcPr>
            <w:tcW w:w="1738" w:type="dxa"/>
            <w:tcBorders>
              <w:top w:val="single" w:sz="2" w:space="0" w:color="000000"/>
              <w:left w:val="single" w:sz="2" w:space="0" w:color="000000"/>
              <w:bottom w:val="single" w:sz="2" w:space="0" w:color="000000"/>
              <w:right w:val="single" w:sz="2" w:space="0" w:color="000000"/>
            </w:tcBorders>
          </w:tcPr>
          <w:p w:rsidR="008F3AF5" w:rsidRPr="0054564D" w:rsidRDefault="008F3AF5" w:rsidP="0054564D">
            <w:pPr>
              <w:spacing w:before="20" w:after="0" w:line="240" w:lineRule="auto"/>
              <w:ind w:left="57"/>
              <w:rPr>
                <w:rFonts w:ascii="Times New Roman" w:hAnsi="Times New Roman" w:cs="Times New Roman"/>
                <w:color w:val="000000"/>
              </w:rPr>
            </w:pPr>
            <w:r w:rsidRPr="0054564D">
              <w:rPr>
                <w:rFonts w:ascii="Times New Roman" w:hAnsi="Times New Roman" w:cs="Times New Roman"/>
              </w:rPr>
              <w:t>2130,87</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color w:val="000000"/>
              </w:rPr>
              <w:t>2053,36</w:t>
            </w:r>
          </w:p>
        </w:tc>
      </w:tr>
      <w:tr w:rsidR="008F3AF5" w:rsidRPr="0054564D" w:rsidTr="00630798">
        <w:trPr>
          <w:trHeight w:val="223"/>
        </w:trPr>
        <w:tc>
          <w:tcPr>
            <w:tcW w:w="3951" w:type="dxa"/>
            <w:tcBorders>
              <w:top w:val="single" w:sz="2" w:space="0" w:color="000000"/>
              <w:left w:val="single" w:sz="2" w:space="0" w:color="000000"/>
              <w:bottom w:val="single" w:sz="2" w:space="0" w:color="000000"/>
              <w:right w:val="single" w:sz="2" w:space="0" w:color="000000"/>
            </w:tcBorders>
          </w:tcPr>
          <w:p w:rsidR="008F3AF5" w:rsidRPr="0054564D" w:rsidRDefault="008F3AF5" w:rsidP="0054564D">
            <w:pPr>
              <w:spacing w:before="20" w:after="0" w:line="240" w:lineRule="auto"/>
              <w:ind w:left="57"/>
              <w:rPr>
                <w:rFonts w:ascii="Times New Roman" w:hAnsi="Times New Roman" w:cs="Times New Roman"/>
                <w:snapToGrid w:val="0"/>
              </w:rPr>
            </w:pPr>
            <w:r w:rsidRPr="0054564D">
              <w:rPr>
                <w:rFonts w:ascii="Times New Roman" w:hAnsi="Times New Roman" w:cs="Times New Roman"/>
                <w:snapToGrid w:val="0"/>
              </w:rPr>
              <w:t>Дети (0-14)</w:t>
            </w:r>
          </w:p>
        </w:tc>
        <w:tc>
          <w:tcPr>
            <w:tcW w:w="1738" w:type="dxa"/>
            <w:tcBorders>
              <w:top w:val="single" w:sz="2" w:space="0" w:color="000000"/>
              <w:left w:val="single" w:sz="2" w:space="0" w:color="000000"/>
              <w:bottom w:val="single" w:sz="2" w:space="0" w:color="000000"/>
              <w:right w:val="single" w:sz="2" w:space="0" w:color="000000"/>
            </w:tcBorders>
          </w:tcPr>
          <w:p w:rsidR="008F3AF5" w:rsidRPr="0054564D" w:rsidRDefault="008F3AF5" w:rsidP="0054564D">
            <w:pPr>
              <w:spacing w:before="20" w:after="0" w:line="240" w:lineRule="auto"/>
              <w:ind w:left="57"/>
              <w:rPr>
                <w:rFonts w:ascii="Times New Roman" w:hAnsi="Times New Roman" w:cs="Times New Roman"/>
                <w:color w:val="000000"/>
              </w:rPr>
            </w:pPr>
            <w:r w:rsidRPr="0054564D">
              <w:rPr>
                <w:rFonts w:ascii="Times New Roman" w:hAnsi="Times New Roman" w:cs="Times New Roman"/>
              </w:rPr>
              <w:t>2363,53</w:t>
            </w:r>
          </w:p>
        </w:tc>
        <w:tc>
          <w:tcPr>
            <w:tcW w:w="1738" w:type="dxa"/>
            <w:tcBorders>
              <w:top w:val="single" w:sz="2" w:space="0" w:color="000000"/>
              <w:left w:val="single" w:sz="2" w:space="0" w:color="000000"/>
              <w:bottom w:val="single" w:sz="2" w:space="0" w:color="000000"/>
              <w:right w:val="single" w:sz="2" w:space="0" w:color="000000"/>
            </w:tcBorders>
          </w:tcPr>
          <w:p w:rsidR="008F3AF5" w:rsidRPr="0054564D" w:rsidRDefault="008F3AF5" w:rsidP="0054564D">
            <w:pPr>
              <w:spacing w:before="20" w:after="0" w:line="240" w:lineRule="auto"/>
              <w:ind w:left="57"/>
              <w:rPr>
                <w:rFonts w:ascii="Times New Roman" w:hAnsi="Times New Roman" w:cs="Times New Roman"/>
                <w:color w:val="000000"/>
              </w:rPr>
            </w:pPr>
            <w:r w:rsidRPr="0054564D">
              <w:rPr>
                <w:rFonts w:ascii="Times New Roman" w:hAnsi="Times New Roman" w:cs="Times New Roman"/>
              </w:rPr>
              <w:t>2296,58</w:t>
            </w:r>
          </w:p>
        </w:tc>
        <w:tc>
          <w:tcPr>
            <w:tcW w:w="1787"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color w:val="000000"/>
              </w:rPr>
              <w:t>2222,67</w:t>
            </w:r>
          </w:p>
        </w:tc>
      </w:tr>
      <w:tr w:rsidR="008F3AF5" w:rsidRPr="0054564D" w:rsidTr="00630798">
        <w:trPr>
          <w:trHeight w:val="212"/>
        </w:trPr>
        <w:tc>
          <w:tcPr>
            <w:tcW w:w="3951" w:type="dxa"/>
            <w:tcBorders>
              <w:top w:val="single" w:sz="2" w:space="0" w:color="000000"/>
              <w:left w:val="single" w:sz="2" w:space="0" w:color="000000"/>
              <w:bottom w:val="single" w:sz="2" w:space="0" w:color="000000"/>
              <w:right w:val="single" w:sz="2" w:space="0" w:color="000000"/>
            </w:tcBorders>
          </w:tcPr>
          <w:p w:rsidR="008F3AF5" w:rsidRPr="0054564D" w:rsidRDefault="008F3AF5" w:rsidP="0054564D">
            <w:pPr>
              <w:spacing w:before="20" w:after="0" w:line="240" w:lineRule="auto"/>
              <w:ind w:left="57"/>
              <w:rPr>
                <w:rFonts w:ascii="Times New Roman" w:hAnsi="Times New Roman" w:cs="Times New Roman"/>
                <w:snapToGrid w:val="0"/>
              </w:rPr>
            </w:pPr>
            <w:r w:rsidRPr="0054564D">
              <w:rPr>
                <w:rFonts w:ascii="Times New Roman" w:hAnsi="Times New Roman" w:cs="Times New Roman"/>
                <w:snapToGrid w:val="0"/>
              </w:rPr>
              <w:t>Подростки</w:t>
            </w:r>
          </w:p>
        </w:tc>
        <w:tc>
          <w:tcPr>
            <w:tcW w:w="1738" w:type="dxa"/>
            <w:tcBorders>
              <w:top w:val="single" w:sz="2" w:space="0" w:color="000000"/>
              <w:left w:val="single" w:sz="2" w:space="0" w:color="000000"/>
              <w:bottom w:val="single" w:sz="2" w:space="0" w:color="000000"/>
              <w:right w:val="single" w:sz="2" w:space="0" w:color="000000"/>
            </w:tcBorders>
          </w:tcPr>
          <w:p w:rsidR="008F3AF5" w:rsidRPr="0054564D" w:rsidRDefault="008F3AF5" w:rsidP="0054564D">
            <w:pPr>
              <w:spacing w:before="20" w:after="0" w:line="240" w:lineRule="auto"/>
              <w:ind w:left="57"/>
              <w:rPr>
                <w:rFonts w:ascii="Times New Roman" w:hAnsi="Times New Roman" w:cs="Times New Roman"/>
                <w:color w:val="000000"/>
              </w:rPr>
            </w:pPr>
            <w:r w:rsidRPr="0054564D">
              <w:rPr>
                <w:rFonts w:ascii="Times New Roman" w:hAnsi="Times New Roman" w:cs="Times New Roman"/>
              </w:rPr>
              <w:t>2277,78</w:t>
            </w:r>
          </w:p>
        </w:tc>
        <w:tc>
          <w:tcPr>
            <w:tcW w:w="1738" w:type="dxa"/>
            <w:tcBorders>
              <w:top w:val="single" w:sz="2" w:space="0" w:color="000000"/>
              <w:left w:val="single" w:sz="2" w:space="0" w:color="000000"/>
              <w:bottom w:val="single" w:sz="2" w:space="0" w:color="000000"/>
              <w:right w:val="single" w:sz="2" w:space="0" w:color="000000"/>
            </w:tcBorders>
          </w:tcPr>
          <w:p w:rsidR="008F3AF5" w:rsidRPr="0054564D" w:rsidRDefault="008F3AF5" w:rsidP="0054564D">
            <w:pPr>
              <w:spacing w:before="20" w:after="0" w:line="240" w:lineRule="auto"/>
              <w:ind w:left="57"/>
              <w:rPr>
                <w:rFonts w:ascii="Times New Roman" w:hAnsi="Times New Roman" w:cs="Times New Roman"/>
                <w:color w:val="000000"/>
              </w:rPr>
            </w:pPr>
            <w:r w:rsidRPr="0054564D">
              <w:rPr>
                <w:rFonts w:ascii="Times New Roman" w:hAnsi="Times New Roman" w:cs="Times New Roman"/>
              </w:rPr>
              <w:t>2158,36</w:t>
            </w:r>
          </w:p>
        </w:tc>
        <w:tc>
          <w:tcPr>
            <w:tcW w:w="1787"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color w:val="000000"/>
              </w:rPr>
              <w:t>2577,60</w:t>
            </w:r>
          </w:p>
        </w:tc>
      </w:tr>
      <w:tr w:rsidR="008F3AF5" w:rsidRPr="0054564D" w:rsidTr="00630798">
        <w:trPr>
          <w:trHeight w:val="187"/>
        </w:trPr>
        <w:tc>
          <w:tcPr>
            <w:tcW w:w="3951" w:type="dxa"/>
            <w:tcBorders>
              <w:top w:val="single" w:sz="2" w:space="0" w:color="000000"/>
              <w:left w:val="single" w:sz="2" w:space="0" w:color="000000"/>
              <w:bottom w:val="single" w:sz="2" w:space="0" w:color="000000"/>
              <w:right w:val="single" w:sz="2" w:space="0" w:color="000000"/>
            </w:tcBorders>
          </w:tcPr>
          <w:p w:rsidR="008F3AF5" w:rsidRPr="0054564D" w:rsidRDefault="008F3AF5" w:rsidP="0054564D">
            <w:pPr>
              <w:spacing w:before="20" w:after="0" w:line="240" w:lineRule="auto"/>
              <w:ind w:left="57"/>
              <w:rPr>
                <w:rFonts w:ascii="Times New Roman" w:hAnsi="Times New Roman" w:cs="Times New Roman"/>
                <w:snapToGrid w:val="0"/>
              </w:rPr>
            </w:pPr>
            <w:r w:rsidRPr="0054564D">
              <w:rPr>
                <w:rFonts w:ascii="Times New Roman" w:hAnsi="Times New Roman" w:cs="Times New Roman"/>
                <w:snapToGrid w:val="0"/>
              </w:rPr>
              <w:t>Взрослые</w:t>
            </w:r>
          </w:p>
        </w:tc>
        <w:tc>
          <w:tcPr>
            <w:tcW w:w="1738" w:type="dxa"/>
            <w:tcBorders>
              <w:top w:val="single" w:sz="2" w:space="0" w:color="000000"/>
              <w:left w:val="single" w:sz="2" w:space="0" w:color="000000"/>
              <w:bottom w:val="single" w:sz="2" w:space="0" w:color="000000"/>
              <w:right w:val="single" w:sz="2" w:space="0" w:color="000000"/>
            </w:tcBorders>
          </w:tcPr>
          <w:p w:rsidR="008F3AF5" w:rsidRPr="0054564D" w:rsidRDefault="008F3AF5" w:rsidP="0054564D">
            <w:pPr>
              <w:spacing w:before="20" w:after="0" w:line="240" w:lineRule="auto"/>
              <w:ind w:left="57"/>
              <w:rPr>
                <w:rFonts w:ascii="Times New Roman" w:hAnsi="Times New Roman" w:cs="Times New Roman"/>
                <w:color w:val="000000"/>
              </w:rPr>
            </w:pPr>
            <w:r w:rsidRPr="0054564D">
              <w:rPr>
                <w:rFonts w:ascii="Times New Roman" w:hAnsi="Times New Roman" w:cs="Times New Roman"/>
              </w:rPr>
              <w:t>1918,75</w:t>
            </w:r>
          </w:p>
        </w:tc>
        <w:tc>
          <w:tcPr>
            <w:tcW w:w="1738" w:type="dxa"/>
            <w:tcBorders>
              <w:top w:val="single" w:sz="2" w:space="0" w:color="000000"/>
              <w:left w:val="single" w:sz="2" w:space="0" w:color="000000"/>
              <w:bottom w:val="single" w:sz="2" w:space="0" w:color="000000"/>
              <w:right w:val="single" w:sz="2" w:space="0" w:color="000000"/>
            </w:tcBorders>
          </w:tcPr>
          <w:p w:rsidR="008F3AF5" w:rsidRPr="0054564D" w:rsidRDefault="008F3AF5" w:rsidP="0054564D">
            <w:pPr>
              <w:spacing w:before="20" w:after="0" w:line="240" w:lineRule="auto"/>
              <w:ind w:left="57"/>
              <w:rPr>
                <w:rFonts w:ascii="Times New Roman" w:hAnsi="Times New Roman" w:cs="Times New Roman"/>
                <w:color w:val="000000"/>
              </w:rPr>
            </w:pPr>
            <w:r w:rsidRPr="0054564D">
              <w:rPr>
                <w:rFonts w:ascii="Times New Roman" w:hAnsi="Times New Roman" w:cs="Times New Roman"/>
              </w:rPr>
              <w:t>2083,06</w:t>
            </w:r>
          </w:p>
        </w:tc>
        <w:tc>
          <w:tcPr>
            <w:tcW w:w="1787"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color w:val="000000"/>
              </w:rPr>
              <w:t>1986,54</w:t>
            </w:r>
          </w:p>
        </w:tc>
      </w:tr>
    </w:tbl>
    <w:p w:rsidR="008F3AF5" w:rsidRPr="0054564D" w:rsidRDefault="008F3AF5" w:rsidP="0054564D">
      <w:pPr>
        <w:spacing w:after="0" w:line="240" w:lineRule="auto"/>
        <w:rPr>
          <w:rFonts w:ascii="Times New Roman" w:hAnsi="Times New Roman" w:cs="Times New Roman"/>
          <w:vanish/>
        </w:rPr>
      </w:pPr>
    </w:p>
    <w:tbl>
      <w:tblPr>
        <w:tblW w:w="42" w:type="dxa"/>
        <w:tblInd w:w="-15" w:type="dxa"/>
        <w:tblCellMar>
          <w:left w:w="0" w:type="dxa"/>
          <w:right w:w="0" w:type="dxa"/>
        </w:tblCellMar>
        <w:tblLook w:val="04A0" w:firstRow="1" w:lastRow="0" w:firstColumn="1" w:lastColumn="0" w:noHBand="0" w:noVBand="1"/>
      </w:tblPr>
      <w:tblGrid>
        <w:gridCol w:w="21"/>
        <w:gridCol w:w="21"/>
      </w:tblGrid>
      <w:tr w:rsidR="008F3AF5" w:rsidRPr="0054564D" w:rsidTr="00630798">
        <w:trPr>
          <w:trHeight w:val="300"/>
        </w:trPr>
        <w:tc>
          <w:tcPr>
            <w:tcW w:w="0" w:type="auto"/>
          </w:tcPr>
          <w:p w:rsidR="008F3AF5" w:rsidRPr="0054564D" w:rsidRDefault="008F3AF5" w:rsidP="0054564D">
            <w:pPr>
              <w:spacing w:after="0" w:line="240" w:lineRule="auto"/>
              <w:rPr>
                <w:rFonts w:ascii="Times New Roman" w:hAnsi="Times New Roman" w:cs="Times New Roman"/>
              </w:rPr>
            </w:pPr>
          </w:p>
        </w:tc>
        <w:tc>
          <w:tcPr>
            <w:tcW w:w="0" w:type="auto"/>
          </w:tcPr>
          <w:p w:rsidR="008F3AF5" w:rsidRPr="0054564D" w:rsidRDefault="008F3AF5" w:rsidP="0054564D">
            <w:pPr>
              <w:spacing w:after="0" w:line="240" w:lineRule="auto"/>
              <w:rPr>
                <w:rFonts w:ascii="Times New Roman" w:hAnsi="Times New Roman" w:cs="Times New Roman"/>
              </w:rPr>
            </w:pPr>
          </w:p>
        </w:tc>
      </w:tr>
    </w:tbl>
    <w:p w:rsidR="008F3AF5" w:rsidRPr="0054564D" w:rsidRDefault="008F3AF5" w:rsidP="0054564D">
      <w:pPr>
        <w:pStyle w:val="33"/>
        <w:spacing w:line="240" w:lineRule="auto"/>
        <w:ind w:firstLine="709"/>
        <w:rPr>
          <w:szCs w:val="24"/>
        </w:rPr>
      </w:pPr>
      <w:r w:rsidRPr="0054564D">
        <w:rPr>
          <w:szCs w:val="24"/>
        </w:rPr>
        <w:t>На протяжении последних 2-х лет( период2019-2018г.г.) первом месте по уровню заболеваемости определялось в возрастной группе дети(0-14лет)- затем подростки(15-17лет)  и взрослые. В 2020году,  регистрируется  повышение показателя общей заболеваемости в возрастной группе подростки, по сравнению с 2019годом на 19,4% - впервые  на первом месте по показателям общей заболеваемости  определено в возрастной группе подростки, затем дети до 14 лет и взрослые.</w:t>
      </w:r>
    </w:p>
    <w:p w:rsidR="008F3AF5" w:rsidRPr="0054564D" w:rsidRDefault="008F3AF5" w:rsidP="0054564D">
      <w:pPr>
        <w:pStyle w:val="33"/>
        <w:spacing w:line="240" w:lineRule="auto"/>
        <w:ind w:firstLine="709"/>
        <w:rPr>
          <w:szCs w:val="24"/>
        </w:rPr>
      </w:pPr>
      <w:r w:rsidRPr="0054564D">
        <w:rPr>
          <w:szCs w:val="24"/>
        </w:rPr>
        <w:t>В 2020году наблюдается  снижение уровня общей заболеваемости  на 1000  населения в группах:</w:t>
      </w:r>
    </w:p>
    <w:p w:rsidR="008F3AF5" w:rsidRPr="0054564D" w:rsidRDefault="008F3AF5" w:rsidP="0054564D">
      <w:pPr>
        <w:pStyle w:val="33"/>
        <w:spacing w:line="240" w:lineRule="auto"/>
        <w:ind w:firstLine="709"/>
        <w:rPr>
          <w:szCs w:val="24"/>
        </w:rPr>
      </w:pPr>
      <w:r w:rsidRPr="0054564D">
        <w:rPr>
          <w:szCs w:val="24"/>
        </w:rPr>
        <w:t>- незначительное снижение  показателей общей заболеваемости в возрастной группе  дети 0-14 лет на 3,3 % по сравнению с 2019годом и на 6%, по сравнению в 2018годом;</w:t>
      </w:r>
    </w:p>
    <w:p w:rsidR="008F3AF5" w:rsidRPr="0054564D" w:rsidRDefault="008F3AF5" w:rsidP="0054564D">
      <w:pPr>
        <w:pStyle w:val="33"/>
        <w:spacing w:line="240" w:lineRule="auto"/>
        <w:ind w:firstLine="709"/>
        <w:rPr>
          <w:szCs w:val="24"/>
        </w:rPr>
      </w:pPr>
      <w:r w:rsidRPr="0054564D">
        <w:rPr>
          <w:szCs w:val="24"/>
        </w:rPr>
        <w:t>- взрослые ( 18 лет и старше) на 4,6% по сравнению с 2019годом  и незначительный рост -на 0,2% по сравнению в 2018годом (см. таблица № 10, рисунок 7).</w:t>
      </w:r>
    </w:p>
    <w:p w:rsidR="008F3AF5" w:rsidRPr="0054564D" w:rsidRDefault="008F3AF5" w:rsidP="0054564D">
      <w:pPr>
        <w:spacing w:after="0" w:line="240" w:lineRule="auto"/>
        <w:jc w:val="center"/>
        <w:rPr>
          <w:rFonts w:ascii="Times New Roman" w:hAnsi="Times New Roman" w:cs="Times New Roman"/>
        </w:rPr>
      </w:pPr>
      <w:r w:rsidRPr="0054564D">
        <w:rPr>
          <w:rFonts w:ascii="Times New Roman" w:hAnsi="Times New Roman" w:cs="Times New Roman"/>
          <w:noProof/>
          <w:sz w:val="24"/>
          <w:szCs w:val="24"/>
          <w:lang w:eastAsia="ru-RU"/>
        </w:rPr>
        <w:drawing>
          <wp:inline distT="0" distB="0" distL="0" distR="0">
            <wp:extent cx="5962650" cy="2333625"/>
            <wp:effectExtent l="0" t="0" r="0" b="0"/>
            <wp:docPr id="15"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54564D">
        <w:rPr>
          <w:rFonts w:ascii="Times New Roman" w:hAnsi="Times New Roman" w:cs="Times New Roman"/>
        </w:rPr>
        <w:t xml:space="preserve">Рис. №7. Динамика общего уровня заболеваемости населения в г. Пыть-Ях по </w:t>
      </w:r>
      <w:proofErr w:type="gramStart"/>
      <w:r w:rsidRPr="0054564D">
        <w:rPr>
          <w:rFonts w:ascii="Times New Roman" w:hAnsi="Times New Roman" w:cs="Times New Roman"/>
        </w:rPr>
        <w:t>возрастным  группам</w:t>
      </w:r>
      <w:proofErr w:type="gramEnd"/>
      <w:r w:rsidRPr="0054564D">
        <w:rPr>
          <w:rFonts w:ascii="Times New Roman" w:hAnsi="Times New Roman" w:cs="Times New Roman"/>
        </w:rPr>
        <w:t>.</w:t>
      </w:r>
    </w:p>
    <w:p w:rsidR="008F3AF5" w:rsidRPr="0054564D" w:rsidRDefault="008F3AF5" w:rsidP="0054564D">
      <w:pPr>
        <w:spacing w:after="0" w:line="240" w:lineRule="auto"/>
        <w:ind w:firstLine="709"/>
        <w:jc w:val="both"/>
        <w:rPr>
          <w:rFonts w:ascii="Times New Roman" w:hAnsi="Times New Roman" w:cs="Times New Roman"/>
          <w:sz w:val="24"/>
          <w:szCs w:val="24"/>
          <w:highlight w:val="yellow"/>
        </w:rPr>
      </w:pPr>
    </w:p>
    <w:p w:rsidR="008F3AF5" w:rsidRPr="0054564D" w:rsidRDefault="008F3AF5" w:rsidP="0054564D">
      <w:pPr>
        <w:spacing w:after="0" w:line="240" w:lineRule="auto"/>
        <w:jc w:val="both"/>
        <w:rPr>
          <w:rFonts w:ascii="Times New Roman" w:hAnsi="Times New Roman" w:cs="Times New Roman"/>
        </w:rPr>
      </w:pPr>
      <w:r w:rsidRPr="0054564D">
        <w:rPr>
          <w:rFonts w:ascii="Times New Roman" w:hAnsi="Times New Roman" w:cs="Times New Roman"/>
          <w:sz w:val="24"/>
          <w:szCs w:val="24"/>
        </w:rPr>
        <w:t xml:space="preserve">     Самый высокий уровень заболеваемости, превышающий показатели на протяжении 3 </w:t>
      </w:r>
      <w:proofErr w:type="gramStart"/>
      <w:r w:rsidRPr="0054564D">
        <w:rPr>
          <w:rFonts w:ascii="Times New Roman" w:hAnsi="Times New Roman" w:cs="Times New Roman"/>
          <w:sz w:val="24"/>
          <w:szCs w:val="24"/>
        </w:rPr>
        <w:t>лет  по</w:t>
      </w:r>
      <w:proofErr w:type="gramEnd"/>
      <w:r w:rsidRPr="0054564D">
        <w:rPr>
          <w:rFonts w:ascii="Times New Roman" w:hAnsi="Times New Roman" w:cs="Times New Roman"/>
          <w:sz w:val="24"/>
          <w:szCs w:val="24"/>
        </w:rPr>
        <w:t xml:space="preserve"> другим классам болезней, по-прежнему зарегистрирован по классу болезни органов дыхания. На втором месте в 2020</w:t>
      </w:r>
      <w:proofErr w:type="gramStart"/>
      <w:r w:rsidRPr="0054564D">
        <w:rPr>
          <w:rFonts w:ascii="Times New Roman" w:hAnsi="Times New Roman" w:cs="Times New Roman"/>
          <w:sz w:val="24"/>
          <w:szCs w:val="24"/>
        </w:rPr>
        <w:t>году,  как</w:t>
      </w:r>
      <w:proofErr w:type="gramEnd"/>
      <w:r w:rsidRPr="0054564D">
        <w:rPr>
          <w:rFonts w:ascii="Times New Roman" w:hAnsi="Times New Roman" w:cs="Times New Roman"/>
          <w:sz w:val="24"/>
          <w:szCs w:val="24"/>
        </w:rPr>
        <w:t xml:space="preserve"> и в 2018-2019 гг., стоит показатель заболеваемости по классу болезни мочеполовой системы. На третьем месте в 2020 году показатель заболеваемости по классу б</w:t>
      </w:r>
      <w:r w:rsidRPr="0054564D">
        <w:rPr>
          <w:rFonts w:ascii="Times New Roman" w:hAnsi="Times New Roman" w:cs="Times New Roman"/>
        </w:rPr>
        <w:t xml:space="preserve">олезни костно-мышечной системы и соединительной </w:t>
      </w:r>
      <w:proofErr w:type="gramStart"/>
      <w:r w:rsidRPr="0054564D">
        <w:rPr>
          <w:rFonts w:ascii="Times New Roman" w:hAnsi="Times New Roman" w:cs="Times New Roman"/>
        </w:rPr>
        <w:t>ткани</w:t>
      </w:r>
      <w:r w:rsidRPr="0054564D">
        <w:rPr>
          <w:rFonts w:ascii="Times New Roman" w:hAnsi="Times New Roman" w:cs="Times New Roman"/>
          <w:sz w:val="24"/>
          <w:szCs w:val="24"/>
        </w:rPr>
        <w:t xml:space="preserve"> ,</w:t>
      </w:r>
      <w:proofErr w:type="gramEnd"/>
      <w:r w:rsidRPr="0054564D">
        <w:rPr>
          <w:rFonts w:ascii="Times New Roman" w:hAnsi="Times New Roman" w:cs="Times New Roman"/>
          <w:sz w:val="24"/>
          <w:szCs w:val="24"/>
        </w:rPr>
        <w:t xml:space="preserve"> как и в 2018-2019 гг.</w:t>
      </w:r>
    </w:p>
    <w:p w:rsidR="008F3AF5" w:rsidRPr="0054564D" w:rsidRDefault="008F3AF5" w:rsidP="0054564D">
      <w:pPr>
        <w:spacing w:after="0" w:line="240" w:lineRule="auto"/>
        <w:jc w:val="right"/>
        <w:rPr>
          <w:rFonts w:ascii="Times New Roman" w:hAnsi="Times New Roman" w:cs="Times New Roman"/>
        </w:rPr>
      </w:pPr>
      <w:r w:rsidRPr="0054564D">
        <w:rPr>
          <w:rFonts w:ascii="Times New Roman" w:hAnsi="Times New Roman" w:cs="Times New Roman"/>
        </w:rPr>
        <w:t>Таблица № 11</w:t>
      </w:r>
    </w:p>
    <w:p w:rsidR="008F3AF5" w:rsidRPr="0054564D" w:rsidRDefault="008F3AF5" w:rsidP="0054564D">
      <w:pPr>
        <w:spacing w:after="0" w:line="240" w:lineRule="auto"/>
        <w:jc w:val="right"/>
        <w:rPr>
          <w:rFonts w:ascii="Times New Roman" w:hAnsi="Times New Roman" w:cs="Times New Roman"/>
        </w:rPr>
      </w:pPr>
    </w:p>
    <w:p w:rsidR="008F3AF5" w:rsidRPr="0054564D" w:rsidRDefault="008F3AF5" w:rsidP="0054564D">
      <w:pPr>
        <w:spacing w:after="0" w:line="240" w:lineRule="auto"/>
        <w:jc w:val="center"/>
        <w:rPr>
          <w:rFonts w:ascii="Times New Roman" w:hAnsi="Times New Roman" w:cs="Times New Roman"/>
          <w:b/>
        </w:rPr>
      </w:pPr>
      <w:r w:rsidRPr="0054564D">
        <w:rPr>
          <w:rFonts w:ascii="Times New Roman" w:hAnsi="Times New Roman" w:cs="Times New Roman"/>
          <w:b/>
        </w:rPr>
        <w:t>Заболеваемость, зарегистрированная среди всего населения, проживающего в городе Пыть-Ях в 2018-2020 год на 1000 населения по отдельным нозологическим формам</w:t>
      </w:r>
    </w:p>
    <w:p w:rsidR="008F3AF5" w:rsidRPr="0054564D" w:rsidRDefault="008F3AF5" w:rsidP="0054564D">
      <w:pPr>
        <w:spacing w:after="0" w:line="240" w:lineRule="auto"/>
        <w:rPr>
          <w:rFonts w:ascii="Times New Roman" w:hAnsi="Times New Roman" w:cs="Times New Roman"/>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559"/>
        <w:gridCol w:w="1418"/>
        <w:gridCol w:w="1559"/>
      </w:tblGrid>
      <w:tr w:rsidR="008F3AF5" w:rsidRPr="0054564D" w:rsidTr="00630798">
        <w:trPr>
          <w:cantSplit/>
          <w:trHeight w:val="113"/>
        </w:trPr>
        <w:tc>
          <w:tcPr>
            <w:tcW w:w="4678" w:type="dxa"/>
          </w:tcPr>
          <w:p w:rsidR="008F3AF5" w:rsidRPr="0054564D" w:rsidRDefault="008F3AF5" w:rsidP="0054564D">
            <w:pPr>
              <w:spacing w:before="20" w:after="0" w:line="240" w:lineRule="auto"/>
              <w:ind w:left="57"/>
              <w:rPr>
                <w:rFonts w:ascii="Times New Roman" w:hAnsi="Times New Roman" w:cs="Times New Roman"/>
                <w:bCs/>
              </w:rPr>
            </w:pPr>
            <w:r w:rsidRPr="0054564D">
              <w:rPr>
                <w:rFonts w:ascii="Times New Roman" w:hAnsi="Times New Roman" w:cs="Times New Roman"/>
                <w:bCs/>
              </w:rPr>
              <w:t>Наименование классов и отдельных болезней</w:t>
            </w:r>
          </w:p>
        </w:tc>
        <w:tc>
          <w:tcPr>
            <w:tcW w:w="1559" w:type="dxa"/>
          </w:tcPr>
          <w:p w:rsidR="008F3AF5" w:rsidRPr="0054564D" w:rsidRDefault="008F3AF5" w:rsidP="0054564D">
            <w:pPr>
              <w:spacing w:before="20" w:after="0" w:line="240" w:lineRule="auto"/>
              <w:ind w:left="57"/>
              <w:rPr>
                <w:rFonts w:ascii="Times New Roman" w:hAnsi="Times New Roman" w:cs="Times New Roman"/>
                <w:bCs/>
              </w:rPr>
            </w:pPr>
            <w:r w:rsidRPr="0054564D">
              <w:rPr>
                <w:rFonts w:ascii="Times New Roman" w:hAnsi="Times New Roman" w:cs="Times New Roman"/>
              </w:rPr>
              <w:t>2018</w:t>
            </w:r>
          </w:p>
        </w:tc>
        <w:tc>
          <w:tcPr>
            <w:tcW w:w="1418" w:type="dxa"/>
          </w:tcPr>
          <w:p w:rsidR="008F3AF5" w:rsidRPr="0054564D" w:rsidRDefault="008F3AF5" w:rsidP="0054564D">
            <w:pPr>
              <w:spacing w:before="20" w:after="0" w:line="240" w:lineRule="auto"/>
              <w:ind w:left="57"/>
              <w:rPr>
                <w:rFonts w:ascii="Times New Roman" w:hAnsi="Times New Roman" w:cs="Times New Roman"/>
                <w:bCs/>
              </w:rPr>
            </w:pPr>
            <w:r w:rsidRPr="0054564D">
              <w:rPr>
                <w:rFonts w:ascii="Times New Roman" w:hAnsi="Times New Roman" w:cs="Times New Roman"/>
              </w:rPr>
              <w:t>2019</w:t>
            </w:r>
          </w:p>
        </w:tc>
        <w:tc>
          <w:tcPr>
            <w:tcW w:w="1559" w:type="dxa"/>
          </w:tcPr>
          <w:p w:rsidR="008F3AF5" w:rsidRPr="0054564D" w:rsidRDefault="008F3AF5" w:rsidP="0054564D">
            <w:pPr>
              <w:spacing w:before="20" w:after="0" w:line="240" w:lineRule="auto"/>
              <w:ind w:left="57"/>
              <w:rPr>
                <w:rFonts w:ascii="Times New Roman" w:hAnsi="Times New Roman" w:cs="Times New Roman"/>
                <w:bCs/>
              </w:rPr>
            </w:pPr>
            <w:r w:rsidRPr="0054564D">
              <w:rPr>
                <w:rFonts w:ascii="Times New Roman" w:hAnsi="Times New Roman" w:cs="Times New Roman"/>
                <w:bCs/>
              </w:rPr>
              <w:t>2020</w:t>
            </w:r>
          </w:p>
        </w:tc>
      </w:tr>
      <w:tr w:rsidR="008F3AF5" w:rsidRPr="0054564D" w:rsidTr="00630798">
        <w:trPr>
          <w:trHeight w:val="255"/>
        </w:trPr>
        <w:tc>
          <w:tcPr>
            <w:tcW w:w="4678" w:type="dxa"/>
          </w:tcPr>
          <w:p w:rsidR="008F3AF5" w:rsidRPr="0054564D" w:rsidRDefault="008F3AF5" w:rsidP="0054564D">
            <w:pPr>
              <w:spacing w:before="20" w:after="0" w:line="240" w:lineRule="auto"/>
              <w:ind w:left="57"/>
              <w:rPr>
                <w:rFonts w:ascii="Times New Roman" w:hAnsi="Times New Roman" w:cs="Times New Roman"/>
                <w:bCs/>
              </w:rPr>
            </w:pPr>
            <w:r w:rsidRPr="0054564D">
              <w:rPr>
                <w:rFonts w:ascii="Times New Roman" w:hAnsi="Times New Roman" w:cs="Times New Roman"/>
                <w:bCs/>
              </w:rPr>
              <w:t>Всего</w:t>
            </w:r>
          </w:p>
        </w:tc>
        <w:tc>
          <w:tcPr>
            <w:tcW w:w="1559"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2022,66</w:t>
            </w:r>
          </w:p>
        </w:tc>
        <w:tc>
          <w:tcPr>
            <w:tcW w:w="1418"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2130,87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2053,36</w:t>
            </w:r>
          </w:p>
        </w:tc>
      </w:tr>
      <w:tr w:rsidR="008F3AF5" w:rsidRPr="0054564D" w:rsidTr="00630798">
        <w:trPr>
          <w:trHeight w:val="207"/>
        </w:trPr>
        <w:tc>
          <w:tcPr>
            <w:tcW w:w="4678" w:type="dxa"/>
          </w:tcPr>
          <w:p w:rsidR="008F3AF5" w:rsidRPr="0054564D" w:rsidRDefault="008F3AF5" w:rsidP="0054564D">
            <w:pPr>
              <w:spacing w:before="20" w:after="0" w:line="240" w:lineRule="auto"/>
              <w:ind w:left="57"/>
              <w:rPr>
                <w:rFonts w:ascii="Times New Roman" w:hAnsi="Times New Roman" w:cs="Times New Roman"/>
              </w:rPr>
            </w:pPr>
            <w:r w:rsidRPr="0054564D">
              <w:rPr>
                <w:rFonts w:ascii="Times New Roman" w:hAnsi="Times New Roman" w:cs="Times New Roman"/>
              </w:rPr>
              <w:t>Некоторые инфекционные и паразитарные болезни</w:t>
            </w:r>
          </w:p>
        </w:tc>
        <w:tc>
          <w:tcPr>
            <w:tcW w:w="1559"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97,84</w:t>
            </w:r>
          </w:p>
        </w:tc>
        <w:tc>
          <w:tcPr>
            <w:tcW w:w="1418"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103,58</w:t>
            </w:r>
          </w:p>
        </w:tc>
        <w:tc>
          <w:tcPr>
            <w:tcW w:w="1559"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102,60</w:t>
            </w:r>
          </w:p>
        </w:tc>
      </w:tr>
      <w:tr w:rsidR="008F3AF5" w:rsidRPr="0054564D" w:rsidTr="00630798">
        <w:trPr>
          <w:trHeight w:val="207"/>
        </w:trPr>
        <w:tc>
          <w:tcPr>
            <w:tcW w:w="4678" w:type="dxa"/>
          </w:tcPr>
          <w:p w:rsidR="008F3AF5" w:rsidRPr="0054564D" w:rsidRDefault="008F3AF5" w:rsidP="0054564D">
            <w:pPr>
              <w:spacing w:before="20" w:after="0" w:line="240" w:lineRule="auto"/>
              <w:ind w:left="57"/>
              <w:rPr>
                <w:rFonts w:ascii="Times New Roman" w:hAnsi="Times New Roman" w:cs="Times New Roman"/>
              </w:rPr>
            </w:pPr>
            <w:r w:rsidRPr="0054564D">
              <w:rPr>
                <w:rFonts w:ascii="Times New Roman" w:hAnsi="Times New Roman" w:cs="Times New Roman"/>
              </w:rPr>
              <w:t>Новообразования</w:t>
            </w:r>
          </w:p>
        </w:tc>
        <w:tc>
          <w:tcPr>
            <w:tcW w:w="1559"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71,57</w:t>
            </w:r>
          </w:p>
        </w:tc>
        <w:tc>
          <w:tcPr>
            <w:tcW w:w="1418"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79,76</w:t>
            </w:r>
          </w:p>
        </w:tc>
        <w:tc>
          <w:tcPr>
            <w:tcW w:w="1559"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71,40</w:t>
            </w:r>
          </w:p>
        </w:tc>
      </w:tr>
      <w:tr w:rsidR="008F3AF5" w:rsidRPr="0054564D" w:rsidTr="00630798">
        <w:trPr>
          <w:trHeight w:val="796"/>
        </w:trPr>
        <w:tc>
          <w:tcPr>
            <w:tcW w:w="4678" w:type="dxa"/>
          </w:tcPr>
          <w:p w:rsidR="008F3AF5" w:rsidRPr="0054564D" w:rsidRDefault="008F3AF5" w:rsidP="0054564D">
            <w:pPr>
              <w:spacing w:before="20" w:after="0" w:line="240" w:lineRule="auto"/>
              <w:ind w:left="57"/>
              <w:rPr>
                <w:rFonts w:ascii="Times New Roman" w:hAnsi="Times New Roman" w:cs="Times New Roman"/>
              </w:rPr>
            </w:pPr>
            <w:r w:rsidRPr="0054564D">
              <w:rPr>
                <w:rFonts w:ascii="Times New Roman" w:hAnsi="Times New Roman" w:cs="Times New Roman"/>
              </w:rPr>
              <w:t>Болезни крови и кроветворных органов и отдельные нарушения, вовлекающие иммунный механизм</w:t>
            </w:r>
          </w:p>
        </w:tc>
        <w:tc>
          <w:tcPr>
            <w:tcW w:w="1559"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15,76</w:t>
            </w:r>
          </w:p>
        </w:tc>
        <w:tc>
          <w:tcPr>
            <w:tcW w:w="1418"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18,73</w:t>
            </w:r>
          </w:p>
        </w:tc>
        <w:tc>
          <w:tcPr>
            <w:tcW w:w="1559"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16,26</w:t>
            </w:r>
          </w:p>
        </w:tc>
      </w:tr>
      <w:tr w:rsidR="008F3AF5" w:rsidRPr="0054564D" w:rsidTr="00630798">
        <w:trPr>
          <w:trHeight w:val="255"/>
        </w:trPr>
        <w:tc>
          <w:tcPr>
            <w:tcW w:w="4678" w:type="dxa"/>
          </w:tcPr>
          <w:p w:rsidR="008F3AF5" w:rsidRPr="0054564D" w:rsidRDefault="008F3AF5" w:rsidP="0054564D">
            <w:pPr>
              <w:spacing w:before="20" w:after="0" w:line="240" w:lineRule="auto"/>
              <w:ind w:left="57"/>
              <w:rPr>
                <w:rFonts w:ascii="Times New Roman" w:hAnsi="Times New Roman" w:cs="Times New Roman"/>
              </w:rPr>
            </w:pPr>
            <w:r w:rsidRPr="0054564D">
              <w:rPr>
                <w:rFonts w:ascii="Times New Roman" w:hAnsi="Times New Roman" w:cs="Times New Roman"/>
              </w:rPr>
              <w:t xml:space="preserve">из </w:t>
            </w:r>
            <w:proofErr w:type="gramStart"/>
            <w:r w:rsidRPr="0054564D">
              <w:rPr>
                <w:rFonts w:ascii="Times New Roman" w:hAnsi="Times New Roman" w:cs="Times New Roman"/>
              </w:rPr>
              <w:t>них:  анемии</w:t>
            </w:r>
            <w:proofErr w:type="gramEnd"/>
          </w:p>
        </w:tc>
        <w:tc>
          <w:tcPr>
            <w:tcW w:w="1559"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11,95</w:t>
            </w:r>
          </w:p>
        </w:tc>
        <w:tc>
          <w:tcPr>
            <w:tcW w:w="1418"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14,09</w:t>
            </w:r>
          </w:p>
        </w:tc>
        <w:tc>
          <w:tcPr>
            <w:tcW w:w="1559"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12,88</w:t>
            </w:r>
          </w:p>
        </w:tc>
      </w:tr>
      <w:tr w:rsidR="008F3AF5" w:rsidRPr="0054564D" w:rsidTr="00630798">
        <w:trPr>
          <w:trHeight w:val="153"/>
        </w:trPr>
        <w:tc>
          <w:tcPr>
            <w:tcW w:w="4678" w:type="dxa"/>
          </w:tcPr>
          <w:p w:rsidR="008F3AF5" w:rsidRPr="0054564D" w:rsidRDefault="008F3AF5" w:rsidP="0054564D">
            <w:pPr>
              <w:spacing w:before="20" w:after="0" w:line="240" w:lineRule="auto"/>
              <w:ind w:left="57"/>
              <w:rPr>
                <w:rFonts w:ascii="Times New Roman" w:hAnsi="Times New Roman" w:cs="Times New Roman"/>
              </w:rPr>
            </w:pPr>
            <w:r w:rsidRPr="0054564D">
              <w:rPr>
                <w:rFonts w:ascii="Times New Roman" w:hAnsi="Times New Roman" w:cs="Times New Roman"/>
              </w:rPr>
              <w:t>Болезни эндокринной системы, нарушения питания и нарушения обмена веществ</w:t>
            </w:r>
          </w:p>
        </w:tc>
        <w:tc>
          <w:tcPr>
            <w:tcW w:w="1559"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92,17</w:t>
            </w:r>
          </w:p>
        </w:tc>
        <w:tc>
          <w:tcPr>
            <w:tcW w:w="1418"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105,77</w:t>
            </w:r>
          </w:p>
        </w:tc>
        <w:tc>
          <w:tcPr>
            <w:tcW w:w="1559"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102,10</w:t>
            </w:r>
          </w:p>
        </w:tc>
      </w:tr>
      <w:tr w:rsidR="008F3AF5" w:rsidRPr="0054564D" w:rsidTr="00630798">
        <w:trPr>
          <w:trHeight w:val="510"/>
        </w:trPr>
        <w:tc>
          <w:tcPr>
            <w:tcW w:w="4678" w:type="dxa"/>
          </w:tcPr>
          <w:p w:rsidR="008F3AF5" w:rsidRPr="0054564D" w:rsidRDefault="008F3AF5" w:rsidP="0054564D">
            <w:pPr>
              <w:spacing w:before="20" w:after="0" w:line="240" w:lineRule="auto"/>
              <w:ind w:left="57"/>
              <w:rPr>
                <w:rFonts w:ascii="Times New Roman" w:hAnsi="Times New Roman" w:cs="Times New Roman"/>
              </w:rPr>
            </w:pPr>
            <w:r w:rsidRPr="0054564D">
              <w:rPr>
                <w:rFonts w:ascii="Times New Roman" w:hAnsi="Times New Roman" w:cs="Times New Roman"/>
              </w:rPr>
              <w:lastRenderedPageBreak/>
              <w:t>Психические расстройства и расстройства поведения</w:t>
            </w:r>
          </w:p>
        </w:tc>
        <w:tc>
          <w:tcPr>
            <w:tcW w:w="1559"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49,52</w:t>
            </w:r>
          </w:p>
        </w:tc>
        <w:tc>
          <w:tcPr>
            <w:tcW w:w="1418"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48,71</w:t>
            </w:r>
          </w:p>
        </w:tc>
        <w:tc>
          <w:tcPr>
            <w:tcW w:w="1559"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45,43</w:t>
            </w:r>
          </w:p>
        </w:tc>
      </w:tr>
      <w:tr w:rsidR="008F3AF5" w:rsidRPr="0054564D" w:rsidTr="00630798">
        <w:trPr>
          <w:trHeight w:val="274"/>
        </w:trPr>
        <w:tc>
          <w:tcPr>
            <w:tcW w:w="4678" w:type="dxa"/>
          </w:tcPr>
          <w:p w:rsidR="008F3AF5" w:rsidRPr="0054564D" w:rsidRDefault="008F3AF5" w:rsidP="0054564D">
            <w:pPr>
              <w:spacing w:before="20" w:after="0" w:line="240" w:lineRule="auto"/>
              <w:ind w:left="57"/>
              <w:rPr>
                <w:rFonts w:ascii="Times New Roman" w:hAnsi="Times New Roman" w:cs="Times New Roman"/>
              </w:rPr>
            </w:pPr>
            <w:r w:rsidRPr="0054564D">
              <w:rPr>
                <w:rFonts w:ascii="Times New Roman" w:hAnsi="Times New Roman" w:cs="Times New Roman"/>
              </w:rPr>
              <w:t>Продолжение таблицы</w:t>
            </w:r>
          </w:p>
        </w:tc>
        <w:tc>
          <w:tcPr>
            <w:tcW w:w="1559" w:type="dxa"/>
          </w:tcPr>
          <w:p w:rsidR="008F3AF5" w:rsidRPr="0054564D" w:rsidRDefault="008F3AF5" w:rsidP="0054564D">
            <w:pPr>
              <w:spacing w:after="0" w:line="240" w:lineRule="auto"/>
              <w:rPr>
                <w:rFonts w:ascii="Times New Roman" w:hAnsi="Times New Roman" w:cs="Times New Roman"/>
              </w:rPr>
            </w:pPr>
          </w:p>
        </w:tc>
        <w:tc>
          <w:tcPr>
            <w:tcW w:w="1418" w:type="dxa"/>
          </w:tcPr>
          <w:p w:rsidR="008F3AF5" w:rsidRPr="0054564D" w:rsidRDefault="008F3AF5" w:rsidP="0054564D">
            <w:pPr>
              <w:spacing w:after="0" w:line="240" w:lineRule="auto"/>
              <w:rPr>
                <w:rFonts w:ascii="Times New Roman" w:hAnsi="Times New Roman" w:cs="Times New Roman"/>
              </w:rPr>
            </w:pPr>
          </w:p>
        </w:tc>
        <w:tc>
          <w:tcPr>
            <w:tcW w:w="1559"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p>
        </w:tc>
      </w:tr>
      <w:tr w:rsidR="008F3AF5" w:rsidRPr="0054564D" w:rsidTr="00630798">
        <w:trPr>
          <w:trHeight w:val="255"/>
        </w:trPr>
        <w:tc>
          <w:tcPr>
            <w:tcW w:w="4678" w:type="dxa"/>
          </w:tcPr>
          <w:p w:rsidR="008F3AF5" w:rsidRPr="0054564D" w:rsidRDefault="008F3AF5" w:rsidP="0054564D">
            <w:pPr>
              <w:spacing w:before="20" w:after="0" w:line="240" w:lineRule="auto"/>
              <w:ind w:left="57"/>
              <w:rPr>
                <w:rFonts w:ascii="Times New Roman" w:hAnsi="Times New Roman" w:cs="Times New Roman"/>
              </w:rPr>
            </w:pPr>
            <w:r w:rsidRPr="0054564D">
              <w:rPr>
                <w:rFonts w:ascii="Times New Roman" w:hAnsi="Times New Roman" w:cs="Times New Roman"/>
              </w:rPr>
              <w:t>Болезни нервной системы</w:t>
            </w:r>
          </w:p>
        </w:tc>
        <w:tc>
          <w:tcPr>
            <w:tcW w:w="1559"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56,23</w:t>
            </w:r>
          </w:p>
        </w:tc>
        <w:tc>
          <w:tcPr>
            <w:tcW w:w="1418"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58,73</w:t>
            </w:r>
          </w:p>
        </w:tc>
        <w:tc>
          <w:tcPr>
            <w:tcW w:w="1559"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54,71</w:t>
            </w:r>
          </w:p>
        </w:tc>
      </w:tr>
      <w:tr w:rsidR="008F3AF5" w:rsidRPr="0054564D" w:rsidTr="00630798">
        <w:trPr>
          <w:trHeight w:val="85"/>
        </w:trPr>
        <w:tc>
          <w:tcPr>
            <w:tcW w:w="4678" w:type="dxa"/>
          </w:tcPr>
          <w:p w:rsidR="008F3AF5" w:rsidRPr="0054564D" w:rsidRDefault="008F3AF5" w:rsidP="0054564D">
            <w:pPr>
              <w:spacing w:before="20" w:after="0" w:line="240" w:lineRule="auto"/>
              <w:ind w:left="57"/>
              <w:rPr>
                <w:rFonts w:ascii="Times New Roman" w:hAnsi="Times New Roman" w:cs="Times New Roman"/>
              </w:rPr>
            </w:pPr>
            <w:r w:rsidRPr="0054564D">
              <w:rPr>
                <w:rFonts w:ascii="Times New Roman" w:hAnsi="Times New Roman" w:cs="Times New Roman"/>
              </w:rPr>
              <w:t>Болезни глаза и его придаточного аппарата</w:t>
            </w:r>
          </w:p>
        </w:tc>
        <w:tc>
          <w:tcPr>
            <w:tcW w:w="1559"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90,72</w:t>
            </w:r>
          </w:p>
        </w:tc>
        <w:tc>
          <w:tcPr>
            <w:tcW w:w="1418"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102,39</w:t>
            </w:r>
          </w:p>
        </w:tc>
        <w:tc>
          <w:tcPr>
            <w:tcW w:w="1559"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73,89</w:t>
            </w:r>
          </w:p>
        </w:tc>
      </w:tr>
      <w:tr w:rsidR="008F3AF5" w:rsidRPr="0054564D" w:rsidTr="00630798">
        <w:trPr>
          <w:trHeight w:val="79"/>
        </w:trPr>
        <w:tc>
          <w:tcPr>
            <w:tcW w:w="4678" w:type="dxa"/>
          </w:tcPr>
          <w:p w:rsidR="008F3AF5" w:rsidRPr="0054564D" w:rsidRDefault="008F3AF5" w:rsidP="0054564D">
            <w:pPr>
              <w:spacing w:before="20" w:after="0" w:line="240" w:lineRule="auto"/>
              <w:ind w:left="57"/>
              <w:rPr>
                <w:rFonts w:ascii="Times New Roman" w:hAnsi="Times New Roman" w:cs="Times New Roman"/>
              </w:rPr>
            </w:pPr>
            <w:r w:rsidRPr="0054564D">
              <w:rPr>
                <w:rFonts w:ascii="Times New Roman" w:hAnsi="Times New Roman" w:cs="Times New Roman"/>
              </w:rPr>
              <w:t>Болезни уха и сосцевидного отростка</w:t>
            </w:r>
          </w:p>
        </w:tc>
        <w:tc>
          <w:tcPr>
            <w:tcW w:w="1559"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30,65</w:t>
            </w:r>
          </w:p>
        </w:tc>
        <w:tc>
          <w:tcPr>
            <w:tcW w:w="1418"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33,65</w:t>
            </w:r>
          </w:p>
        </w:tc>
        <w:tc>
          <w:tcPr>
            <w:tcW w:w="1559"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28,64</w:t>
            </w:r>
          </w:p>
        </w:tc>
      </w:tr>
      <w:tr w:rsidR="008F3AF5" w:rsidRPr="0054564D" w:rsidTr="00630798">
        <w:trPr>
          <w:trHeight w:val="79"/>
        </w:trPr>
        <w:tc>
          <w:tcPr>
            <w:tcW w:w="4678" w:type="dxa"/>
          </w:tcPr>
          <w:p w:rsidR="008F3AF5" w:rsidRPr="0054564D" w:rsidRDefault="008F3AF5" w:rsidP="0054564D">
            <w:pPr>
              <w:spacing w:before="20" w:after="0" w:line="240" w:lineRule="auto"/>
              <w:ind w:left="57"/>
              <w:rPr>
                <w:rFonts w:ascii="Times New Roman" w:hAnsi="Times New Roman" w:cs="Times New Roman"/>
              </w:rPr>
            </w:pPr>
            <w:r w:rsidRPr="0054564D">
              <w:rPr>
                <w:rFonts w:ascii="Times New Roman" w:hAnsi="Times New Roman" w:cs="Times New Roman"/>
              </w:rPr>
              <w:t>Болезни системы кровообращения</w:t>
            </w:r>
          </w:p>
        </w:tc>
        <w:tc>
          <w:tcPr>
            <w:tcW w:w="1559"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211,27</w:t>
            </w:r>
          </w:p>
        </w:tc>
        <w:tc>
          <w:tcPr>
            <w:tcW w:w="1418"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267,01</w:t>
            </w:r>
          </w:p>
        </w:tc>
        <w:tc>
          <w:tcPr>
            <w:tcW w:w="1559"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232,56</w:t>
            </w:r>
          </w:p>
        </w:tc>
      </w:tr>
      <w:tr w:rsidR="008F3AF5" w:rsidRPr="0054564D" w:rsidTr="00630798">
        <w:trPr>
          <w:trHeight w:val="255"/>
        </w:trPr>
        <w:tc>
          <w:tcPr>
            <w:tcW w:w="4678" w:type="dxa"/>
          </w:tcPr>
          <w:p w:rsidR="008F3AF5" w:rsidRPr="0054564D" w:rsidRDefault="008F3AF5" w:rsidP="0054564D">
            <w:pPr>
              <w:spacing w:before="20" w:after="0" w:line="240" w:lineRule="auto"/>
              <w:ind w:left="57"/>
              <w:rPr>
                <w:rFonts w:ascii="Times New Roman" w:hAnsi="Times New Roman" w:cs="Times New Roman"/>
              </w:rPr>
            </w:pPr>
            <w:r w:rsidRPr="0054564D">
              <w:rPr>
                <w:rFonts w:ascii="Times New Roman" w:hAnsi="Times New Roman" w:cs="Times New Roman"/>
              </w:rPr>
              <w:t>Болезни органов дыхания</w:t>
            </w:r>
          </w:p>
        </w:tc>
        <w:tc>
          <w:tcPr>
            <w:tcW w:w="1559"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512,41</w:t>
            </w:r>
          </w:p>
        </w:tc>
        <w:tc>
          <w:tcPr>
            <w:tcW w:w="1418"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461,05</w:t>
            </w:r>
          </w:p>
        </w:tc>
        <w:tc>
          <w:tcPr>
            <w:tcW w:w="1559"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526,35</w:t>
            </w:r>
          </w:p>
        </w:tc>
      </w:tr>
      <w:tr w:rsidR="008F3AF5" w:rsidRPr="0054564D" w:rsidTr="00630798">
        <w:trPr>
          <w:trHeight w:val="255"/>
        </w:trPr>
        <w:tc>
          <w:tcPr>
            <w:tcW w:w="4678" w:type="dxa"/>
          </w:tcPr>
          <w:p w:rsidR="008F3AF5" w:rsidRPr="0054564D" w:rsidRDefault="008F3AF5" w:rsidP="0054564D">
            <w:pPr>
              <w:spacing w:before="20" w:after="0" w:line="240" w:lineRule="auto"/>
              <w:ind w:left="57"/>
              <w:rPr>
                <w:rFonts w:ascii="Times New Roman" w:hAnsi="Times New Roman" w:cs="Times New Roman"/>
              </w:rPr>
            </w:pPr>
            <w:r w:rsidRPr="0054564D">
              <w:rPr>
                <w:rFonts w:ascii="Times New Roman" w:hAnsi="Times New Roman" w:cs="Times New Roman"/>
              </w:rPr>
              <w:t>Болезни органов пищеварения</w:t>
            </w:r>
          </w:p>
        </w:tc>
        <w:tc>
          <w:tcPr>
            <w:tcW w:w="1559"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142,90</w:t>
            </w:r>
          </w:p>
        </w:tc>
        <w:tc>
          <w:tcPr>
            <w:tcW w:w="1418"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146,28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129,25</w:t>
            </w:r>
          </w:p>
        </w:tc>
      </w:tr>
      <w:tr w:rsidR="008F3AF5" w:rsidRPr="0054564D" w:rsidTr="00630798">
        <w:trPr>
          <w:trHeight w:val="79"/>
        </w:trPr>
        <w:tc>
          <w:tcPr>
            <w:tcW w:w="4678" w:type="dxa"/>
          </w:tcPr>
          <w:p w:rsidR="008F3AF5" w:rsidRPr="0054564D" w:rsidRDefault="008F3AF5" w:rsidP="0054564D">
            <w:pPr>
              <w:spacing w:before="20" w:after="0" w:line="240" w:lineRule="auto"/>
              <w:ind w:left="57"/>
              <w:rPr>
                <w:rFonts w:ascii="Times New Roman" w:hAnsi="Times New Roman" w:cs="Times New Roman"/>
              </w:rPr>
            </w:pPr>
            <w:r w:rsidRPr="0054564D">
              <w:rPr>
                <w:rFonts w:ascii="Times New Roman" w:hAnsi="Times New Roman" w:cs="Times New Roman"/>
              </w:rPr>
              <w:t>Болезни кожи и подкожной клетчатки</w:t>
            </w:r>
          </w:p>
        </w:tc>
        <w:tc>
          <w:tcPr>
            <w:tcW w:w="1559"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75,79</w:t>
            </w:r>
          </w:p>
        </w:tc>
        <w:tc>
          <w:tcPr>
            <w:tcW w:w="1418"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79,71</w:t>
            </w:r>
          </w:p>
        </w:tc>
        <w:tc>
          <w:tcPr>
            <w:tcW w:w="1559"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76,62</w:t>
            </w:r>
          </w:p>
        </w:tc>
      </w:tr>
      <w:tr w:rsidR="008F3AF5" w:rsidRPr="0054564D" w:rsidTr="00630798">
        <w:trPr>
          <w:trHeight w:val="510"/>
        </w:trPr>
        <w:tc>
          <w:tcPr>
            <w:tcW w:w="4678" w:type="dxa"/>
          </w:tcPr>
          <w:p w:rsidR="008F3AF5" w:rsidRPr="0054564D" w:rsidRDefault="008F3AF5" w:rsidP="0054564D">
            <w:pPr>
              <w:spacing w:before="20" w:after="0" w:line="240" w:lineRule="auto"/>
              <w:ind w:left="57"/>
              <w:rPr>
                <w:rFonts w:ascii="Times New Roman" w:hAnsi="Times New Roman" w:cs="Times New Roman"/>
              </w:rPr>
            </w:pPr>
            <w:r w:rsidRPr="0054564D">
              <w:rPr>
                <w:rFonts w:ascii="Times New Roman" w:hAnsi="Times New Roman" w:cs="Times New Roman"/>
              </w:rPr>
              <w:t>Болезни костно-мышечной системы и соединительной ткани</w:t>
            </w:r>
          </w:p>
        </w:tc>
        <w:tc>
          <w:tcPr>
            <w:tcW w:w="1559"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220,23</w:t>
            </w:r>
          </w:p>
        </w:tc>
        <w:tc>
          <w:tcPr>
            <w:tcW w:w="1418"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221,02</w:t>
            </w:r>
          </w:p>
        </w:tc>
        <w:tc>
          <w:tcPr>
            <w:tcW w:w="1559"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195,54</w:t>
            </w:r>
          </w:p>
        </w:tc>
      </w:tr>
      <w:tr w:rsidR="008F3AF5" w:rsidRPr="0054564D" w:rsidTr="00630798">
        <w:trPr>
          <w:trHeight w:val="255"/>
        </w:trPr>
        <w:tc>
          <w:tcPr>
            <w:tcW w:w="4678" w:type="dxa"/>
          </w:tcPr>
          <w:p w:rsidR="008F3AF5" w:rsidRPr="0054564D" w:rsidRDefault="008F3AF5" w:rsidP="0054564D">
            <w:pPr>
              <w:spacing w:before="20" w:after="0" w:line="240" w:lineRule="auto"/>
              <w:ind w:left="57"/>
              <w:rPr>
                <w:rFonts w:ascii="Times New Roman" w:hAnsi="Times New Roman" w:cs="Times New Roman"/>
              </w:rPr>
            </w:pPr>
            <w:r w:rsidRPr="0054564D">
              <w:rPr>
                <w:rFonts w:ascii="Times New Roman" w:hAnsi="Times New Roman" w:cs="Times New Roman"/>
              </w:rPr>
              <w:t>Болезни мочеполовой системы</w:t>
            </w:r>
          </w:p>
        </w:tc>
        <w:tc>
          <w:tcPr>
            <w:tcW w:w="1559"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229,36</w:t>
            </w:r>
          </w:p>
        </w:tc>
        <w:tc>
          <w:tcPr>
            <w:tcW w:w="1418"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274,80</w:t>
            </w:r>
          </w:p>
        </w:tc>
        <w:tc>
          <w:tcPr>
            <w:tcW w:w="1559"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246,91</w:t>
            </w:r>
          </w:p>
        </w:tc>
      </w:tr>
      <w:tr w:rsidR="008F3AF5" w:rsidRPr="0054564D" w:rsidTr="00630798">
        <w:trPr>
          <w:trHeight w:val="79"/>
        </w:trPr>
        <w:tc>
          <w:tcPr>
            <w:tcW w:w="4678" w:type="dxa"/>
          </w:tcPr>
          <w:p w:rsidR="008F3AF5" w:rsidRPr="0054564D" w:rsidRDefault="008F3AF5" w:rsidP="0054564D">
            <w:pPr>
              <w:spacing w:before="20" w:after="0" w:line="240" w:lineRule="auto"/>
              <w:ind w:left="57"/>
              <w:rPr>
                <w:rFonts w:ascii="Times New Roman" w:hAnsi="Times New Roman" w:cs="Times New Roman"/>
              </w:rPr>
            </w:pPr>
            <w:proofErr w:type="gramStart"/>
            <w:r w:rsidRPr="0054564D">
              <w:rPr>
                <w:rFonts w:ascii="Times New Roman" w:hAnsi="Times New Roman" w:cs="Times New Roman"/>
              </w:rPr>
              <w:t>Беременность,  роды</w:t>
            </w:r>
            <w:proofErr w:type="gramEnd"/>
            <w:r w:rsidRPr="0054564D">
              <w:rPr>
                <w:rFonts w:ascii="Times New Roman" w:hAnsi="Times New Roman" w:cs="Times New Roman"/>
              </w:rPr>
              <w:t xml:space="preserve"> и  послеродовой период</w:t>
            </w:r>
          </w:p>
        </w:tc>
        <w:tc>
          <w:tcPr>
            <w:tcW w:w="1559"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15,81</w:t>
            </w:r>
          </w:p>
        </w:tc>
        <w:tc>
          <w:tcPr>
            <w:tcW w:w="1418"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13,56</w:t>
            </w:r>
          </w:p>
        </w:tc>
        <w:tc>
          <w:tcPr>
            <w:tcW w:w="1559"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8,78</w:t>
            </w:r>
          </w:p>
        </w:tc>
      </w:tr>
      <w:tr w:rsidR="008F3AF5" w:rsidRPr="0054564D" w:rsidTr="00630798">
        <w:trPr>
          <w:trHeight w:val="227"/>
        </w:trPr>
        <w:tc>
          <w:tcPr>
            <w:tcW w:w="4678" w:type="dxa"/>
          </w:tcPr>
          <w:p w:rsidR="008F3AF5" w:rsidRPr="0054564D" w:rsidRDefault="008F3AF5" w:rsidP="0054564D">
            <w:pPr>
              <w:spacing w:before="20" w:after="0" w:line="240" w:lineRule="auto"/>
              <w:ind w:left="57"/>
              <w:rPr>
                <w:rFonts w:ascii="Times New Roman" w:hAnsi="Times New Roman" w:cs="Times New Roman"/>
              </w:rPr>
            </w:pPr>
            <w:r w:rsidRPr="0054564D">
              <w:rPr>
                <w:rFonts w:ascii="Times New Roman" w:hAnsi="Times New Roman" w:cs="Times New Roman"/>
              </w:rPr>
              <w:t>Отдельные состояния в перинатальный</w:t>
            </w:r>
          </w:p>
          <w:p w:rsidR="008F3AF5" w:rsidRPr="0054564D" w:rsidRDefault="008F3AF5" w:rsidP="0054564D">
            <w:pPr>
              <w:spacing w:before="20" w:after="0" w:line="240" w:lineRule="auto"/>
              <w:ind w:left="57"/>
              <w:rPr>
                <w:rFonts w:ascii="Times New Roman" w:hAnsi="Times New Roman" w:cs="Times New Roman"/>
              </w:rPr>
            </w:pPr>
            <w:r w:rsidRPr="0054564D">
              <w:rPr>
                <w:rFonts w:ascii="Times New Roman" w:hAnsi="Times New Roman" w:cs="Times New Roman"/>
              </w:rPr>
              <w:t xml:space="preserve"> период</w:t>
            </w:r>
          </w:p>
        </w:tc>
        <w:tc>
          <w:tcPr>
            <w:tcW w:w="1559"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2,87</w:t>
            </w:r>
          </w:p>
        </w:tc>
        <w:tc>
          <w:tcPr>
            <w:tcW w:w="1418"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1,96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0,00</w:t>
            </w:r>
          </w:p>
        </w:tc>
      </w:tr>
      <w:tr w:rsidR="008F3AF5" w:rsidRPr="0054564D" w:rsidTr="00630798">
        <w:trPr>
          <w:trHeight w:val="255"/>
        </w:trPr>
        <w:tc>
          <w:tcPr>
            <w:tcW w:w="4678" w:type="dxa"/>
          </w:tcPr>
          <w:p w:rsidR="008F3AF5" w:rsidRPr="0054564D" w:rsidRDefault="008F3AF5" w:rsidP="0054564D">
            <w:pPr>
              <w:spacing w:before="20" w:after="0" w:line="240" w:lineRule="auto"/>
              <w:ind w:left="57"/>
              <w:rPr>
                <w:rFonts w:ascii="Times New Roman" w:hAnsi="Times New Roman" w:cs="Times New Roman"/>
              </w:rPr>
            </w:pPr>
            <w:r w:rsidRPr="0054564D">
              <w:rPr>
                <w:rFonts w:ascii="Times New Roman" w:hAnsi="Times New Roman" w:cs="Times New Roman"/>
              </w:rPr>
              <w:t>Врожденные аномалии</w:t>
            </w:r>
          </w:p>
        </w:tc>
        <w:tc>
          <w:tcPr>
            <w:tcW w:w="1559"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5,71</w:t>
            </w:r>
          </w:p>
        </w:tc>
        <w:tc>
          <w:tcPr>
            <w:tcW w:w="1418"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5,94</w:t>
            </w:r>
          </w:p>
        </w:tc>
        <w:tc>
          <w:tcPr>
            <w:tcW w:w="1559"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2,13</w:t>
            </w:r>
          </w:p>
        </w:tc>
      </w:tr>
      <w:tr w:rsidR="008F3AF5" w:rsidRPr="0054564D" w:rsidTr="00630798">
        <w:trPr>
          <w:trHeight w:val="79"/>
        </w:trPr>
        <w:tc>
          <w:tcPr>
            <w:tcW w:w="4678" w:type="dxa"/>
          </w:tcPr>
          <w:p w:rsidR="008F3AF5" w:rsidRPr="0054564D" w:rsidRDefault="008F3AF5" w:rsidP="0054564D">
            <w:pPr>
              <w:spacing w:before="20" w:after="0" w:line="240" w:lineRule="auto"/>
              <w:ind w:left="57"/>
              <w:rPr>
                <w:rFonts w:ascii="Times New Roman" w:hAnsi="Times New Roman" w:cs="Times New Roman"/>
              </w:rPr>
            </w:pPr>
            <w:r w:rsidRPr="0054564D">
              <w:rPr>
                <w:rFonts w:ascii="Times New Roman" w:hAnsi="Times New Roman" w:cs="Times New Roman"/>
              </w:rPr>
              <w:t>Симптомы, признаки и необозначенные состояния</w:t>
            </w:r>
          </w:p>
        </w:tc>
        <w:tc>
          <w:tcPr>
            <w:tcW w:w="1559"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0,0</w:t>
            </w:r>
          </w:p>
        </w:tc>
        <w:tc>
          <w:tcPr>
            <w:tcW w:w="1418"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0,0</w:t>
            </w:r>
          </w:p>
        </w:tc>
        <w:tc>
          <w:tcPr>
            <w:tcW w:w="1559"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5,27</w:t>
            </w:r>
          </w:p>
        </w:tc>
      </w:tr>
      <w:tr w:rsidR="008F3AF5" w:rsidRPr="0054564D" w:rsidTr="00630798">
        <w:trPr>
          <w:trHeight w:val="79"/>
        </w:trPr>
        <w:tc>
          <w:tcPr>
            <w:tcW w:w="4678" w:type="dxa"/>
          </w:tcPr>
          <w:p w:rsidR="008F3AF5" w:rsidRPr="0054564D" w:rsidRDefault="008F3AF5" w:rsidP="0054564D">
            <w:pPr>
              <w:spacing w:before="20" w:after="0" w:line="240" w:lineRule="auto"/>
              <w:ind w:left="57"/>
              <w:rPr>
                <w:rFonts w:ascii="Times New Roman" w:hAnsi="Times New Roman" w:cs="Times New Roman"/>
              </w:rPr>
            </w:pPr>
            <w:r w:rsidRPr="0054564D">
              <w:rPr>
                <w:rFonts w:ascii="Times New Roman" w:hAnsi="Times New Roman" w:cs="Times New Roman"/>
              </w:rPr>
              <w:t>Травмы, отравления и другие внешние воздействия</w:t>
            </w:r>
          </w:p>
        </w:tc>
        <w:tc>
          <w:tcPr>
            <w:tcW w:w="1559"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101,84</w:t>
            </w:r>
          </w:p>
        </w:tc>
        <w:tc>
          <w:tcPr>
            <w:tcW w:w="1418"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108,22</w:t>
            </w:r>
          </w:p>
        </w:tc>
        <w:tc>
          <w:tcPr>
            <w:tcW w:w="1559"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111,81</w:t>
            </w:r>
          </w:p>
          <w:p w:rsidR="008F3AF5" w:rsidRPr="0054564D" w:rsidRDefault="008F3AF5" w:rsidP="0054564D">
            <w:pPr>
              <w:spacing w:after="0" w:line="240" w:lineRule="auto"/>
              <w:jc w:val="right"/>
              <w:rPr>
                <w:rFonts w:ascii="Times New Roman" w:hAnsi="Times New Roman" w:cs="Times New Roman"/>
                <w:color w:val="000000"/>
              </w:rPr>
            </w:pPr>
          </w:p>
        </w:tc>
      </w:tr>
    </w:tbl>
    <w:p w:rsidR="008F3AF5" w:rsidRPr="0054564D" w:rsidRDefault="008F3AF5" w:rsidP="0054564D">
      <w:pPr>
        <w:spacing w:after="0" w:line="240" w:lineRule="auto"/>
        <w:jc w:val="both"/>
        <w:rPr>
          <w:rFonts w:ascii="Times New Roman" w:hAnsi="Times New Roman" w:cs="Times New Roman"/>
          <w:highlight w:val="yellow"/>
        </w:rPr>
      </w:pPr>
    </w:p>
    <w:p w:rsidR="008F3AF5" w:rsidRPr="0054564D" w:rsidRDefault="008F3AF5" w:rsidP="0054564D">
      <w:pPr>
        <w:spacing w:after="0" w:line="240" w:lineRule="auto"/>
        <w:ind w:firstLine="709"/>
        <w:jc w:val="both"/>
        <w:rPr>
          <w:rFonts w:ascii="Times New Roman" w:hAnsi="Times New Roman" w:cs="Times New Roman"/>
          <w:sz w:val="24"/>
          <w:szCs w:val="24"/>
        </w:rPr>
      </w:pPr>
      <w:proofErr w:type="gramStart"/>
      <w:r w:rsidRPr="0054564D">
        <w:rPr>
          <w:rFonts w:ascii="Times New Roman" w:hAnsi="Times New Roman" w:cs="Times New Roman"/>
          <w:sz w:val="24"/>
          <w:szCs w:val="24"/>
        </w:rPr>
        <w:t>В  2020</w:t>
      </w:r>
      <w:proofErr w:type="gramEnd"/>
      <w:r w:rsidR="00A521EB">
        <w:rPr>
          <w:rFonts w:ascii="Times New Roman" w:hAnsi="Times New Roman" w:cs="Times New Roman"/>
          <w:sz w:val="24"/>
          <w:szCs w:val="24"/>
        </w:rPr>
        <w:t xml:space="preserve"> </w:t>
      </w:r>
      <w:r w:rsidRPr="0054564D">
        <w:rPr>
          <w:rFonts w:ascii="Times New Roman" w:hAnsi="Times New Roman" w:cs="Times New Roman"/>
          <w:sz w:val="24"/>
          <w:szCs w:val="24"/>
        </w:rPr>
        <w:t>году регистрируется рост   показателей заболеваемости  только по двум  классам  болезней в общей структуре заболеваемости:</w:t>
      </w:r>
    </w:p>
    <w:p w:rsidR="008F3AF5" w:rsidRPr="0054564D" w:rsidRDefault="008F3AF5" w:rsidP="006A23B3">
      <w:pPr>
        <w:numPr>
          <w:ilvl w:val="0"/>
          <w:numId w:val="3"/>
        </w:numPr>
        <w:tabs>
          <w:tab w:val="clear" w:pos="1446"/>
          <w:tab w:val="num" w:pos="709"/>
        </w:tabs>
        <w:spacing w:after="0" w:line="240" w:lineRule="auto"/>
        <w:ind w:left="709" w:firstLine="0"/>
        <w:jc w:val="both"/>
        <w:rPr>
          <w:rFonts w:ascii="Times New Roman" w:hAnsi="Times New Roman" w:cs="Times New Roman"/>
          <w:sz w:val="24"/>
          <w:szCs w:val="24"/>
        </w:rPr>
      </w:pPr>
      <w:r w:rsidRPr="0054564D">
        <w:rPr>
          <w:rFonts w:ascii="Times New Roman" w:hAnsi="Times New Roman" w:cs="Times New Roman"/>
          <w:sz w:val="24"/>
          <w:szCs w:val="24"/>
        </w:rPr>
        <w:t>-</w:t>
      </w:r>
      <w:r w:rsidRPr="0054564D">
        <w:rPr>
          <w:rFonts w:ascii="Times New Roman" w:hAnsi="Times New Roman" w:cs="Times New Roman"/>
        </w:rPr>
        <w:t xml:space="preserve"> Травмы, отравления и</w:t>
      </w:r>
      <w:r w:rsidR="00A521EB">
        <w:rPr>
          <w:rFonts w:ascii="Times New Roman" w:hAnsi="Times New Roman" w:cs="Times New Roman"/>
        </w:rPr>
        <w:t xml:space="preserve"> другие внешние воздействия на </w:t>
      </w:r>
      <w:r w:rsidRPr="0054564D">
        <w:rPr>
          <w:rFonts w:ascii="Times New Roman" w:hAnsi="Times New Roman" w:cs="Times New Roman"/>
        </w:rPr>
        <w:t>3.3%</w:t>
      </w:r>
      <w:r w:rsidRPr="0054564D">
        <w:rPr>
          <w:rFonts w:ascii="Times New Roman" w:hAnsi="Times New Roman" w:cs="Times New Roman"/>
          <w:sz w:val="24"/>
          <w:szCs w:val="24"/>
        </w:rPr>
        <w:t xml:space="preserve"> по сравнению с 2019годом</w:t>
      </w:r>
      <w:proofErr w:type="gramStart"/>
      <w:r w:rsidRPr="0054564D">
        <w:rPr>
          <w:rFonts w:ascii="Times New Roman" w:hAnsi="Times New Roman" w:cs="Times New Roman"/>
          <w:sz w:val="24"/>
          <w:szCs w:val="24"/>
        </w:rPr>
        <w:t xml:space="preserve"> </w:t>
      </w:r>
      <w:r w:rsidRPr="0054564D">
        <w:rPr>
          <w:rFonts w:ascii="Times New Roman" w:hAnsi="Times New Roman" w:cs="Times New Roman"/>
        </w:rPr>
        <w:t xml:space="preserve">  (</w:t>
      </w:r>
      <w:proofErr w:type="gramEnd"/>
      <w:r w:rsidRPr="0054564D">
        <w:rPr>
          <w:rFonts w:ascii="Times New Roman" w:hAnsi="Times New Roman" w:cs="Times New Roman"/>
        </w:rPr>
        <w:t xml:space="preserve"> в 2019г на 6,26%</w:t>
      </w:r>
      <w:r w:rsidRPr="0054564D">
        <w:rPr>
          <w:rFonts w:ascii="Times New Roman" w:hAnsi="Times New Roman" w:cs="Times New Roman"/>
          <w:sz w:val="24"/>
          <w:szCs w:val="24"/>
        </w:rPr>
        <w:t xml:space="preserve"> по сравнению с 2018 годом  );</w:t>
      </w:r>
    </w:p>
    <w:p w:rsidR="008F3AF5" w:rsidRPr="0054564D" w:rsidRDefault="008F3AF5" w:rsidP="006A23B3">
      <w:pPr>
        <w:numPr>
          <w:ilvl w:val="0"/>
          <w:numId w:val="3"/>
        </w:numPr>
        <w:tabs>
          <w:tab w:val="clear" w:pos="1446"/>
          <w:tab w:val="num" w:pos="360"/>
        </w:tabs>
        <w:spacing w:after="0" w:line="240" w:lineRule="auto"/>
        <w:ind w:left="709" w:firstLine="0"/>
        <w:jc w:val="both"/>
        <w:rPr>
          <w:rFonts w:ascii="Times New Roman" w:hAnsi="Times New Roman" w:cs="Times New Roman"/>
          <w:sz w:val="24"/>
          <w:szCs w:val="24"/>
        </w:rPr>
      </w:pPr>
      <w:r w:rsidRPr="0054564D">
        <w:rPr>
          <w:rFonts w:ascii="Times New Roman" w:hAnsi="Times New Roman" w:cs="Times New Roman"/>
          <w:sz w:val="24"/>
          <w:szCs w:val="24"/>
        </w:rPr>
        <w:t xml:space="preserve">Болезни органов дыхания на 14,2% по сравнению с 2019годом </w:t>
      </w:r>
      <w:proofErr w:type="gramStart"/>
      <w:r w:rsidRPr="0054564D">
        <w:rPr>
          <w:rFonts w:ascii="Times New Roman" w:hAnsi="Times New Roman" w:cs="Times New Roman"/>
          <w:sz w:val="24"/>
          <w:szCs w:val="24"/>
        </w:rPr>
        <w:t>( на</w:t>
      </w:r>
      <w:proofErr w:type="gramEnd"/>
      <w:r w:rsidRPr="0054564D">
        <w:rPr>
          <w:rFonts w:ascii="Times New Roman" w:hAnsi="Times New Roman" w:cs="Times New Roman"/>
          <w:sz w:val="24"/>
          <w:szCs w:val="24"/>
        </w:rPr>
        <w:t xml:space="preserve"> 2,7% в по сравнению с  2018г .</w:t>
      </w:r>
    </w:p>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sz w:val="24"/>
          <w:szCs w:val="24"/>
        </w:rPr>
        <w:t>По остальным классам болезней регистрируется в 2020г снижение</w:t>
      </w:r>
      <w:bookmarkStart w:id="19" w:name="_Hlk63337397"/>
      <w:r w:rsidRPr="0054564D">
        <w:rPr>
          <w:rFonts w:ascii="Times New Roman" w:hAnsi="Times New Roman" w:cs="Times New Roman"/>
          <w:sz w:val="24"/>
          <w:szCs w:val="24"/>
        </w:rPr>
        <w:t>:</w:t>
      </w:r>
    </w:p>
    <w:bookmarkEnd w:id="19"/>
    <w:p w:rsidR="008F3AF5" w:rsidRPr="0054564D" w:rsidRDefault="008F3AF5" w:rsidP="006A23B3">
      <w:pPr>
        <w:numPr>
          <w:ilvl w:val="0"/>
          <w:numId w:val="3"/>
        </w:numPr>
        <w:tabs>
          <w:tab w:val="clear" w:pos="1446"/>
          <w:tab w:val="num" w:pos="360"/>
        </w:tabs>
        <w:spacing w:after="0" w:line="240" w:lineRule="auto"/>
        <w:ind w:left="709" w:firstLine="0"/>
        <w:jc w:val="both"/>
        <w:rPr>
          <w:rFonts w:ascii="Times New Roman" w:hAnsi="Times New Roman" w:cs="Times New Roman"/>
          <w:sz w:val="24"/>
          <w:szCs w:val="24"/>
        </w:rPr>
      </w:pPr>
      <w:r w:rsidRPr="0054564D">
        <w:rPr>
          <w:rFonts w:ascii="Times New Roman" w:hAnsi="Times New Roman" w:cs="Times New Roman"/>
          <w:sz w:val="24"/>
          <w:szCs w:val="24"/>
        </w:rPr>
        <w:t>Н</w:t>
      </w:r>
      <w:r w:rsidRPr="0054564D">
        <w:rPr>
          <w:rFonts w:ascii="Times New Roman" w:hAnsi="Times New Roman" w:cs="Times New Roman"/>
        </w:rPr>
        <w:t xml:space="preserve">екоторые инфекционные и паразитарные </w:t>
      </w:r>
      <w:proofErr w:type="gramStart"/>
      <w:r w:rsidRPr="0054564D">
        <w:rPr>
          <w:rFonts w:ascii="Times New Roman" w:hAnsi="Times New Roman" w:cs="Times New Roman"/>
        </w:rPr>
        <w:t>болезни</w:t>
      </w:r>
      <w:r w:rsidRPr="0054564D">
        <w:rPr>
          <w:rFonts w:ascii="Times New Roman" w:hAnsi="Times New Roman" w:cs="Times New Roman"/>
          <w:sz w:val="24"/>
          <w:szCs w:val="24"/>
        </w:rPr>
        <w:t xml:space="preserve">  на</w:t>
      </w:r>
      <w:proofErr w:type="gramEnd"/>
      <w:r w:rsidRPr="0054564D">
        <w:rPr>
          <w:rFonts w:ascii="Times New Roman" w:hAnsi="Times New Roman" w:cs="Times New Roman"/>
          <w:sz w:val="24"/>
          <w:szCs w:val="24"/>
        </w:rPr>
        <w:t xml:space="preserve"> 0,9% по сравнению с 2019годом , но рост на 4,9 % по сравнению с 2018</w:t>
      </w:r>
      <w:r w:rsidR="00A521EB">
        <w:rPr>
          <w:rFonts w:ascii="Times New Roman" w:hAnsi="Times New Roman" w:cs="Times New Roman"/>
          <w:sz w:val="24"/>
          <w:szCs w:val="24"/>
        </w:rPr>
        <w:t xml:space="preserve"> </w:t>
      </w:r>
      <w:r w:rsidRPr="0054564D">
        <w:rPr>
          <w:rFonts w:ascii="Times New Roman" w:hAnsi="Times New Roman" w:cs="Times New Roman"/>
          <w:sz w:val="24"/>
          <w:szCs w:val="24"/>
        </w:rPr>
        <w:t>годом;</w:t>
      </w:r>
    </w:p>
    <w:p w:rsidR="008F3AF5" w:rsidRPr="0054564D" w:rsidRDefault="008F3AF5" w:rsidP="006A23B3">
      <w:pPr>
        <w:numPr>
          <w:ilvl w:val="0"/>
          <w:numId w:val="3"/>
        </w:numPr>
        <w:tabs>
          <w:tab w:val="clear" w:pos="1446"/>
          <w:tab w:val="num" w:pos="360"/>
        </w:tabs>
        <w:spacing w:after="0" w:line="240" w:lineRule="auto"/>
        <w:ind w:left="709" w:firstLine="0"/>
        <w:jc w:val="both"/>
        <w:rPr>
          <w:rFonts w:ascii="Times New Roman" w:hAnsi="Times New Roman" w:cs="Times New Roman"/>
          <w:sz w:val="24"/>
          <w:szCs w:val="24"/>
        </w:rPr>
      </w:pPr>
      <w:r w:rsidRPr="0054564D">
        <w:rPr>
          <w:rFonts w:ascii="Times New Roman" w:hAnsi="Times New Roman" w:cs="Times New Roman"/>
          <w:sz w:val="24"/>
          <w:szCs w:val="24"/>
        </w:rPr>
        <w:t xml:space="preserve">Новообразования на10,48% </w:t>
      </w:r>
      <w:bookmarkStart w:id="20" w:name="_Hlk63337571"/>
      <w:r w:rsidRPr="0054564D">
        <w:rPr>
          <w:rFonts w:ascii="Times New Roman" w:hAnsi="Times New Roman" w:cs="Times New Roman"/>
          <w:sz w:val="24"/>
          <w:szCs w:val="24"/>
        </w:rPr>
        <w:t>по сравнению с 2019</w:t>
      </w:r>
      <w:r w:rsidR="00A521EB">
        <w:rPr>
          <w:rFonts w:ascii="Times New Roman" w:hAnsi="Times New Roman" w:cs="Times New Roman"/>
          <w:sz w:val="24"/>
          <w:szCs w:val="24"/>
        </w:rPr>
        <w:t xml:space="preserve"> </w:t>
      </w:r>
      <w:proofErr w:type="gramStart"/>
      <w:r w:rsidRPr="0054564D">
        <w:rPr>
          <w:rFonts w:ascii="Times New Roman" w:hAnsi="Times New Roman" w:cs="Times New Roman"/>
          <w:sz w:val="24"/>
          <w:szCs w:val="24"/>
        </w:rPr>
        <w:t xml:space="preserve">годом </w:t>
      </w:r>
      <w:bookmarkEnd w:id="20"/>
      <w:r w:rsidRPr="0054564D">
        <w:rPr>
          <w:rFonts w:ascii="Times New Roman" w:hAnsi="Times New Roman" w:cs="Times New Roman"/>
          <w:sz w:val="24"/>
          <w:szCs w:val="24"/>
        </w:rPr>
        <w:t>,</w:t>
      </w:r>
      <w:proofErr w:type="gramEnd"/>
      <w:r w:rsidRPr="0054564D">
        <w:rPr>
          <w:rFonts w:ascii="Times New Roman" w:hAnsi="Times New Roman" w:cs="Times New Roman"/>
          <w:sz w:val="24"/>
          <w:szCs w:val="24"/>
        </w:rPr>
        <w:t xml:space="preserve"> в 2019г рост на  </w:t>
      </w:r>
      <w:r w:rsidRPr="0054564D">
        <w:rPr>
          <w:rFonts w:ascii="Times New Roman" w:hAnsi="Times New Roman" w:cs="Times New Roman"/>
          <w:color w:val="000000"/>
          <w:sz w:val="24"/>
          <w:szCs w:val="24"/>
        </w:rPr>
        <w:t>11,44</w:t>
      </w:r>
      <w:r w:rsidRPr="0054564D">
        <w:rPr>
          <w:rFonts w:ascii="Times New Roman" w:hAnsi="Times New Roman" w:cs="Times New Roman"/>
          <w:sz w:val="24"/>
          <w:szCs w:val="24"/>
        </w:rPr>
        <w:t>% , по сравнению с 2018 годом  ;</w:t>
      </w:r>
    </w:p>
    <w:p w:rsidR="008F3AF5" w:rsidRPr="0054564D" w:rsidRDefault="008F3AF5" w:rsidP="006A23B3">
      <w:pPr>
        <w:numPr>
          <w:ilvl w:val="0"/>
          <w:numId w:val="3"/>
        </w:numPr>
        <w:tabs>
          <w:tab w:val="clear" w:pos="1446"/>
          <w:tab w:val="num" w:pos="360"/>
        </w:tabs>
        <w:spacing w:after="0" w:line="240" w:lineRule="auto"/>
        <w:ind w:left="709" w:firstLine="0"/>
        <w:jc w:val="both"/>
        <w:rPr>
          <w:rFonts w:ascii="Times New Roman" w:hAnsi="Times New Roman" w:cs="Times New Roman"/>
          <w:sz w:val="24"/>
          <w:szCs w:val="24"/>
        </w:rPr>
      </w:pPr>
      <w:r w:rsidRPr="0054564D">
        <w:rPr>
          <w:rFonts w:ascii="Times New Roman" w:hAnsi="Times New Roman" w:cs="Times New Roman"/>
          <w:sz w:val="24"/>
          <w:szCs w:val="24"/>
        </w:rPr>
        <w:t>Болезни крови и кроветворных органов на 13,2</w:t>
      </w:r>
      <w:proofErr w:type="gramStart"/>
      <w:r w:rsidRPr="0054564D">
        <w:rPr>
          <w:rFonts w:ascii="Times New Roman" w:hAnsi="Times New Roman" w:cs="Times New Roman"/>
          <w:sz w:val="24"/>
          <w:szCs w:val="24"/>
        </w:rPr>
        <w:t>%  по</w:t>
      </w:r>
      <w:proofErr w:type="gramEnd"/>
      <w:r w:rsidRPr="0054564D">
        <w:rPr>
          <w:rFonts w:ascii="Times New Roman" w:hAnsi="Times New Roman" w:cs="Times New Roman"/>
          <w:sz w:val="24"/>
          <w:szCs w:val="24"/>
        </w:rPr>
        <w:t xml:space="preserve"> сравнению с 2019годом но  рост в 2019г на </w:t>
      </w:r>
      <w:r w:rsidRPr="0054564D">
        <w:rPr>
          <w:rFonts w:ascii="Times New Roman" w:hAnsi="Times New Roman" w:cs="Times New Roman"/>
          <w:color w:val="000000"/>
          <w:sz w:val="24"/>
          <w:szCs w:val="24"/>
        </w:rPr>
        <w:t>18,85</w:t>
      </w:r>
      <w:r w:rsidRPr="0054564D">
        <w:rPr>
          <w:rFonts w:ascii="Times New Roman" w:hAnsi="Times New Roman" w:cs="Times New Roman"/>
          <w:sz w:val="24"/>
          <w:szCs w:val="24"/>
        </w:rPr>
        <w:t xml:space="preserve">% , из них анемии на </w:t>
      </w:r>
      <w:r w:rsidRPr="0054564D">
        <w:rPr>
          <w:rFonts w:ascii="Times New Roman" w:hAnsi="Times New Roman" w:cs="Times New Roman"/>
          <w:color w:val="000000"/>
          <w:sz w:val="24"/>
          <w:szCs w:val="24"/>
        </w:rPr>
        <w:t>17,91%</w:t>
      </w:r>
      <w:r w:rsidRPr="0054564D">
        <w:rPr>
          <w:rFonts w:ascii="Times New Roman" w:hAnsi="Times New Roman" w:cs="Times New Roman"/>
          <w:sz w:val="24"/>
          <w:szCs w:val="24"/>
        </w:rPr>
        <w:t xml:space="preserve"> по сравнению с 2018 годом; </w:t>
      </w:r>
    </w:p>
    <w:p w:rsidR="008F3AF5" w:rsidRPr="0054564D" w:rsidRDefault="008F3AF5" w:rsidP="006A23B3">
      <w:pPr>
        <w:numPr>
          <w:ilvl w:val="0"/>
          <w:numId w:val="3"/>
        </w:numPr>
        <w:tabs>
          <w:tab w:val="clear" w:pos="1446"/>
          <w:tab w:val="num" w:pos="360"/>
        </w:tabs>
        <w:spacing w:after="0" w:line="240" w:lineRule="auto"/>
        <w:ind w:left="709" w:firstLine="0"/>
        <w:jc w:val="both"/>
        <w:rPr>
          <w:rFonts w:ascii="Times New Roman" w:hAnsi="Times New Roman" w:cs="Times New Roman"/>
          <w:sz w:val="24"/>
          <w:szCs w:val="24"/>
        </w:rPr>
      </w:pPr>
      <w:r w:rsidRPr="0054564D">
        <w:rPr>
          <w:rFonts w:ascii="Times New Roman" w:hAnsi="Times New Roman" w:cs="Times New Roman"/>
          <w:sz w:val="24"/>
          <w:szCs w:val="24"/>
        </w:rPr>
        <w:t xml:space="preserve">Болезни эндокринной системы, нарушения питания и нарушения обмена веществ </w:t>
      </w:r>
      <w:proofErr w:type="gramStart"/>
      <w:r w:rsidRPr="0054564D">
        <w:rPr>
          <w:rFonts w:ascii="Times New Roman" w:hAnsi="Times New Roman" w:cs="Times New Roman"/>
          <w:sz w:val="24"/>
          <w:szCs w:val="24"/>
        </w:rPr>
        <w:t>на  3</w:t>
      </w:r>
      <w:proofErr w:type="gramEnd"/>
      <w:r w:rsidRPr="0054564D">
        <w:rPr>
          <w:rFonts w:ascii="Times New Roman" w:hAnsi="Times New Roman" w:cs="Times New Roman"/>
          <w:sz w:val="24"/>
          <w:szCs w:val="24"/>
        </w:rPr>
        <w:t xml:space="preserve">. 46% по сравнению с 2019годом но  рост в 2019г </w:t>
      </w:r>
      <w:r w:rsidRPr="0054564D">
        <w:rPr>
          <w:rFonts w:ascii="Times New Roman" w:hAnsi="Times New Roman" w:cs="Times New Roman"/>
          <w:color w:val="000000"/>
          <w:sz w:val="24"/>
          <w:szCs w:val="24"/>
        </w:rPr>
        <w:t>14,76</w:t>
      </w:r>
      <w:r w:rsidRPr="0054564D">
        <w:rPr>
          <w:rFonts w:ascii="Times New Roman" w:hAnsi="Times New Roman" w:cs="Times New Roman"/>
          <w:sz w:val="24"/>
          <w:szCs w:val="24"/>
        </w:rPr>
        <w:t>% по сравнению с 2018 годом  ;</w:t>
      </w:r>
    </w:p>
    <w:p w:rsidR="008F3AF5" w:rsidRPr="0054564D" w:rsidRDefault="008F3AF5" w:rsidP="006A23B3">
      <w:pPr>
        <w:numPr>
          <w:ilvl w:val="0"/>
          <w:numId w:val="3"/>
        </w:numPr>
        <w:tabs>
          <w:tab w:val="clear" w:pos="1446"/>
        </w:tabs>
        <w:spacing w:after="0" w:line="240" w:lineRule="auto"/>
        <w:ind w:left="709" w:firstLine="0"/>
        <w:jc w:val="both"/>
        <w:rPr>
          <w:rFonts w:ascii="Times New Roman" w:hAnsi="Times New Roman" w:cs="Times New Roman"/>
          <w:sz w:val="24"/>
          <w:szCs w:val="24"/>
        </w:rPr>
      </w:pPr>
      <w:r w:rsidRPr="0054564D">
        <w:rPr>
          <w:rFonts w:ascii="Times New Roman" w:hAnsi="Times New Roman" w:cs="Times New Roman"/>
          <w:sz w:val="24"/>
          <w:szCs w:val="24"/>
        </w:rPr>
        <w:t xml:space="preserve"> Болезни нервной системы на 6.8% по сравнению с 2019</w:t>
      </w:r>
      <w:r w:rsidR="00A521EB">
        <w:rPr>
          <w:rFonts w:ascii="Times New Roman" w:hAnsi="Times New Roman" w:cs="Times New Roman"/>
          <w:sz w:val="24"/>
          <w:szCs w:val="24"/>
        </w:rPr>
        <w:t xml:space="preserve"> </w:t>
      </w:r>
      <w:proofErr w:type="gramStart"/>
      <w:r w:rsidRPr="0054564D">
        <w:rPr>
          <w:rFonts w:ascii="Times New Roman" w:hAnsi="Times New Roman" w:cs="Times New Roman"/>
          <w:sz w:val="24"/>
          <w:szCs w:val="24"/>
        </w:rPr>
        <w:t>годом ,</w:t>
      </w:r>
      <w:proofErr w:type="gramEnd"/>
      <w:r w:rsidRPr="0054564D">
        <w:rPr>
          <w:rFonts w:ascii="Times New Roman" w:hAnsi="Times New Roman" w:cs="Times New Roman"/>
          <w:sz w:val="24"/>
          <w:szCs w:val="24"/>
        </w:rPr>
        <w:t xml:space="preserve"> но рост в 2019г на  </w:t>
      </w:r>
      <w:r w:rsidRPr="0054564D">
        <w:rPr>
          <w:rFonts w:ascii="Times New Roman" w:hAnsi="Times New Roman" w:cs="Times New Roman"/>
          <w:color w:val="000000"/>
          <w:sz w:val="24"/>
          <w:szCs w:val="24"/>
        </w:rPr>
        <w:t>4,45</w:t>
      </w:r>
      <w:r w:rsidRPr="0054564D">
        <w:rPr>
          <w:rFonts w:ascii="Times New Roman" w:hAnsi="Times New Roman" w:cs="Times New Roman"/>
          <w:sz w:val="24"/>
          <w:szCs w:val="24"/>
        </w:rPr>
        <w:t>%  по сравнению с 2018 годом  ;</w:t>
      </w:r>
    </w:p>
    <w:p w:rsidR="008F3AF5" w:rsidRPr="0054564D" w:rsidRDefault="008F3AF5" w:rsidP="006A23B3">
      <w:pPr>
        <w:numPr>
          <w:ilvl w:val="0"/>
          <w:numId w:val="3"/>
        </w:numPr>
        <w:tabs>
          <w:tab w:val="clear" w:pos="1446"/>
          <w:tab w:val="num" w:pos="851"/>
        </w:tabs>
        <w:spacing w:after="0" w:line="240" w:lineRule="auto"/>
        <w:ind w:left="709" w:firstLine="0"/>
        <w:jc w:val="both"/>
        <w:rPr>
          <w:rFonts w:ascii="Times New Roman" w:hAnsi="Times New Roman" w:cs="Times New Roman"/>
          <w:sz w:val="24"/>
          <w:szCs w:val="24"/>
        </w:rPr>
      </w:pPr>
      <w:r w:rsidRPr="0054564D">
        <w:rPr>
          <w:rFonts w:ascii="Times New Roman" w:hAnsi="Times New Roman" w:cs="Times New Roman"/>
          <w:sz w:val="24"/>
          <w:szCs w:val="24"/>
        </w:rPr>
        <w:t xml:space="preserve">       Врожденные аномалии на 64.1%, по сравнению с 2019</w:t>
      </w:r>
      <w:proofErr w:type="gramStart"/>
      <w:r w:rsidRPr="0054564D">
        <w:rPr>
          <w:rFonts w:ascii="Times New Roman" w:hAnsi="Times New Roman" w:cs="Times New Roman"/>
          <w:sz w:val="24"/>
          <w:szCs w:val="24"/>
        </w:rPr>
        <w:t>годом ,</w:t>
      </w:r>
      <w:proofErr w:type="gramEnd"/>
      <w:r w:rsidRPr="0054564D">
        <w:rPr>
          <w:rFonts w:ascii="Times New Roman" w:hAnsi="Times New Roman" w:cs="Times New Roman"/>
          <w:sz w:val="24"/>
          <w:szCs w:val="24"/>
        </w:rPr>
        <w:t xml:space="preserve"> но рост в 2019г на </w:t>
      </w:r>
      <w:r w:rsidRPr="0054564D">
        <w:rPr>
          <w:rFonts w:ascii="Times New Roman" w:hAnsi="Times New Roman" w:cs="Times New Roman"/>
          <w:color w:val="000000"/>
          <w:sz w:val="24"/>
          <w:szCs w:val="24"/>
        </w:rPr>
        <w:t>4,03</w:t>
      </w:r>
      <w:r w:rsidRPr="0054564D">
        <w:rPr>
          <w:rFonts w:ascii="Times New Roman" w:hAnsi="Times New Roman" w:cs="Times New Roman"/>
          <w:sz w:val="24"/>
          <w:szCs w:val="24"/>
        </w:rPr>
        <w:t xml:space="preserve"> % по сравнению с 2018 годом  ;</w:t>
      </w:r>
    </w:p>
    <w:p w:rsidR="008F3AF5" w:rsidRPr="0054564D" w:rsidRDefault="008F3AF5" w:rsidP="006A23B3">
      <w:pPr>
        <w:numPr>
          <w:ilvl w:val="0"/>
          <w:numId w:val="3"/>
        </w:numPr>
        <w:tabs>
          <w:tab w:val="clear" w:pos="1446"/>
        </w:tabs>
        <w:spacing w:after="0" w:line="240" w:lineRule="auto"/>
        <w:ind w:left="709" w:firstLine="0"/>
        <w:jc w:val="both"/>
        <w:rPr>
          <w:rFonts w:ascii="Times New Roman" w:hAnsi="Times New Roman" w:cs="Times New Roman"/>
          <w:sz w:val="24"/>
          <w:szCs w:val="24"/>
        </w:rPr>
      </w:pPr>
      <w:r w:rsidRPr="0054564D">
        <w:rPr>
          <w:rFonts w:ascii="Times New Roman" w:hAnsi="Times New Roman" w:cs="Times New Roman"/>
          <w:sz w:val="24"/>
          <w:szCs w:val="24"/>
        </w:rPr>
        <w:t>Болезни мочеполовой системы на10,1</w:t>
      </w:r>
      <w:proofErr w:type="gramStart"/>
      <w:r w:rsidRPr="0054564D">
        <w:rPr>
          <w:rFonts w:ascii="Times New Roman" w:hAnsi="Times New Roman" w:cs="Times New Roman"/>
          <w:sz w:val="24"/>
          <w:szCs w:val="24"/>
        </w:rPr>
        <w:t xml:space="preserve">%  </w:t>
      </w:r>
      <w:bookmarkStart w:id="21" w:name="_Hlk63338013"/>
      <w:r w:rsidRPr="0054564D">
        <w:rPr>
          <w:rFonts w:ascii="Times New Roman" w:hAnsi="Times New Roman" w:cs="Times New Roman"/>
          <w:sz w:val="24"/>
          <w:szCs w:val="24"/>
        </w:rPr>
        <w:t>по</w:t>
      </w:r>
      <w:proofErr w:type="gramEnd"/>
      <w:r w:rsidRPr="0054564D">
        <w:rPr>
          <w:rFonts w:ascii="Times New Roman" w:hAnsi="Times New Roman" w:cs="Times New Roman"/>
          <w:sz w:val="24"/>
          <w:szCs w:val="24"/>
        </w:rPr>
        <w:t xml:space="preserve"> сравнению с 2019годом , но рост в 2019г </w:t>
      </w:r>
      <w:bookmarkEnd w:id="21"/>
      <w:r w:rsidRPr="0054564D">
        <w:rPr>
          <w:rFonts w:ascii="Times New Roman" w:hAnsi="Times New Roman" w:cs="Times New Roman"/>
          <w:sz w:val="24"/>
          <w:szCs w:val="24"/>
        </w:rPr>
        <w:t>на 19,81 % по сравнению с 2018 годом  ;</w:t>
      </w:r>
    </w:p>
    <w:p w:rsidR="008F3AF5" w:rsidRPr="0054564D" w:rsidRDefault="008F3AF5" w:rsidP="006A23B3">
      <w:pPr>
        <w:numPr>
          <w:ilvl w:val="0"/>
          <w:numId w:val="3"/>
        </w:numPr>
        <w:tabs>
          <w:tab w:val="clear" w:pos="1446"/>
          <w:tab w:val="num" w:pos="360"/>
        </w:tabs>
        <w:spacing w:after="0" w:line="240" w:lineRule="auto"/>
        <w:ind w:left="709" w:firstLine="0"/>
        <w:jc w:val="both"/>
        <w:rPr>
          <w:rFonts w:ascii="Times New Roman" w:hAnsi="Times New Roman" w:cs="Times New Roman"/>
          <w:sz w:val="24"/>
          <w:szCs w:val="24"/>
        </w:rPr>
      </w:pPr>
      <w:r w:rsidRPr="0054564D">
        <w:rPr>
          <w:rFonts w:ascii="Times New Roman" w:hAnsi="Times New Roman" w:cs="Times New Roman"/>
          <w:sz w:val="24"/>
          <w:szCs w:val="24"/>
        </w:rPr>
        <w:t>Болезни органов пищеварения на 11,6% по сравнению с 2019</w:t>
      </w:r>
      <w:proofErr w:type="gramStart"/>
      <w:r w:rsidRPr="0054564D">
        <w:rPr>
          <w:rFonts w:ascii="Times New Roman" w:hAnsi="Times New Roman" w:cs="Times New Roman"/>
          <w:sz w:val="24"/>
          <w:szCs w:val="24"/>
        </w:rPr>
        <w:t>годом ,</w:t>
      </w:r>
      <w:proofErr w:type="gramEnd"/>
      <w:r w:rsidRPr="0054564D">
        <w:rPr>
          <w:rFonts w:ascii="Times New Roman" w:hAnsi="Times New Roman" w:cs="Times New Roman"/>
          <w:sz w:val="24"/>
          <w:szCs w:val="24"/>
        </w:rPr>
        <w:t xml:space="preserve"> но рост в 2019г на 2,37 % по сравнению с 2018 годом  ;</w:t>
      </w:r>
    </w:p>
    <w:p w:rsidR="008F3AF5" w:rsidRPr="0054564D" w:rsidRDefault="008F3AF5" w:rsidP="006A23B3">
      <w:pPr>
        <w:numPr>
          <w:ilvl w:val="0"/>
          <w:numId w:val="3"/>
        </w:numPr>
        <w:tabs>
          <w:tab w:val="clear" w:pos="1446"/>
          <w:tab w:val="num" w:pos="360"/>
        </w:tabs>
        <w:spacing w:after="0" w:line="240" w:lineRule="auto"/>
        <w:ind w:left="709" w:firstLine="0"/>
        <w:jc w:val="both"/>
        <w:rPr>
          <w:rFonts w:ascii="Times New Roman" w:hAnsi="Times New Roman" w:cs="Times New Roman"/>
          <w:sz w:val="24"/>
          <w:szCs w:val="24"/>
        </w:rPr>
      </w:pPr>
      <w:r w:rsidRPr="0054564D">
        <w:rPr>
          <w:rFonts w:ascii="Times New Roman" w:hAnsi="Times New Roman" w:cs="Times New Roman"/>
          <w:sz w:val="24"/>
          <w:szCs w:val="24"/>
        </w:rPr>
        <w:t xml:space="preserve">Болезни костно-мышечной системы и </w:t>
      </w:r>
      <w:proofErr w:type="gramStart"/>
      <w:r w:rsidRPr="0054564D">
        <w:rPr>
          <w:rFonts w:ascii="Times New Roman" w:hAnsi="Times New Roman" w:cs="Times New Roman"/>
          <w:sz w:val="24"/>
          <w:szCs w:val="24"/>
        </w:rPr>
        <w:t>соединительной  ткани</w:t>
      </w:r>
      <w:proofErr w:type="gramEnd"/>
      <w:r w:rsidRPr="0054564D">
        <w:rPr>
          <w:rFonts w:ascii="Times New Roman" w:hAnsi="Times New Roman" w:cs="Times New Roman"/>
          <w:sz w:val="24"/>
          <w:szCs w:val="24"/>
        </w:rPr>
        <w:t xml:space="preserve"> на11,5%  по сравнению с 2019годом , но рост в по сравнению с 2017годом );</w:t>
      </w:r>
    </w:p>
    <w:p w:rsidR="008F3AF5" w:rsidRPr="0054564D" w:rsidRDefault="008F3AF5" w:rsidP="006A23B3">
      <w:pPr>
        <w:numPr>
          <w:ilvl w:val="0"/>
          <w:numId w:val="3"/>
        </w:numPr>
        <w:tabs>
          <w:tab w:val="clear" w:pos="1446"/>
          <w:tab w:val="num" w:pos="360"/>
        </w:tabs>
        <w:spacing w:after="0" w:line="240" w:lineRule="auto"/>
        <w:ind w:left="709" w:firstLine="0"/>
        <w:jc w:val="both"/>
        <w:rPr>
          <w:rFonts w:ascii="Times New Roman" w:hAnsi="Times New Roman" w:cs="Times New Roman"/>
          <w:sz w:val="24"/>
          <w:szCs w:val="24"/>
        </w:rPr>
      </w:pPr>
      <w:r w:rsidRPr="0054564D">
        <w:rPr>
          <w:rFonts w:ascii="Times New Roman" w:hAnsi="Times New Roman" w:cs="Times New Roman"/>
          <w:sz w:val="24"/>
          <w:szCs w:val="24"/>
        </w:rPr>
        <w:t>Болезни глаза и его придаточного аппарата на27,8</w:t>
      </w:r>
      <w:proofErr w:type="gramStart"/>
      <w:r w:rsidRPr="0054564D">
        <w:rPr>
          <w:rFonts w:ascii="Times New Roman" w:hAnsi="Times New Roman" w:cs="Times New Roman"/>
          <w:sz w:val="24"/>
          <w:szCs w:val="24"/>
        </w:rPr>
        <w:t>%  по</w:t>
      </w:r>
      <w:proofErr w:type="gramEnd"/>
      <w:r w:rsidRPr="0054564D">
        <w:rPr>
          <w:rFonts w:ascii="Times New Roman" w:hAnsi="Times New Roman" w:cs="Times New Roman"/>
          <w:sz w:val="24"/>
          <w:szCs w:val="24"/>
        </w:rPr>
        <w:t xml:space="preserve"> сравнению с 2019годом , но рост в 2019г  на 12,86%  по сравнению с 2018 годом  ;</w:t>
      </w:r>
    </w:p>
    <w:p w:rsidR="008F3AF5" w:rsidRPr="0054564D" w:rsidRDefault="008F3AF5" w:rsidP="006A23B3">
      <w:pPr>
        <w:numPr>
          <w:ilvl w:val="0"/>
          <w:numId w:val="3"/>
        </w:numPr>
        <w:tabs>
          <w:tab w:val="clear" w:pos="1446"/>
          <w:tab w:val="num" w:pos="360"/>
        </w:tabs>
        <w:spacing w:after="0" w:line="240" w:lineRule="auto"/>
        <w:ind w:left="709" w:firstLine="0"/>
        <w:jc w:val="both"/>
        <w:rPr>
          <w:rFonts w:ascii="Times New Roman" w:hAnsi="Times New Roman" w:cs="Times New Roman"/>
          <w:sz w:val="24"/>
          <w:szCs w:val="24"/>
        </w:rPr>
      </w:pPr>
      <w:r w:rsidRPr="0054564D">
        <w:rPr>
          <w:rFonts w:ascii="Times New Roman" w:hAnsi="Times New Roman" w:cs="Times New Roman"/>
          <w:sz w:val="24"/>
          <w:szCs w:val="24"/>
        </w:rPr>
        <w:t xml:space="preserve">Болезни уха и сосцевидного </w:t>
      </w:r>
      <w:proofErr w:type="gramStart"/>
      <w:r w:rsidRPr="0054564D">
        <w:rPr>
          <w:rFonts w:ascii="Times New Roman" w:hAnsi="Times New Roman" w:cs="Times New Roman"/>
          <w:sz w:val="24"/>
          <w:szCs w:val="24"/>
        </w:rPr>
        <w:t>отростка  на</w:t>
      </w:r>
      <w:proofErr w:type="gramEnd"/>
      <w:r w:rsidRPr="0054564D">
        <w:rPr>
          <w:rFonts w:ascii="Times New Roman" w:hAnsi="Times New Roman" w:cs="Times New Roman"/>
          <w:sz w:val="24"/>
          <w:szCs w:val="24"/>
        </w:rPr>
        <w:t xml:space="preserve"> 14,9% по сравнению с 2019годом , но рост в 2019г на </w:t>
      </w:r>
      <w:r w:rsidRPr="0054564D">
        <w:rPr>
          <w:rFonts w:ascii="Times New Roman" w:hAnsi="Times New Roman" w:cs="Times New Roman"/>
          <w:color w:val="000000"/>
          <w:sz w:val="24"/>
          <w:szCs w:val="24"/>
        </w:rPr>
        <w:t>9,79</w:t>
      </w:r>
      <w:r w:rsidRPr="0054564D">
        <w:rPr>
          <w:rFonts w:ascii="Times New Roman" w:hAnsi="Times New Roman" w:cs="Times New Roman"/>
          <w:sz w:val="24"/>
          <w:szCs w:val="24"/>
        </w:rPr>
        <w:t>%  по сравнению с 2018 годом  ;</w:t>
      </w:r>
    </w:p>
    <w:p w:rsidR="008F3AF5" w:rsidRPr="0054564D" w:rsidRDefault="008F3AF5" w:rsidP="006A23B3">
      <w:pPr>
        <w:numPr>
          <w:ilvl w:val="0"/>
          <w:numId w:val="3"/>
        </w:numPr>
        <w:tabs>
          <w:tab w:val="clear" w:pos="1446"/>
          <w:tab w:val="num" w:pos="360"/>
        </w:tabs>
        <w:spacing w:after="0" w:line="240" w:lineRule="auto"/>
        <w:ind w:left="709" w:firstLine="0"/>
        <w:jc w:val="both"/>
        <w:rPr>
          <w:rFonts w:ascii="Times New Roman" w:hAnsi="Times New Roman" w:cs="Times New Roman"/>
          <w:sz w:val="24"/>
          <w:szCs w:val="24"/>
        </w:rPr>
      </w:pPr>
      <w:r w:rsidRPr="0054564D">
        <w:rPr>
          <w:rFonts w:ascii="Times New Roman" w:hAnsi="Times New Roman" w:cs="Times New Roman"/>
          <w:sz w:val="24"/>
          <w:szCs w:val="24"/>
        </w:rPr>
        <w:lastRenderedPageBreak/>
        <w:t>Болезни системы кровообращения на 12,9% по сравнению с 2019</w:t>
      </w:r>
      <w:proofErr w:type="gramStart"/>
      <w:r w:rsidRPr="0054564D">
        <w:rPr>
          <w:rFonts w:ascii="Times New Roman" w:hAnsi="Times New Roman" w:cs="Times New Roman"/>
          <w:sz w:val="24"/>
          <w:szCs w:val="24"/>
        </w:rPr>
        <w:t>годом ,</w:t>
      </w:r>
      <w:proofErr w:type="gramEnd"/>
      <w:r w:rsidRPr="0054564D">
        <w:rPr>
          <w:rFonts w:ascii="Times New Roman" w:hAnsi="Times New Roman" w:cs="Times New Roman"/>
          <w:sz w:val="24"/>
          <w:szCs w:val="24"/>
        </w:rPr>
        <w:t xml:space="preserve"> но рост в 2019г на </w:t>
      </w:r>
      <w:r w:rsidRPr="0054564D">
        <w:rPr>
          <w:rFonts w:ascii="Times New Roman" w:hAnsi="Times New Roman" w:cs="Times New Roman"/>
          <w:color w:val="000000"/>
          <w:sz w:val="24"/>
          <w:szCs w:val="24"/>
        </w:rPr>
        <w:t>26,38</w:t>
      </w:r>
      <w:r w:rsidRPr="0054564D">
        <w:rPr>
          <w:rFonts w:ascii="Times New Roman" w:hAnsi="Times New Roman" w:cs="Times New Roman"/>
          <w:sz w:val="24"/>
          <w:szCs w:val="24"/>
        </w:rPr>
        <w:t>%  по сравнению с 2018 годом  ;</w:t>
      </w:r>
    </w:p>
    <w:p w:rsidR="008F3AF5" w:rsidRPr="0054564D" w:rsidRDefault="008F3AF5" w:rsidP="006A23B3">
      <w:pPr>
        <w:numPr>
          <w:ilvl w:val="0"/>
          <w:numId w:val="3"/>
        </w:numPr>
        <w:tabs>
          <w:tab w:val="clear" w:pos="1446"/>
          <w:tab w:val="num" w:pos="360"/>
        </w:tabs>
        <w:spacing w:after="0" w:line="240" w:lineRule="auto"/>
        <w:ind w:left="360" w:firstLine="349"/>
        <w:jc w:val="both"/>
        <w:rPr>
          <w:rFonts w:ascii="Times New Roman" w:hAnsi="Times New Roman" w:cs="Times New Roman"/>
          <w:sz w:val="24"/>
          <w:szCs w:val="24"/>
        </w:rPr>
      </w:pPr>
      <w:r w:rsidRPr="0054564D">
        <w:rPr>
          <w:rFonts w:ascii="Times New Roman" w:hAnsi="Times New Roman" w:cs="Times New Roman"/>
          <w:sz w:val="24"/>
          <w:szCs w:val="24"/>
        </w:rPr>
        <w:t>Болезни кожи и подкожной клетчатки на 3,9% по сравнению с 2019</w:t>
      </w:r>
      <w:proofErr w:type="gramStart"/>
      <w:r w:rsidRPr="0054564D">
        <w:rPr>
          <w:rFonts w:ascii="Times New Roman" w:hAnsi="Times New Roman" w:cs="Times New Roman"/>
          <w:sz w:val="24"/>
          <w:szCs w:val="24"/>
        </w:rPr>
        <w:t>годом ,</w:t>
      </w:r>
      <w:proofErr w:type="gramEnd"/>
      <w:r w:rsidRPr="0054564D">
        <w:rPr>
          <w:rFonts w:ascii="Times New Roman" w:hAnsi="Times New Roman" w:cs="Times New Roman"/>
          <w:sz w:val="24"/>
          <w:szCs w:val="24"/>
        </w:rPr>
        <w:t xml:space="preserve"> но рост в 2019г на 5,17 % по сравнению с 2018 годом;    </w:t>
      </w:r>
    </w:p>
    <w:p w:rsidR="008F3AF5" w:rsidRPr="0054564D" w:rsidRDefault="008F3AF5" w:rsidP="006A23B3">
      <w:pPr>
        <w:numPr>
          <w:ilvl w:val="0"/>
          <w:numId w:val="3"/>
        </w:numPr>
        <w:tabs>
          <w:tab w:val="clear" w:pos="1446"/>
          <w:tab w:val="num" w:pos="360"/>
        </w:tabs>
        <w:spacing w:after="0" w:line="240" w:lineRule="auto"/>
        <w:ind w:left="709" w:firstLine="0"/>
        <w:jc w:val="both"/>
        <w:rPr>
          <w:rFonts w:ascii="Times New Roman" w:hAnsi="Times New Roman" w:cs="Times New Roman"/>
          <w:sz w:val="24"/>
          <w:szCs w:val="24"/>
        </w:rPr>
      </w:pPr>
      <w:r w:rsidRPr="0054564D">
        <w:rPr>
          <w:rFonts w:ascii="Times New Roman" w:hAnsi="Times New Roman" w:cs="Times New Roman"/>
          <w:sz w:val="24"/>
          <w:szCs w:val="24"/>
        </w:rPr>
        <w:t>П</w:t>
      </w:r>
      <w:r w:rsidRPr="0054564D">
        <w:rPr>
          <w:rFonts w:ascii="Times New Roman" w:hAnsi="Times New Roman" w:cs="Times New Roman"/>
        </w:rPr>
        <w:t>сихические расстройства и расстройства поведения</w:t>
      </w:r>
      <w:r w:rsidRPr="0054564D">
        <w:rPr>
          <w:rFonts w:ascii="Times New Roman" w:hAnsi="Times New Roman" w:cs="Times New Roman"/>
          <w:sz w:val="24"/>
          <w:szCs w:val="24"/>
        </w:rPr>
        <w:t xml:space="preserve"> на 6.7% по сравнению с 2019</w:t>
      </w:r>
      <w:proofErr w:type="gramStart"/>
      <w:r w:rsidRPr="0054564D">
        <w:rPr>
          <w:rFonts w:ascii="Times New Roman" w:hAnsi="Times New Roman" w:cs="Times New Roman"/>
          <w:sz w:val="24"/>
          <w:szCs w:val="24"/>
        </w:rPr>
        <w:t>годом  и</w:t>
      </w:r>
      <w:proofErr w:type="gramEnd"/>
      <w:r w:rsidRPr="0054564D">
        <w:rPr>
          <w:rFonts w:ascii="Times New Roman" w:hAnsi="Times New Roman" w:cs="Times New Roman"/>
          <w:sz w:val="24"/>
          <w:szCs w:val="24"/>
        </w:rPr>
        <w:t xml:space="preserve"> в 2019г  на </w:t>
      </w:r>
      <w:r w:rsidRPr="0054564D">
        <w:rPr>
          <w:rFonts w:ascii="Times New Roman" w:hAnsi="Times New Roman" w:cs="Times New Roman"/>
          <w:color w:val="000000"/>
          <w:sz w:val="24"/>
          <w:szCs w:val="24"/>
        </w:rPr>
        <w:t>1,64</w:t>
      </w:r>
      <w:r w:rsidRPr="0054564D">
        <w:rPr>
          <w:rFonts w:ascii="Times New Roman" w:hAnsi="Times New Roman" w:cs="Times New Roman"/>
          <w:sz w:val="24"/>
          <w:szCs w:val="24"/>
        </w:rPr>
        <w:t>%  по сравнению с 2018 годом  ;</w:t>
      </w:r>
    </w:p>
    <w:p w:rsidR="008F3AF5" w:rsidRPr="0054564D" w:rsidRDefault="008F3AF5" w:rsidP="006A23B3">
      <w:pPr>
        <w:numPr>
          <w:ilvl w:val="0"/>
          <w:numId w:val="3"/>
        </w:numPr>
        <w:tabs>
          <w:tab w:val="clear" w:pos="1446"/>
          <w:tab w:val="num" w:pos="360"/>
        </w:tabs>
        <w:spacing w:after="0" w:line="240" w:lineRule="auto"/>
        <w:ind w:left="709" w:firstLine="0"/>
        <w:rPr>
          <w:rFonts w:ascii="Times New Roman" w:hAnsi="Times New Roman" w:cs="Times New Roman"/>
          <w:sz w:val="24"/>
          <w:szCs w:val="24"/>
        </w:rPr>
      </w:pPr>
      <w:r w:rsidRPr="0054564D">
        <w:rPr>
          <w:rFonts w:ascii="Times New Roman" w:hAnsi="Times New Roman" w:cs="Times New Roman"/>
          <w:sz w:val="24"/>
          <w:szCs w:val="24"/>
        </w:rPr>
        <w:t>Беременность, роды и послеродовый период на 35,3</w:t>
      </w:r>
      <w:proofErr w:type="gramStart"/>
      <w:r w:rsidRPr="0054564D">
        <w:rPr>
          <w:rFonts w:ascii="Times New Roman" w:hAnsi="Times New Roman" w:cs="Times New Roman"/>
          <w:sz w:val="24"/>
          <w:szCs w:val="24"/>
        </w:rPr>
        <w:t>%  по</w:t>
      </w:r>
      <w:proofErr w:type="gramEnd"/>
      <w:r w:rsidRPr="0054564D">
        <w:rPr>
          <w:rFonts w:ascii="Times New Roman" w:hAnsi="Times New Roman" w:cs="Times New Roman"/>
          <w:sz w:val="24"/>
          <w:szCs w:val="24"/>
        </w:rPr>
        <w:t xml:space="preserve"> сравнению с 2019годом  и в 2019г  ;</w:t>
      </w:r>
    </w:p>
    <w:p w:rsidR="008F3AF5" w:rsidRPr="0054564D" w:rsidRDefault="008F3AF5" w:rsidP="0054564D">
      <w:pPr>
        <w:spacing w:after="0" w:line="240" w:lineRule="auto"/>
        <w:ind w:left="709"/>
        <w:jc w:val="both"/>
        <w:rPr>
          <w:rFonts w:ascii="Times New Roman" w:hAnsi="Times New Roman" w:cs="Times New Roman"/>
          <w:sz w:val="24"/>
          <w:szCs w:val="24"/>
        </w:rPr>
      </w:pPr>
      <w:r w:rsidRPr="0054564D">
        <w:rPr>
          <w:rFonts w:ascii="Times New Roman" w:hAnsi="Times New Roman" w:cs="Times New Roman"/>
          <w:sz w:val="24"/>
          <w:szCs w:val="24"/>
        </w:rPr>
        <w:t xml:space="preserve">Отдельные состояния в перинатальный период в 2020году не зарегистрированы. </w:t>
      </w:r>
    </w:p>
    <w:p w:rsidR="008F3AF5" w:rsidRPr="0054564D" w:rsidRDefault="008F3AF5" w:rsidP="0054564D">
      <w:pPr>
        <w:pStyle w:val="a5"/>
        <w:jc w:val="both"/>
        <w:rPr>
          <w:b/>
          <w:sz w:val="24"/>
          <w:szCs w:val="24"/>
          <w:lang w:val="ru-RU"/>
        </w:rPr>
      </w:pPr>
      <w:r w:rsidRPr="0054564D">
        <w:rPr>
          <w:b/>
          <w:sz w:val="24"/>
          <w:szCs w:val="24"/>
          <w:lang w:val="ru-RU"/>
        </w:rPr>
        <w:t xml:space="preserve">                 В 2020 году </w:t>
      </w:r>
      <w:r w:rsidRPr="0054564D">
        <w:rPr>
          <w:b/>
          <w:sz w:val="24"/>
          <w:szCs w:val="24"/>
        </w:rPr>
        <w:t xml:space="preserve">зарегистрировано заболеваний, связанных с микронутриентной недостаточностью </w:t>
      </w:r>
      <w:proofErr w:type="gramStart"/>
      <w:r w:rsidRPr="0054564D">
        <w:rPr>
          <w:b/>
          <w:sz w:val="24"/>
          <w:szCs w:val="24"/>
        </w:rPr>
        <w:t>1318</w:t>
      </w:r>
      <w:r w:rsidRPr="0054564D">
        <w:rPr>
          <w:b/>
          <w:sz w:val="24"/>
          <w:szCs w:val="24"/>
          <w:lang w:val="ru-RU"/>
        </w:rPr>
        <w:t xml:space="preserve"> </w:t>
      </w:r>
      <w:r w:rsidRPr="0054564D">
        <w:rPr>
          <w:b/>
          <w:sz w:val="24"/>
          <w:szCs w:val="24"/>
        </w:rPr>
        <w:t>,</w:t>
      </w:r>
      <w:proofErr w:type="gramEnd"/>
      <w:r w:rsidRPr="0054564D">
        <w:rPr>
          <w:b/>
          <w:sz w:val="24"/>
          <w:szCs w:val="24"/>
          <w:lang w:val="ru-RU"/>
        </w:rPr>
        <w:t xml:space="preserve"> показатель заболеваемости  на 1000 населения составил</w:t>
      </w:r>
      <w:r w:rsidRPr="0054564D">
        <w:rPr>
          <w:b/>
          <w:sz w:val="24"/>
          <w:szCs w:val="24"/>
        </w:rPr>
        <w:t xml:space="preserve"> 33,08</w:t>
      </w:r>
      <w:r w:rsidRPr="0054564D">
        <w:rPr>
          <w:b/>
          <w:sz w:val="24"/>
          <w:szCs w:val="24"/>
          <w:lang w:val="ru-RU"/>
        </w:rPr>
        <w:t>,что на 10,5%% меньше уровня  заболеваемости болезнями  данной группы   в 2019году из них :</w:t>
      </w:r>
    </w:p>
    <w:p w:rsidR="008F3AF5" w:rsidRPr="0054564D" w:rsidRDefault="008F3AF5" w:rsidP="0054564D">
      <w:pPr>
        <w:pStyle w:val="a5"/>
        <w:jc w:val="both"/>
        <w:rPr>
          <w:b/>
          <w:color w:val="000000"/>
          <w:sz w:val="24"/>
          <w:szCs w:val="24"/>
        </w:rPr>
      </w:pPr>
      <w:r w:rsidRPr="0054564D">
        <w:rPr>
          <w:b/>
          <w:sz w:val="24"/>
          <w:szCs w:val="24"/>
          <w:lang w:val="ru-RU"/>
        </w:rPr>
        <w:t>-</w:t>
      </w:r>
      <w:r w:rsidRPr="0054564D">
        <w:rPr>
          <w:b/>
          <w:color w:val="000000"/>
          <w:sz w:val="24"/>
          <w:szCs w:val="24"/>
        </w:rPr>
        <w:t xml:space="preserve"> синдром врожденной й</w:t>
      </w:r>
      <w:r w:rsidRPr="0054564D">
        <w:rPr>
          <w:b/>
          <w:color w:val="000000"/>
          <w:sz w:val="24"/>
          <w:szCs w:val="24"/>
          <w:lang w:val="ru-RU"/>
        </w:rPr>
        <w:t>о</w:t>
      </w:r>
      <w:r w:rsidRPr="0054564D">
        <w:rPr>
          <w:b/>
          <w:color w:val="000000"/>
          <w:sz w:val="24"/>
          <w:szCs w:val="24"/>
        </w:rPr>
        <w:t>дной недостаточности</w:t>
      </w:r>
      <w:r w:rsidRPr="0054564D">
        <w:rPr>
          <w:b/>
          <w:color w:val="000000"/>
          <w:sz w:val="24"/>
          <w:szCs w:val="24"/>
          <w:lang w:val="ru-RU"/>
        </w:rPr>
        <w:t xml:space="preserve">, </w:t>
      </w:r>
      <w:bookmarkStart w:id="22" w:name="_Hlk63339526"/>
      <w:r w:rsidRPr="0054564D">
        <w:rPr>
          <w:b/>
          <w:color w:val="000000"/>
          <w:sz w:val="24"/>
          <w:szCs w:val="24"/>
          <w:lang w:val="ru-RU"/>
        </w:rPr>
        <w:t>регистрируется снижение на 16,6 %, по сравнению с 2019годом;</w:t>
      </w:r>
      <w:r w:rsidRPr="0054564D">
        <w:rPr>
          <w:b/>
          <w:color w:val="000000"/>
          <w:sz w:val="24"/>
          <w:szCs w:val="24"/>
        </w:rPr>
        <w:t xml:space="preserve"> </w:t>
      </w:r>
    </w:p>
    <w:bookmarkEnd w:id="22"/>
    <w:p w:rsidR="008F3AF5" w:rsidRPr="0054564D" w:rsidRDefault="008F3AF5" w:rsidP="0054564D">
      <w:pPr>
        <w:pStyle w:val="a5"/>
        <w:jc w:val="both"/>
        <w:rPr>
          <w:b/>
          <w:color w:val="000000"/>
          <w:sz w:val="24"/>
          <w:szCs w:val="24"/>
        </w:rPr>
      </w:pPr>
      <w:r w:rsidRPr="0054564D">
        <w:rPr>
          <w:b/>
          <w:sz w:val="24"/>
          <w:szCs w:val="24"/>
          <w:lang w:val="ru-RU"/>
        </w:rPr>
        <w:t>-</w:t>
      </w:r>
      <w:r w:rsidRPr="0054564D">
        <w:rPr>
          <w:b/>
          <w:color w:val="000000"/>
          <w:sz w:val="24"/>
          <w:szCs w:val="24"/>
        </w:rPr>
        <w:t xml:space="preserve"> эндемический зоб, связанный с йодной недостаточностью</w:t>
      </w:r>
      <w:r w:rsidRPr="0054564D">
        <w:rPr>
          <w:b/>
          <w:color w:val="000000"/>
          <w:sz w:val="24"/>
          <w:szCs w:val="24"/>
          <w:lang w:val="ru-RU"/>
        </w:rPr>
        <w:t xml:space="preserve"> регистрируется снижение на 14,2</w:t>
      </w:r>
      <w:proofErr w:type="gramStart"/>
      <w:r w:rsidRPr="0054564D">
        <w:rPr>
          <w:b/>
          <w:color w:val="000000"/>
          <w:sz w:val="24"/>
          <w:szCs w:val="24"/>
          <w:lang w:val="ru-RU"/>
        </w:rPr>
        <w:t>% ,</w:t>
      </w:r>
      <w:proofErr w:type="gramEnd"/>
      <w:r w:rsidRPr="0054564D">
        <w:rPr>
          <w:b/>
          <w:color w:val="000000"/>
          <w:sz w:val="24"/>
          <w:szCs w:val="24"/>
          <w:lang w:val="ru-RU"/>
        </w:rPr>
        <w:t xml:space="preserve"> по сравнению с 2019годом;</w:t>
      </w:r>
      <w:r w:rsidRPr="0054564D">
        <w:rPr>
          <w:b/>
          <w:color w:val="000000"/>
          <w:sz w:val="24"/>
          <w:szCs w:val="24"/>
        </w:rPr>
        <w:t xml:space="preserve"> </w:t>
      </w:r>
    </w:p>
    <w:p w:rsidR="008F3AF5" w:rsidRPr="0054564D" w:rsidRDefault="008F3AF5" w:rsidP="0054564D">
      <w:pPr>
        <w:pStyle w:val="a5"/>
        <w:jc w:val="both"/>
        <w:rPr>
          <w:b/>
          <w:color w:val="000000"/>
          <w:sz w:val="24"/>
          <w:szCs w:val="24"/>
        </w:rPr>
      </w:pPr>
      <w:r w:rsidRPr="0054564D">
        <w:rPr>
          <w:b/>
          <w:color w:val="000000"/>
          <w:sz w:val="24"/>
          <w:szCs w:val="24"/>
          <w:lang w:val="ru-RU"/>
        </w:rPr>
        <w:t>-</w:t>
      </w:r>
      <w:r w:rsidRPr="0054564D">
        <w:rPr>
          <w:b/>
          <w:color w:val="000000"/>
          <w:sz w:val="24"/>
          <w:szCs w:val="24"/>
        </w:rPr>
        <w:t xml:space="preserve"> субклинический гипотериоз вследствие йодной недостаточности</w:t>
      </w:r>
      <w:r w:rsidRPr="0054564D">
        <w:rPr>
          <w:b/>
          <w:sz w:val="24"/>
          <w:szCs w:val="24"/>
          <w:lang w:val="ru-RU"/>
        </w:rPr>
        <w:t xml:space="preserve"> </w:t>
      </w:r>
      <w:r w:rsidRPr="0054564D">
        <w:rPr>
          <w:b/>
          <w:color w:val="000000"/>
          <w:sz w:val="24"/>
          <w:szCs w:val="24"/>
          <w:lang w:val="ru-RU"/>
        </w:rPr>
        <w:t>регистрируется снижение на 17.6</w:t>
      </w:r>
      <w:proofErr w:type="gramStart"/>
      <w:r w:rsidRPr="0054564D">
        <w:rPr>
          <w:b/>
          <w:color w:val="000000"/>
          <w:sz w:val="24"/>
          <w:szCs w:val="24"/>
          <w:lang w:val="ru-RU"/>
        </w:rPr>
        <w:t>% ,</w:t>
      </w:r>
      <w:proofErr w:type="gramEnd"/>
      <w:r w:rsidRPr="0054564D">
        <w:rPr>
          <w:b/>
          <w:color w:val="000000"/>
          <w:sz w:val="24"/>
          <w:szCs w:val="24"/>
          <w:lang w:val="ru-RU"/>
        </w:rPr>
        <w:t xml:space="preserve"> по сравнению с 2019годом;</w:t>
      </w:r>
      <w:r w:rsidRPr="0054564D">
        <w:rPr>
          <w:b/>
          <w:color w:val="000000"/>
          <w:sz w:val="24"/>
          <w:szCs w:val="24"/>
        </w:rPr>
        <w:t xml:space="preserve"> </w:t>
      </w:r>
    </w:p>
    <w:p w:rsidR="008F3AF5" w:rsidRPr="0054564D" w:rsidRDefault="008F3AF5" w:rsidP="0054564D">
      <w:pPr>
        <w:pStyle w:val="a5"/>
        <w:jc w:val="both"/>
        <w:rPr>
          <w:b/>
          <w:color w:val="000000"/>
          <w:sz w:val="24"/>
          <w:szCs w:val="24"/>
          <w:lang w:val="ru-RU"/>
        </w:rPr>
      </w:pPr>
      <w:r w:rsidRPr="0054564D">
        <w:rPr>
          <w:b/>
          <w:color w:val="000000"/>
          <w:sz w:val="24"/>
          <w:szCs w:val="24"/>
          <w:lang w:val="ru-RU"/>
        </w:rPr>
        <w:t>-</w:t>
      </w:r>
      <w:r w:rsidRPr="0054564D">
        <w:rPr>
          <w:b/>
          <w:color w:val="000000"/>
          <w:sz w:val="24"/>
          <w:szCs w:val="24"/>
        </w:rPr>
        <w:t xml:space="preserve"> другие формы нетоксического зоба</w:t>
      </w:r>
      <w:r w:rsidRPr="0054564D">
        <w:rPr>
          <w:b/>
          <w:color w:val="000000"/>
          <w:sz w:val="24"/>
          <w:szCs w:val="24"/>
          <w:lang w:val="ru-RU"/>
        </w:rPr>
        <w:t>,</w:t>
      </w:r>
      <w:r w:rsidRPr="0054564D">
        <w:rPr>
          <w:b/>
          <w:sz w:val="24"/>
          <w:szCs w:val="24"/>
          <w:lang w:val="ru-RU"/>
        </w:rPr>
        <w:t xml:space="preserve"> </w:t>
      </w:r>
      <w:r w:rsidRPr="0054564D">
        <w:rPr>
          <w:b/>
          <w:color w:val="000000"/>
          <w:sz w:val="24"/>
          <w:szCs w:val="24"/>
          <w:lang w:val="ru-RU"/>
        </w:rPr>
        <w:t>регистрируется снижение на 10.6</w:t>
      </w:r>
      <w:proofErr w:type="gramStart"/>
      <w:r w:rsidRPr="0054564D">
        <w:rPr>
          <w:b/>
          <w:color w:val="000000"/>
          <w:sz w:val="24"/>
          <w:szCs w:val="24"/>
          <w:lang w:val="ru-RU"/>
        </w:rPr>
        <w:t>% ,</w:t>
      </w:r>
      <w:proofErr w:type="gramEnd"/>
      <w:r w:rsidRPr="0054564D">
        <w:rPr>
          <w:b/>
          <w:color w:val="000000"/>
          <w:sz w:val="24"/>
          <w:szCs w:val="24"/>
          <w:lang w:val="ru-RU"/>
        </w:rPr>
        <w:t xml:space="preserve"> по сравнению с 2019годом;</w:t>
      </w:r>
    </w:p>
    <w:p w:rsidR="008F3AF5" w:rsidRPr="0054564D" w:rsidRDefault="008F3AF5" w:rsidP="0054564D">
      <w:pPr>
        <w:pStyle w:val="a5"/>
        <w:jc w:val="both"/>
        <w:rPr>
          <w:b/>
          <w:color w:val="000000"/>
          <w:sz w:val="24"/>
          <w:szCs w:val="24"/>
          <w:lang w:val="ru-RU"/>
        </w:rPr>
      </w:pPr>
      <w:r w:rsidRPr="0054564D">
        <w:rPr>
          <w:b/>
          <w:sz w:val="24"/>
          <w:szCs w:val="24"/>
          <w:lang w:val="ru-RU"/>
        </w:rPr>
        <w:t>-</w:t>
      </w:r>
      <w:r w:rsidRPr="0054564D">
        <w:rPr>
          <w:b/>
          <w:color w:val="000000"/>
          <w:sz w:val="24"/>
          <w:szCs w:val="24"/>
        </w:rPr>
        <w:t xml:space="preserve"> тиреотоксикоз (гипертериоз)</w:t>
      </w:r>
      <w:r w:rsidRPr="0054564D">
        <w:rPr>
          <w:b/>
          <w:color w:val="000000"/>
          <w:sz w:val="24"/>
          <w:szCs w:val="24"/>
          <w:lang w:val="ru-RU"/>
        </w:rPr>
        <w:t>,</w:t>
      </w:r>
      <w:r w:rsidRPr="0054564D">
        <w:rPr>
          <w:b/>
          <w:color w:val="000000"/>
          <w:sz w:val="24"/>
          <w:szCs w:val="24"/>
        </w:rPr>
        <w:t xml:space="preserve"> </w:t>
      </w:r>
      <w:r w:rsidRPr="0054564D">
        <w:rPr>
          <w:b/>
          <w:color w:val="000000"/>
          <w:sz w:val="24"/>
          <w:szCs w:val="24"/>
          <w:lang w:val="ru-RU"/>
        </w:rPr>
        <w:t xml:space="preserve">регистрируется незначительное на 0,6% повышение по сравнению с 2019годом;  </w:t>
      </w:r>
    </w:p>
    <w:p w:rsidR="008F3AF5" w:rsidRPr="0054564D" w:rsidRDefault="008F3AF5" w:rsidP="0054564D">
      <w:pPr>
        <w:pStyle w:val="a5"/>
        <w:jc w:val="both"/>
        <w:rPr>
          <w:b/>
          <w:sz w:val="24"/>
          <w:szCs w:val="24"/>
          <w:lang w:val="ru-RU"/>
        </w:rPr>
      </w:pPr>
      <w:r w:rsidRPr="0054564D">
        <w:rPr>
          <w:b/>
          <w:color w:val="000000"/>
          <w:sz w:val="24"/>
          <w:szCs w:val="24"/>
          <w:lang w:val="ru-RU"/>
        </w:rPr>
        <w:t>-</w:t>
      </w:r>
      <w:r w:rsidRPr="0054564D">
        <w:rPr>
          <w:b/>
          <w:color w:val="000000"/>
          <w:sz w:val="24"/>
          <w:szCs w:val="24"/>
        </w:rPr>
        <w:t xml:space="preserve"> тиреоидит</w:t>
      </w:r>
      <w:r w:rsidRPr="0054564D">
        <w:rPr>
          <w:b/>
          <w:color w:val="000000"/>
          <w:sz w:val="24"/>
          <w:szCs w:val="24"/>
          <w:lang w:val="ru-RU"/>
        </w:rPr>
        <w:t>,</w:t>
      </w:r>
      <w:r w:rsidRPr="0054564D">
        <w:rPr>
          <w:b/>
          <w:sz w:val="24"/>
          <w:szCs w:val="24"/>
          <w:lang w:val="ru-RU"/>
        </w:rPr>
        <w:t xml:space="preserve"> </w:t>
      </w:r>
      <w:r w:rsidRPr="0054564D">
        <w:rPr>
          <w:b/>
          <w:color w:val="000000"/>
          <w:sz w:val="24"/>
          <w:szCs w:val="24"/>
          <w:lang w:val="ru-RU"/>
        </w:rPr>
        <w:t>регистрируется снижение на 7,4</w:t>
      </w:r>
      <w:proofErr w:type="gramStart"/>
      <w:r w:rsidRPr="0054564D">
        <w:rPr>
          <w:b/>
          <w:color w:val="000000"/>
          <w:sz w:val="24"/>
          <w:szCs w:val="24"/>
          <w:lang w:val="ru-RU"/>
        </w:rPr>
        <w:t>% ,</w:t>
      </w:r>
      <w:proofErr w:type="gramEnd"/>
      <w:r w:rsidRPr="0054564D">
        <w:rPr>
          <w:b/>
          <w:color w:val="000000"/>
          <w:sz w:val="24"/>
          <w:szCs w:val="24"/>
          <w:lang w:val="ru-RU"/>
        </w:rPr>
        <w:t xml:space="preserve"> по сравнению с 2019годом ( таблица № 12).</w:t>
      </w:r>
    </w:p>
    <w:p w:rsidR="008F3AF5" w:rsidRPr="0054564D" w:rsidRDefault="008F3AF5" w:rsidP="0054564D">
      <w:pPr>
        <w:spacing w:after="0" w:line="240" w:lineRule="auto"/>
        <w:jc w:val="right"/>
        <w:rPr>
          <w:rFonts w:ascii="Times New Roman" w:hAnsi="Times New Roman" w:cs="Times New Roman"/>
        </w:rPr>
      </w:pPr>
      <w:r w:rsidRPr="0054564D">
        <w:rPr>
          <w:rFonts w:ascii="Times New Roman" w:hAnsi="Times New Roman" w:cs="Times New Roman"/>
        </w:rPr>
        <w:t>Таблица № 12</w:t>
      </w:r>
    </w:p>
    <w:p w:rsidR="008F3AF5" w:rsidRPr="0054564D" w:rsidRDefault="008F3AF5" w:rsidP="0054564D">
      <w:pPr>
        <w:pStyle w:val="a5"/>
        <w:ind w:left="786"/>
        <w:jc w:val="both"/>
        <w:rPr>
          <w:sz w:val="24"/>
          <w:szCs w:val="24"/>
          <w:lang w:val="ru-RU"/>
        </w:rPr>
      </w:pPr>
      <w:r w:rsidRPr="0054564D">
        <w:rPr>
          <w:sz w:val="24"/>
          <w:szCs w:val="24"/>
          <w:lang w:val="ru-RU"/>
        </w:rPr>
        <w:t xml:space="preserve">Динамика заболеваний, связанных с микронутриентной недостаточностью населения г. Пыть-Ях 2018-2020гг. </w:t>
      </w:r>
    </w:p>
    <w:tbl>
      <w:tblPr>
        <w:tblW w:w="97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850"/>
        <w:gridCol w:w="1134"/>
        <w:gridCol w:w="1134"/>
        <w:gridCol w:w="992"/>
        <w:gridCol w:w="1276"/>
        <w:gridCol w:w="1561"/>
      </w:tblGrid>
      <w:tr w:rsidR="008F3AF5" w:rsidRPr="0054564D" w:rsidTr="00630798">
        <w:trPr>
          <w:cantSplit/>
          <w:trHeight w:val="113"/>
        </w:trPr>
        <w:tc>
          <w:tcPr>
            <w:tcW w:w="2836" w:type="dxa"/>
          </w:tcPr>
          <w:p w:rsidR="008F3AF5" w:rsidRPr="0054564D" w:rsidRDefault="008F3AF5" w:rsidP="0054564D">
            <w:pPr>
              <w:spacing w:before="20" w:after="0" w:line="240" w:lineRule="auto"/>
              <w:ind w:left="57"/>
              <w:jc w:val="center"/>
              <w:rPr>
                <w:rFonts w:ascii="Times New Roman" w:hAnsi="Times New Roman" w:cs="Times New Roman"/>
                <w:bCs/>
              </w:rPr>
            </w:pPr>
            <w:r w:rsidRPr="0054564D">
              <w:rPr>
                <w:rFonts w:ascii="Times New Roman" w:hAnsi="Times New Roman" w:cs="Times New Roman"/>
                <w:bCs/>
              </w:rPr>
              <w:t>Наименование классов и отдельных болезней</w:t>
            </w:r>
          </w:p>
          <w:p w:rsidR="008F3AF5" w:rsidRPr="0054564D" w:rsidRDefault="008F3AF5" w:rsidP="0054564D">
            <w:pPr>
              <w:spacing w:before="20" w:after="0" w:line="240" w:lineRule="auto"/>
              <w:ind w:left="57"/>
              <w:jc w:val="center"/>
              <w:rPr>
                <w:rFonts w:ascii="Times New Roman" w:hAnsi="Times New Roman" w:cs="Times New Roman"/>
                <w:bCs/>
              </w:rPr>
            </w:pPr>
          </w:p>
        </w:tc>
        <w:tc>
          <w:tcPr>
            <w:tcW w:w="1984" w:type="dxa"/>
            <w:gridSpan w:val="2"/>
          </w:tcPr>
          <w:p w:rsidR="008F3AF5" w:rsidRPr="0054564D" w:rsidRDefault="008F3AF5" w:rsidP="0054564D">
            <w:pPr>
              <w:spacing w:before="20" w:after="0" w:line="240" w:lineRule="auto"/>
              <w:ind w:left="57"/>
              <w:jc w:val="center"/>
              <w:rPr>
                <w:rFonts w:ascii="Times New Roman" w:hAnsi="Times New Roman" w:cs="Times New Roman"/>
                <w:bCs/>
              </w:rPr>
            </w:pPr>
            <w:r w:rsidRPr="0054564D">
              <w:rPr>
                <w:rFonts w:ascii="Times New Roman" w:hAnsi="Times New Roman" w:cs="Times New Roman"/>
                <w:bCs/>
              </w:rPr>
              <w:t>2018</w:t>
            </w:r>
          </w:p>
        </w:tc>
        <w:tc>
          <w:tcPr>
            <w:tcW w:w="2126" w:type="dxa"/>
            <w:gridSpan w:val="2"/>
          </w:tcPr>
          <w:p w:rsidR="008F3AF5" w:rsidRPr="0054564D" w:rsidRDefault="008F3AF5" w:rsidP="0054564D">
            <w:pPr>
              <w:spacing w:before="20" w:after="0" w:line="240" w:lineRule="auto"/>
              <w:ind w:left="57"/>
              <w:jc w:val="center"/>
              <w:rPr>
                <w:rFonts w:ascii="Times New Roman" w:hAnsi="Times New Roman" w:cs="Times New Roman"/>
                <w:bCs/>
              </w:rPr>
            </w:pPr>
            <w:r w:rsidRPr="0054564D">
              <w:rPr>
                <w:rFonts w:ascii="Times New Roman" w:hAnsi="Times New Roman" w:cs="Times New Roman"/>
                <w:bCs/>
              </w:rPr>
              <w:t>2019</w:t>
            </w:r>
          </w:p>
        </w:tc>
        <w:tc>
          <w:tcPr>
            <w:tcW w:w="2837" w:type="dxa"/>
            <w:gridSpan w:val="2"/>
          </w:tcPr>
          <w:p w:rsidR="008F3AF5" w:rsidRPr="0054564D" w:rsidRDefault="008F3AF5" w:rsidP="0054564D">
            <w:pPr>
              <w:spacing w:before="20" w:after="0" w:line="240" w:lineRule="auto"/>
              <w:ind w:left="57"/>
              <w:jc w:val="center"/>
              <w:rPr>
                <w:rFonts w:ascii="Times New Roman" w:hAnsi="Times New Roman" w:cs="Times New Roman"/>
                <w:bCs/>
              </w:rPr>
            </w:pPr>
            <w:r w:rsidRPr="0054564D">
              <w:rPr>
                <w:rFonts w:ascii="Times New Roman" w:hAnsi="Times New Roman" w:cs="Times New Roman"/>
                <w:bCs/>
              </w:rPr>
              <w:t>2020</w:t>
            </w:r>
          </w:p>
        </w:tc>
      </w:tr>
      <w:tr w:rsidR="008F3AF5" w:rsidRPr="0054564D" w:rsidTr="00630798">
        <w:trPr>
          <w:trHeight w:val="255"/>
        </w:trPr>
        <w:tc>
          <w:tcPr>
            <w:tcW w:w="2836" w:type="dxa"/>
          </w:tcPr>
          <w:p w:rsidR="008F3AF5" w:rsidRPr="0054564D" w:rsidRDefault="008F3AF5" w:rsidP="0054564D">
            <w:pPr>
              <w:spacing w:before="20" w:after="0" w:line="240" w:lineRule="auto"/>
              <w:ind w:left="57"/>
              <w:jc w:val="center"/>
              <w:rPr>
                <w:rFonts w:ascii="Times New Roman" w:hAnsi="Times New Roman" w:cs="Times New Roman"/>
                <w:bCs/>
              </w:rPr>
            </w:pPr>
            <w:r w:rsidRPr="0054564D">
              <w:rPr>
                <w:rFonts w:ascii="Times New Roman" w:hAnsi="Times New Roman" w:cs="Times New Roman"/>
                <w:bCs/>
              </w:rPr>
              <w:t>Всего</w:t>
            </w:r>
          </w:p>
        </w:tc>
        <w:tc>
          <w:tcPr>
            <w:tcW w:w="850" w:type="dxa"/>
          </w:tcPr>
          <w:p w:rsidR="008F3AF5" w:rsidRPr="0054564D" w:rsidRDefault="008F3AF5" w:rsidP="0054564D">
            <w:pPr>
              <w:spacing w:before="20" w:after="0" w:line="240" w:lineRule="auto"/>
              <w:ind w:left="57"/>
              <w:jc w:val="center"/>
              <w:rPr>
                <w:rFonts w:ascii="Times New Roman" w:hAnsi="Times New Roman" w:cs="Times New Roman"/>
                <w:color w:val="000000"/>
              </w:rPr>
            </w:pPr>
            <w:r w:rsidRPr="0054564D">
              <w:rPr>
                <w:rFonts w:ascii="Times New Roman" w:hAnsi="Times New Roman" w:cs="Times New Roman"/>
                <w:color w:val="000000"/>
              </w:rPr>
              <w:t>абс</w:t>
            </w:r>
          </w:p>
        </w:tc>
        <w:tc>
          <w:tcPr>
            <w:tcW w:w="1134" w:type="dxa"/>
          </w:tcPr>
          <w:p w:rsidR="008F3AF5" w:rsidRPr="0054564D" w:rsidRDefault="008F3AF5" w:rsidP="0054564D">
            <w:pPr>
              <w:spacing w:before="20" w:after="0" w:line="240" w:lineRule="auto"/>
              <w:ind w:left="57"/>
              <w:jc w:val="center"/>
              <w:rPr>
                <w:rFonts w:ascii="Times New Roman" w:hAnsi="Times New Roman" w:cs="Times New Roman"/>
                <w:color w:val="000000"/>
              </w:rPr>
            </w:pPr>
            <w:r w:rsidRPr="0054564D">
              <w:rPr>
                <w:rFonts w:ascii="Times New Roman" w:hAnsi="Times New Roman" w:cs="Times New Roman"/>
                <w:color w:val="000000"/>
              </w:rPr>
              <w:t>показатель на 1000нас</w:t>
            </w:r>
          </w:p>
        </w:tc>
        <w:tc>
          <w:tcPr>
            <w:tcW w:w="1134" w:type="dxa"/>
          </w:tcPr>
          <w:p w:rsidR="008F3AF5" w:rsidRPr="0054564D" w:rsidRDefault="008F3AF5" w:rsidP="0054564D">
            <w:pPr>
              <w:spacing w:before="20" w:after="0" w:line="240" w:lineRule="auto"/>
              <w:ind w:left="57"/>
              <w:jc w:val="center"/>
              <w:rPr>
                <w:rFonts w:ascii="Times New Roman" w:hAnsi="Times New Roman" w:cs="Times New Roman"/>
                <w:color w:val="000000"/>
              </w:rPr>
            </w:pPr>
            <w:r w:rsidRPr="0054564D">
              <w:rPr>
                <w:rFonts w:ascii="Times New Roman" w:hAnsi="Times New Roman" w:cs="Times New Roman"/>
                <w:color w:val="000000"/>
              </w:rPr>
              <w:t>абс</w:t>
            </w:r>
          </w:p>
        </w:tc>
        <w:tc>
          <w:tcPr>
            <w:tcW w:w="992" w:type="dxa"/>
          </w:tcPr>
          <w:p w:rsidR="008F3AF5" w:rsidRPr="0054564D" w:rsidRDefault="008F3AF5" w:rsidP="0054564D">
            <w:pPr>
              <w:spacing w:before="20" w:after="0" w:line="240" w:lineRule="auto"/>
              <w:ind w:left="57"/>
              <w:jc w:val="center"/>
              <w:rPr>
                <w:rFonts w:ascii="Times New Roman" w:hAnsi="Times New Roman" w:cs="Times New Roman"/>
                <w:color w:val="000000"/>
              </w:rPr>
            </w:pPr>
            <w:r w:rsidRPr="0054564D">
              <w:rPr>
                <w:rFonts w:ascii="Times New Roman" w:hAnsi="Times New Roman" w:cs="Times New Roman"/>
                <w:color w:val="000000"/>
              </w:rPr>
              <w:t>показатель на 1000нас</w:t>
            </w:r>
          </w:p>
        </w:tc>
        <w:tc>
          <w:tcPr>
            <w:tcW w:w="1276" w:type="dxa"/>
          </w:tcPr>
          <w:p w:rsidR="008F3AF5" w:rsidRPr="0054564D" w:rsidRDefault="008F3AF5" w:rsidP="0054564D">
            <w:pPr>
              <w:spacing w:before="20" w:after="0" w:line="240" w:lineRule="auto"/>
              <w:ind w:left="57"/>
              <w:jc w:val="center"/>
              <w:rPr>
                <w:rFonts w:ascii="Times New Roman" w:hAnsi="Times New Roman" w:cs="Times New Roman"/>
                <w:color w:val="000000"/>
              </w:rPr>
            </w:pPr>
            <w:r w:rsidRPr="0054564D">
              <w:rPr>
                <w:rFonts w:ascii="Times New Roman" w:hAnsi="Times New Roman" w:cs="Times New Roman"/>
                <w:color w:val="000000"/>
              </w:rPr>
              <w:t>абс</w:t>
            </w:r>
          </w:p>
        </w:tc>
        <w:tc>
          <w:tcPr>
            <w:tcW w:w="1561" w:type="dxa"/>
          </w:tcPr>
          <w:p w:rsidR="008F3AF5" w:rsidRPr="0054564D" w:rsidRDefault="008F3AF5" w:rsidP="0054564D">
            <w:pPr>
              <w:spacing w:before="20" w:after="0" w:line="240" w:lineRule="auto"/>
              <w:ind w:left="57"/>
              <w:jc w:val="center"/>
              <w:rPr>
                <w:rFonts w:ascii="Times New Roman" w:hAnsi="Times New Roman" w:cs="Times New Roman"/>
                <w:color w:val="000000"/>
              </w:rPr>
            </w:pPr>
            <w:r w:rsidRPr="0054564D">
              <w:rPr>
                <w:rFonts w:ascii="Times New Roman" w:hAnsi="Times New Roman" w:cs="Times New Roman"/>
                <w:color w:val="000000"/>
              </w:rPr>
              <w:t>показатель на 1000 нас.</w:t>
            </w:r>
          </w:p>
        </w:tc>
      </w:tr>
      <w:tr w:rsidR="008F3AF5" w:rsidRPr="0054564D" w:rsidTr="00630798">
        <w:trPr>
          <w:trHeight w:val="255"/>
        </w:trPr>
        <w:tc>
          <w:tcPr>
            <w:tcW w:w="2836" w:type="dxa"/>
          </w:tcPr>
          <w:p w:rsidR="008F3AF5" w:rsidRPr="0054564D" w:rsidRDefault="008F3AF5" w:rsidP="0054564D">
            <w:pPr>
              <w:spacing w:before="20" w:after="0" w:line="240" w:lineRule="auto"/>
              <w:ind w:left="57"/>
              <w:jc w:val="center"/>
              <w:rPr>
                <w:rFonts w:ascii="Times New Roman" w:hAnsi="Times New Roman" w:cs="Times New Roman"/>
                <w:bCs/>
              </w:rPr>
            </w:pPr>
            <w:r w:rsidRPr="0054564D">
              <w:rPr>
                <w:rFonts w:ascii="Times New Roman" w:hAnsi="Times New Roman" w:cs="Times New Roman"/>
                <w:bCs/>
              </w:rPr>
              <w:t>Всего</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1476</w:t>
            </w:r>
          </w:p>
        </w:tc>
        <w:tc>
          <w:tcPr>
            <w:tcW w:w="1134"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34,99</w:t>
            </w:r>
          </w:p>
        </w:tc>
        <w:tc>
          <w:tcPr>
            <w:tcW w:w="1134"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1524</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36,97</w:t>
            </w:r>
          </w:p>
        </w:tc>
        <w:tc>
          <w:tcPr>
            <w:tcW w:w="1276"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1318</w:t>
            </w:r>
          </w:p>
        </w:tc>
        <w:tc>
          <w:tcPr>
            <w:tcW w:w="1561"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33,08</w:t>
            </w:r>
          </w:p>
        </w:tc>
      </w:tr>
      <w:tr w:rsidR="008F3AF5" w:rsidRPr="0054564D" w:rsidTr="00630798">
        <w:trPr>
          <w:trHeight w:val="207"/>
        </w:trPr>
        <w:tc>
          <w:tcPr>
            <w:tcW w:w="2836" w:type="dxa"/>
          </w:tcPr>
          <w:p w:rsidR="008F3AF5" w:rsidRPr="0054564D" w:rsidRDefault="008F3AF5" w:rsidP="0054564D">
            <w:pPr>
              <w:pStyle w:val="a5"/>
              <w:jc w:val="both"/>
              <w:rPr>
                <w:b/>
                <w:sz w:val="24"/>
                <w:szCs w:val="24"/>
              </w:rPr>
            </w:pPr>
            <w:r w:rsidRPr="0054564D">
              <w:rPr>
                <w:b/>
                <w:sz w:val="24"/>
                <w:szCs w:val="24"/>
              </w:rPr>
              <w:t xml:space="preserve">эндемический зоб, связанный с йодной недостаточностью </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357</w:t>
            </w:r>
          </w:p>
        </w:tc>
        <w:tc>
          <w:tcPr>
            <w:tcW w:w="1134"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8,46</w:t>
            </w:r>
          </w:p>
        </w:tc>
        <w:tc>
          <w:tcPr>
            <w:tcW w:w="1134"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310</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7,52</w:t>
            </w:r>
          </w:p>
        </w:tc>
        <w:tc>
          <w:tcPr>
            <w:tcW w:w="1276"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257</w:t>
            </w:r>
          </w:p>
        </w:tc>
        <w:tc>
          <w:tcPr>
            <w:tcW w:w="1561"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6,45</w:t>
            </w:r>
          </w:p>
        </w:tc>
      </w:tr>
      <w:tr w:rsidR="008F3AF5" w:rsidRPr="0054564D" w:rsidTr="00630798">
        <w:trPr>
          <w:trHeight w:val="207"/>
        </w:trPr>
        <w:tc>
          <w:tcPr>
            <w:tcW w:w="2836" w:type="dxa"/>
          </w:tcPr>
          <w:p w:rsidR="008F3AF5" w:rsidRPr="0054564D" w:rsidRDefault="008F3AF5" w:rsidP="0054564D">
            <w:pPr>
              <w:pStyle w:val="a5"/>
              <w:jc w:val="both"/>
              <w:rPr>
                <w:b/>
                <w:sz w:val="24"/>
                <w:szCs w:val="24"/>
              </w:rPr>
            </w:pPr>
            <w:r w:rsidRPr="0054564D">
              <w:rPr>
                <w:b/>
                <w:sz w:val="24"/>
                <w:szCs w:val="24"/>
              </w:rPr>
              <w:t xml:space="preserve"> субклинический гипотериоз вследствие йодной недостаточности </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125</w:t>
            </w:r>
          </w:p>
        </w:tc>
        <w:tc>
          <w:tcPr>
            <w:tcW w:w="1134"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2,96</w:t>
            </w:r>
          </w:p>
        </w:tc>
        <w:tc>
          <w:tcPr>
            <w:tcW w:w="1134"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162</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3,93</w:t>
            </w:r>
          </w:p>
        </w:tc>
        <w:tc>
          <w:tcPr>
            <w:tcW w:w="1276"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129</w:t>
            </w:r>
          </w:p>
        </w:tc>
        <w:tc>
          <w:tcPr>
            <w:tcW w:w="1561"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3,24</w:t>
            </w:r>
          </w:p>
        </w:tc>
      </w:tr>
      <w:tr w:rsidR="008F3AF5" w:rsidRPr="0054564D" w:rsidTr="00630798">
        <w:trPr>
          <w:trHeight w:val="207"/>
        </w:trPr>
        <w:tc>
          <w:tcPr>
            <w:tcW w:w="2836" w:type="dxa"/>
          </w:tcPr>
          <w:p w:rsidR="008F3AF5" w:rsidRPr="0054564D" w:rsidRDefault="008F3AF5" w:rsidP="0054564D">
            <w:pPr>
              <w:pStyle w:val="a5"/>
              <w:jc w:val="both"/>
              <w:rPr>
                <w:b/>
                <w:sz w:val="24"/>
                <w:szCs w:val="24"/>
              </w:rPr>
            </w:pPr>
            <w:r w:rsidRPr="0054564D">
              <w:rPr>
                <w:b/>
                <w:sz w:val="24"/>
                <w:szCs w:val="24"/>
              </w:rPr>
              <w:t xml:space="preserve"> другие формы нетоксического зоба </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449</w:t>
            </w:r>
          </w:p>
        </w:tc>
        <w:tc>
          <w:tcPr>
            <w:tcW w:w="1134"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10,64</w:t>
            </w:r>
          </w:p>
        </w:tc>
        <w:tc>
          <w:tcPr>
            <w:tcW w:w="1134"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449</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10,89</w:t>
            </w:r>
          </w:p>
        </w:tc>
        <w:tc>
          <w:tcPr>
            <w:tcW w:w="1276"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388</w:t>
            </w:r>
          </w:p>
        </w:tc>
        <w:tc>
          <w:tcPr>
            <w:tcW w:w="1561"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9,74</w:t>
            </w:r>
          </w:p>
        </w:tc>
      </w:tr>
      <w:tr w:rsidR="008F3AF5" w:rsidRPr="0054564D" w:rsidTr="00630798">
        <w:trPr>
          <w:trHeight w:val="207"/>
        </w:trPr>
        <w:tc>
          <w:tcPr>
            <w:tcW w:w="2836" w:type="dxa"/>
          </w:tcPr>
          <w:p w:rsidR="008F3AF5" w:rsidRPr="0054564D" w:rsidRDefault="008F3AF5" w:rsidP="0054564D">
            <w:pPr>
              <w:pStyle w:val="a5"/>
              <w:jc w:val="both"/>
              <w:rPr>
                <w:b/>
                <w:sz w:val="24"/>
                <w:szCs w:val="24"/>
              </w:rPr>
            </w:pPr>
            <w:r w:rsidRPr="0054564D">
              <w:rPr>
                <w:b/>
                <w:sz w:val="24"/>
                <w:szCs w:val="24"/>
              </w:rPr>
              <w:t xml:space="preserve">-тиреотоксикоз </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69</w:t>
            </w:r>
          </w:p>
        </w:tc>
        <w:tc>
          <w:tcPr>
            <w:tcW w:w="1134"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1,64</w:t>
            </w:r>
          </w:p>
        </w:tc>
        <w:tc>
          <w:tcPr>
            <w:tcW w:w="1134"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69</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1,67</w:t>
            </w:r>
          </w:p>
        </w:tc>
        <w:tc>
          <w:tcPr>
            <w:tcW w:w="1276"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67</w:t>
            </w:r>
          </w:p>
        </w:tc>
        <w:tc>
          <w:tcPr>
            <w:tcW w:w="1561"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1,68</w:t>
            </w:r>
          </w:p>
        </w:tc>
      </w:tr>
      <w:tr w:rsidR="008F3AF5" w:rsidRPr="0054564D" w:rsidTr="00630798">
        <w:trPr>
          <w:trHeight w:val="207"/>
        </w:trPr>
        <w:tc>
          <w:tcPr>
            <w:tcW w:w="2836"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sz w:val="24"/>
                <w:szCs w:val="24"/>
              </w:rPr>
              <w:t xml:space="preserve">-тиреоидит </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465</w:t>
            </w:r>
          </w:p>
        </w:tc>
        <w:tc>
          <w:tcPr>
            <w:tcW w:w="1134"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11,02</w:t>
            </w:r>
          </w:p>
        </w:tc>
        <w:tc>
          <w:tcPr>
            <w:tcW w:w="1134"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524</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12,71</w:t>
            </w:r>
          </w:p>
        </w:tc>
        <w:tc>
          <w:tcPr>
            <w:tcW w:w="1276"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469</w:t>
            </w:r>
          </w:p>
        </w:tc>
        <w:tc>
          <w:tcPr>
            <w:tcW w:w="1561"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11,77</w:t>
            </w:r>
          </w:p>
        </w:tc>
      </w:tr>
      <w:tr w:rsidR="008F3AF5" w:rsidRPr="0054564D" w:rsidTr="00630798">
        <w:trPr>
          <w:trHeight w:val="207"/>
        </w:trPr>
        <w:tc>
          <w:tcPr>
            <w:tcW w:w="2836" w:type="dxa"/>
          </w:tcPr>
          <w:p w:rsidR="008F3AF5" w:rsidRPr="0054564D" w:rsidRDefault="008F3AF5" w:rsidP="0054564D">
            <w:pPr>
              <w:pStyle w:val="a5"/>
              <w:jc w:val="both"/>
              <w:rPr>
                <w:b/>
                <w:sz w:val="24"/>
                <w:szCs w:val="24"/>
                <w:highlight w:val="yellow"/>
              </w:rPr>
            </w:pPr>
            <w:r w:rsidRPr="0054564D">
              <w:rPr>
                <w:b/>
                <w:color w:val="000000"/>
                <w:sz w:val="24"/>
                <w:szCs w:val="24"/>
              </w:rPr>
              <w:t>синдром врожденной й</w:t>
            </w:r>
            <w:r w:rsidRPr="0054564D">
              <w:rPr>
                <w:b/>
                <w:color w:val="000000"/>
                <w:sz w:val="24"/>
                <w:szCs w:val="24"/>
                <w:lang w:val="ru-RU"/>
              </w:rPr>
              <w:t>о</w:t>
            </w:r>
            <w:r w:rsidRPr="0054564D">
              <w:rPr>
                <w:b/>
                <w:color w:val="000000"/>
                <w:sz w:val="24"/>
                <w:szCs w:val="24"/>
              </w:rPr>
              <w:t>дной недостаточности</w:t>
            </w:r>
          </w:p>
        </w:tc>
        <w:tc>
          <w:tcPr>
            <w:tcW w:w="850" w:type="dxa"/>
          </w:tcPr>
          <w:p w:rsidR="008F3AF5" w:rsidRPr="0054564D" w:rsidRDefault="008F3AF5" w:rsidP="0054564D">
            <w:pPr>
              <w:spacing w:after="0" w:line="240" w:lineRule="auto"/>
              <w:jc w:val="center"/>
              <w:rPr>
                <w:rFonts w:ascii="Times New Roman" w:hAnsi="Times New Roman" w:cs="Times New Roman"/>
                <w:color w:val="000000"/>
                <w:highlight w:val="yellow"/>
              </w:rPr>
            </w:pPr>
            <w:r w:rsidRPr="0054564D">
              <w:rPr>
                <w:rFonts w:ascii="Times New Roman" w:hAnsi="Times New Roman" w:cs="Times New Roman"/>
              </w:rPr>
              <w:t>11</w:t>
            </w:r>
          </w:p>
        </w:tc>
        <w:tc>
          <w:tcPr>
            <w:tcW w:w="1134" w:type="dxa"/>
          </w:tcPr>
          <w:p w:rsidR="008F3AF5" w:rsidRPr="0054564D" w:rsidRDefault="008F3AF5" w:rsidP="0054564D">
            <w:pPr>
              <w:spacing w:after="0" w:line="240" w:lineRule="auto"/>
              <w:jc w:val="center"/>
              <w:rPr>
                <w:rFonts w:ascii="Times New Roman" w:hAnsi="Times New Roman" w:cs="Times New Roman"/>
                <w:color w:val="000000"/>
                <w:highlight w:val="yellow"/>
              </w:rPr>
            </w:pPr>
            <w:r w:rsidRPr="0054564D">
              <w:rPr>
                <w:rFonts w:ascii="Times New Roman" w:hAnsi="Times New Roman" w:cs="Times New Roman"/>
              </w:rPr>
              <w:t>0,26</w:t>
            </w:r>
          </w:p>
        </w:tc>
        <w:tc>
          <w:tcPr>
            <w:tcW w:w="1134" w:type="dxa"/>
          </w:tcPr>
          <w:p w:rsidR="008F3AF5" w:rsidRPr="0054564D" w:rsidRDefault="008F3AF5" w:rsidP="0054564D">
            <w:pPr>
              <w:spacing w:after="0" w:line="240" w:lineRule="auto"/>
              <w:jc w:val="center"/>
              <w:rPr>
                <w:rFonts w:ascii="Times New Roman" w:hAnsi="Times New Roman" w:cs="Times New Roman"/>
                <w:color w:val="000000"/>
                <w:highlight w:val="yellow"/>
              </w:rPr>
            </w:pPr>
            <w:r w:rsidRPr="0054564D">
              <w:rPr>
                <w:rFonts w:ascii="Times New Roman" w:hAnsi="Times New Roman" w:cs="Times New Roman"/>
              </w:rPr>
              <w:t>10</w:t>
            </w:r>
          </w:p>
        </w:tc>
        <w:tc>
          <w:tcPr>
            <w:tcW w:w="992" w:type="dxa"/>
          </w:tcPr>
          <w:p w:rsidR="008F3AF5" w:rsidRPr="0054564D" w:rsidRDefault="008F3AF5" w:rsidP="0054564D">
            <w:pPr>
              <w:spacing w:after="0" w:line="240" w:lineRule="auto"/>
              <w:jc w:val="center"/>
              <w:rPr>
                <w:rFonts w:ascii="Times New Roman" w:hAnsi="Times New Roman" w:cs="Times New Roman"/>
                <w:color w:val="000000"/>
                <w:highlight w:val="yellow"/>
              </w:rPr>
            </w:pPr>
            <w:r w:rsidRPr="0054564D">
              <w:rPr>
                <w:rFonts w:ascii="Times New Roman" w:hAnsi="Times New Roman" w:cs="Times New Roman"/>
              </w:rPr>
              <w:t>0,24</w:t>
            </w:r>
          </w:p>
        </w:tc>
        <w:tc>
          <w:tcPr>
            <w:tcW w:w="1276"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8</w:t>
            </w:r>
          </w:p>
        </w:tc>
        <w:tc>
          <w:tcPr>
            <w:tcW w:w="1561"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0,20</w:t>
            </w:r>
          </w:p>
        </w:tc>
      </w:tr>
    </w:tbl>
    <w:p w:rsidR="008F3AF5" w:rsidRPr="0054564D" w:rsidRDefault="008F3AF5" w:rsidP="0054564D">
      <w:pPr>
        <w:spacing w:after="0" w:line="240" w:lineRule="auto"/>
        <w:ind w:firstLine="720"/>
        <w:jc w:val="both"/>
        <w:rPr>
          <w:rFonts w:ascii="Times New Roman" w:hAnsi="Times New Roman" w:cs="Times New Roman"/>
        </w:rPr>
      </w:pPr>
      <w:r w:rsidRPr="0054564D">
        <w:rPr>
          <w:rFonts w:ascii="Times New Roman" w:hAnsi="Times New Roman" w:cs="Times New Roman"/>
          <w:sz w:val="24"/>
          <w:szCs w:val="24"/>
        </w:rPr>
        <w:tab/>
        <w:t xml:space="preserve">Ведущее место </w:t>
      </w:r>
      <w:proofErr w:type="gramStart"/>
      <w:r w:rsidRPr="0054564D">
        <w:rPr>
          <w:rFonts w:ascii="Times New Roman" w:hAnsi="Times New Roman" w:cs="Times New Roman"/>
          <w:sz w:val="24"/>
          <w:szCs w:val="24"/>
        </w:rPr>
        <w:t>в  структуре</w:t>
      </w:r>
      <w:proofErr w:type="gramEnd"/>
      <w:r w:rsidRPr="0054564D">
        <w:rPr>
          <w:rFonts w:ascii="Times New Roman" w:hAnsi="Times New Roman" w:cs="Times New Roman"/>
          <w:sz w:val="24"/>
          <w:szCs w:val="24"/>
        </w:rPr>
        <w:t xml:space="preserve"> заболеваемости болезнями, связанными с микронутриентной недостаточностью по прежнему занимает тиреоидит- 35,5% ( в 2019г-34,4%), другие формы  нетоксического  зоба- 29,44% ( в 2019г -29,5%),эндемический зоб, </w:t>
      </w:r>
      <w:r w:rsidRPr="0054564D">
        <w:rPr>
          <w:rFonts w:ascii="Times New Roman" w:hAnsi="Times New Roman" w:cs="Times New Roman"/>
          <w:sz w:val="24"/>
          <w:szCs w:val="24"/>
        </w:rPr>
        <w:lastRenderedPageBreak/>
        <w:t>связанный с  йодной недостаточностью-19,5% ( в 2019г-20,3%,)субклинический  гипотиреоз, в следствии  йодной недостаточности-9.8% (в 2019г-10,6%).</w:t>
      </w:r>
    </w:p>
    <w:p w:rsidR="008F3AF5" w:rsidRPr="0054564D" w:rsidRDefault="008F3AF5" w:rsidP="0054564D">
      <w:pPr>
        <w:pStyle w:val="a5"/>
        <w:jc w:val="both"/>
        <w:rPr>
          <w:b/>
          <w:sz w:val="24"/>
          <w:szCs w:val="24"/>
          <w:lang w:val="ru-RU"/>
        </w:rPr>
      </w:pPr>
      <w:r w:rsidRPr="0054564D">
        <w:rPr>
          <w:b/>
          <w:sz w:val="24"/>
          <w:szCs w:val="24"/>
          <w:lang w:val="ru-RU"/>
        </w:rPr>
        <w:t xml:space="preserve">                 В 2018году </w:t>
      </w:r>
      <w:r w:rsidRPr="0054564D">
        <w:rPr>
          <w:b/>
          <w:sz w:val="24"/>
          <w:szCs w:val="24"/>
        </w:rPr>
        <w:t xml:space="preserve">зарегистрировано заболеваний, связанных с микронутриентной недостаточностью   </w:t>
      </w:r>
      <w:proofErr w:type="gramStart"/>
      <w:r w:rsidRPr="0054564D">
        <w:rPr>
          <w:b/>
          <w:sz w:val="24"/>
          <w:szCs w:val="24"/>
          <w:lang w:val="ru-RU"/>
        </w:rPr>
        <w:t xml:space="preserve">1476 </w:t>
      </w:r>
      <w:r w:rsidRPr="0054564D">
        <w:rPr>
          <w:b/>
          <w:sz w:val="24"/>
          <w:szCs w:val="24"/>
        </w:rPr>
        <w:t>,</w:t>
      </w:r>
      <w:proofErr w:type="gramEnd"/>
      <w:r w:rsidRPr="0054564D">
        <w:rPr>
          <w:b/>
          <w:sz w:val="24"/>
          <w:szCs w:val="24"/>
        </w:rPr>
        <w:t xml:space="preserve"> </w:t>
      </w:r>
      <w:r w:rsidRPr="0054564D">
        <w:rPr>
          <w:b/>
          <w:sz w:val="24"/>
          <w:szCs w:val="24"/>
          <w:lang w:val="ru-RU"/>
        </w:rPr>
        <w:t>в</w:t>
      </w:r>
      <w:r w:rsidRPr="0054564D">
        <w:rPr>
          <w:b/>
          <w:sz w:val="24"/>
          <w:szCs w:val="24"/>
        </w:rPr>
        <w:t xml:space="preserve">едущее место в  структуре заболеваемости болезнями, связанными с </w:t>
      </w:r>
      <w:r w:rsidRPr="0054564D">
        <w:rPr>
          <w:b/>
          <w:sz w:val="24"/>
          <w:szCs w:val="24"/>
          <w:lang w:val="ru-RU"/>
        </w:rPr>
        <w:t>микронутриентной недостаточностью(удельный вес)</w:t>
      </w:r>
      <w:r w:rsidRPr="0054564D">
        <w:rPr>
          <w:b/>
          <w:sz w:val="24"/>
          <w:szCs w:val="24"/>
        </w:rPr>
        <w:t xml:space="preserve"> </w:t>
      </w:r>
      <w:r w:rsidRPr="0054564D">
        <w:rPr>
          <w:b/>
          <w:sz w:val="24"/>
          <w:szCs w:val="24"/>
          <w:lang w:val="ru-RU"/>
        </w:rPr>
        <w:t>занимали :</w:t>
      </w:r>
      <w:r w:rsidRPr="0054564D">
        <w:rPr>
          <w:b/>
          <w:color w:val="000000"/>
          <w:sz w:val="24"/>
          <w:szCs w:val="24"/>
        </w:rPr>
        <w:t xml:space="preserve"> эндемический зоб, связанный с йодной недостаточностью составляет </w:t>
      </w:r>
      <w:r w:rsidRPr="0054564D">
        <w:rPr>
          <w:b/>
          <w:color w:val="000000"/>
          <w:sz w:val="24"/>
          <w:szCs w:val="24"/>
          <w:lang w:val="ru-RU"/>
        </w:rPr>
        <w:t>24</w:t>
      </w:r>
      <w:r w:rsidRPr="0054564D">
        <w:rPr>
          <w:b/>
          <w:color w:val="000000"/>
          <w:sz w:val="24"/>
          <w:szCs w:val="24"/>
        </w:rPr>
        <w:t>,2 % (абс.</w:t>
      </w:r>
      <w:r w:rsidRPr="0054564D">
        <w:rPr>
          <w:b/>
          <w:color w:val="000000"/>
          <w:sz w:val="24"/>
          <w:szCs w:val="24"/>
          <w:lang w:val="ru-RU"/>
        </w:rPr>
        <w:t>357</w:t>
      </w:r>
      <w:r w:rsidRPr="0054564D">
        <w:rPr>
          <w:b/>
          <w:color w:val="000000"/>
          <w:sz w:val="24"/>
          <w:szCs w:val="24"/>
        </w:rPr>
        <w:t>)</w:t>
      </w:r>
      <w:r w:rsidRPr="0054564D">
        <w:rPr>
          <w:b/>
          <w:color w:val="000000"/>
          <w:sz w:val="24"/>
          <w:szCs w:val="24"/>
          <w:lang w:val="ru-RU"/>
        </w:rPr>
        <w:t>,-</w:t>
      </w:r>
      <w:r w:rsidRPr="0054564D">
        <w:rPr>
          <w:b/>
          <w:color w:val="000000"/>
          <w:sz w:val="24"/>
          <w:szCs w:val="24"/>
        </w:rPr>
        <w:t xml:space="preserve"> субклинический гипотериоз вследствие йодной недостаточности составляет 8,</w:t>
      </w:r>
      <w:r w:rsidRPr="0054564D">
        <w:rPr>
          <w:b/>
          <w:color w:val="000000"/>
          <w:sz w:val="24"/>
          <w:szCs w:val="24"/>
          <w:lang w:val="ru-RU"/>
        </w:rPr>
        <w:t>5</w:t>
      </w:r>
      <w:r w:rsidRPr="0054564D">
        <w:rPr>
          <w:b/>
          <w:color w:val="000000"/>
          <w:sz w:val="24"/>
          <w:szCs w:val="24"/>
        </w:rPr>
        <w:t xml:space="preserve"> %  (абс.1</w:t>
      </w:r>
      <w:r w:rsidRPr="0054564D">
        <w:rPr>
          <w:b/>
          <w:color w:val="000000"/>
          <w:sz w:val="24"/>
          <w:szCs w:val="24"/>
          <w:lang w:val="ru-RU"/>
        </w:rPr>
        <w:t>25</w:t>
      </w:r>
      <w:r w:rsidRPr="0054564D">
        <w:rPr>
          <w:b/>
          <w:color w:val="000000"/>
          <w:sz w:val="24"/>
          <w:szCs w:val="24"/>
        </w:rPr>
        <w:t>)</w:t>
      </w:r>
      <w:r w:rsidRPr="0054564D">
        <w:rPr>
          <w:b/>
          <w:color w:val="000000"/>
          <w:sz w:val="24"/>
          <w:szCs w:val="24"/>
          <w:lang w:val="ru-RU"/>
        </w:rPr>
        <w:t>,</w:t>
      </w:r>
      <w:r w:rsidRPr="0054564D">
        <w:rPr>
          <w:b/>
          <w:color w:val="000000"/>
          <w:sz w:val="24"/>
          <w:szCs w:val="24"/>
        </w:rPr>
        <w:t xml:space="preserve"> другие формы нетоксического зоба 3</w:t>
      </w:r>
      <w:r w:rsidRPr="0054564D">
        <w:rPr>
          <w:b/>
          <w:color w:val="000000"/>
          <w:sz w:val="24"/>
          <w:szCs w:val="24"/>
          <w:lang w:val="ru-RU"/>
        </w:rPr>
        <w:t>0</w:t>
      </w:r>
      <w:r w:rsidRPr="0054564D">
        <w:rPr>
          <w:b/>
          <w:color w:val="000000"/>
          <w:sz w:val="24"/>
          <w:szCs w:val="24"/>
        </w:rPr>
        <w:t>,</w:t>
      </w:r>
      <w:r w:rsidRPr="0054564D">
        <w:rPr>
          <w:b/>
          <w:color w:val="000000"/>
          <w:sz w:val="24"/>
          <w:szCs w:val="24"/>
          <w:lang w:val="ru-RU"/>
        </w:rPr>
        <w:t>4</w:t>
      </w:r>
      <w:r w:rsidRPr="0054564D">
        <w:rPr>
          <w:b/>
          <w:color w:val="000000"/>
          <w:sz w:val="24"/>
          <w:szCs w:val="24"/>
        </w:rPr>
        <w:t xml:space="preserve"> % (абс. 4</w:t>
      </w:r>
      <w:r w:rsidRPr="0054564D">
        <w:rPr>
          <w:b/>
          <w:color w:val="000000"/>
          <w:sz w:val="24"/>
          <w:szCs w:val="24"/>
          <w:lang w:val="ru-RU"/>
        </w:rPr>
        <w:t>49</w:t>
      </w:r>
      <w:r w:rsidRPr="0054564D">
        <w:rPr>
          <w:b/>
          <w:color w:val="000000"/>
          <w:sz w:val="24"/>
          <w:szCs w:val="24"/>
        </w:rPr>
        <w:t>)</w:t>
      </w:r>
      <w:r w:rsidRPr="0054564D">
        <w:rPr>
          <w:b/>
          <w:color w:val="000000"/>
          <w:sz w:val="24"/>
          <w:szCs w:val="24"/>
          <w:lang w:val="ru-RU"/>
        </w:rPr>
        <w:t xml:space="preserve">,  </w:t>
      </w:r>
      <w:r w:rsidRPr="0054564D">
        <w:rPr>
          <w:b/>
          <w:color w:val="000000"/>
          <w:sz w:val="24"/>
          <w:szCs w:val="24"/>
        </w:rPr>
        <w:t>тиреоидит- 3</w:t>
      </w:r>
      <w:r w:rsidRPr="0054564D">
        <w:rPr>
          <w:b/>
          <w:color w:val="000000"/>
          <w:sz w:val="24"/>
          <w:szCs w:val="24"/>
          <w:lang w:val="ru-RU"/>
        </w:rPr>
        <w:t>1</w:t>
      </w:r>
      <w:r w:rsidRPr="0054564D">
        <w:rPr>
          <w:b/>
          <w:color w:val="000000"/>
          <w:sz w:val="24"/>
          <w:szCs w:val="24"/>
        </w:rPr>
        <w:t>,</w:t>
      </w:r>
      <w:r w:rsidRPr="0054564D">
        <w:rPr>
          <w:b/>
          <w:color w:val="000000"/>
          <w:sz w:val="24"/>
          <w:szCs w:val="24"/>
          <w:lang w:val="ru-RU"/>
        </w:rPr>
        <w:t>5</w:t>
      </w:r>
      <w:r w:rsidRPr="0054564D">
        <w:rPr>
          <w:b/>
          <w:color w:val="000000"/>
          <w:sz w:val="24"/>
          <w:szCs w:val="24"/>
        </w:rPr>
        <w:t xml:space="preserve"> % (абс. 4</w:t>
      </w:r>
      <w:r w:rsidRPr="0054564D">
        <w:rPr>
          <w:b/>
          <w:color w:val="000000"/>
          <w:sz w:val="24"/>
          <w:szCs w:val="24"/>
          <w:lang w:val="ru-RU"/>
        </w:rPr>
        <w:t>65</w:t>
      </w:r>
      <w:r w:rsidRPr="0054564D">
        <w:rPr>
          <w:b/>
          <w:color w:val="000000"/>
          <w:sz w:val="24"/>
          <w:szCs w:val="24"/>
        </w:rPr>
        <w:t>).</w:t>
      </w:r>
    </w:p>
    <w:p w:rsidR="008F3AF5" w:rsidRPr="0054564D" w:rsidRDefault="008F3AF5" w:rsidP="0054564D">
      <w:pPr>
        <w:pStyle w:val="a5"/>
        <w:rPr>
          <w:sz w:val="24"/>
          <w:szCs w:val="24"/>
          <w:lang w:val="ru-RU"/>
        </w:rPr>
      </w:pPr>
      <w:r w:rsidRPr="0054564D">
        <w:rPr>
          <w:sz w:val="24"/>
          <w:szCs w:val="24"/>
        </w:rPr>
        <w:t>Структура заболеваемости среди детского населения г. Пыть-Ях в 20</w:t>
      </w:r>
      <w:r w:rsidRPr="0054564D">
        <w:rPr>
          <w:sz w:val="24"/>
          <w:szCs w:val="24"/>
          <w:lang w:val="ru-RU"/>
        </w:rPr>
        <w:t>20</w:t>
      </w:r>
      <w:r w:rsidRPr="0054564D">
        <w:rPr>
          <w:sz w:val="24"/>
          <w:szCs w:val="24"/>
        </w:rPr>
        <w:t xml:space="preserve"> г.</w:t>
      </w:r>
    </w:p>
    <w:p w:rsidR="008F3AF5" w:rsidRPr="0054564D" w:rsidRDefault="008F3AF5" w:rsidP="0054564D">
      <w:pPr>
        <w:spacing w:after="0" w:line="240" w:lineRule="auto"/>
        <w:ind w:firstLine="709"/>
        <w:jc w:val="both"/>
        <w:rPr>
          <w:rFonts w:ascii="Times New Roman" w:hAnsi="Times New Roman" w:cs="Times New Roman"/>
          <w:sz w:val="24"/>
          <w:szCs w:val="24"/>
        </w:rPr>
      </w:pPr>
    </w:p>
    <w:p w:rsidR="008F3AF5" w:rsidRPr="0054564D" w:rsidRDefault="008F3AF5" w:rsidP="0054564D">
      <w:pPr>
        <w:spacing w:after="0" w:line="240" w:lineRule="auto"/>
        <w:ind w:firstLine="709"/>
        <w:jc w:val="both"/>
        <w:rPr>
          <w:rFonts w:ascii="Times New Roman" w:hAnsi="Times New Roman" w:cs="Times New Roman"/>
          <w:sz w:val="24"/>
          <w:szCs w:val="24"/>
        </w:rPr>
      </w:pPr>
      <w:proofErr w:type="gramStart"/>
      <w:r w:rsidRPr="0054564D">
        <w:rPr>
          <w:rFonts w:ascii="Times New Roman" w:hAnsi="Times New Roman" w:cs="Times New Roman"/>
          <w:sz w:val="24"/>
          <w:szCs w:val="24"/>
        </w:rPr>
        <w:t>В  2020</w:t>
      </w:r>
      <w:proofErr w:type="gramEnd"/>
      <w:r w:rsidRPr="0054564D">
        <w:rPr>
          <w:rFonts w:ascii="Times New Roman" w:hAnsi="Times New Roman" w:cs="Times New Roman"/>
          <w:sz w:val="24"/>
          <w:szCs w:val="24"/>
        </w:rPr>
        <w:t xml:space="preserve"> г в структуре заболеваемости среди детей лидирующее место также занимают болезни органов дыхания и составляют большую долю 59,96% (в 2019-59,52 %, в 2018году-61,84 % % . </w:t>
      </w:r>
    </w:p>
    <w:p w:rsidR="008F3AF5" w:rsidRPr="0054564D" w:rsidRDefault="008F3AF5" w:rsidP="0054564D">
      <w:pPr>
        <w:spacing w:after="0" w:line="240" w:lineRule="auto"/>
        <w:ind w:firstLine="709"/>
        <w:jc w:val="both"/>
        <w:rPr>
          <w:rFonts w:ascii="Times New Roman" w:hAnsi="Times New Roman" w:cs="Times New Roman"/>
          <w:sz w:val="24"/>
          <w:szCs w:val="24"/>
        </w:rPr>
      </w:pPr>
      <w:proofErr w:type="gramStart"/>
      <w:r w:rsidRPr="0054564D">
        <w:rPr>
          <w:rFonts w:ascii="Times New Roman" w:hAnsi="Times New Roman" w:cs="Times New Roman"/>
          <w:sz w:val="24"/>
          <w:szCs w:val="24"/>
        </w:rPr>
        <w:t>Второе  место</w:t>
      </w:r>
      <w:proofErr w:type="gramEnd"/>
      <w:r w:rsidRPr="0054564D">
        <w:rPr>
          <w:rFonts w:ascii="Times New Roman" w:hAnsi="Times New Roman" w:cs="Times New Roman"/>
          <w:sz w:val="24"/>
          <w:szCs w:val="24"/>
        </w:rPr>
        <w:t xml:space="preserve"> в структуре заболеваемости детского населения  в 2019 году травмы и отравления, удельный вес составляет -6,66% ( в 2019г-5,97%), на третьем месте в структуре заболеваемости детского населения  в 2020 году  болезни нервной системы-5,24%, тогда как в 2019 году третье место занимали </w:t>
      </w:r>
      <w:r w:rsidRPr="0054564D">
        <w:rPr>
          <w:rFonts w:ascii="Times New Roman" w:hAnsi="Times New Roman" w:cs="Times New Roman"/>
        </w:rPr>
        <w:t>болезни глаза и придаточного аппарата – 5,15%, в 2018 -4,8%</w:t>
      </w:r>
      <w:r w:rsidRPr="0054564D">
        <w:rPr>
          <w:rFonts w:ascii="Times New Roman" w:hAnsi="Times New Roman" w:cs="Times New Roman"/>
          <w:sz w:val="24"/>
          <w:szCs w:val="24"/>
        </w:rPr>
        <w:t xml:space="preserve">.Одной из причин снижения заболеваемости по классу </w:t>
      </w:r>
      <w:r w:rsidRPr="0054564D">
        <w:rPr>
          <w:rFonts w:ascii="Times New Roman" w:hAnsi="Times New Roman" w:cs="Times New Roman"/>
        </w:rPr>
        <w:t>болезни глаза и придаточного аппарата является отсутствие офтальмолога в г. Пыть-Ях.</w:t>
      </w:r>
    </w:p>
    <w:p w:rsidR="008F3AF5" w:rsidRPr="0054564D" w:rsidRDefault="008F3AF5" w:rsidP="0054564D">
      <w:pPr>
        <w:pStyle w:val="a5"/>
        <w:jc w:val="right"/>
        <w:rPr>
          <w:b/>
          <w:sz w:val="22"/>
          <w:szCs w:val="22"/>
          <w:lang w:val="ru-RU"/>
        </w:rPr>
      </w:pPr>
      <w:r w:rsidRPr="0054564D">
        <w:rPr>
          <w:b/>
          <w:sz w:val="22"/>
          <w:szCs w:val="22"/>
        </w:rPr>
        <w:t>Таблица №</w:t>
      </w:r>
      <w:r w:rsidRPr="0054564D">
        <w:rPr>
          <w:b/>
          <w:sz w:val="22"/>
          <w:szCs w:val="22"/>
          <w:lang w:val="ru-RU"/>
        </w:rPr>
        <w:t>13</w:t>
      </w:r>
    </w:p>
    <w:p w:rsidR="008F3AF5" w:rsidRPr="0054564D" w:rsidRDefault="008F3AF5" w:rsidP="0054564D">
      <w:pPr>
        <w:pStyle w:val="a5"/>
        <w:rPr>
          <w:sz w:val="22"/>
          <w:szCs w:val="22"/>
        </w:rPr>
      </w:pPr>
      <w:r w:rsidRPr="0054564D">
        <w:rPr>
          <w:sz w:val="22"/>
          <w:szCs w:val="22"/>
        </w:rPr>
        <w:t>Структура заболеваемости  детского населения в 20</w:t>
      </w:r>
      <w:r w:rsidRPr="0054564D">
        <w:rPr>
          <w:sz w:val="22"/>
          <w:szCs w:val="22"/>
          <w:lang w:val="ru-RU"/>
        </w:rPr>
        <w:t xml:space="preserve">20 </w:t>
      </w:r>
      <w:r w:rsidRPr="0054564D">
        <w:rPr>
          <w:sz w:val="22"/>
          <w:szCs w:val="22"/>
        </w:rPr>
        <w:t>г.</w:t>
      </w:r>
    </w:p>
    <w:tbl>
      <w:tblPr>
        <w:tblpPr w:leftFromText="180" w:rightFromText="180" w:vertAnchor="text" w:horzAnchor="margin" w:tblpY="109"/>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2410"/>
      </w:tblGrid>
      <w:tr w:rsidR="008F3AF5" w:rsidRPr="0054564D" w:rsidTr="00630798">
        <w:trPr>
          <w:trHeight w:val="255"/>
        </w:trPr>
        <w:tc>
          <w:tcPr>
            <w:tcW w:w="6629" w:type="dxa"/>
            <w:noWrap/>
          </w:tcPr>
          <w:p w:rsidR="008F3AF5" w:rsidRPr="0054564D" w:rsidRDefault="008F3AF5" w:rsidP="0054564D">
            <w:pPr>
              <w:spacing w:before="20" w:after="0" w:line="240" w:lineRule="auto"/>
              <w:ind w:left="57" w:firstLine="142"/>
              <w:jc w:val="center"/>
              <w:rPr>
                <w:rFonts w:ascii="Times New Roman" w:hAnsi="Times New Roman" w:cs="Times New Roman"/>
              </w:rPr>
            </w:pPr>
            <w:r w:rsidRPr="0054564D">
              <w:rPr>
                <w:rFonts w:ascii="Times New Roman" w:hAnsi="Times New Roman" w:cs="Times New Roman"/>
              </w:rPr>
              <w:t>Лидирующие классы болезней среди детей в 2019 г.</w:t>
            </w:r>
          </w:p>
        </w:tc>
        <w:tc>
          <w:tcPr>
            <w:tcW w:w="2410" w:type="dxa"/>
            <w:noWrap/>
            <w:vAlign w:val="center"/>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w:t>
            </w:r>
          </w:p>
        </w:tc>
      </w:tr>
      <w:tr w:rsidR="008F3AF5" w:rsidRPr="0054564D" w:rsidTr="00630798">
        <w:trPr>
          <w:trHeight w:val="295"/>
        </w:trPr>
        <w:tc>
          <w:tcPr>
            <w:tcW w:w="6629"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Болезни органов дыхания</w:t>
            </w:r>
          </w:p>
        </w:tc>
        <w:tc>
          <w:tcPr>
            <w:tcW w:w="2410" w:type="dxa"/>
            <w:noWrap/>
            <w:vAlign w:val="center"/>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59,96</w:t>
            </w:r>
          </w:p>
        </w:tc>
      </w:tr>
      <w:tr w:rsidR="008F3AF5" w:rsidRPr="0054564D" w:rsidTr="00630798">
        <w:trPr>
          <w:trHeight w:val="295"/>
        </w:trPr>
        <w:tc>
          <w:tcPr>
            <w:tcW w:w="6629"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Травмы, отравления и другие внешние воздействия</w:t>
            </w:r>
            <w:r w:rsidRPr="0054564D">
              <w:rPr>
                <w:rFonts w:ascii="Times New Roman" w:hAnsi="Times New Roman" w:cs="Times New Roman"/>
              </w:rPr>
              <w:tab/>
            </w:r>
          </w:p>
        </w:tc>
        <w:tc>
          <w:tcPr>
            <w:tcW w:w="2410" w:type="dxa"/>
            <w:noWrap/>
            <w:vAlign w:val="center"/>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6,66</w:t>
            </w:r>
          </w:p>
        </w:tc>
      </w:tr>
      <w:tr w:rsidR="008F3AF5" w:rsidRPr="0054564D" w:rsidTr="00630798">
        <w:trPr>
          <w:trHeight w:val="295"/>
        </w:trPr>
        <w:tc>
          <w:tcPr>
            <w:tcW w:w="6629"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Болезни нервной системы</w:t>
            </w:r>
          </w:p>
        </w:tc>
        <w:tc>
          <w:tcPr>
            <w:tcW w:w="2410" w:type="dxa"/>
            <w:noWrap/>
            <w:vAlign w:val="center"/>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5,24</w:t>
            </w:r>
          </w:p>
        </w:tc>
      </w:tr>
      <w:tr w:rsidR="008F3AF5" w:rsidRPr="0054564D" w:rsidTr="00630798">
        <w:trPr>
          <w:trHeight w:val="295"/>
        </w:trPr>
        <w:tc>
          <w:tcPr>
            <w:tcW w:w="6629"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Болезни глаза и придаточного аппарата</w:t>
            </w:r>
          </w:p>
        </w:tc>
        <w:tc>
          <w:tcPr>
            <w:tcW w:w="2410" w:type="dxa"/>
            <w:noWrap/>
            <w:vAlign w:val="center"/>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4,72</w:t>
            </w:r>
          </w:p>
        </w:tc>
      </w:tr>
      <w:tr w:rsidR="008F3AF5" w:rsidRPr="0054564D" w:rsidTr="00630798">
        <w:trPr>
          <w:trHeight w:val="295"/>
        </w:trPr>
        <w:tc>
          <w:tcPr>
            <w:tcW w:w="6629"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Болезни кожи и подкожной клетчатки</w:t>
            </w:r>
          </w:p>
        </w:tc>
        <w:tc>
          <w:tcPr>
            <w:tcW w:w="2410" w:type="dxa"/>
            <w:noWrap/>
            <w:vAlign w:val="center"/>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4,72</w:t>
            </w:r>
          </w:p>
        </w:tc>
      </w:tr>
      <w:tr w:rsidR="008F3AF5" w:rsidRPr="0054564D" w:rsidTr="00630798">
        <w:trPr>
          <w:trHeight w:val="295"/>
        </w:trPr>
        <w:tc>
          <w:tcPr>
            <w:tcW w:w="6629"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Болезни органов пищеварения</w:t>
            </w:r>
          </w:p>
        </w:tc>
        <w:tc>
          <w:tcPr>
            <w:tcW w:w="2410" w:type="dxa"/>
            <w:noWrap/>
            <w:vAlign w:val="center"/>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4,38</w:t>
            </w:r>
          </w:p>
        </w:tc>
      </w:tr>
      <w:tr w:rsidR="008F3AF5" w:rsidRPr="0054564D" w:rsidTr="00630798">
        <w:trPr>
          <w:trHeight w:val="295"/>
        </w:trPr>
        <w:tc>
          <w:tcPr>
            <w:tcW w:w="6629"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Некоторые инфекционные и паразитарные болезни</w:t>
            </w:r>
          </w:p>
        </w:tc>
        <w:tc>
          <w:tcPr>
            <w:tcW w:w="2410" w:type="dxa"/>
            <w:noWrap/>
            <w:vAlign w:val="center"/>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3,89</w:t>
            </w:r>
          </w:p>
        </w:tc>
      </w:tr>
      <w:tr w:rsidR="008F3AF5" w:rsidRPr="0054564D" w:rsidTr="00630798">
        <w:trPr>
          <w:trHeight w:val="90"/>
        </w:trPr>
        <w:tc>
          <w:tcPr>
            <w:tcW w:w="6629"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Болезни уха и сосцевидного отростка</w:t>
            </w:r>
          </w:p>
        </w:tc>
        <w:tc>
          <w:tcPr>
            <w:tcW w:w="2410" w:type="dxa"/>
            <w:noWrap/>
            <w:vAlign w:val="center"/>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2,1</w:t>
            </w:r>
          </w:p>
        </w:tc>
      </w:tr>
      <w:tr w:rsidR="008F3AF5" w:rsidRPr="0054564D" w:rsidTr="00630798">
        <w:trPr>
          <w:trHeight w:val="90"/>
        </w:trPr>
        <w:tc>
          <w:tcPr>
            <w:tcW w:w="6629"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Болезни мочеполовой системы</w:t>
            </w:r>
          </w:p>
        </w:tc>
        <w:tc>
          <w:tcPr>
            <w:tcW w:w="2410" w:type="dxa"/>
            <w:noWrap/>
            <w:vAlign w:val="center"/>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1,96</w:t>
            </w:r>
          </w:p>
        </w:tc>
      </w:tr>
    </w:tbl>
    <w:p w:rsidR="008F3AF5" w:rsidRPr="0054564D" w:rsidRDefault="008F3AF5" w:rsidP="0054564D">
      <w:pPr>
        <w:pStyle w:val="a5"/>
        <w:rPr>
          <w:sz w:val="22"/>
          <w:szCs w:val="22"/>
        </w:rPr>
      </w:pPr>
    </w:p>
    <w:p w:rsidR="008F3AF5" w:rsidRPr="0054564D" w:rsidRDefault="008F3AF5" w:rsidP="0054564D">
      <w:pPr>
        <w:spacing w:after="0" w:line="240" w:lineRule="auto"/>
        <w:jc w:val="both"/>
        <w:rPr>
          <w:rFonts w:ascii="Times New Roman" w:hAnsi="Times New Roman" w:cs="Times New Roman"/>
        </w:rPr>
      </w:pPr>
      <w:r w:rsidRPr="0054564D">
        <w:rPr>
          <w:rFonts w:ascii="Times New Roman" w:hAnsi="Times New Roman" w:cs="Times New Roman"/>
          <w:noProof/>
          <w:lang w:eastAsia="ru-RU"/>
        </w:rPr>
        <w:drawing>
          <wp:inline distT="0" distB="0" distL="0" distR="0">
            <wp:extent cx="5695950" cy="3429000"/>
            <wp:effectExtent l="0" t="0" r="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F3AF5" w:rsidRPr="0054564D" w:rsidRDefault="008F3AF5" w:rsidP="0054564D">
      <w:pPr>
        <w:spacing w:after="0" w:line="240" w:lineRule="auto"/>
        <w:jc w:val="both"/>
        <w:rPr>
          <w:rFonts w:ascii="Times New Roman" w:hAnsi="Times New Roman" w:cs="Times New Roman"/>
        </w:rPr>
      </w:pPr>
      <w:r w:rsidRPr="0054564D">
        <w:rPr>
          <w:rFonts w:ascii="Times New Roman" w:hAnsi="Times New Roman" w:cs="Times New Roman"/>
        </w:rPr>
        <w:t xml:space="preserve">Рис. № 8 Структура </w:t>
      </w:r>
      <w:proofErr w:type="gramStart"/>
      <w:r w:rsidRPr="0054564D">
        <w:rPr>
          <w:rFonts w:ascii="Times New Roman" w:hAnsi="Times New Roman" w:cs="Times New Roman"/>
        </w:rPr>
        <w:t>заболеваемости  детей</w:t>
      </w:r>
      <w:proofErr w:type="gramEnd"/>
      <w:r w:rsidRPr="0054564D">
        <w:rPr>
          <w:rFonts w:ascii="Times New Roman" w:hAnsi="Times New Roman" w:cs="Times New Roman"/>
        </w:rPr>
        <w:t xml:space="preserve"> в городе Пыть-Ях за 2020 год (%).</w:t>
      </w:r>
    </w:p>
    <w:p w:rsidR="008F3AF5" w:rsidRPr="0054564D" w:rsidRDefault="008F3AF5" w:rsidP="0054564D">
      <w:pPr>
        <w:spacing w:after="0" w:line="240" w:lineRule="auto"/>
        <w:jc w:val="both"/>
        <w:rPr>
          <w:rFonts w:ascii="Times New Roman" w:hAnsi="Times New Roman" w:cs="Times New Roman"/>
        </w:rPr>
      </w:pPr>
    </w:p>
    <w:p w:rsidR="008F3AF5" w:rsidRPr="0054564D" w:rsidRDefault="008F3AF5" w:rsidP="0054564D">
      <w:pPr>
        <w:pStyle w:val="a5"/>
        <w:spacing w:before="120"/>
        <w:rPr>
          <w:sz w:val="24"/>
          <w:szCs w:val="24"/>
          <w:lang w:val="ru-RU"/>
        </w:rPr>
      </w:pPr>
      <w:r w:rsidRPr="0054564D">
        <w:rPr>
          <w:sz w:val="24"/>
          <w:szCs w:val="24"/>
        </w:rPr>
        <w:t>Структура заболеваемости среди подростков г. Пыть-Ях в 20</w:t>
      </w:r>
      <w:r w:rsidRPr="0054564D">
        <w:rPr>
          <w:sz w:val="24"/>
          <w:szCs w:val="24"/>
          <w:lang w:val="ru-RU"/>
        </w:rPr>
        <w:t>20</w:t>
      </w:r>
      <w:r w:rsidRPr="0054564D">
        <w:rPr>
          <w:sz w:val="24"/>
          <w:szCs w:val="24"/>
        </w:rPr>
        <w:t>г.</w:t>
      </w:r>
    </w:p>
    <w:p w:rsidR="008F3AF5" w:rsidRPr="0054564D" w:rsidRDefault="008F3AF5" w:rsidP="0054564D">
      <w:pPr>
        <w:pStyle w:val="a5"/>
        <w:spacing w:before="120"/>
        <w:rPr>
          <w:sz w:val="24"/>
          <w:szCs w:val="24"/>
          <w:lang w:val="ru-RU"/>
        </w:rPr>
      </w:pPr>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Структура заболеваемости подростков в динамике существенно не изменилась.</w:t>
      </w:r>
    </w:p>
    <w:p w:rsidR="008F3AF5" w:rsidRPr="0054564D" w:rsidRDefault="008F3AF5" w:rsidP="0054564D">
      <w:pPr>
        <w:spacing w:after="0" w:line="240" w:lineRule="auto"/>
        <w:ind w:firstLine="709"/>
        <w:jc w:val="both"/>
        <w:rPr>
          <w:rFonts w:ascii="Times New Roman" w:hAnsi="Times New Roman" w:cs="Times New Roman"/>
          <w:sz w:val="24"/>
          <w:szCs w:val="24"/>
          <w:highlight w:val="yellow"/>
        </w:rPr>
      </w:pPr>
      <w:r w:rsidRPr="0054564D">
        <w:rPr>
          <w:rFonts w:ascii="Times New Roman" w:hAnsi="Times New Roman" w:cs="Times New Roman"/>
          <w:sz w:val="24"/>
          <w:szCs w:val="24"/>
        </w:rPr>
        <w:t xml:space="preserve">В структуре заболеваемости в 2020 г.  среди подростков лидирующее место также занимают болезни органов дыхания и составляют 43,48% </w:t>
      </w:r>
      <w:proofErr w:type="gramStart"/>
      <w:r w:rsidRPr="0054564D">
        <w:rPr>
          <w:rFonts w:ascii="Times New Roman" w:hAnsi="Times New Roman" w:cs="Times New Roman"/>
          <w:sz w:val="24"/>
          <w:szCs w:val="24"/>
        </w:rPr>
        <w:t>( в</w:t>
      </w:r>
      <w:proofErr w:type="gramEnd"/>
      <w:r w:rsidRPr="0054564D">
        <w:rPr>
          <w:rFonts w:ascii="Times New Roman" w:hAnsi="Times New Roman" w:cs="Times New Roman"/>
          <w:sz w:val="24"/>
          <w:szCs w:val="24"/>
        </w:rPr>
        <w:t xml:space="preserve"> 2019г-39,27 %,в 2018 г- 44,11 % ) от общей  заболеваемости.  Наблюдается незначительное </w:t>
      </w:r>
      <w:proofErr w:type="gramStart"/>
      <w:r w:rsidRPr="0054564D">
        <w:rPr>
          <w:rFonts w:ascii="Times New Roman" w:hAnsi="Times New Roman" w:cs="Times New Roman"/>
          <w:sz w:val="24"/>
          <w:szCs w:val="24"/>
        </w:rPr>
        <w:t>снижение  процентного</w:t>
      </w:r>
      <w:proofErr w:type="gramEnd"/>
      <w:r w:rsidRPr="0054564D">
        <w:rPr>
          <w:rFonts w:ascii="Times New Roman" w:hAnsi="Times New Roman" w:cs="Times New Roman"/>
          <w:sz w:val="24"/>
          <w:szCs w:val="24"/>
        </w:rPr>
        <w:t xml:space="preserve"> отношения в структуре  заболеваемости   по классу болезней органов дыхания  по сравнению с 2019г.</w:t>
      </w:r>
      <w:r w:rsidRPr="0054564D">
        <w:rPr>
          <w:rFonts w:ascii="Times New Roman" w:hAnsi="Times New Roman" w:cs="Times New Roman"/>
          <w:sz w:val="24"/>
          <w:szCs w:val="24"/>
          <w:highlight w:val="yellow"/>
        </w:rPr>
        <w:t xml:space="preserve"> </w:t>
      </w:r>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Второе место в структуре заболеваемости в 2020г, как и в 2018 и 2019</w:t>
      </w:r>
      <w:proofErr w:type="gramStart"/>
      <w:r w:rsidRPr="0054564D">
        <w:rPr>
          <w:rFonts w:ascii="Times New Roman" w:hAnsi="Times New Roman" w:cs="Times New Roman"/>
          <w:sz w:val="24"/>
          <w:szCs w:val="24"/>
        </w:rPr>
        <w:t>г  -</w:t>
      </w:r>
      <w:proofErr w:type="gramEnd"/>
      <w:r w:rsidRPr="0054564D">
        <w:rPr>
          <w:rFonts w:ascii="Times New Roman" w:hAnsi="Times New Roman" w:cs="Times New Roman"/>
          <w:sz w:val="24"/>
          <w:szCs w:val="24"/>
        </w:rPr>
        <w:t xml:space="preserve"> болезни глаза и его придаточного аппарата –10,52%,( в 2019г- 11,20 %,в 2018 г- 10,17 % ,) от общей  заболеваемости. Наблюдается незначительное снижение по данному классу, по сравнению с 2019г. </w:t>
      </w:r>
    </w:p>
    <w:p w:rsidR="008F3AF5" w:rsidRPr="0054564D" w:rsidRDefault="008F3AF5" w:rsidP="0054564D">
      <w:pPr>
        <w:spacing w:after="0" w:line="240" w:lineRule="auto"/>
        <w:ind w:left="7200"/>
        <w:jc w:val="right"/>
        <w:rPr>
          <w:rFonts w:ascii="Times New Roman" w:hAnsi="Times New Roman" w:cs="Times New Roman"/>
          <w:highlight w:val="yellow"/>
        </w:rPr>
      </w:pPr>
    </w:p>
    <w:p w:rsidR="008F3AF5" w:rsidRPr="0054564D" w:rsidRDefault="008F3AF5" w:rsidP="0054564D">
      <w:pPr>
        <w:spacing w:after="0" w:line="240" w:lineRule="auto"/>
        <w:ind w:left="7200"/>
        <w:jc w:val="right"/>
        <w:rPr>
          <w:rFonts w:ascii="Times New Roman" w:hAnsi="Times New Roman" w:cs="Times New Roman"/>
        </w:rPr>
      </w:pPr>
      <w:r w:rsidRPr="0054564D">
        <w:rPr>
          <w:rFonts w:ascii="Times New Roman" w:hAnsi="Times New Roman" w:cs="Times New Roman"/>
        </w:rPr>
        <w:t>Таблица №14</w:t>
      </w:r>
    </w:p>
    <w:p w:rsidR="008F3AF5" w:rsidRPr="0054564D" w:rsidRDefault="008F3AF5" w:rsidP="0054564D">
      <w:pPr>
        <w:spacing w:after="0" w:line="240" w:lineRule="auto"/>
        <w:ind w:left="-142"/>
        <w:jc w:val="center"/>
        <w:rPr>
          <w:rFonts w:ascii="Times New Roman" w:hAnsi="Times New Roman" w:cs="Times New Roman"/>
          <w:b/>
        </w:rPr>
      </w:pPr>
      <w:r w:rsidRPr="0054564D">
        <w:rPr>
          <w:rFonts w:ascii="Times New Roman" w:hAnsi="Times New Roman" w:cs="Times New Roman"/>
          <w:b/>
        </w:rPr>
        <w:t xml:space="preserve">Структура заболеваемости подростков </w:t>
      </w:r>
      <w:proofErr w:type="gramStart"/>
      <w:r w:rsidRPr="0054564D">
        <w:rPr>
          <w:rFonts w:ascii="Times New Roman" w:hAnsi="Times New Roman" w:cs="Times New Roman"/>
          <w:b/>
        </w:rPr>
        <w:t>в  2018</w:t>
      </w:r>
      <w:proofErr w:type="gramEnd"/>
      <w:r w:rsidRPr="0054564D">
        <w:rPr>
          <w:rFonts w:ascii="Times New Roman" w:hAnsi="Times New Roman" w:cs="Times New Roman"/>
          <w:b/>
        </w:rPr>
        <w:t>-2020гг.</w:t>
      </w:r>
    </w:p>
    <w:tbl>
      <w:tblPr>
        <w:tblW w:w="93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0"/>
        <w:gridCol w:w="1276"/>
        <w:gridCol w:w="1417"/>
        <w:gridCol w:w="1362"/>
      </w:tblGrid>
      <w:tr w:rsidR="008F3AF5" w:rsidRPr="0054564D" w:rsidTr="00630798">
        <w:trPr>
          <w:trHeight w:val="249"/>
        </w:trPr>
        <w:tc>
          <w:tcPr>
            <w:tcW w:w="5250" w:type="dxa"/>
            <w:vAlign w:val="bottom"/>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 xml:space="preserve">Лидирующие классы болезней среди подростков </w:t>
            </w:r>
          </w:p>
        </w:tc>
        <w:tc>
          <w:tcPr>
            <w:tcW w:w="1276"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 xml:space="preserve">2018 г % </w:t>
            </w:r>
          </w:p>
        </w:tc>
        <w:tc>
          <w:tcPr>
            <w:tcW w:w="1417"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2019 г %</w:t>
            </w:r>
          </w:p>
        </w:tc>
        <w:tc>
          <w:tcPr>
            <w:tcW w:w="1362" w:type="dxa"/>
            <w:noWrap/>
          </w:tcPr>
          <w:p w:rsidR="008F3AF5" w:rsidRPr="0054564D" w:rsidRDefault="008F3AF5" w:rsidP="0054564D">
            <w:pPr>
              <w:spacing w:before="20" w:after="0" w:line="240" w:lineRule="auto"/>
              <w:jc w:val="center"/>
              <w:rPr>
                <w:rFonts w:ascii="Times New Roman" w:hAnsi="Times New Roman" w:cs="Times New Roman"/>
                <w:sz w:val="24"/>
                <w:szCs w:val="24"/>
                <w:highlight w:val="yellow"/>
              </w:rPr>
            </w:pPr>
            <w:r w:rsidRPr="0054564D">
              <w:rPr>
                <w:rFonts w:ascii="Times New Roman" w:hAnsi="Times New Roman" w:cs="Times New Roman"/>
                <w:sz w:val="24"/>
                <w:szCs w:val="24"/>
              </w:rPr>
              <w:t>2020 г %</w:t>
            </w:r>
          </w:p>
        </w:tc>
      </w:tr>
      <w:tr w:rsidR="008F3AF5" w:rsidRPr="0054564D" w:rsidTr="00630798">
        <w:trPr>
          <w:trHeight w:val="88"/>
        </w:trPr>
        <w:tc>
          <w:tcPr>
            <w:tcW w:w="5250" w:type="dxa"/>
            <w:vAlign w:val="bottom"/>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Болезни органов дыхания</w:t>
            </w:r>
          </w:p>
        </w:tc>
        <w:tc>
          <w:tcPr>
            <w:tcW w:w="1276"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44,11</w:t>
            </w:r>
          </w:p>
        </w:tc>
        <w:tc>
          <w:tcPr>
            <w:tcW w:w="1417"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39,27</w:t>
            </w:r>
          </w:p>
        </w:tc>
        <w:tc>
          <w:tcPr>
            <w:tcW w:w="1362" w:type="dxa"/>
            <w:noWrap/>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43,48</w:t>
            </w:r>
          </w:p>
        </w:tc>
      </w:tr>
      <w:tr w:rsidR="008F3AF5" w:rsidRPr="0054564D" w:rsidTr="00630798">
        <w:trPr>
          <w:trHeight w:val="88"/>
        </w:trPr>
        <w:tc>
          <w:tcPr>
            <w:tcW w:w="5250" w:type="dxa"/>
            <w:vAlign w:val="bottom"/>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Болезни глаза и его придаточного аппарата</w:t>
            </w:r>
          </w:p>
        </w:tc>
        <w:tc>
          <w:tcPr>
            <w:tcW w:w="1276"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10,17</w:t>
            </w:r>
          </w:p>
        </w:tc>
        <w:tc>
          <w:tcPr>
            <w:tcW w:w="1417"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11,20</w:t>
            </w:r>
          </w:p>
        </w:tc>
        <w:tc>
          <w:tcPr>
            <w:tcW w:w="1362" w:type="dxa"/>
            <w:noWrap/>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10,52</w:t>
            </w:r>
          </w:p>
        </w:tc>
      </w:tr>
      <w:tr w:rsidR="008F3AF5" w:rsidRPr="0054564D" w:rsidTr="00630798">
        <w:trPr>
          <w:trHeight w:val="88"/>
        </w:trPr>
        <w:tc>
          <w:tcPr>
            <w:tcW w:w="5250" w:type="dxa"/>
            <w:vAlign w:val="bottom"/>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Болезни нервной системы</w:t>
            </w:r>
          </w:p>
        </w:tc>
        <w:tc>
          <w:tcPr>
            <w:tcW w:w="1276"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7,03</w:t>
            </w:r>
          </w:p>
        </w:tc>
        <w:tc>
          <w:tcPr>
            <w:tcW w:w="1417"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7,11</w:t>
            </w:r>
          </w:p>
        </w:tc>
        <w:tc>
          <w:tcPr>
            <w:tcW w:w="1362" w:type="dxa"/>
            <w:noWrap/>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6,21</w:t>
            </w:r>
          </w:p>
        </w:tc>
      </w:tr>
      <w:tr w:rsidR="008F3AF5" w:rsidRPr="0054564D" w:rsidTr="00630798">
        <w:trPr>
          <w:trHeight w:val="123"/>
        </w:trPr>
        <w:tc>
          <w:tcPr>
            <w:tcW w:w="5250" w:type="dxa"/>
            <w:vAlign w:val="bottom"/>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Болезни органов пищеварения</w:t>
            </w:r>
          </w:p>
        </w:tc>
        <w:tc>
          <w:tcPr>
            <w:tcW w:w="1276"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6,08</w:t>
            </w:r>
          </w:p>
        </w:tc>
        <w:tc>
          <w:tcPr>
            <w:tcW w:w="1417"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6,32</w:t>
            </w:r>
          </w:p>
        </w:tc>
        <w:tc>
          <w:tcPr>
            <w:tcW w:w="1362" w:type="dxa"/>
            <w:noWrap/>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5,53</w:t>
            </w:r>
          </w:p>
        </w:tc>
      </w:tr>
      <w:tr w:rsidR="008F3AF5" w:rsidRPr="0054564D" w:rsidTr="00630798">
        <w:trPr>
          <w:trHeight w:val="123"/>
        </w:trPr>
        <w:tc>
          <w:tcPr>
            <w:tcW w:w="5250" w:type="dxa"/>
            <w:vAlign w:val="bottom"/>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Болезни кожи и подкожной клетчатки</w:t>
            </w:r>
          </w:p>
        </w:tc>
        <w:tc>
          <w:tcPr>
            <w:tcW w:w="1276"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4,8</w:t>
            </w:r>
          </w:p>
        </w:tc>
        <w:tc>
          <w:tcPr>
            <w:tcW w:w="1417"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6,24</w:t>
            </w:r>
          </w:p>
        </w:tc>
        <w:tc>
          <w:tcPr>
            <w:tcW w:w="1362" w:type="dxa"/>
            <w:noWrap/>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5,53</w:t>
            </w:r>
          </w:p>
        </w:tc>
      </w:tr>
      <w:tr w:rsidR="008F3AF5" w:rsidRPr="0054564D" w:rsidTr="00630798">
        <w:trPr>
          <w:trHeight w:val="123"/>
        </w:trPr>
        <w:tc>
          <w:tcPr>
            <w:tcW w:w="5250" w:type="dxa"/>
            <w:vAlign w:val="bottom"/>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Болезни костно-мышечной системы и соед. ткани</w:t>
            </w:r>
          </w:p>
        </w:tc>
        <w:tc>
          <w:tcPr>
            <w:tcW w:w="1276"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5,66</w:t>
            </w:r>
          </w:p>
        </w:tc>
        <w:tc>
          <w:tcPr>
            <w:tcW w:w="1417"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5,66</w:t>
            </w:r>
          </w:p>
        </w:tc>
        <w:tc>
          <w:tcPr>
            <w:tcW w:w="1362" w:type="dxa"/>
            <w:noWrap/>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5,49</w:t>
            </w:r>
          </w:p>
        </w:tc>
      </w:tr>
      <w:tr w:rsidR="008F3AF5" w:rsidRPr="0054564D" w:rsidTr="00630798">
        <w:trPr>
          <w:trHeight w:val="123"/>
        </w:trPr>
        <w:tc>
          <w:tcPr>
            <w:tcW w:w="5250" w:type="dxa"/>
            <w:vAlign w:val="bottom"/>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Травмы, отравления и другие внешние воздействия</w:t>
            </w:r>
          </w:p>
        </w:tc>
        <w:tc>
          <w:tcPr>
            <w:tcW w:w="1276"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5,66</w:t>
            </w:r>
          </w:p>
        </w:tc>
        <w:tc>
          <w:tcPr>
            <w:tcW w:w="1417"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5,54</w:t>
            </w:r>
          </w:p>
        </w:tc>
        <w:tc>
          <w:tcPr>
            <w:tcW w:w="1362" w:type="dxa"/>
            <w:noWrap/>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5,22</w:t>
            </w:r>
          </w:p>
        </w:tc>
      </w:tr>
      <w:tr w:rsidR="008F3AF5" w:rsidRPr="0054564D" w:rsidTr="00630798">
        <w:trPr>
          <w:trHeight w:val="123"/>
        </w:trPr>
        <w:tc>
          <w:tcPr>
            <w:tcW w:w="5250" w:type="dxa"/>
            <w:vAlign w:val="bottom"/>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Болезни эндокринной системы, нарушения питания и нарушения обмена веществ</w:t>
            </w:r>
          </w:p>
        </w:tc>
        <w:tc>
          <w:tcPr>
            <w:tcW w:w="1276"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3,35</w:t>
            </w:r>
          </w:p>
        </w:tc>
        <w:tc>
          <w:tcPr>
            <w:tcW w:w="1417"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4,78</w:t>
            </w:r>
          </w:p>
        </w:tc>
        <w:tc>
          <w:tcPr>
            <w:tcW w:w="1362" w:type="dxa"/>
            <w:noWrap/>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4,61</w:t>
            </w:r>
          </w:p>
        </w:tc>
      </w:tr>
      <w:tr w:rsidR="008F3AF5" w:rsidRPr="0054564D" w:rsidTr="00630798">
        <w:trPr>
          <w:trHeight w:val="88"/>
        </w:trPr>
        <w:tc>
          <w:tcPr>
            <w:tcW w:w="5250" w:type="dxa"/>
            <w:vAlign w:val="bottom"/>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Болезни мочеполовой системы</w:t>
            </w:r>
          </w:p>
        </w:tc>
        <w:tc>
          <w:tcPr>
            <w:tcW w:w="1276"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3,35</w:t>
            </w:r>
          </w:p>
        </w:tc>
        <w:tc>
          <w:tcPr>
            <w:tcW w:w="1417"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4,01</w:t>
            </w:r>
          </w:p>
        </w:tc>
        <w:tc>
          <w:tcPr>
            <w:tcW w:w="1362" w:type="dxa"/>
            <w:noWrap/>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4,23</w:t>
            </w:r>
          </w:p>
        </w:tc>
      </w:tr>
      <w:tr w:rsidR="008F3AF5" w:rsidRPr="0054564D" w:rsidTr="00630798">
        <w:trPr>
          <w:trHeight w:val="88"/>
        </w:trPr>
        <w:tc>
          <w:tcPr>
            <w:tcW w:w="5250" w:type="dxa"/>
            <w:vAlign w:val="bottom"/>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Психические расстройства и расстройства поведения</w:t>
            </w:r>
          </w:p>
        </w:tc>
        <w:tc>
          <w:tcPr>
            <w:tcW w:w="1276"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2,94</w:t>
            </w:r>
          </w:p>
        </w:tc>
        <w:tc>
          <w:tcPr>
            <w:tcW w:w="1417" w:type="dxa"/>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2,84</w:t>
            </w:r>
          </w:p>
        </w:tc>
        <w:tc>
          <w:tcPr>
            <w:tcW w:w="1362" w:type="dxa"/>
            <w:noWrap/>
          </w:tcPr>
          <w:p w:rsidR="008F3AF5" w:rsidRPr="0054564D" w:rsidRDefault="008F3AF5" w:rsidP="0054564D">
            <w:pPr>
              <w:spacing w:before="20" w:after="0" w:line="240" w:lineRule="auto"/>
              <w:jc w:val="center"/>
              <w:rPr>
                <w:rFonts w:ascii="Times New Roman" w:hAnsi="Times New Roman" w:cs="Times New Roman"/>
              </w:rPr>
            </w:pPr>
            <w:r w:rsidRPr="0054564D">
              <w:rPr>
                <w:rFonts w:ascii="Times New Roman" w:hAnsi="Times New Roman" w:cs="Times New Roman"/>
              </w:rPr>
              <w:t>2,59</w:t>
            </w:r>
          </w:p>
        </w:tc>
      </w:tr>
    </w:tbl>
    <w:p w:rsidR="008F3AF5" w:rsidRPr="0054564D" w:rsidRDefault="008F3AF5" w:rsidP="0054564D">
      <w:pPr>
        <w:spacing w:after="0" w:line="240" w:lineRule="auto"/>
        <w:ind w:firstLine="567"/>
        <w:jc w:val="both"/>
        <w:rPr>
          <w:rFonts w:ascii="Times New Roman" w:hAnsi="Times New Roman" w:cs="Times New Roman"/>
          <w:b/>
          <w:sz w:val="24"/>
          <w:szCs w:val="24"/>
        </w:rPr>
      </w:pPr>
      <w:r w:rsidRPr="0054564D">
        <w:rPr>
          <w:rFonts w:ascii="Times New Roman" w:hAnsi="Times New Roman" w:cs="Times New Roman"/>
          <w:b/>
          <w:noProof/>
          <w:sz w:val="24"/>
          <w:szCs w:val="24"/>
          <w:lang w:eastAsia="ru-RU"/>
        </w:rPr>
        <w:drawing>
          <wp:inline distT="0" distB="0" distL="0" distR="0">
            <wp:extent cx="5210175" cy="3971925"/>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F3AF5" w:rsidRPr="0054564D" w:rsidRDefault="008F3AF5" w:rsidP="0054564D">
      <w:pPr>
        <w:spacing w:after="0" w:line="240" w:lineRule="auto"/>
        <w:ind w:firstLine="567"/>
        <w:jc w:val="both"/>
        <w:rPr>
          <w:rFonts w:ascii="Times New Roman" w:hAnsi="Times New Roman" w:cs="Times New Roman"/>
        </w:rPr>
      </w:pPr>
      <w:r w:rsidRPr="0054564D">
        <w:rPr>
          <w:rFonts w:ascii="Times New Roman" w:hAnsi="Times New Roman" w:cs="Times New Roman"/>
        </w:rPr>
        <w:t xml:space="preserve">Рис. № 9. Структура </w:t>
      </w:r>
      <w:proofErr w:type="gramStart"/>
      <w:r w:rsidRPr="0054564D">
        <w:rPr>
          <w:rFonts w:ascii="Times New Roman" w:hAnsi="Times New Roman" w:cs="Times New Roman"/>
        </w:rPr>
        <w:t>заболеваемости  подростков</w:t>
      </w:r>
      <w:proofErr w:type="gramEnd"/>
      <w:r w:rsidRPr="0054564D">
        <w:rPr>
          <w:rFonts w:ascii="Times New Roman" w:hAnsi="Times New Roman" w:cs="Times New Roman"/>
        </w:rPr>
        <w:t xml:space="preserve">  в городе Пыть-Ях за 2020 год (%).</w:t>
      </w:r>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 xml:space="preserve">На третьем месте в структуре заболеваемости – болезни нервной системы 6,21% </w:t>
      </w:r>
      <w:proofErr w:type="gramStart"/>
      <w:r w:rsidRPr="0054564D">
        <w:rPr>
          <w:rFonts w:ascii="Times New Roman" w:hAnsi="Times New Roman" w:cs="Times New Roman"/>
          <w:sz w:val="24"/>
          <w:szCs w:val="24"/>
        </w:rPr>
        <w:t>( в</w:t>
      </w:r>
      <w:proofErr w:type="gramEnd"/>
      <w:r w:rsidRPr="0054564D">
        <w:rPr>
          <w:rFonts w:ascii="Times New Roman" w:hAnsi="Times New Roman" w:cs="Times New Roman"/>
          <w:sz w:val="24"/>
          <w:szCs w:val="24"/>
        </w:rPr>
        <w:t xml:space="preserve"> 2019г-7,11%, в 2018 г- 7,03 %,) от общей  заболеваемости. Наблюдается незначительное </w:t>
      </w:r>
      <w:proofErr w:type="gramStart"/>
      <w:r w:rsidRPr="0054564D">
        <w:rPr>
          <w:rFonts w:ascii="Times New Roman" w:hAnsi="Times New Roman" w:cs="Times New Roman"/>
          <w:sz w:val="24"/>
          <w:szCs w:val="24"/>
        </w:rPr>
        <w:lastRenderedPageBreak/>
        <w:t>снижение  процентного</w:t>
      </w:r>
      <w:proofErr w:type="gramEnd"/>
      <w:r w:rsidRPr="0054564D">
        <w:rPr>
          <w:rFonts w:ascii="Times New Roman" w:hAnsi="Times New Roman" w:cs="Times New Roman"/>
          <w:sz w:val="24"/>
          <w:szCs w:val="24"/>
        </w:rPr>
        <w:t xml:space="preserve"> отношения в структуре  заболеваемости   по классу болезней нервной системы, по сравнению с 2019г, 2018. (таблица № 14, рис № 9).</w:t>
      </w:r>
    </w:p>
    <w:p w:rsidR="008F3AF5" w:rsidRPr="0054564D" w:rsidRDefault="008F3AF5" w:rsidP="0054564D">
      <w:pPr>
        <w:pStyle w:val="a5"/>
        <w:spacing w:before="120"/>
        <w:rPr>
          <w:sz w:val="24"/>
          <w:szCs w:val="24"/>
          <w:lang w:val="ru-RU"/>
        </w:rPr>
      </w:pPr>
    </w:p>
    <w:p w:rsidR="008F3AF5" w:rsidRPr="0054564D" w:rsidRDefault="008F3AF5" w:rsidP="0054564D">
      <w:pPr>
        <w:pStyle w:val="a5"/>
        <w:spacing w:before="120"/>
        <w:rPr>
          <w:sz w:val="24"/>
          <w:szCs w:val="24"/>
          <w:lang w:val="ru-RU"/>
        </w:rPr>
      </w:pPr>
      <w:r w:rsidRPr="0054564D">
        <w:rPr>
          <w:sz w:val="24"/>
          <w:szCs w:val="24"/>
        </w:rPr>
        <w:t>Структура заболеваемости среди взрослого населения г. Пыть-Ях</w:t>
      </w:r>
    </w:p>
    <w:p w:rsidR="008F3AF5" w:rsidRPr="0054564D" w:rsidRDefault="008F3AF5" w:rsidP="0054564D">
      <w:pPr>
        <w:pStyle w:val="a5"/>
        <w:spacing w:before="120"/>
        <w:rPr>
          <w:sz w:val="24"/>
          <w:szCs w:val="24"/>
          <w:highlight w:val="yellow"/>
          <w:lang w:val="ru-RU"/>
        </w:rPr>
      </w:pPr>
      <w:r w:rsidRPr="0054564D">
        <w:rPr>
          <w:sz w:val="24"/>
          <w:szCs w:val="24"/>
          <w:highlight w:val="yellow"/>
          <w:lang w:val="ru-RU"/>
        </w:rPr>
        <w:t xml:space="preserve"> </w:t>
      </w:r>
    </w:p>
    <w:p w:rsidR="008F3AF5" w:rsidRPr="0054564D" w:rsidRDefault="008F3AF5" w:rsidP="0054564D">
      <w:pPr>
        <w:spacing w:after="0" w:line="240" w:lineRule="auto"/>
        <w:ind w:firstLine="709"/>
        <w:jc w:val="both"/>
        <w:rPr>
          <w:rFonts w:ascii="Times New Roman" w:hAnsi="Times New Roman" w:cs="Times New Roman"/>
          <w:sz w:val="24"/>
          <w:szCs w:val="24"/>
        </w:rPr>
      </w:pPr>
      <w:proofErr w:type="gramStart"/>
      <w:r w:rsidRPr="0054564D">
        <w:rPr>
          <w:rFonts w:ascii="Times New Roman" w:hAnsi="Times New Roman" w:cs="Times New Roman"/>
          <w:sz w:val="24"/>
          <w:szCs w:val="24"/>
        </w:rPr>
        <w:t>В  2020</w:t>
      </w:r>
      <w:proofErr w:type="gramEnd"/>
      <w:r w:rsidRPr="0054564D">
        <w:rPr>
          <w:rFonts w:ascii="Times New Roman" w:hAnsi="Times New Roman" w:cs="Times New Roman"/>
          <w:sz w:val="24"/>
          <w:szCs w:val="24"/>
        </w:rPr>
        <w:t xml:space="preserve"> г. в  структуре  общей заболеваемости  взрослого населения   первое  место  занимают болезни мочеполовой системы 15,63% ( в 2019г г-16,57% в 2018 г – 14,93 %).  тогда как в 2019г занимали первое место </w:t>
      </w:r>
      <w:proofErr w:type="gramStart"/>
      <w:r w:rsidRPr="0054564D">
        <w:rPr>
          <w:rFonts w:ascii="Times New Roman" w:hAnsi="Times New Roman" w:cs="Times New Roman"/>
          <w:sz w:val="24"/>
          <w:szCs w:val="24"/>
        </w:rPr>
        <w:t>болезни  системы</w:t>
      </w:r>
      <w:proofErr w:type="gramEnd"/>
      <w:r w:rsidRPr="0054564D">
        <w:rPr>
          <w:rFonts w:ascii="Times New Roman" w:hAnsi="Times New Roman" w:cs="Times New Roman"/>
          <w:sz w:val="24"/>
          <w:szCs w:val="24"/>
        </w:rPr>
        <w:t xml:space="preserve">  кровообращения %). Наблюдается снижение показателя заболеваемости на 1000 заболевших на 10%, по сравнению с 2019 годом. Наблюдается снижение процентного отношения в </w:t>
      </w:r>
      <w:proofErr w:type="gramStart"/>
      <w:r w:rsidRPr="0054564D">
        <w:rPr>
          <w:rFonts w:ascii="Times New Roman" w:hAnsi="Times New Roman" w:cs="Times New Roman"/>
          <w:sz w:val="24"/>
          <w:szCs w:val="24"/>
        </w:rPr>
        <w:t>структуре  заболеваемости</w:t>
      </w:r>
      <w:proofErr w:type="gramEnd"/>
      <w:r w:rsidRPr="0054564D">
        <w:rPr>
          <w:rFonts w:ascii="Times New Roman" w:hAnsi="Times New Roman" w:cs="Times New Roman"/>
          <w:sz w:val="24"/>
          <w:szCs w:val="24"/>
        </w:rPr>
        <w:t xml:space="preserve">   по классу болезней с 2019годом.</w:t>
      </w:r>
    </w:p>
    <w:p w:rsidR="008F3AF5" w:rsidRPr="0054564D" w:rsidRDefault="008F3AF5" w:rsidP="0054564D">
      <w:pPr>
        <w:spacing w:after="0" w:line="240" w:lineRule="auto"/>
        <w:ind w:firstLine="720"/>
        <w:jc w:val="right"/>
        <w:rPr>
          <w:rFonts w:ascii="Times New Roman" w:hAnsi="Times New Roman" w:cs="Times New Roman"/>
        </w:rPr>
      </w:pPr>
      <w:r w:rsidRPr="0054564D">
        <w:rPr>
          <w:rFonts w:ascii="Times New Roman" w:hAnsi="Times New Roman" w:cs="Times New Roman"/>
        </w:rPr>
        <w:t>Таблица №15</w:t>
      </w:r>
    </w:p>
    <w:p w:rsidR="008F3AF5" w:rsidRPr="0054564D" w:rsidRDefault="008F3AF5" w:rsidP="0054564D">
      <w:pPr>
        <w:spacing w:after="0" w:line="240" w:lineRule="auto"/>
        <w:ind w:firstLine="720"/>
        <w:jc w:val="center"/>
        <w:rPr>
          <w:rFonts w:ascii="Times New Roman" w:hAnsi="Times New Roman" w:cs="Times New Roman"/>
          <w:b/>
        </w:rPr>
      </w:pPr>
      <w:r w:rsidRPr="0054564D">
        <w:rPr>
          <w:rFonts w:ascii="Times New Roman" w:hAnsi="Times New Roman" w:cs="Times New Roman"/>
          <w:b/>
        </w:rPr>
        <w:t xml:space="preserve">Структура заболеваемости взрослого населения по городу Пыть-Ях </w:t>
      </w:r>
    </w:p>
    <w:p w:rsidR="008F3AF5" w:rsidRPr="0054564D" w:rsidRDefault="008F3AF5" w:rsidP="0054564D">
      <w:pPr>
        <w:spacing w:after="0" w:line="240" w:lineRule="auto"/>
        <w:ind w:firstLine="720"/>
        <w:jc w:val="center"/>
        <w:rPr>
          <w:rFonts w:ascii="Times New Roman" w:hAnsi="Times New Roman" w:cs="Times New Roman"/>
        </w:rPr>
      </w:pPr>
      <w:r w:rsidRPr="0054564D">
        <w:rPr>
          <w:rFonts w:ascii="Times New Roman" w:hAnsi="Times New Roman" w:cs="Times New Roman"/>
          <w:b/>
        </w:rPr>
        <w:t>в 2018-2020 годах.</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1"/>
        <w:gridCol w:w="1701"/>
        <w:gridCol w:w="1076"/>
        <w:gridCol w:w="1134"/>
      </w:tblGrid>
      <w:tr w:rsidR="008F3AF5" w:rsidRPr="0054564D" w:rsidTr="00630798">
        <w:trPr>
          <w:trHeight w:val="255"/>
          <w:jc w:val="center"/>
        </w:trPr>
        <w:tc>
          <w:tcPr>
            <w:tcW w:w="5331" w:type="dxa"/>
            <w:noWrap/>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 xml:space="preserve">Лидирующие классы болезней среди взрослых </w:t>
            </w:r>
          </w:p>
        </w:tc>
        <w:tc>
          <w:tcPr>
            <w:tcW w:w="1701"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2018 г%</w:t>
            </w:r>
          </w:p>
        </w:tc>
        <w:tc>
          <w:tcPr>
            <w:tcW w:w="1076" w:type="dxa"/>
            <w:noWrap/>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2019 г%</w:t>
            </w:r>
          </w:p>
        </w:tc>
        <w:tc>
          <w:tcPr>
            <w:tcW w:w="1134" w:type="dxa"/>
          </w:tcPr>
          <w:p w:rsidR="008F3AF5" w:rsidRPr="0054564D" w:rsidRDefault="008F3AF5" w:rsidP="0054564D">
            <w:pPr>
              <w:spacing w:before="20" w:after="0" w:line="240" w:lineRule="auto"/>
              <w:ind w:left="57"/>
              <w:jc w:val="center"/>
              <w:rPr>
                <w:rFonts w:ascii="Times New Roman" w:hAnsi="Times New Roman" w:cs="Times New Roman"/>
                <w:highlight w:val="yellow"/>
              </w:rPr>
            </w:pPr>
            <w:r w:rsidRPr="0054564D">
              <w:rPr>
                <w:rFonts w:ascii="Times New Roman" w:hAnsi="Times New Roman" w:cs="Times New Roman"/>
              </w:rPr>
              <w:t>2020 г%</w:t>
            </w:r>
          </w:p>
        </w:tc>
      </w:tr>
      <w:tr w:rsidR="008F3AF5" w:rsidRPr="0054564D" w:rsidTr="00630798">
        <w:trPr>
          <w:trHeight w:val="255"/>
          <w:jc w:val="center"/>
        </w:trPr>
        <w:tc>
          <w:tcPr>
            <w:tcW w:w="5331" w:type="dxa"/>
            <w:noWrap/>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Болезни системы кровообращения</w:t>
            </w:r>
          </w:p>
        </w:tc>
        <w:tc>
          <w:tcPr>
            <w:tcW w:w="1701"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14,32</w:t>
            </w:r>
          </w:p>
        </w:tc>
        <w:tc>
          <w:tcPr>
            <w:tcW w:w="1076" w:type="dxa"/>
            <w:noWrap/>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16,78</w:t>
            </w:r>
          </w:p>
        </w:tc>
        <w:tc>
          <w:tcPr>
            <w:tcW w:w="1134"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15,40</w:t>
            </w:r>
          </w:p>
        </w:tc>
      </w:tr>
      <w:tr w:rsidR="008F3AF5" w:rsidRPr="0054564D" w:rsidTr="00630798">
        <w:trPr>
          <w:trHeight w:val="255"/>
          <w:jc w:val="center"/>
        </w:trPr>
        <w:tc>
          <w:tcPr>
            <w:tcW w:w="5331" w:type="dxa"/>
            <w:noWrap/>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Болезни мочеполовой системы</w:t>
            </w:r>
          </w:p>
        </w:tc>
        <w:tc>
          <w:tcPr>
            <w:tcW w:w="1701"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14,93</w:t>
            </w:r>
          </w:p>
        </w:tc>
        <w:tc>
          <w:tcPr>
            <w:tcW w:w="1076" w:type="dxa"/>
            <w:noWrap/>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16,57</w:t>
            </w:r>
          </w:p>
        </w:tc>
        <w:tc>
          <w:tcPr>
            <w:tcW w:w="1134"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15,63</w:t>
            </w:r>
          </w:p>
        </w:tc>
      </w:tr>
      <w:tr w:rsidR="008F3AF5" w:rsidRPr="0054564D" w:rsidTr="00630798">
        <w:trPr>
          <w:trHeight w:val="255"/>
          <w:jc w:val="center"/>
        </w:trPr>
        <w:tc>
          <w:tcPr>
            <w:tcW w:w="5331" w:type="dxa"/>
            <w:noWrap/>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Болезни костно-мышечной системы и соед. ткани</w:t>
            </w:r>
          </w:p>
        </w:tc>
        <w:tc>
          <w:tcPr>
            <w:tcW w:w="1701"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14,24</w:t>
            </w:r>
          </w:p>
        </w:tc>
        <w:tc>
          <w:tcPr>
            <w:tcW w:w="1076" w:type="dxa"/>
            <w:noWrap/>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13,21</w:t>
            </w:r>
          </w:p>
        </w:tc>
        <w:tc>
          <w:tcPr>
            <w:tcW w:w="1134"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12,18</w:t>
            </w:r>
          </w:p>
        </w:tc>
      </w:tr>
      <w:tr w:rsidR="008F3AF5" w:rsidRPr="0054564D" w:rsidTr="00630798">
        <w:trPr>
          <w:trHeight w:val="255"/>
          <w:jc w:val="center"/>
        </w:trPr>
        <w:tc>
          <w:tcPr>
            <w:tcW w:w="5331" w:type="dxa"/>
            <w:noWrap/>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Болезни органов дыхания</w:t>
            </w:r>
          </w:p>
        </w:tc>
        <w:tc>
          <w:tcPr>
            <w:tcW w:w="1701"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12,0</w:t>
            </w:r>
          </w:p>
        </w:tc>
        <w:tc>
          <w:tcPr>
            <w:tcW w:w="1076" w:type="dxa"/>
            <w:noWrap/>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9,18</w:t>
            </w:r>
          </w:p>
        </w:tc>
        <w:tc>
          <w:tcPr>
            <w:tcW w:w="1134"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13,72</w:t>
            </w:r>
          </w:p>
        </w:tc>
      </w:tr>
      <w:tr w:rsidR="008F3AF5" w:rsidRPr="0054564D" w:rsidTr="00630798">
        <w:trPr>
          <w:trHeight w:val="255"/>
          <w:jc w:val="center"/>
        </w:trPr>
        <w:tc>
          <w:tcPr>
            <w:tcW w:w="5331" w:type="dxa"/>
            <w:noWrap/>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Болезни органов пищеварения</w:t>
            </w:r>
          </w:p>
        </w:tc>
        <w:tc>
          <w:tcPr>
            <w:tcW w:w="1701"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8,06</w:t>
            </w:r>
          </w:p>
        </w:tc>
        <w:tc>
          <w:tcPr>
            <w:tcW w:w="1076" w:type="dxa"/>
            <w:noWrap/>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7,60</w:t>
            </w:r>
          </w:p>
        </w:tc>
        <w:tc>
          <w:tcPr>
            <w:tcW w:w="1134"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12,8</w:t>
            </w:r>
          </w:p>
        </w:tc>
      </w:tr>
      <w:tr w:rsidR="008F3AF5" w:rsidRPr="0054564D" w:rsidTr="00630798">
        <w:trPr>
          <w:trHeight w:val="255"/>
          <w:jc w:val="center"/>
        </w:trPr>
        <w:tc>
          <w:tcPr>
            <w:tcW w:w="5331" w:type="dxa"/>
            <w:noWrap/>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Болезни эндокринной системы, нарушения питания и нарушения обмена веществ</w:t>
            </w:r>
          </w:p>
        </w:tc>
        <w:tc>
          <w:tcPr>
            <w:tcW w:w="1701"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5,82</w:t>
            </w:r>
          </w:p>
        </w:tc>
        <w:tc>
          <w:tcPr>
            <w:tcW w:w="1076" w:type="dxa"/>
            <w:noWrap/>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6,15</w:t>
            </w:r>
          </w:p>
        </w:tc>
        <w:tc>
          <w:tcPr>
            <w:tcW w:w="1134"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6,24</w:t>
            </w:r>
          </w:p>
        </w:tc>
      </w:tr>
      <w:tr w:rsidR="008F3AF5" w:rsidRPr="0054564D" w:rsidTr="00630798">
        <w:trPr>
          <w:trHeight w:val="255"/>
          <w:jc w:val="center"/>
        </w:trPr>
        <w:tc>
          <w:tcPr>
            <w:tcW w:w="5331" w:type="dxa"/>
            <w:noWrap/>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Некоторые инфекционные и паразитарные болезни</w:t>
            </w:r>
          </w:p>
        </w:tc>
        <w:tc>
          <w:tcPr>
            <w:tcW w:w="1701"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5,05</w:t>
            </w:r>
          </w:p>
        </w:tc>
        <w:tc>
          <w:tcPr>
            <w:tcW w:w="1076" w:type="dxa"/>
            <w:noWrap/>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5,18</w:t>
            </w:r>
          </w:p>
        </w:tc>
        <w:tc>
          <w:tcPr>
            <w:tcW w:w="1134"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5,51</w:t>
            </w:r>
          </w:p>
        </w:tc>
      </w:tr>
      <w:tr w:rsidR="008F3AF5" w:rsidRPr="0054564D" w:rsidTr="00630798">
        <w:trPr>
          <w:trHeight w:val="255"/>
          <w:jc w:val="center"/>
        </w:trPr>
        <w:tc>
          <w:tcPr>
            <w:tcW w:w="5331" w:type="dxa"/>
            <w:noWrap/>
            <w:vAlign w:val="bottom"/>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Новообразования</w:t>
            </w:r>
          </w:p>
        </w:tc>
        <w:tc>
          <w:tcPr>
            <w:tcW w:w="1701"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4,78</w:t>
            </w:r>
          </w:p>
        </w:tc>
        <w:tc>
          <w:tcPr>
            <w:tcW w:w="1076" w:type="dxa"/>
            <w:noWrap/>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4,92</w:t>
            </w:r>
          </w:p>
        </w:tc>
        <w:tc>
          <w:tcPr>
            <w:tcW w:w="1134"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4,64</w:t>
            </w:r>
          </w:p>
        </w:tc>
      </w:tr>
      <w:tr w:rsidR="008F3AF5" w:rsidRPr="0054564D" w:rsidTr="00630798">
        <w:trPr>
          <w:trHeight w:val="240"/>
          <w:jc w:val="center"/>
        </w:trPr>
        <w:tc>
          <w:tcPr>
            <w:tcW w:w="5331"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Травмы, отравления и другие внешние воздействия</w:t>
            </w:r>
          </w:p>
        </w:tc>
        <w:tc>
          <w:tcPr>
            <w:tcW w:w="1701"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4,9</w:t>
            </w:r>
          </w:p>
        </w:tc>
        <w:tc>
          <w:tcPr>
            <w:tcW w:w="1076" w:type="dxa"/>
            <w:noWrap/>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4,78</w:t>
            </w:r>
          </w:p>
        </w:tc>
        <w:tc>
          <w:tcPr>
            <w:tcW w:w="1134"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5,17</w:t>
            </w:r>
          </w:p>
        </w:tc>
      </w:tr>
      <w:tr w:rsidR="008F3AF5" w:rsidRPr="0054564D" w:rsidTr="00630798">
        <w:trPr>
          <w:trHeight w:val="240"/>
          <w:jc w:val="center"/>
        </w:trPr>
        <w:tc>
          <w:tcPr>
            <w:tcW w:w="5331"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Болезни глаза и его придаточного аппарата</w:t>
            </w:r>
          </w:p>
        </w:tc>
        <w:tc>
          <w:tcPr>
            <w:tcW w:w="1701"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4,16</w:t>
            </w:r>
          </w:p>
        </w:tc>
        <w:tc>
          <w:tcPr>
            <w:tcW w:w="1076" w:type="dxa"/>
            <w:noWrap/>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4,46</w:t>
            </w:r>
          </w:p>
        </w:tc>
        <w:tc>
          <w:tcPr>
            <w:tcW w:w="1134"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2,93</w:t>
            </w:r>
          </w:p>
        </w:tc>
      </w:tr>
      <w:tr w:rsidR="008F3AF5" w:rsidRPr="0054564D" w:rsidTr="00630798">
        <w:trPr>
          <w:trHeight w:val="178"/>
          <w:jc w:val="center"/>
        </w:trPr>
        <w:tc>
          <w:tcPr>
            <w:tcW w:w="5331" w:type="dxa"/>
            <w:vAlign w:val="bottom"/>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Болезни кожи и подкожной клетчатки</w:t>
            </w:r>
          </w:p>
        </w:tc>
        <w:tc>
          <w:tcPr>
            <w:tcW w:w="1701"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3,4</w:t>
            </w:r>
          </w:p>
        </w:tc>
        <w:tc>
          <w:tcPr>
            <w:tcW w:w="1076" w:type="dxa"/>
            <w:noWrap/>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3,41</w:t>
            </w:r>
          </w:p>
        </w:tc>
        <w:tc>
          <w:tcPr>
            <w:tcW w:w="1134" w:type="dxa"/>
          </w:tcPr>
          <w:p w:rsidR="008F3AF5" w:rsidRPr="0054564D" w:rsidRDefault="008F3AF5" w:rsidP="0054564D">
            <w:pPr>
              <w:spacing w:before="20" w:after="0" w:line="240" w:lineRule="auto"/>
              <w:ind w:left="57"/>
              <w:jc w:val="center"/>
              <w:rPr>
                <w:rFonts w:ascii="Times New Roman" w:hAnsi="Times New Roman" w:cs="Times New Roman"/>
              </w:rPr>
            </w:pPr>
            <w:r w:rsidRPr="0054564D">
              <w:rPr>
                <w:rFonts w:ascii="Times New Roman" w:hAnsi="Times New Roman" w:cs="Times New Roman"/>
              </w:rPr>
              <w:t>3,33</w:t>
            </w:r>
          </w:p>
        </w:tc>
      </w:tr>
    </w:tbl>
    <w:p w:rsidR="008F3AF5" w:rsidRPr="0054564D" w:rsidRDefault="008F3AF5" w:rsidP="0054564D">
      <w:pPr>
        <w:spacing w:after="0" w:line="240" w:lineRule="auto"/>
        <w:jc w:val="both"/>
        <w:rPr>
          <w:rFonts w:ascii="Times New Roman" w:hAnsi="Times New Roman" w:cs="Times New Roman"/>
          <w:sz w:val="24"/>
          <w:szCs w:val="24"/>
        </w:rPr>
      </w:pPr>
      <w:r w:rsidRPr="0054564D">
        <w:rPr>
          <w:rFonts w:ascii="Times New Roman" w:hAnsi="Times New Roman" w:cs="Times New Roman"/>
          <w:b/>
          <w:noProof/>
          <w:sz w:val="24"/>
          <w:szCs w:val="24"/>
          <w:lang w:eastAsia="ru-RU"/>
        </w:rPr>
        <w:drawing>
          <wp:inline distT="0" distB="0" distL="0" distR="0">
            <wp:extent cx="5505450" cy="3305175"/>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F3AF5" w:rsidRPr="0054564D" w:rsidRDefault="008F3AF5" w:rsidP="0054564D">
      <w:pPr>
        <w:spacing w:after="0" w:line="240" w:lineRule="auto"/>
        <w:jc w:val="center"/>
        <w:rPr>
          <w:rFonts w:ascii="Times New Roman" w:hAnsi="Times New Roman" w:cs="Times New Roman"/>
        </w:rPr>
      </w:pPr>
      <w:r w:rsidRPr="0054564D">
        <w:rPr>
          <w:rFonts w:ascii="Times New Roman" w:hAnsi="Times New Roman" w:cs="Times New Roman"/>
        </w:rPr>
        <w:t xml:space="preserve">Рис. № 10. </w:t>
      </w:r>
      <w:proofErr w:type="gramStart"/>
      <w:r w:rsidRPr="0054564D">
        <w:rPr>
          <w:rFonts w:ascii="Times New Roman" w:hAnsi="Times New Roman" w:cs="Times New Roman"/>
        </w:rPr>
        <w:t>Структура  заболеваемости</w:t>
      </w:r>
      <w:proofErr w:type="gramEnd"/>
      <w:r w:rsidRPr="0054564D">
        <w:rPr>
          <w:rFonts w:ascii="Times New Roman" w:hAnsi="Times New Roman" w:cs="Times New Roman"/>
        </w:rPr>
        <w:t xml:space="preserve">  взрослого населения в городе Пыть-Ях за 2020 г (%).</w:t>
      </w:r>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 xml:space="preserve">В 2020 году, </w:t>
      </w:r>
      <w:proofErr w:type="gramStart"/>
      <w:r w:rsidRPr="0054564D">
        <w:rPr>
          <w:rFonts w:ascii="Times New Roman" w:hAnsi="Times New Roman" w:cs="Times New Roman"/>
          <w:sz w:val="24"/>
          <w:szCs w:val="24"/>
        </w:rPr>
        <w:t>второе  место</w:t>
      </w:r>
      <w:proofErr w:type="gramEnd"/>
      <w:r w:rsidRPr="0054564D">
        <w:rPr>
          <w:rFonts w:ascii="Times New Roman" w:hAnsi="Times New Roman" w:cs="Times New Roman"/>
          <w:sz w:val="24"/>
          <w:szCs w:val="24"/>
        </w:rPr>
        <w:t xml:space="preserve"> в  структуре заболеваемости среди взрослых занимают </w:t>
      </w:r>
      <w:bookmarkStart w:id="23" w:name="_Hlk63340757"/>
      <w:bookmarkStart w:id="24" w:name="_Hlk63340662"/>
      <w:r w:rsidRPr="0054564D">
        <w:rPr>
          <w:rFonts w:ascii="Times New Roman" w:hAnsi="Times New Roman" w:cs="Times New Roman"/>
          <w:sz w:val="24"/>
          <w:szCs w:val="24"/>
        </w:rPr>
        <w:t xml:space="preserve">болезни  системы  кровообращения </w:t>
      </w:r>
      <w:bookmarkEnd w:id="23"/>
      <w:r w:rsidRPr="0054564D">
        <w:rPr>
          <w:rFonts w:ascii="Times New Roman" w:hAnsi="Times New Roman" w:cs="Times New Roman"/>
          <w:sz w:val="24"/>
          <w:szCs w:val="24"/>
        </w:rPr>
        <w:t xml:space="preserve">15,4% ( в 2019г-16,78 % ,  2018 г.- 14,32%). Наблюдается снижение процентного отношения в </w:t>
      </w:r>
      <w:proofErr w:type="gramStart"/>
      <w:r w:rsidRPr="0054564D">
        <w:rPr>
          <w:rFonts w:ascii="Times New Roman" w:hAnsi="Times New Roman" w:cs="Times New Roman"/>
          <w:sz w:val="24"/>
          <w:szCs w:val="24"/>
        </w:rPr>
        <w:t>структуре  заболеваемости</w:t>
      </w:r>
      <w:proofErr w:type="gramEnd"/>
      <w:r w:rsidRPr="0054564D">
        <w:rPr>
          <w:rFonts w:ascii="Times New Roman" w:hAnsi="Times New Roman" w:cs="Times New Roman"/>
          <w:sz w:val="24"/>
          <w:szCs w:val="24"/>
        </w:rPr>
        <w:t xml:space="preserve">   по классу болезней системы кровообращения  по сравнению с 2019г. Наблюдается снижение показателя заболеваемости на 1000 заболевших на 12,5%, по сравнению с 2019 годом.</w:t>
      </w:r>
    </w:p>
    <w:bookmarkEnd w:id="24"/>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lastRenderedPageBreak/>
        <w:t xml:space="preserve">На третьем месте в структуре </w:t>
      </w:r>
      <w:proofErr w:type="gramStart"/>
      <w:r w:rsidRPr="0054564D">
        <w:rPr>
          <w:rFonts w:ascii="Times New Roman" w:hAnsi="Times New Roman" w:cs="Times New Roman"/>
          <w:sz w:val="24"/>
          <w:szCs w:val="24"/>
        </w:rPr>
        <w:t>заболеваемости  болезни</w:t>
      </w:r>
      <w:proofErr w:type="gramEnd"/>
      <w:r w:rsidRPr="0054564D">
        <w:rPr>
          <w:rFonts w:ascii="Times New Roman" w:hAnsi="Times New Roman" w:cs="Times New Roman"/>
          <w:sz w:val="24"/>
          <w:szCs w:val="24"/>
        </w:rPr>
        <w:t xml:space="preserve"> органов дыхания-13,72%( в 2019г-9,18%), тогда как в  2019г на третьем месте в структуре заболеваемости  были болезни костно-мышечной системы и соединительной ткани 13,1% (в  2018 г.-14,24%). Наблюдается в 2020 голу рост </w:t>
      </w:r>
      <w:proofErr w:type="gramStart"/>
      <w:r w:rsidRPr="0054564D">
        <w:rPr>
          <w:rFonts w:ascii="Times New Roman" w:hAnsi="Times New Roman" w:cs="Times New Roman"/>
          <w:sz w:val="24"/>
          <w:szCs w:val="24"/>
        </w:rPr>
        <w:t>показателей  заболеваемости</w:t>
      </w:r>
      <w:proofErr w:type="gramEnd"/>
      <w:r w:rsidRPr="0054564D">
        <w:rPr>
          <w:rFonts w:ascii="Times New Roman" w:hAnsi="Times New Roman" w:cs="Times New Roman"/>
          <w:sz w:val="24"/>
          <w:szCs w:val="24"/>
        </w:rPr>
        <w:t xml:space="preserve"> на 1000 тыс. заболевших по классу болезней органов дыхания на 42.4% (см. таблицу № 15, рис №10).</w:t>
      </w:r>
    </w:p>
    <w:p w:rsidR="008F3AF5" w:rsidRPr="0054564D" w:rsidRDefault="008F3AF5" w:rsidP="0054564D">
      <w:pPr>
        <w:spacing w:after="0" w:line="240" w:lineRule="auto"/>
        <w:jc w:val="center"/>
        <w:rPr>
          <w:rFonts w:ascii="Times New Roman" w:hAnsi="Times New Roman" w:cs="Times New Roman"/>
          <w:b/>
          <w:sz w:val="24"/>
          <w:szCs w:val="24"/>
        </w:rPr>
      </w:pPr>
    </w:p>
    <w:p w:rsidR="008F3AF5" w:rsidRPr="0054564D" w:rsidRDefault="008F3AF5" w:rsidP="0054564D">
      <w:pPr>
        <w:spacing w:after="0" w:line="240" w:lineRule="auto"/>
        <w:jc w:val="center"/>
        <w:rPr>
          <w:rFonts w:ascii="Times New Roman" w:hAnsi="Times New Roman" w:cs="Times New Roman"/>
          <w:b/>
          <w:sz w:val="24"/>
          <w:szCs w:val="24"/>
        </w:rPr>
      </w:pPr>
      <w:r w:rsidRPr="0054564D">
        <w:rPr>
          <w:rFonts w:ascii="Times New Roman" w:hAnsi="Times New Roman" w:cs="Times New Roman"/>
          <w:b/>
          <w:sz w:val="24"/>
          <w:szCs w:val="24"/>
        </w:rPr>
        <w:t>Заболеваемость с временной утратой трудоспособности</w:t>
      </w:r>
    </w:p>
    <w:p w:rsidR="008F3AF5" w:rsidRPr="0054564D" w:rsidRDefault="008F3AF5" w:rsidP="0054564D">
      <w:pPr>
        <w:spacing w:after="0" w:line="240" w:lineRule="auto"/>
        <w:jc w:val="center"/>
        <w:rPr>
          <w:rFonts w:ascii="Times New Roman" w:hAnsi="Times New Roman" w:cs="Times New Roman"/>
          <w:b/>
          <w:sz w:val="24"/>
          <w:szCs w:val="24"/>
        </w:rPr>
      </w:pPr>
    </w:p>
    <w:p w:rsidR="008F3AF5" w:rsidRPr="0054564D" w:rsidRDefault="008F3AF5" w:rsidP="0054564D">
      <w:pPr>
        <w:pStyle w:val="a"/>
        <w:numPr>
          <w:ilvl w:val="0"/>
          <w:numId w:val="0"/>
        </w:numPr>
        <w:ind w:firstLine="709"/>
        <w:jc w:val="both"/>
      </w:pPr>
      <w:r w:rsidRPr="0054564D">
        <w:t xml:space="preserve">В 2018-2020 гг.    показатели   </w:t>
      </w:r>
      <w:proofErr w:type="gramStart"/>
      <w:r w:rsidRPr="0054564D">
        <w:t>заболеваемости  с</w:t>
      </w:r>
      <w:proofErr w:type="gramEnd"/>
      <w:r w:rsidRPr="0054564D">
        <w:t xml:space="preserve"> временной  утратой  трудоспособности по основным нозологическим формам распределились следующим образом  (показатели  в  случаях  на 100 работающих) (таблица №16, рис. №11)</w:t>
      </w:r>
    </w:p>
    <w:p w:rsidR="008F3AF5" w:rsidRPr="0054564D" w:rsidRDefault="008F3AF5" w:rsidP="0054564D">
      <w:pPr>
        <w:spacing w:after="0" w:line="240" w:lineRule="auto"/>
        <w:jc w:val="right"/>
        <w:rPr>
          <w:rFonts w:ascii="Times New Roman" w:hAnsi="Times New Roman" w:cs="Times New Roman"/>
        </w:rPr>
      </w:pPr>
      <w:r w:rsidRPr="0054564D">
        <w:rPr>
          <w:rFonts w:ascii="Times New Roman" w:hAnsi="Times New Roman" w:cs="Times New Roman"/>
        </w:rPr>
        <w:t>Таблица № 16</w:t>
      </w:r>
    </w:p>
    <w:p w:rsidR="008F3AF5" w:rsidRPr="0054564D" w:rsidRDefault="008F3AF5" w:rsidP="0054564D">
      <w:pPr>
        <w:spacing w:after="0" w:line="240" w:lineRule="auto"/>
        <w:jc w:val="right"/>
        <w:rPr>
          <w:rFonts w:ascii="Times New Roman" w:hAnsi="Times New Roman" w:cs="Times New Roman"/>
          <w:highlight w:val="yellow"/>
        </w:rPr>
      </w:pPr>
    </w:p>
    <w:p w:rsidR="008F3AF5" w:rsidRPr="0054564D" w:rsidRDefault="008F3AF5" w:rsidP="0054564D">
      <w:pPr>
        <w:spacing w:after="0" w:line="240" w:lineRule="auto"/>
        <w:jc w:val="center"/>
        <w:rPr>
          <w:rFonts w:ascii="Times New Roman" w:hAnsi="Times New Roman" w:cs="Times New Roman"/>
          <w:b/>
        </w:rPr>
      </w:pPr>
      <w:r w:rsidRPr="0054564D">
        <w:rPr>
          <w:rFonts w:ascii="Times New Roman" w:hAnsi="Times New Roman" w:cs="Times New Roman"/>
          <w:b/>
        </w:rPr>
        <w:t>Динамика заболеваемости с временной утратой трудоспособности за 2018-2020 годы по г. Пыть-Ях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992"/>
        <w:gridCol w:w="851"/>
        <w:gridCol w:w="850"/>
        <w:gridCol w:w="992"/>
        <w:gridCol w:w="993"/>
        <w:gridCol w:w="1134"/>
      </w:tblGrid>
      <w:tr w:rsidR="008F3AF5" w:rsidRPr="0054564D" w:rsidTr="00630798">
        <w:tc>
          <w:tcPr>
            <w:tcW w:w="3652" w:type="dxa"/>
            <w:vMerge w:val="restart"/>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bCs/>
              </w:rPr>
              <w:t>Наименование классов и отдельных болезней</w:t>
            </w:r>
          </w:p>
        </w:tc>
        <w:tc>
          <w:tcPr>
            <w:tcW w:w="1843" w:type="dxa"/>
            <w:gridSpan w:val="2"/>
          </w:tcPr>
          <w:p w:rsidR="008F3AF5" w:rsidRPr="0054564D" w:rsidRDefault="008F3AF5" w:rsidP="0054564D">
            <w:pPr>
              <w:spacing w:after="0" w:line="240" w:lineRule="auto"/>
              <w:rPr>
                <w:rFonts w:ascii="Times New Roman" w:hAnsi="Times New Roman" w:cs="Times New Roman"/>
                <w:bCs/>
              </w:rPr>
            </w:pPr>
            <w:r w:rsidRPr="0054564D">
              <w:rPr>
                <w:rFonts w:ascii="Times New Roman" w:hAnsi="Times New Roman" w:cs="Times New Roman"/>
                <w:bCs/>
              </w:rPr>
              <w:t xml:space="preserve">2018год </w:t>
            </w:r>
          </w:p>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 </w:t>
            </w:r>
          </w:p>
        </w:tc>
        <w:tc>
          <w:tcPr>
            <w:tcW w:w="1842" w:type="dxa"/>
            <w:gridSpan w:val="2"/>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bCs/>
              </w:rPr>
              <w:t xml:space="preserve"> 2019год </w:t>
            </w:r>
          </w:p>
        </w:tc>
        <w:tc>
          <w:tcPr>
            <w:tcW w:w="2127" w:type="dxa"/>
            <w:gridSpan w:val="2"/>
          </w:tcPr>
          <w:p w:rsidR="008F3AF5" w:rsidRPr="0054564D" w:rsidRDefault="008F3AF5" w:rsidP="0054564D">
            <w:pPr>
              <w:spacing w:after="0" w:line="240" w:lineRule="auto"/>
              <w:rPr>
                <w:rFonts w:ascii="Times New Roman" w:hAnsi="Times New Roman" w:cs="Times New Roman"/>
                <w:bCs/>
              </w:rPr>
            </w:pPr>
            <w:r w:rsidRPr="0054564D">
              <w:rPr>
                <w:rFonts w:ascii="Times New Roman" w:hAnsi="Times New Roman" w:cs="Times New Roman"/>
                <w:bCs/>
              </w:rPr>
              <w:t xml:space="preserve"> 2020год </w:t>
            </w:r>
          </w:p>
        </w:tc>
      </w:tr>
      <w:tr w:rsidR="008F3AF5" w:rsidRPr="0054564D" w:rsidTr="00630798">
        <w:tc>
          <w:tcPr>
            <w:tcW w:w="3652" w:type="dxa"/>
            <w:vMerge/>
          </w:tcPr>
          <w:p w:rsidR="008F3AF5" w:rsidRPr="0054564D" w:rsidRDefault="008F3AF5" w:rsidP="0054564D">
            <w:pPr>
              <w:spacing w:after="0" w:line="240" w:lineRule="auto"/>
              <w:rPr>
                <w:rFonts w:ascii="Times New Roman" w:hAnsi="Times New Roman" w:cs="Times New Roman"/>
                <w:bCs/>
              </w:rPr>
            </w:pPr>
          </w:p>
        </w:tc>
        <w:tc>
          <w:tcPr>
            <w:tcW w:w="992" w:type="dxa"/>
          </w:tcPr>
          <w:p w:rsidR="008F3AF5" w:rsidRPr="0054564D" w:rsidRDefault="008F3AF5" w:rsidP="0054564D">
            <w:pPr>
              <w:spacing w:after="0" w:line="240" w:lineRule="auto"/>
              <w:rPr>
                <w:rFonts w:ascii="Times New Roman" w:hAnsi="Times New Roman" w:cs="Times New Roman"/>
                <w:bCs/>
              </w:rPr>
            </w:pPr>
            <w:r w:rsidRPr="0054564D">
              <w:rPr>
                <w:rFonts w:ascii="Times New Roman" w:hAnsi="Times New Roman" w:cs="Times New Roman"/>
                <w:bCs/>
              </w:rPr>
              <w:t>абс</w:t>
            </w:r>
          </w:p>
          <w:p w:rsidR="008F3AF5" w:rsidRPr="0054564D" w:rsidRDefault="008F3AF5" w:rsidP="0054564D">
            <w:pPr>
              <w:spacing w:after="0" w:line="240" w:lineRule="auto"/>
              <w:rPr>
                <w:rFonts w:ascii="Times New Roman" w:hAnsi="Times New Roman" w:cs="Times New Roman"/>
                <w:bCs/>
              </w:rPr>
            </w:pPr>
            <w:r w:rsidRPr="0054564D">
              <w:rPr>
                <w:rFonts w:ascii="Times New Roman" w:hAnsi="Times New Roman" w:cs="Times New Roman"/>
                <w:bCs/>
              </w:rPr>
              <w:t>случаи</w:t>
            </w:r>
          </w:p>
        </w:tc>
        <w:tc>
          <w:tcPr>
            <w:tcW w:w="851" w:type="dxa"/>
          </w:tcPr>
          <w:p w:rsidR="008F3AF5" w:rsidRPr="0054564D" w:rsidRDefault="008F3AF5" w:rsidP="0054564D">
            <w:pPr>
              <w:spacing w:after="0" w:line="240" w:lineRule="auto"/>
              <w:rPr>
                <w:rFonts w:ascii="Times New Roman" w:hAnsi="Times New Roman" w:cs="Times New Roman"/>
                <w:bCs/>
              </w:rPr>
            </w:pPr>
            <w:r w:rsidRPr="0054564D">
              <w:rPr>
                <w:rFonts w:ascii="Times New Roman" w:hAnsi="Times New Roman" w:cs="Times New Roman"/>
                <w:bCs/>
              </w:rPr>
              <w:t>показ на 100 раб</w:t>
            </w:r>
          </w:p>
        </w:tc>
        <w:tc>
          <w:tcPr>
            <w:tcW w:w="850" w:type="dxa"/>
          </w:tcPr>
          <w:p w:rsidR="008F3AF5" w:rsidRPr="0054564D" w:rsidRDefault="008F3AF5" w:rsidP="0054564D">
            <w:pPr>
              <w:spacing w:after="0" w:line="240" w:lineRule="auto"/>
              <w:rPr>
                <w:rFonts w:ascii="Times New Roman" w:hAnsi="Times New Roman" w:cs="Times New Roman"/>
                <w:bCs/>
              </w:rPr>
            </w:pPr>
            <w:r w:rsidRPr="0054564D">
              <w:rPr>
                <w:rFonts w:ascii="Times New Roman" w:hAnsi="Times New Roman" w:cs="Times New Roman"/>
                <w:bCs/>
              </w:rPr>
              <w:t>абс</w:t>
            </w:r>
          </w:p>
          <w:p w:rsidR="008F3AF5" w:rsidRPr="0054564D" w:rsidRDefault="008F3AF5" w:rsidP="0054564D">
            <w:pPr>
              <w:spacing w:after="0" w:line="240" w:lineRule="auto"/>
              <w:rPr>
                <w:rFonts w:ascii="Times New Roman" w:hAnsi="Times New Roman" w:cs="Times New Roman"/>
                <w:bCs/>
              </w:rPr>
            </w:pPr>
            <w:r w:rsidRPr="0054564D">
              <w:rPr>
                <w:rFonts w:ascii="Times New Roman" w:hAnsi="Times New Roman" w:cs="Times New Roman"/>
                <w:bCs/>
              </w:rPr>
              <w:t>случаи</w:t>
            </w:r>
          </w:p>
        </w:tc>
        <w:tc>
          <w:tcPr>
            <w:tcW w:w="992" w:type="dxa"/>
          </w:tcPr>
          <w:p w:rsidR="008F3AF5" w:rsidRPr="0054564D" w:rsidRDefault="008F3AF5" w:rsidP="0054564D">
            <w:pPr>
              <w:spacing w:after="0" w:line="240" w:lineRule="auto"/>
              <w:rPr>
                <w:rFonts w:ascii="Times New Roman" w:hAnsi="Times New Roman" w:cs="Times New Roman"/>
                <w:bCs/>
              </w:rPr>
            </w:pPr>
            <w:r w:rsidRPr="0054564D">
              <w:rPr>
                <w:rFonts w:ascii="Times New Roman" w:hAnsi="Times New Roman" w:cs="Times New Roman"/>
                <w:bCs/>
              </w:rPr>
              <w:t>показ на 100 раб</w:t>
            </w:r>
          </w:p>
        </w:tc>
        <w:tc>
          <w:tcPr>
            <w:tcW w:w="993" w:type="dxa"/>
          </w:tcPr>
          <w:p w:rsidR="008F3AF5" w:rsidRPr="0054564D" w:rsidRDefault="008F3AF5" w:rsidP="0054564D">
            <w:pPr>
              <w:spacing w:after="0" w:line="240" w:lineRule="auto"/>
              <w:rPr>
                <w:rFonts w:ascii="Times New Roman" w:hAnsi="Times New Roman" w:cs="Times New Roman"/>
                <w:bCs/>
              </w:rPr>
            </w:pPr>
            <w:r w:rsidRPr="0054564D">
              <w:rPr>
                <w:rFonts w:ascii="Times New Roman" w:hAnsi="Times New Roman" w:cs="Times New Roman"/>
                <w:bCs/>
              </w:rPr>
              <w:t>абс</w:t>
            </w:r>
          </w:p>
          <w:p w:rsidR="008F3AF5" w:rsidRPr="0054564D" w:rsidRDefault="008F3AF5" w:rsidP="0054564D">
            <w:pPr>
              <w:spacing w:after="0" w:line="240" w:lineRule="auto"/>
              <w:rPr>
                <w:rFonts w:ascii="Times New Roman" w:hAnsi="Times New Roman" w:cs="Times New Roman"/>
                <w:bCs/>
              </w:rPr>
            </w:pPr>
            <w:r w:rsidRPr="0054564D">
              <w:rPr>
                <w:rFonts w:ascii="Times New Roman" w:hAnsi="Times New Roman" w:cs="Times New Roman"/>
                <w:bCs/>
              </w:rPr>
              <w:t>случаи</w:t>
            </w:r>
          </w:p>
        </w:tc>
        <w:tc>
          <w:tcPr>
            <w:tcW w:w="1134" w:type="dxa"/>
          </w:tcPr>
          <w:p w:rsidR="008F3AF5" w:rsidRPr="0054564D" w:rsidRDefault="008F3AF5" w:rsidP="0054564D">
            <w:pPr>
              <w:spacing w:after="0" w:line="240" w:lineRule="auto"/>
              <w:rPr>
                <w:rFonts w:ascii="Times New Roman" w:hAnsi="Times New Roman" w:cs="Times New Roman"/>
                <w:bCs/>
              </w:rPr>
            </w:pPr>
            <w:r w:rsidRPr="0054564D">
              <w:rPr>
                <w:rFonts w:ascii="Times New Roman" w:hAnsi="Times New Roman" w:cs="Times New Roman"/>
                <w:bCs/>
              </w:rPr>
              <w:t>показ на 100 раб</w:t>
            </w:r>
          </w:p>
        </w:tc>
      </w:tr>
      <w:tr w:rsidR="008F3AF5" w:rsidRPr="0054564D" w:rsidTr="00630798">
        <w:tc>
          <w:tcPr>
            <w:tcW w:w="3652"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Некоторые инфекционные и паразитарные болезни</w:t>
            </w:r>
          </w:p>
        </w:tc>
        <w:tc>
          <w:tcPr>
            <w:tcW w:w="992"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112</w:t>
            </w:r>
          </w:p>
        </w:tc>
        <w:tc>
          <w:tcPr>
            <w:tcW w:w="851"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0,41</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101</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0,31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327</w:t>
            </w:r>
          </w:p>
        </w:tc>
        <w:tc>
          <w:tcPr>
            <w:tcW w:w="1134" w:type="dxa"/>
            <w:tcBorders>
              <w:top w:val="single" w:sz="4" w:space="0" w:color="auto"/>
              <w:left w:val="nil"/>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1,44</w:t>
            </w:r>
          </w:p>
        </w:tc>
      </w:tr>
      <w:tr w:rsidR="008F3AF5" w:rsidRPr="0054564D" w:rsidTr="00630798">
        <w:tc>
          <w:tcPr>
            <w:tcW w:w="3652"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Новообразования</w:t>
            </w:r>
          </w:p>
        </w:tc>
        <w:tc>
          <w:tcPr>
            <w:tcW w:w="992"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263</w:t>
            </w:r>
          </w:p>
        </w:tc>
        <w:tc>
          <w:tcPr>
            <w:tcW w:w="851"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0,97</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278</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0,89</w:t>
            </w:r>
          </w:p>
        </w:tc>
        <w:tc>
          <w:tcPr>
            <w:tcW w:w="993"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283</w:t>
            </w:r>
          </w:p>
        </w:tc>
        <w:tc>
          <w:tcPr>
            <w:tcW w:w="1134" w:type="dxa"/>
            <w:tcBorders>
              <w:top w:val="nil"/>
              <w:left w:val="nil"/>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1,25</w:t>
            </w:r>
          </w:p>
        </w:tc>
      </w:tr>
      <w:tr w:rsidR="008F3AF5" w:rsidRPr="0054564D" w:rsidTr="00630798">
        <w:tc>
          <w:tcPr>
            <w:tcW w:w="3652"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из них злокачественные новообразования</w:t>
            </w:r>
          </w:p>
        </w:tc>
        <w:tc>
          <w:tcPr>
            <w:tcW w:w="992"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127</w:t>
            </w:r>
          </w:p>
        </w:tc>
        <w:tc>
          <w:tcPr>
            <w:tcW w:w="851"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0,47</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161</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0,49</w:t>
            </w:r>
          </w:p>
        </w:tc>
        <w:tc>
          <w:tcPr>
            <w:tcW w:w="993"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176</w:t>
            </w:r>
          </w:p>
        </w:tc>
        <w:tc>
          <w:tcPr>
            <w:tcW w:w="1134" w:type="dxa"/>
            <w:tcBorders>
              <w:top w:val="nil"/>
              <w:left w:val="nil"/>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0,78</w:t>
            </w:r>
          </w:p>
        </w:tc>
      </w:tr>
      <w:tr w:rsidR="008F3AF5" w:rsidRPr="0054564D" w:rsidTr="00630798">
        <w:tc>
          <w:tcPr>
            <w:tcW w:w="3652"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Болезни крови и кроветворных органов и отдельные нарушения, вовлекающие иммунный механизм</w:t>
            </w:r>
          </w:p>
        </w:tc>
        <w:tc>
          <w:tcPr>
            <w:tcW w:w="992"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27</w:t>
            </w:r>
          </w:p>
        </w:tc>
        <w:tc>
          <w:tcPr>
            <w:tcW w:w="851"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0,10</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24</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0,07</w:t>
            </w:r>
          </w:p>
        </w:tc>
        <w:tc>
          <w:tcPr>
            <w:tcW w:w="993"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29</w:t>
            </w:r>
          </w:p>
        </w:tc>
        <w:tc>
          <w:tcPr>
            <w:tcW w:w="1134" w:type="dxa"/>
            <w:tcBorders>
              <w:top w:val="nil"/>
              <w:left w:val="nil"/>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0,13</w:t>
            </w:r>
          </w:p>
        </w:tc>
      </w:tr>
      <w:tr w:rsidR="008F3AF5" w:rsidRPr="0054564D" w:rsidTr="00630798">
        <w:tc>
          <w:tcPr>
            <w:tcW w:w="3652"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Болезни эндокринной системы, нарушения питания и нарушения обмена веществ</w:t>
            </w:r>
          </w:p>
        </w:tc>
        <w:tc>
          <w:tcPr>
            <w:tcW w:w="992"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173</w:t>
            </w:r>
          </w:p>
        </w:tc>
        <w:tc>
          <w:tcPr>
            <w:tcW w:w="851"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0,64</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124</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0,38</w:t>
            </w:r>
          </w:p>
        </w:tc>
        <w:tc>
          <w:tcPr>
            <w:tcW w:w="993"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62</w:t>
            </w:r>
          </w:p>
        </w:tc>
        <w:tc>
          <w:tcPr>
            <w:tcW w:w="1134" w:type="dxa"/>
            <w:tcBorders>
              <w:top w:val="nil"/>
              <w:left w:val="nil"/>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0,27</w:t>
            </w:r>
          </w:p>
        </w:tc>
      </w:tr>
      <w:tr w:rsidR="008F3AF5" w:rsidRPr="0054564D" w:rsidTr="00630798">
        <w:tc>
          <w:tcPr>
            <w:tcW w:w="3652"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Психические расстройства и расстройства поведения</w:t>
            </w:r>
          </w:p>
        </w:tc>
        <w:tc>
          <w:tcPr>
            <w:tcW w:w="992"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50</w:t>
            </w:r>
          </w:p>
        </w:tc>
        <w:tc>
          <w:tcPr>
            <w:tcW w:w="851"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0,18</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48</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0,15</w:t>
            </w:r>
          </w:p>
        </w:tc>
        <w:tc>
          <w:tcPr>
            <w:tcW w:w="993"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41</w:t>
            </w:r>
          </w:p>
        </w:tc>
        <w:tc>
          <w:tcPr>
            <w:tcW w:w="1134" w:type="dxa"/>
            <w:tcBorders>
              <w:top w:val="nil"/>
              <w:left w:val="nil"/>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0,18</w:t>
            </w:r>
          </w:p>
        </w:tc>
      </w:tr>
      <w:tr w:rsidR="008F3AF5" w:rsidRPr="0054564D" w:rsidTr="00630798">
        <w:tc>
          <w:tcPr>
            <w:tcW w:w="3652"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Болезни нервной системы</w:t>
            </w:r>
          </w:p>
        </w:tc>
        <w:tc>
          <w:tcPr>
            <w:tcW w:w="992"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124</w:t>
            </w:r>
          </w:p>
        </w:tc>
        <w:tc>
          <w:tcPr>
            <w:tcW w:w="851"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0,46</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84</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0,26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103</w:t>
            </w:r>
          </w:p>
        </w:tc>
        <w:tc>
          <w:tcPr>
            <w:tcW w:w="1134" w:type="dxa"/>
            <w:tcBorders>
              <w:top w:val="single" w:sz="4" w:space="0" w:color="auto"/>
              <w:left w:val="nil"/>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0,45</w:t>
            </w:r>
          </w:p>
        </w:tc>
      </w:tr>
      <w:tr w:rsidR="008F3AF5" w:rsidRPr="0054564D" w:rsidTr="00630798">
        <w:tc>
          <w:tcPr>
            <w:tcW w:w="3652"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Болезни глаза и его придаточного аппарата</w:t>
            </w:r>
          </w:p>
        </w:tc>
        <w:tc>
          <w:tcPr>
            <w:tcW w:w="992"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104</w:t>
            </w:r>
          </w:p>
        </w:tc>
        <w:tc>
          <w:tcPr>
            <w:tcW w:w="851"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0,38</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120</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0,37</w:t>
            </w:r>
          </w:p>
        </w:tc>
        <w:tc>
          <w:tcPr>
            <w:tcW w:w="993"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68</w:t>
            </w:r>
          </w:p>
        </w:tc>
        <w:tc>
          <w:tcPr>
            <w:tcW w:w="1134" w:type="dxa"/>
            <w:tcBorders>
              <w:top w:val="nil"/>
              <w:left w:val="nil"/>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0,30</w:t>
            </w:r>
          </w:p>
        </w:tc>
      </w:tr>
      <w:tr w:rsidR="008F3AF5" w:rsidRPr="0054564D" w:rsidTr="00630798">
        <w:tc>
          <w:tcPr>
            <w:tcW w:w="3652"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Болезни уха и сосцевидного отростка</w:t>
            </w:r>
          </w:p>
        </w:tc>
        <w:tc>
          <w:tcPr>
            <w:tcW w:w="992"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84</w:t>
            </w:r>
          </w:p>
        </w:tc>
        <w:tc>
          <w:tcPr>
            <w:tcW w:w="851"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0,31</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76</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0,23</w:t>
            </w:r>
          </w:p>
        </w:tc>
        <w:tc>
          <w:tcPr>
            <w:tcW w:w="993"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86</w:t>
            </w:r>
          </w:p>
        </w:tc>
        <w:tc>
          <w:tcPr>
            <w:tcW w:w="1134" w:type="dxa"/>
            <w:tcBorders>
              <w:top w:val="nil"/>
              <w:left w:val="nil"/>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0,38</w:t>
            </w:r>
          </w:p>
        </w:tc>
      </w:tr>
      <w:tr w:rsidR="008F3AF5" w:rsidRPr="0054564D" w:rsidTr="00630798">
        <w:tc>
          <w:tcPr>
            <w:tcW w:w="3652"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Болезни системы кровообращения</w:t>
            </w:r>
          </w:p>
        </w:tc>
        <w:tc>
          <w:tcPr>
            <w:tcW w:w="992"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1197</w:t>
            </w:r>
          </w:p>
        </w:tc>
        <w:tc>
          <w:tcPr>
            <w:tcW w:w="851"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4,40</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998</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3,08</w:t>
            </w:r>
          </w:p>
        </w:tc>
        <w:tc>
          <w:tcPr>
            <w:tcW w:w="993"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712</w:t>
            </w:r>
          </w:p>
        </w:tc>
        <w:tc>
          <w:tcPr>
            <w:tcW w:w="1134" w:type="dxa"/>
            <w:tcBorders>
              <w:top w:val="nil"/>
              <w:left w:val="nil"/>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3,14</w:t>
            </w:r>
          </w:p>
        </w:tc>
      </w:tr>
      <w:tr w:rsidR="008F3AF5" w:rsidRPr="0054564D" w:rsidTr="00630798">
        <w:tc>
          <w:tcPr>
            <w:tcW w:w="3652"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Болезни органов дыхания</w:t>
            </w:r>
          </w:p>
        </w:tc>
        <w:tc>
          <w:tcPr>
            <w:tcW w:w="992"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2621</w:t>
            </w:r>
          </w:p>
        </w:tc>
        <w:tc>
          <w:tcPr>
            <w:tcW w:w="851"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9,64</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2781</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8,59</w:t>
            </w:r>
          </w:p>
        </w:tc>
        <w:tc>
          <w:tcPr>
            <w:tcW w:w="993"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5035</w:t>
            </w:r>
          </w:p>
        </w:tc>
        <w:tc>
          <w:tcPr>
            <w:tcW w:w="1134" w:type="dxa"/>
            <w:tcBorders>
              <w:top w:val="nil"/>
              <w:left w:val="nil"/>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22,20</w:t>
            </w:r>
          </w:p>
        </w:tc>
      </w:tr>
      <w:tr w:rsidR="008F3AF5" w:rsidRPr="0054564D" w:rsidTr="00630798">
        <w:tc>
          <w:tcPr>
            <w:tcW w:w="3652"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в т.ч. пневмонии</w:t>
            </w:r>
          </w:p>
        </w:tc>
        <w:tc>
          <w:tcPr>
            <w:tcW w:w="992"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45</w:t>
            </w:r>
          </w:p>
        </w:tc>
        <w:tc>
          <w:tcPr>
            <w:tcW w:w="851"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0,17</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34</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0,10</w:t>
            </w:r>
          </w:p>
        </w:tc>
        <w:tc>
          <w:tcPr>
            <w:tcW w:w="993"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165</w:t>
            </w:r>
          </w:p>
        </w:tc>
        <w:tc>
          <w:tcPr>
            <w:tcW w:w="1134" w:type="dxa"/>
            <w:tcBorders>
              <w:top w:val="nil"/>
              <w:left w:val="nil"/>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0,73</w:t>
            </w:r>
          </w:p>
        </w:tc>
      </w:tr>
      <w:tr w:rsidR="008F3AF5" w:rsidRPr="0054564D" w:rsidTr="00630798">
        <w:tc>
          <w:tcPr>
            <w:tcW w:w="3652"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Болезни органов пищеварения</w:t>
            </w:r>
          </w:p>
        </w:tc>
        <w:tc>
          <w:tcPr>
            <w:tcW w:w="992"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584</w:t>
            </w:r>
          </w:p>
        </w:tc>
        <w:tc>
          <w:tcPr>
            <w:tcW w:w="851"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2,15</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539</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1,66</w:t>
            </w:r>
          </w:p>
        </w:tc>
        <w:tc>
          <w:tcPr>
            <w:tcW w:w="993"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471</w:t>
            </w:r>
          </w:p>
        </w:tc>
        <w:tc>
          <w:tcPr>
            <w:tcW w:w="1134" w:type="dxa"/>
            <w:tcBorders>
              <w:top w:val="nil"/>
              <w:left w:val="nil"/>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2,08</w:t>
            </w:r>
          </w:p>
        </w:tc>
      </w:tr>
      <w:tr w:rsidR="008F3AF5" w:rsidRPr="0054564D" w:rsidTr="00630798">
        <w:tc>
          <w:tcPr>
            <w:tcW w:w="3652"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Болезни кожи и подкожной клетчатки</w:t>
            </w:r>
          </w:p>
        </w:tc>
        <w:tc>
          <w:tcPr>
            <w:tcW w:w="992"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252</w:t>
            </w:r>
          </w:p>
        </w:tc>
        <w:tc>
          <w:tcPr>
            <w:tcW w:w="851"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0,93</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236</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0,73</w:t>
            </w:r>
          </w:p>
        </w:tc>
        <w:tc>
          <w:tcPr>
            <w:tcW w:w="993"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205</w:t>
            </w:r>
          </w:p>
        </w:tc>
        <w:tc>
          <w:tcPr>
            <w:tcW w:w="1134" w:type="dxa"/>
            <w:tcBorders>
              <w:top w:val="nil"/>
              <w:left w:val="nil"/>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0,90</w:t>
            </w:r>
          </w:p>
        </w:tc>
      </w:tr>
      <w:tr w:rsidR="008F3AF5" w:rsidRPr="0054564D" w:rsidTr="00630798">
        <w:tc>
          <w:tcPr>
            <w:tcW w:w="3652"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Болезни костно-мышечной системы и соед. ткани</w:t>
            </w:r>
          </w:p>
        </w:tc>
        <w:tc>
          <w:tcPr>
            <w:tcW w:w="992"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2537</w:t>
            </w:r>
          </w:p>
        </w:tc>
        <w:tc>
          <w:tcPr>
            <w:tcW w:w="851"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9,33</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2675</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8,26</w:t>
            </w:r>
          </w:p>
        </w:tc>
        <w:tc>
          <w:tcPr>
            <w:tcW w:w="993"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2339</w:t>
            </w:r>
          </w:p>
        </w:tc>
        <w:tc>
          <w:tcPr>
            <w:tcW w:w="1134" w:type="dxa"/>
            <w:tcBorders>
              <w:top w:val="nil"/>
              <w:left w:val="nil"/>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10,31</w:t>
            </w:r>
          </w:p>
        </w:tc>
      </w:tr>
      <w:tr w:rsidR="008F3AF5" w:rsidRPr="0054564D" w:rsidTr="00630798">
        <w:tc>
          <w:tcPr>
            <w:tcW w:w="3652" w:type="dxa"/>
          </w:tcPr>
          <w:p w:rsidR="008F3AF5" w:rsidRPr="0054564D" w:rsidRDefault="008F3AF5" w:rsidP="0054564D">
            <w:pPr>
              <w:spacing w:after="0" w:line="240" w:lineRule="auto"/>
              <w:rPr>
                <w:rFonts w:ascii="Times New Roman" w:hAnsi="Times New Roman" w:cs="Times New Roman"/>
              </w:rPr>
            </w:pPr>
            <w:bookmarkStart w:id="25" w:name="_Hlk63345200"/>
            <w:r w:rsidRPr="0054564D">
              <w:rPr>
                <w:rFonts w:ascii="Times New Roman" w:hAnsi="Times New Roman" w:cs="Times New Roman"/>
              </w:rPr>
              <w:t>Болезни мочеполовой системы</w:t>
            </w:r>
            <w:bookmarkEnd w:id="25"/>
          </w:p>
        </w:tc>
        <w:tc>
          <w:tcPr>
            <w:tcW w:w="992"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760</w:t>
            </w:r>
          </w:p>
        </w:tc>
        <w:tc>
          <w:tcPr>
            <w:tcW w:w="851"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2,80</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682</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2,11</w:t>
            </w:r>
          </w:p>
        </w:tc>
        <w:tc>
          <w:tcPr>
            <w:tcW w:w="993"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592</w:t>
            </w:r>
          </w:p>
        </w:tc>
        <w:tc>
          <w:tcPr>
            <w:tcW w:w="1134" w:type="dxa"/>
            <w:tcBorders>
              <w:top w:val="nil"/>
              <w:left w:val="nil"/>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2,61</w:t>
            </w:r>
          </w:p>
        </w:tc>
      </w:tr>
      <w:tr w:rsidR="008F3AF5" w:rsidRPr="0054564D" w:rsidTr="00630798">
        <w:tc>
          <w:tcPr>
            <w:tcW w:w="3652" w:type="dxa"/>
          </w:tcPr>
          <w:p w:rsidR="008F3AF5" w:rsidRPr="0054564D" w:rsidRDefault="008F3AF5" w:rsidP="0054564D">
            <w:pPr>
              <w:spacing w:after="0" w:line="240" w:lineRule="auto"/>
              <w:rPr>
                <w:rFonts w:ascii="Times New Roman" w:hAnsi="Times New Roman" w:cs="Times New Roman"/>
              </w:rPr>
            </w:pPr>
            <w:proofErr w:type="gramStart"/>
            <w:r w:rsidRPr="0054564D">
              <w:rPr>
                <w:rFonts w:ascii="Times New Roman" w:hAnsi="Times New Roman" w:cs="Times New Roman"/>
              </w:rPr>
              <w:t>Беременность,  роды</w:t>
            </w:r>
            <w:proofErr w:type="gramEnd"/>
            <w:r w:rsidRPr="0054564D">
              <w:rPr>
                <w:rFonts w:ascii="Times New Roman" w:hAnsi="Times New Roman" w:cs="Times New Roman"/>
              </w:rPr>
              <w:t xml:space="preserve"> и  послеродовой период</w:t>
            </w:r>
          </w:p>
        </w:tc>
        <w:tc>
          <w:tcPr>
            <w:tcW w:w="992"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626</w:t>
            </w:r>
          </w:p>
        </w:tc>
        <w:tc>
          <w:tcPr>
            <w:tcW w:w="851"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2,30</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447</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1,38</w:t>
            </w:r>
          </w:p>
        </w:tc>
        <w:tc>
          <w:tcPr>
            <w:tcW w:w="993"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391</w:t>
            </w:r>
          </w:p>
        </w:tc>
        <w:tc>
          <w:tcPr>
            <w:tcW w:w="1134" w:type="dxa"/>
            <w:tcBorders>
              <w:top w:val="nil"/>
              <w:left w:val="nil"/>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1,72</w:t>
            </w:r>
          </w:p>
        </w:tc>
      </w:tr>
      <w:tr w:rsidR="008F3AF5" w:rsidRPr="0054564D" w:rsidTr="00630798">
        <w:tc>
          <w:tcPr>
            <w:tcW w:w="3652"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Врожденные аномалии</w:t>
            </w:r>
          </w:p>
        </w:tc>
        <w:tc>
          <w:tcPr>
            <w:tcW w:w="992"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1</w:t>
            </w:r>
          </w:p>
        </w:tc>
        <w:tc>
          <w:tcPr>
            <w:tcW w:w="851"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0,003</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2</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0,006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0,01</w:t>
            </w:r>
          </w:p>
        </w:tc>
      </w:tr>
      <w:tr w:rsidR="008F3AF5" w:rsidRPr="0054564D" w:rsidTr="00630798">
        <w:tc>
          <w:tcPr>
            <w:tcW w:w="3652"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Продолжение таблицы</w:t>
            </w:r>
          </w:p>
        </w:tc>
        <w:tc>
          <w:tcPr>
            <w:tcW w:w="5812" w:type="dxa"/>
            <w:gridSpan w:val="6"/>
            <w:tcBorders>
              <w:right w:val="single" w:sz="4" w:space="0" w:color="auto"/>
            </w:tcBorders>
          </w:tcPr>
          <w:p w:rsidR="008F3AF5" w:rsidRPr="0054564D" w:rsidRDefault="008F3AF5" w:rsidP="0054564D">
            <w:pPr>
              <w:spacing w:after="0" w:line="240" w:lineRule="auto"/>
              <w:jc w:val="right"/>
              <w:rPr>
                <w:rFonts w:ascii="Times New Roman" w:hAnsi="Times New Roman" w:cs="Times New Roman"/>
                <w:color w:val="000000"/>
              </w:rPr>
            </w:pPr>
          </w:p>
        </w:tc>
      </w:tr>
      <w:tr w:rsidR="008F3AF5" w:rsidRPr="0054564D" w:rsidTr="00630798">
        <w:tc>
          <w:tcPr>
            <w:tcW w:w="3652"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Травмы, отравления и другие внешние воздействия</w:t>
            </w:r>
          </w:p>
        </w:tc>
        <w:tc>
          <w:tcPr>
            <w:tcW w:w="992"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800</w:t>
            </w:r>
          </w:p>
        </w:tc>
        <w:tc>
          <w:tcPr>
            <w:tcW w:w="851"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2,94</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545</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1,68</w:t>
            </w:r>
          </w:p>
        </w:tc>
        <w:tc>
          <w:tcPr>
            <w:tcW w:w="993"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649</w:t>
            </w:r>
          </w:p>
        </w:tc>
        <w:tc>
          <w:tcPr>
            <w:tcW w:w="1134" w:type="dxa"/>
            <w:tcBorders>
              <w:top w:val="nil"/>
              <w:left w:val="nil"/>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2,86</w:t>
            </w:r>
          </w:p>
        </w:tc>
      </w:tr>
      <w:tr w:rsidR="008F3AF5" w:rsidRPr="0054564D" w:rsidTr="00630798">
        <w:tc>
          <w:tcPr>
            <w:tcW w:w="3652"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Всего по заболеваниям</w:t>
            </w:r>
          </w:p>
        </w:tc>
        <w:tc>
          <w:tcPr>
            <w:tcW w:w="992"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10315</w:t>
            </w:r>
          </w:p>
        </w:tc>
        <w:tc>
          <w:tcPr>
            <w:tcW w:w="851"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37,94</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10060</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31,06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11696</w:t>
            </w:r>
          </w:p>
        </w:tc>
        <w:tc>
          <w:tcPr>
            <w:tcW w:w="1134" w:type="dxa"/>
            <w:tcBorders>
              <w:top w:val="single" w:sz="4" w:space="0" w:color="auto"/>
              <w:left w:val="nil"/>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51,57</w:t>
            </w:r>
          </w:p>
        </w:tc>
      </w:tr>
      <w:tr w:rsidR="008F3AF5" w:rsidRPr="0054564D" w:rsidTr="00630798">
        <w:tc>
          <w:tcPr>
            <w:tcW w:w="3652" w:type="dxa"/>
          </w:tcPr>
          <w:p w:rsidR="008F3AF5" w:rsidRPr="0054564D" w:rsidRDefault="008F3AF5" w:rsidP="0054564D">
            <w:pPr>
              <w:spacing w:after="0" w:line="240" w:lineRule="auto"/>
              <w:rPr>
                <w:rFonts w:ascii="Times New Roman" w:hAnsi="Times New Roman" w:cs="Times New Roman"/>
              </w:rPr>
            </w:pPr>
            <w:r w:rsidRPr="0054564D">
              <w:rPr>
                <w:rFonts w:ascii="Times New Roman" w:hAnsi="Times New Roman" w:cs="Times New Roman"/>
              </w:rPr>
              <w:t>Всего по причинам</w:t>
            </w:r>
          </w:p>
        </w:tc>
        <w:tc>
          <w:tcPr>
            <w:tcW w:w="992"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13158</w:t>
            </w:r>
          </w:p>
        </w:tc>
        <w:tc>
          <w:tcPr>
            <w:tcW w:w="851" w:type="dxa"/>
          </w:tcPr>
          <w:p w:rsidR="008F3AF5" w:rsidRPr="0054564D" w:rsidRDefault="008F3AF5" w:rsidP="0054564D">
            <w:pPr>
              <w:spacing w:after="0" w:line="240" w:lineRule="auto"/>
              <w:rPr>
                <w:rFonts w:ascii="Times New Roman" w:hAnsi="Times New Roman" w:cs="Times New Roman"/>
                <w:color w:val="000000"/>
              </w:rPr>
            </w:pPr>
            <w:r w:rsidRPr="0054564D">
              <w:rPr>
                <w:rFonts w:ascii="Times New Roman" w:hAnsi="Times New Roman" w:cs="Times New Roman"/>
              </w:rPr>
              <w:t>48,39</w:t>
            </w:r>
          </w:p>
        </w:tc>
        <w:tc>
          <w:tcPr>
            <w:tcW w:w="850"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12966</w:t>
            </w:r>
          </w:p>
        </w:tc>
        <w:tc>
          <w:tcPr>
            <w:tcW w:w="992" w:type="dxa"/>
          </w:tcPr>
          <w:p w:rsidR="008F3AF5" w:rsidRPr="0054564D" w:rsidRDefault="008F3AF5" w:rsidP="0054564D">
            <w:pPr>
              <w:spacing w:after="0" w:line="240" w:lineRule="auto"/>
              <w:jc w:val="center"/>
              <w:rPr>
                <w:rFonts w:ascii="Times New Roman" w:hAnsi="Times New Roman" w:cs="Times New Roman"/>
                <w:color w:val="000000"/>
              </w:rPr>
            </w:pPr>
            <w:r w:rsidRPr="0054564D">
              <w:rPr>
                <w:rFonts w:ascii="Times New Roman" w:hAnsi="Times New Roman" w:cs="Times New Roman"/>
              </w:rPr>
              <w:t>40,03</w:t>
            </w:r>
          </w:p>
        </w:tc>
        <w:tc>
          <w:tcPr>
            <w:tcW w:w="993" w:type="dxa"/>
            <w:tcBorders>
              <w:top w:val="nil"/>
              <w:left w:val="single" w:sz="4" w:space="0" w:color="auto"/>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bookmarkStart w:id="26" w:name="_Hlk63342454"/>
            <w:r w:rsidRPr="0054564D">
              <w:rPr>
                <w:rFonts w:ascii="Times New Roman" w:hAnsi="Times New Roman" w:cs="Times New Roman"/>
                <w:color w:val="000000"/>
              </w:rPr>
              <w:t>14235</w:t>
            </w:r>
            <w:bookmarkEnd w:id="26"/>
          </w:p>
        </w:tc>
        <w:tc>
          <w:tcPr>
            <w:tcW w:w="1134" w:type="dxa"/>
            <w:tcBorders>
              <w:top w:val="nil"/>
              <w:left w:val="nil"/>
              <w:bottom w:val="single" w:sz="4" w:space="0" w:color="auto"/>
              <w:right w:val="single" w:sz="4" w:space="0" w:color="auto"/>
            </w:tcBorders>
            <w:shd w:val="clear" w:color="auto" w:fill="auto"/>
            <w:vAlign w:val="bottom"/>
          </w:tcPr>
          <w:p w:rsidR="008F3AF5" w:rsidRPr="0054564D" w:rsidRDefault="008F3AF5" w:rsidP="0054564D">
            <w:pPr>
              <w:spacing w:after="0" w:line="240" w:lineRule="auto"/>
              <w:jc w:val="right"/>
              <w:rPr>
                <w:rFonts w:ascii="Times New Roman" w:hAnsi="Times New Roman" w:cs="Times New Roman"/>
                <w:color w:val="000000"/>
              </w:rPr>
            </w:pPr>
            <w:r w:rsidRPr="0054564D">
              <w:rPr>
                <w:rFonts w:ascii="Times New Roman" w:hAnsi="Times New Roman" w:cs="Times New Roman"/>
                <w:color w:val="000000"/>
              </w:rPr>
              <w:t>62,77</w:t>
            </w:r>
          </w:p>
        </w:tc>
      </w:tr>
    </w:tbl>
    <w:p w:rsidR="008F3AF5" w:rsidRPr="0054564D" w:rsidRDefault="008F3AF5" w:rsidP="0054564D">
      <w:pPr>
        <w:spacing w:after="0" w:line="240" w:lineRule="auto"/>
        <w:ind w:firstLine="720"/>
        <w:jc w:val="both"/>
        <w:rPr>
          <w:rFonts w:ascii="Times New Roman" w:hAnsi="Times New Roman" w:cs="Times New Roman"/>
          <w:sz w:val="24"/>
          <w:szCs w:val="24"/>
        </w:rPr>
      </w:pPr>
      <w:r w:rsidRPr="0054564D">
        <w:rPr>
          <w:rFonts w:ascii="Times New Roman" w:hAnsi="Times New Roman" w:cs="Times New Roman"/>
          <w:sz w:val="24"/>
          <w:szCs w:val="24"/>
        </w:rPr>
        <w:lastRenderedPageBreak/>
        <w:t xml:space="preserve">В 2020году регистрируется резкий рост общей заболеваемости с временной утратой трудоспособности по </w:t>
      </w:r>
      <w:proofErr w:type="gramStart"/>
      <w:r w:rsidRPr="0054564D">
        <w:rPr>
          <w:rFonts w:ascii="Times New Roman" w:hAnsi="Times New Roman" w:cs="Times New Roman"/>
          <w:sz w:val="24"/>
          <w:szCs w:val="24"/>
        </w:rPr>
        <w:t>показателям  100</w:t>
      </w:r>
      <w:proofErr w:type="gramEnd"/>
      <w:r w:rsidRPr="0054564D">
        <w:rPr>
          <w:rFonts w:ascii="Times New Roman" w:hAnsi="Times New Roman" w:cs="Times New Roman"/>
          <w:sz w:val="24"/>
          <w:szCs w:val="24"/>
        </w:rPr>
        <w:t xml:space="preserve">  человек  работающих   в г Пыть-Ях на 66%  по «заболеваниям» с </w:t>
      </w:r>
      <w:r w:rsidRPr="0054564D">
        <w:rPr>
          <w:rFonts w:ascii="Times New Roman" w:hAnsi="Times New Roman" w:cs="Times New Roman"/>
        </w:rPr>
        <w:t xml:space="preserve">10060 абс.в 2019г </w:t>
      </w:r>
      <w:r w:rsidRPr="0054564D">
        <w:rPr>
          <w:rFonts w:ascii="Times New Roman" w:hAnsi="Times New Roman" w:cs="Times New Roman"/>
          <w:sz w:val="24"/>
          <w:szCs w:val="24"/>
        </w:rPr>
        <w:t xml:space="preserve"> до </w:t>
      </w:r>
      <w:r w:rsidRPr="0054564D">
        <w:rPr>
          <w:rFonts w:ascii="Times New Roman" w:hAnsi="Times New Roman" w:cs="Times New Roman"/>
          <w:color w:val="000000"/>
        </w:rPr>
        <w:t>11696 абс. в 2020 году</w:t>
      </w:r>
      <w:r w:rsidRPr="0054564D">
        <w:rPr>
          <w:rFonts w:ascii="Times New Roman" w:hAnsi="Times New Roman" w:cs="Times New Roman"/>
          <w:sz w:val="24"/>
          <w:szCs w:val="24"/>
        </w:rPr>
        <w:t xml:space="preserve">, </w:t>
      </w:r>
    </w:p>
    <w:p w:rsidR="008F3AF5" w:rsidRPr="0054564D" w:rsidRDefault="008F3AF5" w:rsidP="0054564D">
      <w:pPr>
        <w:spacing w:after="0" w:line="240" w:lineRule="auto"/>
        <w:ind w:firstLine="720"/>
        <w:jc w:val="both"/>
        <w:rPr>
          <w:rFonts w:ascii="Times New Roman" w:hAnsi="Times New Roman" w:cs="Times New Roman"/>
          <w:sz w:val="24"/>
          <w:szCs w:val="24"/>
        </w:rPr>
      </w:pPr>
      <w:r w:rsidRPr="0054564D">
        <w:rPr>
          <w:rFonts w:ascii="Times New Roman" w:hAnsi="Times New Roman" w:cs="Times New Roman"/>
          <w:sz w:val="24"/>
          <w:szCs w:val="24"/>
        </w:rPr>
        <w:t xml:space="preserve">В 2020г </w:t>
      </w:r>
      <w:proofErr w:type="gramStart"/>
      <w:r w:rsidRPr="0054564D">
        <w:rPr>
          <w:rFonts w:ascii="Times New Roman" w:hAnsi="Times New Roman" w:cs="Times New Roman"/>
          <w:sz w:val="24"/>
          <w:szCs w:val="24"/>
        </w:rPr>
        <w:t>показатель  заболеваемости</w:t>
      </w:r>
      <w:proofErr w:type="gramEnd"/>
      <w:r w:rsidRPr="0054564D">
        <w:rPr>
          <w:rFonts w:ascii="Times New Roman" w:hAnsi="Times New Roman" w:cs="Times New Roman"/>
          <w:sz w:val="24"/>
          <w:szCs w:val="24"/>
        </w:rPr>
        <w:t xml:space="preserve"> с  ВУТ  «По всем причинам» на 100 работающих  составил 62,77случаев абс 14235 вырос на 55,5% по  сравнению с 2019г ( абс 12966) с  2019г.  отмечается рост на 55,5%.</w:t>
      </w:r>
    </w:p>
    <w:p w:rsidR="008F3AF5" w:rsidRPr="0054564D" w:rsidRDefault="008F3AF5" w:rsidP="0054564D">
      <w:pPr>
        <w:spacing w:after="0" w:line="240" w:lineRule="auto"/>
        <w:jc w:val="both"/>
        <w:rPr>
          <w:rFonts w:ascii="Times New Roman" w:hAnsi="Times New Roman" w:cs="Times New Roman"/>
          <w:sz w:val="24"/>
          <w:szCs w:val="24"/>
        </w:rPr>
      </w:pPr>
      <w:proofErr w:type="gramStart"/>
      <w:r w:rsidRPr="0054564D">
        <w:rPr>
          <w:rFonts w:ascii="Times New Roman" w:hAnsi="Times New Roman" w:cs="Times New Roman"/>
          <w:sz w:val="24"/>
          <w:szCs w:val="24"/>
        </w:rPr>
        <w:t>В  2019</w:t>
      </w:r>
      <w:proofErr w:type="gramEnd"/>
      <w:r w:rsidRPr="0054564D">
        <w:rPr>
          <w:rFonts w:ascii="Times New Roman" w:hAnsi="Times New Roman" w:cs="Times New Roman"/>
          <w:sz w:val="24"/>
          <w:szCs w:val="24"/>
        </w:rPr>
        <w:t xml:space="preserve">г. показатель заболеваемость с ВУТ ( всего случаев заболеваний)  на 100  человек  взрослого населения составил 31,06 случаев и по сравнению с 2018 г. показатель  заболеваемости  «Всего по заболеваниям»   среди взрослого населения снизился на 18,13%. </w:t>
      </w:r>
      <w:proofErr w:type="gramStart"/>
      <w:r w:rsidRPr="0054564D">
        <w:rPr>
          <w:rFonts w:ascii="Times New Roman" w:hAnsi="Times New Roman" w:cs="Times New Roman"/>
          <w:sz w:val="24"/>
          <w:szCs w:val="24"/>
        </w:rPr>
        <w:t>( таблица</w:t>
      </w:r>
      <w:proofErr w:type="gramEnd"/>
      <w:r w:rsidRPr="0054564D">
        <w:rPr>
          <w:rFonts w:ascii="Times New Roman" w:hAnsi="Times New Roman" w:cs="Times New Roman"/>
          <w:sz w:val="24"/>
          <w:szCs w:val="24"/>
        </w:rPr>
        <w:t xml:space="preserve"> №16,рисунок №11).</w:t>
      </w:r>
    </w:p>
    <w:p w:rsidR="008F3AF5" w:rsidRPr="0054564D" w:rsidRDefault="008F3AF5" w:rsidP="0054564D">
      <w:pPr>
        <w:pStyle w:val="a"/>
        <w:numPr>
          <w:ilvl w:val="0"/>
          <w:numId w:val="0"/>
        </w:numPr>
        <w:ind w:firstLine="709"/>
        <w:jc w:val="both"/>
      </w:pPr>
      <w:r w:rsidRPr="0054564D">
        <w:t xml:space="preserve">В 2020году в связи с повышенной заболеваемостью новой коронавирусной инфекцией показатель </w:t>
      </w:r>
      <w:proofErr w:type="gramStart"/>
      <w:r w:rsidRPr="0054564D">
        <w:t>заболеваемости  с</w:t>
      </w:r>
      <w:proofErr w:type="gramEnd"/>
      <w:r w:rsidRPr="0054564D">
        <w:t xml:space="preserve"> ВУТ на 100 работающих по  «факторам, влияющим на состояние здоровья населения и обращения за медицинской помощью; составил 11,6 ( в абсолютных случаях 2631,  со</w:t>
      </w:r>
      <w:r w:rsidRPr="0054564D">
        <w:rPr>
          <w:lang w:val="en-US"/>
        </w:rPr>
        <w:t>vid</w:t>
      </w:r>
      <w:r w:rsidRPr="0054564D">
        <w:t>-19-1,119( 271 случаев) .</w:t>
      </w:r>
    </w:p>
    <w:p w:rsidR="008F3AF5" w:rsidRPr="0054564D" w:rsidRDefault="008F3AF5" w:rsidP="0054564D">
      <w:pPr>
        <w:pStyle w:val="a"/>
        <w:numPr>
          <w:ilvl w:val="0"/>
          <w:numId w:val="0"/>
        </w:numPr>
        <w:ind w:firstLine="709"/>
        <w:jc w:val="both"/>
      </w:pPr>
      <w:r w:rsidRPr="0054564D">
        <w:t xml:space="preserve">Имеющаяся статистическая отчетность заболеваемости </w:t>
      </w:r>
      <w:proofErr w:type="gramStart"/>
      <w:r w:rsidRPr="0054564D">
        <w:t>с  ВУТ</w:t>
      </w:r>
      <w:proofErr w:type="gramEnd"/>
      <w:r w:rsidRPr="0054564D">
        <w:t>, в настоящее время уже не отражает  истинного состояния здоровья работающих. Отсутствуют достоверные показатели работающих, в связи с большим количеством работающих с г. Нефтеюганска, резким увеличением числа мелких предприятий. В связи с неоплатой некоторыми предприятиями больничных листов, угрозой безработицы, ухудшение финансово-экономического состояния-все это снижает обращаемость работающих за медицинской помощью и вынуждает обращаться в ЛПУ уже в критических ситуациях.</w:t>
      </w:r>
    </w:p>
    <w:p w:rsidR="008F3AF5" w:rsidRPr="0054564D" w:rsidRDefault="008F3AF5" w:rsidP="0054564D">
      <w:pPr>
        <w:pStyle w:val="a"/>
        <w:numPr>
          <w:ilvl w:val="0"/>
          <w:numId w:val="0"/>
        </w:numPr>
        <w:ind w:firstLine="709"/>
        <w:jc w:val="both"/>
      </w:pPr>
      <w:bookmarkStart w:id="27" w:name="_Hlk63349369"/>
      <w:r w:rsidRPr="0054564D">
        <w:t>В 2018-2019гг наблюдалось снижение заболеваемости с ВУТ по большинству классов болезней.</w:t>
      </w:r>
    </w:p>
    <w:p w:rsidR="008F3AF5" w:rsidRPr="0054564D" w:rsidRDefault="008F3AF5" w:rsidP="0054564D">
      <w:pPr>
        <w:spacing w:after="0" w:line="240" w:lineRule="auto"/>
        <w:ind w:firstLine="709"/>
        <w:jc w:val="both"/>
        <w:rPr>
          <w:rFonts w:ascii="Times New Roman" w:hAnsi="Times New Roman" w:cs="Times New Roman"/>
          <w:sz w:val="24"/>
          <w:szCs w:val="24"/>
        </w:rPr>
      </w:pPr>
      <w:r w:rsidRPr="0054564D">
        <w:rPr>
          <w:rFonts w:ascii="Times New Roman" w:hAnsi="Times New Roman" w:cs="Times New Roman"/>
          <w:sz w:val="24"/>
          <w:szCs w:val="24"/>
        </w:rPr>
        <w:t>В 2020году практически по всем</w:t>
      </w:r>
      <w:r w:rsidR="00115EE6">
        <w:rPr>
          <w:rFonts w:ascii="Times New Roman" w:hAnsi="Times New Roman" w:cs="Times New Roman"/>
          <w:sz w:val="24"/>
          <w:szCs w:val="24"/>
        </w:rPr>
        <w:t xml:space="preserve"> </w:t>
      </w:r>
      <w:r w:rsidRPr="0054564D">
        <w:rPr>
          <w:rFonts w:ascii="Times New Roman" w:hAnsi="Times New Roman" w:cs="Times New Roman"/>
          <w:sz w:val="24"/>
          <w:szCs w:val="24"/>
        </w:rPr>
        <w:t xml:space="preserve">классам </w:t>
      </w:r>
      <w:proofErr w:type="gramStart"/>
      <w:r w:rsidRPr="0054564D">
        <w:rPr>
          <w:rFonts w:ascii="Times New Roman" w:hAnsi="Times New Roman" w:cs="Times New Roman"/>
          <w:sz w:val="24"/>
          <w:szCs w:val="24"/>
        </w:rPr>
        <w:t>заболеваний( кроме</w:t>
      </w:r>
      <w:proofErr w:type="gramEnd"/>
      <w:r w:rsidRPr="0054564D">
        <w:rPr>
          <w:rFonts w:ascii="Times New Roman" w:hAnsi="Times New Roman" w:cs="Times New Roman"/>
          <w:sz w:val="24"/>
          <w:szCs w:val="24"/>
        </w:rPr>
        <w:t xml:space="preserve"> заболеваний глаз и эндокринной системы   регистрируется рост заболеваемости с ВУТ на 100 работающих, по сравнению с 2019годом:</w:t>
      </w:r>
    </w:p>
    <w:p w:rsidR="008F3AF5" w:rsidRPr="00115EE6" w:rsidRDefault="008F3AF5" w:rsidP="00115EE6">
      <w:pPr>
        <w:spacing w:after="0" w:line="240" w:lineRule="auto"/>
        <w:ind w:firstLine="567"/>
        <w:jc w:val="both"/>
        <w:rPr>
          <w:rFonts w:ascii="Times New Roman" w:hAnsi="Times New Roman" w:cs="Times New Roman"/>
        </w:rPr>
      </w:pPr>
      <w:r w:rsidRPr="00115EE6">
        <w:rPr>
          <w:rFonts w:ascii="Times New Roman" w:hAnsi="Times New Roman" w:cs="Times New Roman"/>
        </w:rPr>
        <w:t>-Некоторые инфекционные и паразитарные болезни на 364%;</w:t>
      </w:r>
    </w:p>
    <w:p w:rsidR="008F3AF5" w:rsidRPr="00115EE6" w:rsidRDefault="008F3AF5" w:rsidP="00115EE6">
      <w:pPr>
        <w:spacing w:after="0" w:line="240" w:lineRule="auto"/>
        <w:ind w:firstLine="567"/>
        <w:jc w:val="both"/>
        <w:rPr>
          <w:rFonts w:ascii="Times New Roman" w:hAnsi="Times New Roman" w:cs="Times New Roman"/>
        </w:rPr>
      </w:pPr>
      <w:r w:rsidRPr="00115EE6">
        <w:rPr>
          <w:rFonts w:ascii="Times New Roman" w:hAnsi="Times New Roman" w:cs="Times New Roman"/>
        </w:rPr>
        <w:t xml:space="preserve">- Болезни органов </w:t>
      </w:r>
      <w:proofErr w:type="gramStart"/>
      <w:r w:rsidRPr="00115EE6">
        <w:rPr>
          <w:rFonts w:ascii="Times New Roman" w:hAnsi="Times New Roman" w:cs="Times New Roman"/>
        </w:rPr>
        <w:t>дыхания  на</w:t>
      </w:r>
      <w:proofErr w:type="gramEnd"/>
      <w:r w:rsidRPr="00115EE6">
        <w:rPr>
          <w:rFonts w:ascii="Times New Roman" w:hAnsi="Times New Roman" w:cs="Times New Roman"/>
        </w:rPr>
        <w:t xml:space="preserve">    158% , в а 2019г наблюдалось снижение на 10,9%  по сравнению с 2018г. в.т.  пневмонии </w:t>
      </w:r>
      <w:proofErr w:type="gramStart"/>
      <w:r w:rsidRPr="00115EE6">
        <w:rPr>
          <w:rFonts w:ascii="Times New Roman" w:hAnsi="Times New Roman" w:cs="Times New Roman"/>
        </w:rPr>
        <w:t>рост  на</w:t>
      </w:r>
      <w:proofErr w:type="gramEnd"/>
      <w:r w:rsidRPr="00115EE6">
        <w:rPr>
          <w:rFonts w:ascii="Times New Roman" w:hAnsi="Times New Roman" w:cs="Times New Roman"/>
        </w:rPr>
        <w:t xml:space="preserve">  630%  , в 2019г регистрировалось снижение на   41,2%  по сравнению с 2018г. ;</w:t>
      </w:r>
    </w:p>
    <w:p w:rsidR="008F3AF5" w:rsidRPr="00115EE6" w:rsidRDefault="008F3AF5" w:rsidP="00115EE6">
      <w:pPr>
        <w:spacing w:after="0" w:line="240" w:lineRule="auto"/>
        <w:ind w:firstLine="567"/>
        <w:jc w:val="both"/>
        <w:rPr>
          <w:rFonts w:ascii="Times New Roman" w:hAnsi="Times New Roman" w:cs="Times New Roman"/>
        </w:rPr>
      </w:pPr>
      <w:r w:rsidRPr="00115EE6">
        <w:rPr>
          <w:rFonts w:ascii="Times New Roman" w:hAnsi="Times New Roman" w:cs="Times New Roman"/>
        </w:rPr>
        <w:t>- Новообразования на 40,44%, из них злокачественные новообразования на 59,2%;</w:t>
      </w:r>
    </w:p>
    <w:p w:rsidR="008F3AF5" w:rsidRPr="00115EE6" w:rsidRDefault="008F3AF5" w:rsidP="00115EE6">
      <w:pPr>
        <w:spacing w:after="0" w:line="240" w:lineRule="auto"/>
        <w:ind w:firstLine="567"/>
        <w:jc w:val="both"/>
        <w:rPr>
          <w:rFonts w:ascii="Times New Roman" w:hAnsi="Times New Roman" w:cs="Times New Roman"/>
        </w:rPr>
      </w:pPr>
      <w:r w:rsidRPr="00115EE6">
        <w:rPr>
          <w:rFonts w:ascii="Times New Roman" w:hAnsi="Times New Roman" w:cs="Times New Roman"/>
        </w:rPr>
        <w:t>- Болезни крови и кроветворных органов и отдельные нарушения, вовлекающие иммунный механизм из них злокачественные новообразования на 85,7%;</w:t>
      </w:r>
    </w:p>
    <w:p w:rsidR="008F3AF5" w:rsidRPr="00115EE6" w:rsidRDefault="008F3AF5" w:rsidP="00115EE6">
      <w:pPr>
        <w:spacing w:after="0" w:line="240" w:lineRule="auto"/>
        <w:ind w:firstLine="567"/>
        <w:jc w:val="both"/>
        <w:rPr>
          <w:rFonts w:ascii="Times New Roman" w:hAnsi="Times New Roman" w:cs="Times New Roman"/>
        </w:rPr>
      </w:pPr>
      <w:r w:rsidRPr="00115EE6">
        <w:rPr>
          <w:rFonts w:ascii="Times New Roman" w:hAnsi="Times New Roman" w:cs="Times New Roman"/>
        </w:rPr>
        <w:t>- Психические расстройства и расстройства поведения на 20 %</w:t>
      </w:r>
    </w:p>
    <w:p w:rsidR="008F3AF5" w:rsidRPr="00115EE6" w:rsidRDefault="008F3AF5" w:rsidP="00115EE6">
      <w:pPr>
        <w:spacing w:after="0" w:line="240" w:lineRule="auto"/>
        <w:ind w:firstLine="567"/>
        <w:jc w:val="both"/>
        <w:rPr>
          <w:rFonts w:ascii="Times New Roman" w:hAnsi="Times New Roman" w:cs="Times New Roman"/>
        </w:rPr>
      </w:pPr>
      <w:r w:rsidRPr="00115EE6">
        <w:rPr>
          <w:rFonts w:ascii="Times New Roman" w:hAnsi="Times New Roman" w:cs="Times New Roman"/>
        </w:rPr>
        <w:t>- Болезни нервной системы на 73%;</w:t>
      </w:r>
    </w:p>
    <w:p w:rsidR="008F3AF5" w:rsidRPr="00115EE6" w:rsidRDefault="008F3AF5" w:rsidP="00115EE6">
      <w:pPr>
        <w:spacing w:after="0" w:line="240" w:lineRule="auto"/>
        <w:ind w:firstLine="567"/>
        <w:jc w:val="both"/>
        <w:rPr>
          <w:rFonts w:ascii="Times New Roman" w:hAnsi="Times New Roman" w:cs="Times New Roman"/>
        </w:rPr>
      </w:pPr>
      <w:r w:rsidRPr="00115EE6">
        <w:rPr>
          <w:rFonts w:ascii="Times New Roman" w:hAnsi="Times New Roman" w:cs="Times New Roman"/>
        </w:rPr>
        <w:t>- Болезни уха и сосцевидного отростка на 65,2%;</w:t>
      </w:r>
    </w:p>
    <w:p w:rsidR="008F3AF5" w:rsidRPr="00115EE6" w:rsidRDefault="008F3AF5" w:rsidP="00115EE6">
      <w:pPr>
        <w:spacing w:after="0" w:line="240" w:lineRule="auto"/>
        <w:ind w:firstLine="567"/>
        <w:jc w:val="both"/>
        <w:rPr>
          <w:rFonts w:ascii="Times New Roman" w:hAnsi="Times New Roman" w:cs="Times New Roman"/>
        </w:rPr>
      </w:pPr>
      <w:r w:rsidRPr="00115EE6">
        <w:rPr>
          <w:rFonts w:ascii="Times New Roman" w:hAnsi="Times New Roman" w:cs="Times New Roman"/>
        </w:rPr>
        <w:t xml:space="preserve">- Болезни системы </w:t>
      </w:r>
      <w:proofErr w:type="gramStart"/>
      <w:r w:rsidRPr="00115EE6">
        <w:rPr>
          <w:rFonts w:ascii="Times New Roman" w:hAnsi="Times New Roman" w:cs="Times New Roman"/>
        </w:rPr>
        <w:t>кровообращения  на</w:t>
      </w:r>
      <w:proofErr w:type="gramEnd"/>
      <w:r w:rsidRPr="00115EE6">
        <w:rPr>
          <w:rFonts w:ascii="Times New Roman" w:hAnsi="Times New Roman" w:cs="Times New Roman"/>
        </w:rPr>
        <w:t xml:space="preserve"> 1,9%</w:t>
      </w:r>
    </w:p>
    <w:p w:rsidR="008F3AF5" w:rsidRPr="00115EE6" w:rsidRDefault="008F3AF5" w:rsidP="00115EE6">
      <w:pPr>
        <w:spacing w:after="0" w:line="240" w:lineRule="auto"/>
        <w:ind w:firstLine="567"/>
        <w:jc w:val="both"/>
        <w:rPr>
          <w:rFonts w:ascii="Times New Roman" w:hAnsi="Times New Roman" w:cs="Times New Roman"/>
        </w:rPr>
      </w:pPr>
      <w:r w:rsidRPr="00115EE6">
        <w:rPr>
          <w:rFonts w:ascii="Times New Roman" w:hAnsi="Times New Roman" w:cs="Times New Roman"/>
        </w:rPr>
        <w:t xml:space="preserve"> - Болезни органов пищеварения на   25,3%, в 2019г регистрировалось </w:t>
      </w:r>
      <w:proofErr w:type="gramStart"/>
      <w:r w:rsidRPr="00115EE6">
        <w:rPr>
          <w:rFonts w:ascii="Times New Roman" w:hAnsi="Times New Roman" w:cs="Times New Roman"/>
        </w:rPr>
        <w:t>снижение  на</w:t>
      </w:r>
      <w:proofErr w:type="gramEnd"/>
      <w:r w:rsidRPr="00115EE6">
        <w:rPr>
          <w:rFonts w:ascii="Times New Roman" w:hAnsi="Times New Roman" w:cs="Times New Roman"/>
        </w:rPr>
        <w:t xml:space="preserve">   22,8%  по сравнению с 2018г;</w:t>
      </w:r>
    </w:p>
    <w:p w:rsidR="008F3AF5" w:rsidRPr="00115EE6" w:rsidRDefault="008F3AF5" w:rsidP="00115EE6">
      <w:pPr>
        <w:spacing w:after="0" w:line="240" w:lineRule="auto"/>
        <w:ind w:firstLine="567"/>
        <w:jc w:val="both"/>
        <w:rPr>
          <w:rFonts w:ascii="Times New Roman" w:hAnsi="Times New Roman" w:cs="Times New Roman"/>
        </w:rPr>
      </w:pPr>
      <w:r w:rsidRPr="00115EE6">
        <w:rPr>
          <w:rFonts w:ascii="Times New Roman" w:hAnsi="Times New Roman" w:cs="Times New Roman"/>
        </w:rPr>
        <w:t xml:space="preserve">- Болезни кожи и подкожной клетчатки на 23,3% </w:t>
      </w:r>
      <w:proofErr w:type="gramStart"/>
      <w:r w:rsidRPr="00115EE6">
        <w:rPr>
          <w:rFonts w:ascii="Times New Roman" w:hAnsi="Times New Roman" w:cs="Times New Roman"/>
        </w:rPr>
        <w:t>( в</w:t>
      </w:r>
      <w:proofErr w:type="gramEnd"/>
      <w:r w:rsidRPr="00115EE6">
        <w:rPr>
          <w:rFonts w:ascii="Times New Roman" w:hAnsi="Times New Roman" w:cs="Times New Roman"/>
        </w:rPr>
        <w:t xml:space="preserve"> 2019г регистрировалось снижение на     40,6%  по сравнению с 2018г.;</w:t>
      </w:r>
    </w:p>
    <w:p w:rsidR="008F3AF5" w:rsidRPr="00115EE6" w:rsidRDefault="008F3AF5" w:rsidP="00115EE6">
      <w:pPr>
        <w:spacing w:after="0" w:line="240" w:lineRule="auto"/>
        <w:ind w:firstLine="567"/>
        <w:jc w:val="both"/>
        <w:rPr>
          <w:rFonts w:ascii="Times New Roman" w:hAnsi="Times New Roman" w:cs="Times New Roman"/>
        </w:rPr>
      </w:pPr>
      <w:r w:rsidRPr="00115EE6">
        <w:rPr>
          <w:rFonts w:ascii="Times New Roman" w:hAnsi="Times New Roman" w:cs="Times New Roman"/>
        </w:rPr>
        <w:t>- Болезни костно-мышечной системы на 24,8</w:t>
      </w:r>
      <w:proofErr w:type="gramStart"/>
      <w:r w:rsidRPr="00115EE6">
        <w:rPr>
          <w:rFonts w:ascii="Times New Roman" w:hAnsi="Times New Roman" w:cs="Times New Roman"/>
        </w:rPr>
        <w:t>% ,</w:t>
      </w:r>
      <w:proofErr w:type="gramEnd"/>
      <w:r w:rsidRPr="00115EE6">
        <w:rPr>
          <w:rFonts w:ascii="Times New Roman" w:hAnsi="Times New Roman" w:cs="Times New Roman"/>
        </w:rPr>
        <w:t xml:space="preserve"> в 2019г  регистрировалось снижение на        11,5%  по сравнению с 2018г.;</w:t>
      </w:r>
    </w:p>
    <w:p w:rsidR="008F3AF5" w:rsidRPr="00115EE6" w:rsidRDefault="008F3AF5" w:rsidP="00115EE6">
      <w:pPr>
        <w:spacing w:after="0" w:line="240" w:lineRule="auto"/>
        <w:ind w:firstLine="567"/>
        <w:jc w:val="both"/>
        <w:rPr>
          <w:rFonts w:ascii="Times New Roman" w:hAnsi="Times New Roman" w:cs="Times New Roman"/>
        </w:rPr>
      </w:pPr>
      <w:r w:rsidRPr="00115EE6">
        <w:rPr>
          <w:rFonts w:ascii="Times New Roman" w:hAnsi="Times New Roman" w:cs="Times New Roman"/>
        </w:rPr>
        <w:t xml:space="preserve">-Болезни мочеполовой системы </w:t>
      </w:r>
      <w:proofErr w:type="gramStart"/>
      <w:r w:rsidRPr="00115EE6">
        <w:rPr>
          <w:rFonts w:ascii="Times New Roman" w:hAnsi="Times New Roman" w:cs="Times New Roman"/>
        </w:rPr>
        <w:t>на  23</w:t>
      </w:r>
      <w:proofErr w:type="gramEnd"/>
      <w:r w:rsidRPr="00115EE6">
        <w:rPr>
          <w:rFonts w:ascii="Times New Roman" w:hAnsi="Times New Roman" w:cs="Times New Roman"/>
        </w:rPr>
        <w:t>,6%, в 2019г  регистрировалось снижение на           24,6%  по сравнению с 2018г.;</w:t>
      </w:r>
    </w:p>
    <w:p w:rsidR="008F3AF5" w:rsidRPr="00115EE6" w:rsidRDefault="008F3AF5" w:rsidP="00115EE6">
      <w:pPr>
        <w:spacing w:after="0" w:line="240" w:lineRule="auto"/>
        <w:ind w:firstLine="567"/>
        <w:jc w:val="both"/>
        <w:rPr>
          <w:rFonts w:ascii="Times New Roman" w:hAnsi="Times New Roman" w:cs="Times New Roman"/>
        </w:rPr>
      </w:pPr>
      <w:r w:rsidRPr="00115EE6">
        <w:rPr>
          <w:rFonts w:ascii="Times New Roman" w:hAnsi="Times New Roman" w:cs="Times New Roman"/>
        </w:rPr>
        <w:t xml:space="preserve">-Травмы, отравления </w:t>
      </w:r>
      <w:proofErr w:type="gramStart"/>
      <w:r w:rsidRPr="00115EE6">
        <w:rPr>
          <w:rFonts w:ascii="Times New Roman" w:hAnsi="Times New Roman" w:cs="Times New Roman"/>
        </w:rPr>
        <w:t>и  другие</w:t>
      </w:r>
      <w:proofErr w:type="gramEnd"/>
      <w:r w:rsidRPr="00115EE6">
        <w:rPr>
          <w:rFonts w:ascii="Times New Roman" w:hAnsi="Times New Roman" w:cs="Times New Roman"/>
        </w:rPr>
        <w:t xml:space="preserve">  внешние воздействия на 70,2%, в 2019г  регистрировалось снижение на    42,9%  по сравнению с 2018г.  </w:t>
      </w:r>
      <w:bookmarkEnd w:id="27"/>
    </w:p>
    <w:p w:rsidR="008F3AF5" w:rsidRPr="00115EE6" w:rsidRDefault="008F3AF5" w:rsidP="00115EE6">
      <w:pPr>
        <w:spacing w:after="0" w:line="240" w:lineRule="auto"/>
        <w:ind w:firstLine="567"/>
        <w:jc w:val="both"/>
        <w:rPr>
          <w:rFonts w:ascii="Times New Roman" w:hAnsi="Times New Roman" w:cs="Times New Roman"/>
        </w:rPr>
      </w:pPr>
      <w:r w:rsidRPr="00115EE6">
        <w:rPr>
          <w:rFonts w:ascii="Times New Roman" w:hAnsi="Times New Roman" w:cs="Times New Roman"/>
        </w:rPr>
        <w:t>В динамике регистрируется снижение по классам заболеваний:</w:t>
      </w:r>
    </w:p>
    <w:p w:rsidR="008F3AF5" w:rsidRPr="00115EE6" w:rsidRDefault="008F3AF5" w:rsidP="00115EE6">
      <w:pPr>
        <w:spacing w:after="0" w:line="240" w:lineRule="auto"/>
        <w:ind w:firstLine="567"/>
        <w:jc w:val="both"/>
        <w:rPr>
          <w:rFonts w:ascii="Times New Roman" w:hAnsi="Times New Roman" w:cs="Times New Roman"/>
        </w:rPr>
      </w:pPr>
      <w:r w:rsidRPr="00115EE6">
        <w:rPr>
          <w:rFonts w:ascii="Times New Roman" w:hAnsi="Times New Roman" w:cs="Times New Roman"/>
          <w:sz w:val="24"/>
          <w:szCs w:val="24"/>
        </w:rPr>
        <w:t xml:space="preserve">- </w:t>
      </w:r>
      <w:r w:rsidRPr="00115EE6">
        <w:rPr>
          <w:rFonts w:ascii="Times New Roman" w:hAnsi="Times New Roman" w:cs="Times New Roman"/>
        </w:rPr>
        <w:t>Болезни эндокринной системы, нарушения питания и нарушения обмена веществ на     28,9%по сравнению с 2019г, в 2019г на 40,6</w:t>
      </w:r>
      <w:proofErr w:type="gramStart"/>
      <w:r w:rsidRPr="00115EE6">
        <w:rPr>
          <w:rFonts w:ascii="Times New Roman" w:hAnsi="Times New Roman" w:cs="Times New Roman"/>
        </w:rPr>
        <w:t>%  по</w:t>
      </w:r>
      <w:proofErr w:type="gramEnd"/>
      <w:r w:rsidRPr="00115EE6">
        <w:rPr>
          <w:rFonts w:ascii="Times New Roman" w:hAnsi="Times New Roman" w:cs="Times New Roman"/>
        </w:rPr>
        <w:t xml:space="preserve"> сравнению с 2018г.;</w:t>
      </w:r>
    </w:p>
    <w:p w:rsidR="008F3AF5" w:rsidRPr="00115EE6" w:rsidRDefault="008F3AF5" w:rsidP="00115EE6">
      <w:pPr>
        <w:spacing w:after="0" w:line="240" w:lineRule="auto"/>
        <w:ind w:firstLine="567"/>
        <w:jc w:val="both"/>
        <w:rPr>
          <w:rFonts w:ascii="Times New Roman" w:hAnsi="Times New Roman" w:cs="Times New Roman"/>
        </w:rPr>
      </w:pPr>
      <w:r w:rsidRPr="00115EE6">
        <w:rPr>
          <w:rFonts w:ascii="Times New Roman" w:hAnsi="Times New Roman" w:cs="Times New Roman"/>
        </w:rPr>
        <w:t>- Болезни глаза и его придаточного аппарата на 18,9% по сравнению с 2019г.</w:t>
      </w:r>
    </w:p>
    <w:p w:rsidR="008F3AF5" w:rsidRPr="00A82D04" w:rsidRDefault="008F3AF5" w:rsidP="008F3AF5">
      <w:r w:rsidRPr="00EA0C28">
        <w:rPr>
          <w:noProof/>
          <w:lang w:eastAsia="ru-RU"/>
        </w:rPr>
        <w:lastRenderedPageBreak/>
        <w:drawing>
          <wp:anchor distT="0" distB="0" distL="114300" distR="114300" simplePos="0" relativeHeight="251665408" behindDoc="0" locked="0" layoutInCell="1" allowOverlap="1">
            <wp:simplePos x="0" y="0"/>
            <wp:positionH relativeFrom="column">
              <wp:posOffset>-379095</wp:posOffset>
            </wp:positionH>
            <wp:positionV relativeFrom="paragraph">
              <wp:posOffset>117475</wp:posOffset>
            </wp:positionV>
            <wp:extent cx="6134100" cy="5025390"/>
            <wp:effectExtent l="0" t="0" r="3810" b="4445"/>
            <wp:wrapSquare wrapText="right"/>
            <wp:docPr id="22" name="Диаграмма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rsidR="008F3AF5" w:rsidRPr="00115EE6" w:rsidRDefault="008F3AF5" w:rsidP="008F3AF5">
      <w:pPr>
        <w:ind w:firstLine="709"/>
        <w:jc w:val="both"/>
        <w:rPr>
          <w:rFonts w:ascii="Times New Roman" w:hAnsi="Times New Roman" w:cs="Times New Roman"/>
          <w:sz w:val="24"/>
          <w:szCs w:val="24"/>
        </w:rPr>
      </w:pPr>
      <w:bookmarkStart w:id="28" w:name="_Hlk63349705"/>
      <w:r w:rsidRPr="00115EE6">
        <w:rPr>
          <w:rFonts w:ascii="Times New Roman" w:hAnsi="Times New Roman" w:cs="Times New Roman"/>
          <w:sz w:val="24"/>
          <w:szCs w:val="24"/>
        </w:rPr>
        <w:t>Рис № 11</w:t>
      </w:r>
      <w:r w:rsidRPr="00115EE6">
        <w:rPr>
          <w:rFonts w:ascii="Times New Roman" w:hAnsi="Times New Roman" w:cs="Times New Roman"/>
        </w:rPr>
        <w:t xml:space="preserve"> </w:t>
      </w:r>
      <w:proofErr w:type="gramStart"/>
      <w:r w:rsidRPr="00115EE6">
        <w:rPr>
          <w:rFonts w:ascii="Times New Roman" w:hAnsi="Times New Roman" w:cs="Times New Roman"/>
        </w:rPr>
        <w:t>Структура  заболеваемости</w:t>
      </w:r>
      <w:proofErr w:type="gramEnd"/>
      <w:r w:rsidRPr="00115EE6">
        <w:rPr>
          <w:rFonts w:ascii="Times New Roman" w:hAnsi="Times New Roman" w:cs="Times New Roman"/>
        </w:rPr>
        <w:t xml:space="preserve">  с временной утратой трудоспособности в городе Пыть-Ях за 2020г (%).</w:t>
      </w:r>
    </w:p>
    <w:p w:rsidR="008F3AF5" w:rsidRPr="00115EE6" w:rsidRDefault="008F3AF5" w:rsidP="00115EE6">
      <w:pPr>
        <w:ind w:firstLine="567"/>
        <w:jc w:val="both"/>
        <w:rPr>
          <w:rFonts w:ascii="Times New Roman" w:hAnsi="Times New Roman" w:cs="Times New Roman"/>
          <w:sz w:val="24"/>
          <w:szCs w:val="24"/>
        </w:rPr>
      </w:pPr>
      <w:r w:rsidRPr="00115EE6">
        <w:rPr>
          <w:rFonts w:ascii="Times New Roman" w:hAnsi="Times New Roman" w:cs="Times New Roman"/>
          <w:sz w:val="24"/>
          <w:szCs w:val="24"/>
        </w:rPr>
        <w:t xml:space="preserve">Лидирующие места в </w:t>
      </w:r>
      <w:proofErr w:type="gramStart"/>
      <w:r w:rsidRPr="00115EE6">
        <w:rPr>
          <w:rFonts w:ascii="Times New Roman" w:hAnsi="Times New Roman" w:cs="Times New Roman"/>
          <w:sz w:val="24"/>
          <w:szCs w:val="24"/>
        </w:rPr>
        <w:t>структуре  заболеваемости</w:t>
      </w:r>
      <w:proofErr w:type="gramEnd"/>
      <w:r w:rsidRPr="00115EE6">
        <w:rPr>
          <w:rFonts w:ascii="Times New Roman" w:hAnsi="Times New Roman" w:cs="Times New Roman"/>
          <w:sz w:val="24"/>
          <w:szCs w:val="24"/>
        </w:rPr>
        <w:t xml:space="preserve"> с временной утратой трудоспособности по г. Пыть-Ях в 2020   по классам болезней распределились следующим образом (рис. №11):</w:t>
      </w:r>
    </w:p>
    <w:p w:rsidR="008F3AF5" w:rsidRPr="00115EE6" w:rsidRDefault="008F3AF5" w:rsidP="006A23B3">
      <w:pPr>
        <w:numPr>
          <w:ilvl w:val="0"/>
          <w:numId w:val="7"/>
        </w:numPr>
        <w:tabs>
          <w:tab w:val="clear" w:pos="1080"/>
          <w:tab w:val="num" w:pos="0"/>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1 место -  Болезни органов дыхания- 43%, в том числе пневмонии 1,4%;</w:t>
      </w:r>
    </w:p>
    <w:p w:rsidR="008F3AF5" w:rsidRPr="00115EE6" w:rsidRDefault="008F3AF5" w:rsidP="006A23B3">
      <w:pPr>
        <w:numPr>
          <w:ilvl w:val="0"/>
          <w:numId w:val="7"/>
        </w:numPr>
        <w:tabs>
          <w:tab w:val="clear" w:pos="1080"/>
          <w:tab w:val="num" w:pos="0"/>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2 место - Болезни костно-мышечной системы-20%;</w:t>
      </w:r>
    </w:p>
    <w:p w:rsidR="008F3AF5" w:rsidRPr="00115EE6" w:rsidRDefault="008F3AF5" w:rsidP="006A23B3">
      <w:pPr>
        <w:numPr>
          <w:ilvl w:val="0"/>
          <w:numId w:val="7"/>
        </w:numPr>
        <w:tabs>
          <w:tab w:val="clear" w:pos="1080"/>
          <w:tab w:val="num" w:pos="0"/>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3 место - Болезни системы кровообращения-6,1%</w:t>
      </w:r>
    </w:p>
    <w:p w:rsidR="008F3AF5" w:rsidRPr="00115EE6" w:rsidRDefault="008F3AF5" w:rsidP="006A23B3">
      <w:pPr>
        <w:numPr>
          <w:ilvl w:val="0"/>
          <w:numId w:val="7"/>
        </w:numPr>
        <w:tabs>
          <w:tab w:val="clear" w:pos="1080"/>
          <w:tab w:val="num" w:pos="0"/>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4 место -</w:t>
      </w:r>
      <w:r w:rsidRPr="00115EE6">
        <w:rPr>
          <w:rFonts w:ascii="Times New Roman" w:hAnsi="Times New Roman" w:cs="Times New Roman"/>
        </w:rPr>
        <w:t xml:space="preserve"> Травмы, отравления </w:t>
      </w:r>
      <w:proofErr w:type="gramStart"/>
      <w:r w:rsidRPr="00115EE6">
        <w:rPr>
          <w:rFonts w:ascii="Times New Roman" w:hAnsi="Times New Roman" w:cs="Times New Roman"/>
        </w:rPr>
        <w:t>и  другие</w:t>
      </w:r>
      <w:proofErr w:type="gramEnd"/>
      <w:r w:rsidRPr="00115EE6">
        <w:rPr>
          <w:rFonts w:ascii="Times New Roman" w:hAnsi="Times New Roman" w:cs="Times New Roman"/>
        </w:rPr>
        <w:t xml:space="preserve">  внешние воздействия- 5,5 %;</w:t>
      </w:r>
    </w:p>
    <w:p w:rsidR="008F3AF5" w:rsidRPr="00115EE6" w:rsidRDefault="008F3AF5" w:rsidP="006A23B3">
      <w:pPr>
        <w:numPr>
          <w:ilvl w:val="0"/>
          <w:numId w:val="7"/>
        </w:numPr>
        <w:tabs>
          <w:tab w:val="clear" w:pos="1080"/>
          <w:tab w:val="num" w:pos="0"/>
        </w:tabs>
        <w:spacing w:after="0" w:line="240" w:lineRule="auto"/>
        <w:ind w:left="0" w:firstLine="567"/>
        <w:jc w:val="both"/>
        <w:rPr>
          <w:rFonts w:ascii="Times New Roman" w:hAnsi="Times New Roman" w:cs="Times New Roman"/>
          <w:sz w:val="24"/>
          <w:szCs w:val="24"/>
        </w:rPr>
      </w:pPr>
      <w:proofErr w:type="gramStart"/>
      <w:r w:rsidRPr="00115EE6">
        <w:rPr>
          <w:rFonts w:ascii="Times New Roman" w:hAnsi="Times New Roman" w:cs="Times New Roman"/>
          <w:sz w:val="24"/>
          <w:szCs w:val="24"/>
        </w:rPr>
        <w:t>5  место</w:t>
      </w:r>
      <w:proofErr w:type="gramEnd"/>
      <w:r w:rsidRPr="00115EE6">
        <w:rPr>
          <w:rFonts w:ascii="Times New Roman" w:hAnsi="Times New Roman" w:cs="Times New Roman"/>
          <w:sz w:val="24"/>
          <w:szCs w:val="24"/>
        </w:rPr>
        <w:t>- Болезни  мочеполовой  системы -5,1%;</w:t>
      </w:r>
    </w:p>
    <w:p w:rsidR="008F3AF5" w:rsidRPr="00115EE6" w:rsidRDefault="008F3AF5" w:rsidP="006A23B3">
      <w:pPr>
        <w:numPr>
          <w:ilvl w:val="0"/>
          <w:numId w:val="7"/>
        </w:numPr>
        <w:tabs>
          <w:tab w:val="clear" w:pos="1080"/>
          <w:tab w:val="num" w:pos="0"/>
        </w:tabs>
        <w:spacing w:after="0" w:line="240" w:lineRule="auto"/>
        <w:ind w:left="0" w:firstLine="567"/>
        <w:jc w:val="both"/>
        <w:rPr>
          <w:rFonts w:ascii="Times New Roman" w:hAnsi="Times New Roman" w:cs="Times New Roman"/>
          <w:sz w:val="24"/>
          <w:szCs w:val="24"/>
        </w:rPr>
      </w:pPr>
      <w:proofErr w:type="gramStart"/>
      <w:r w:rsidRPr="00115EE6">
        <w:rPr>
          <w:rFonts w:ascii="Times New Roman" w:hAnsi="Times New Roman" w:cs="Times New Roman"/>
          <w:sz w:val="24"/>
          <w:szCs w:val="24"/>
        </w:rPr>
        <w:t>6  место</w:t>
      </w:r>
      <w:proofErr w:type="gramEnd"/>
      <w:r w:rsidRPr="00115EE6">
        <w:rPr>
          <w:rFonts w:ascii="Times New Roman" w:hAnsi="Times New Roman" w:cs="Times New Roman"/>
          <w:sz w:val="24"/>
          <w:szCs w:val="24"/>
        </w:rPr>
        <w:t>-  Болезни  органов  пищеварения- 4%;</w:t>
      </w:r>
    </w:p>
    <w:p w:rsidR="008F3AF5" w:rsidRPr="00115EE6" w:rsidRDefault="008F3AF5" w:rsidP="006A23B3">
      <w:pPr>
        <w:numPr>
          <w:ilvl w:val="0"/>
          <w:numId w:val="7"/>
        </w:numPr>
        <w:tabs>
          <w:tab w:val="clear" w:pos="1080"/>
          <w:tab w:val="num" w:pos="0"/>
        </w:tabs>
        <w:spacing w:after="0" w:line="240" w:lineRule="auto"/>
        <w:ind w:left="0" w:firstLine="567"/>
        <w:jc w:val="both"/>
        <w:rPr>
          <w:rFonts w:ascii="Times New Roman" w:hAnsi="Times New Roman" w:cs="Times New Roman"/>
          <w:sz w:val="24"/>
          <w:szCs w:val="24"/>
        </w:rPr>
      </w:pPr>
      <w:proofErr w:type="gramStart"/>
      <w:r w:rsidRPr="00115EE6">
        <w:rPr>
          <w:rFonts w:ascii="Times New Roman" w:hAnsi="Times New Roman" w:cs="Times New Roman"/>
        </w:rPr>
        <w:t>7  место</w:t>
      </w:r>
      <w:proofErr w:type="gramEnd"/>
      <w:r w:rsidRPr="00115EE6">
        <w:rPr>
          <w:rFonts w:ascii="Times New Roman" w:hAnsi="Times New Roman" w:cs="Times New Roman"/>
        </w:rPr>
        <w:t>-Некоторые инфекционные и паразитарные болезни2.8%</w:t>
      </w:r>
    </w:p>
    <w:p w:rsidR="008F3AF5" w:rsidRPr="00115EE6" w:rsidRDefault="008F3AF5" w:rsidP="006A23B3">
      <w:pPr>
        <w:numPr>
          <w:ilvl w:val="0"/>
          <w:numId w:val="7"/>
        </w:numPr>
        <w:tabs>
          <w:tab w:val="clear" w:pos="1080"/>
          <w:tab w:val="num" w:pos="0"/>
        </w:tabs>
        <w:spacing w:after="0" w:line="240" w:lineRule="auto"/>
        <w:ind w:left="0" w:firstLine="567"/>
        <w:jc w:val="both"/>
        <w:rPr>
          <w:rFonts w:ascii="Times New Roman" w:hAnsi="Times New Roman" w:cs="Times New Roman"/>
          <w:sz w:val="24"/>
          <w:szCs w:val="24"/>
        </w:rPr>
      </w:pPr>
      <w:proofErr w:type="gramStart"/>
      <w:r w:rsidRPr="00115EE6">
        <w:rPr>
          <w:rFonts w:ascii="Times New Roman" w:hAnsi="Times New Roman" w:cs="Times New Roman"/>
        </w:rPr>
        <w:t>8  место</w:t>
      </w:r>
      <w:proofErr w:type="gramEnd"/>
      <w:r w:rsidRPr="00115EE6">
        <w:rPr>
          <w:rFonts w:ascii="Times New Roman" w:hAnsi="Times New Roman" w:cs="Times New Roman"/>
        </w:rPr>
        <w:t>-   Новообразования- 2,4 % ;</w:t>
      </w:r>
    </w:p>
    <w:p w:rsidR="008F3AF5" w:rsidRPr="00115EE6" w:rsidRDefault="008F3AF5" w:rsidP="006A23B3">
      <w:pPr>
        <w:numPr>
          <w:ilvl w:val="0"/>
          <w:numId w:val="7"/>
        </w:numPr>
        <w:tabs>
          <w:tab w:val="clear" w:pos="1080"/>
          <w:tab w:val="num" w:pos="0"/>
        </w:tabs>
        <w:spacing w:after="0" w:line="240" w:lineRule="auto"/>
        <w:ind w:left="0" w:firstLine="567"/>
        <w:jc w:val="both"/>
        <w:rPr>
          <w:rFonts w:ascii="Times New Roman" w:hAnsi="Times New Roman" w:cs="Times New Roman"/>
          <w:sz w:val="24"/>
          <w:szCs w:val="24"/>
        </w:rPr>
      </w:pPr>
      <w:proofErr w:type="gramStart"/>
      <w:r w:rsidRPr="00115EE6">
        <w:rPr>
          <w:rFonts w:ascii="Times New Roman" w:hAnsi="Times New Roman" w:cs="Times New Roman"/>
        </w:rPr>
        <w:t>9  место</w:t>
      </w:r>
      <w:proofErr w:type="gramEnd"/>
      <w:r w:rsidRPr="00115EE6">
        <w:rPr>
          <w:rFonts w:ascii="Times New Roman" w:hAnsi="Times New Roman" w:cs="Times New Roman"/>
        </w:rPr>
        <w:t>-  Болезни  кожи и подкожнойклетчатки-1,8 %:</w:t>
      </w:r>
    </w:p>
    <w:p w:rsidR="008F3AF5" w:rsidRPr="00115EE6" w:rsidRDefault="008F3AF5" w:rsidP="006A23B3">
      <w:pPr>
        <w:numPr>
          <w:ilvl w:val="0"/>
          <w:numId w:val="7"/>
        </w:numPr>
        <w:tabs>
          <w:tab w:val="clear" w:pos="1080"/>
          <w:tab w:val="num" w:pos="0"/>
        </w:tabs>
        <w:spacing w:after="0" w:line="240" w:lineRule="auto"/>
        <w:ind w:left="0" w:firstLine="567"/>
        <w:jc w:val="both"/>
        <w:rPr>
          <w:rFonts w:ascii="Times New Roman" w:hAnsi="Times New Roman" w:cs="Times New Roman"/>
          <w:sz w:val="24"/>
          <w:szCs w:val="24"/>
        </w:rPr>
      </w:pPr>
      <w:proofErr w:type="gramStart"/>
      <w:r w:rsidRPr="00115EE6">
        <w:rPr>
          <w:rFonts w:ascii="Times New Roman" w:hAnsi="Times New Roman" w:cs="Times New Roman"/>
        </w:rPr>
        <w:t>10  место</w:t>
      </w:r>
      <w:proofErr w:type="gramEnd"/>
      <w:r w:rsidRPr="00115EE6">
        <w:rPr>
          <w:rFonts w:ascii="Times New Roman" w:hAnsi="Times New Roman" w:cs="Times New Roman"/>
        </w:rPr>
        <w:t xml:space="preserve">  - Болезни глаза и его придаточного аппарата- 0,6 %;</w:t>
      </w:r>
    </w:p>
    <w:p w:rsidR="008F3AF5" w:rsidRPr="00115EE6" w:rsidRDefault="008F3AF5" w:rsidP="006A23B3">
      <w:pPr>
        <w:numPr>
          <w:ilvl w:val="0"/>
          <w:numId w:val="7"/>
        </w:numPr>
        <w:tabs>
          <w:tab w:val="clear" w:pos="1080"/>
          <w:tab w:val="num" w:pos="0"/>
        </w:tabs>
        <w:spacing w:after="0" w:line="240" w:lineRule="auto"/>
        <w:ind w:left="0" w:firstLine="567"/>
        <w:jc w:val="both"/>
        <w:rPr>
          <w:rFonts w:ascii="Times New Roman" w:hAnsi="Times New Roman" w:cs="Times New Roman"/>
          <w:sz w:val="24"/>
          <w:szCs w:val="24"/>
        </w:rPr>
      </w:pPr>
      <w:proofErr w:type="gramStart"/>
      <w:r w:rsidRPr="00115EE6">
        <w:rPr>
          <w:rFonts w:ascii="Times New Roman" w:hAnsi="Times New Roman" w:cs="Times New Roman"/>
        </w:rPr>
        <w:t>11  место</w:t>
      </w:r>
      <w:proofErr w:type="gramEnd"/>
      <w:r w:rsidRPr="00115EE6">
        <w:rPr>
          <w:rFonts w:ascii="Times New Roman" w:hAnsi="Times New Roman" w:cs="Times New Roman"/>
        </w:rPr>
        <w:t>-Болезни эндокринной системы -0,5 %.</w:t>
      </w:r>
    </w:p>
    <w:bookmarkEnd w:id="28"/>
    <w:p w:rsidR="008F3AF5" w:rsidRPr="00115EE6" w:rsidRDefault="008F3AF5" w:rsidP="00115EE6">
      <w:pPr>
        <w:ind w:firstLine="567"/>
        <w:jc w:val="both"/>
        <w:rPr>
          <w:rFonts w:ascii="Times New Roman" w:hAnsi="Times New Roman" w:cs="Times New Roman"/>
          <w:sz w:val="24"/>
          <w:szCs w:val="24"/>
        </w:rPr>
      </w:pPr>
      <w:r w:rsidRPr="00115EE6">
        <w:rPr>
          <w:rFonts w:ascii="Times New Roman" w:hAnsi="Times New Roman" w:cs="Times New Roman"/>
          <w:sz w:val="24"/>
          <w:szCs w:val="24"/>
        </w:rPr>
        <w:t>В 2019г лидирующими ноозологическими формами заболеваемости с временной утратой трудоспособности распределилось по классам болезней следующим образом:</w:t>
      </w:r>
    </w:p>
    <w:p w:rsidR="008F3AF5" w:rsidRPr="00115EE6" w:rsidRDefault="008F3AF5" w:rsidP="006A23B3">
      <w:pPr>
        <w:numPr>
          <w:ilvl w:val="0"/>
          <w:numId w:val="7"/>
        </w:numPr>
        <w:tabs>
          <w:tab w:val="clear" w:pos="1080"/>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1 место -  Болезни органов дыхания- 27,6%;</w:t>
      </w:r>
    </w:p>
    <w:p w:rsidR="008F3AF5" w:rsidRPr="00115EE6" w:rsidRDefault="008F3AF5" w:rsidP="006A23B3">
      <w:pPr>
        <w:numPr>
          <w:ilvl w:val="0"/>
          <w:numId w:val="7"/>
        </w:numPr>
        <w:tabs>
          <w:tab w:val="clear" w:pos="1080"/>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2 место - Болезни костно-мышечной системы-26,6%;</w:t>
      </w:r>
    </w:p>
    <w:p w:rsidR="008F3AF5" w:rsidRPr="00115EE6" w:rsidRDefault="008F3AF5" w:rsidP="006A23B3">
      <w:pPr>
        <w:numPr>
          <w:ilvl w:val="0"/>
          <w:numId w:val="7"/>
        </w:numPr>
        <w:tabs>
          <w:tab w:val="clear" w:pos="1080"/>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3 место - Болезни системы кровообращения-9,9%</w:t>
      </w:r>
    </w:p>
    <w:p w:rsidR="008F3AF5" w:rsidRPr="00115EE6" w:rsidRDefault="008F3AF5" w:rsidP="006A23B3">
      <w:pPr>
        <w:numPr>
          <w:ilvl w:val="0"/>
          <w:numId w:val="7"/>
        </w:numPr>
        <w:tabs>
          <w:tab w:val="clear" w:pos="1080"/>
        </w:tabs>
        <w:spacing w:after="0" w:line="240" w:lineRule="auto"/>
        <w:ind w:left="0" w:firstLine="567"/>
        <w:jc w:val="both"/>
        <w:rPr>
          <w:rFonts w:ascii="Times New Roman" w:hAnsi="Times New Roman" w:cs="Times New Roman"/>
          <w:sz w:val="24"/>
          <w:szCs w:val="24"/>
        </w:rPr>
      </w:pPr>
      <w:proofErr w:type="gramStart"/>
      <w:r w:rsidRPr="00115EE6">
        <w:rPr>
          <w:rFonts w:ascii="Times New Roman" w:hAnsi="Times New Roman" w:cs="Times New Roman"/>
          <w:sz w:val="24"/>
          <w:szCs w:val="24"/>
        </w:rPr>
        <w:lastRenderedPageBreak/>
        <w:t>4  место</w:t>
      </w:r>
      <w:proofErr w:type="gramEnd"/>
      <w:r w:rsidRPr="00115EE6">
        <w:rPr>
          <w:rFonts w:ascii="Times New Roman" w:hAnsi="Times New Roman" w:cs="Times New Roman"/>
          <w:sz w:val="24"/>
          <w:szCs w:val="24"/>
        </w:rPr>
        <w:t>- Болезни  мочеполовой  системы -6,8%;</w:t>
      </w:r>
    </w:p>
    <w:p w:rsidR="008F3AF5" w:rsidRPr="00115EE6" w:rsidRDefault="008F3AF5" w:rsidP="006A23B3">
      <w:pPr>
        <w:numPr>
          <w:ilvl w:val="0"/>
          <w:numId w:val="7"/>
        </w:numPr>
        <w:tabs>
          <w:tab w:val="clear" w:pos="1080"/>
        </w:tabs>
        <w:spacing w:after="0" w:line="240" w:lineRule="auto"/>
        <w:ind w:left="0" w:firstLine="567"/>
        <w:jc w:val="both"/>
        <w:rPr>
          <w:rFonts w:ascii="Times New Roman" w:hAnsi="Times New Roman" w:cs="Times New Roman"/>
          <w:sz w:val="24"/>
          <w:szCs w:val="24"/>
        </w:rPr>
      </w:pPr>
      <w:proofErr w:type="gramStart"/>
      <w:r w:rsidRPr="00115EE6">
        <w:rPr>
          <w:rFonts w:ascii="Times New Roman" w:hAnsi="Times New Roman" w:cs="Times New Roman"/>
          <w:sz w:val="24"/>
          <w:szCs w:val="24"/>
        </w:rPr>
        <w:t>5  место</w:t>
      </w:r>
      <w:proofErr w:type="gramEnd"/>
      <w:r w:rsidRPr="00115EE6">
        <w:rPr>
          <w:rFonts w:ascii="Times New Roman" w:hAnsi="Times New Roman" w:cs="Times New Roman"/>
          <w:sz w:val="24"/>
          <w:szCs w:val="24"/>
        </w:rPr>
        <w:t>-  Болезни  органов  пищеварения- 5,6%;</w:t>
      </w:r>
    </w:p>
    <w:p w:rsidR="008F3AF5" w:rsidRPr="00115EE6" w:rsidRDefault="008F3AF5" w:rsidP="006A23B3">
      <w:pPr>
        <w:numPr>
          <w:ilvl w:val="0"/>
          <w:numId w:val="7"/>
        </w:numPr>
        <w:tabs>
          <w:tab w:val="clear" w:pos="1080"/>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6 место -</w:t>
      </w:r>
      <w:r w:rsidRPr="00115EE6">
        <w:rPr>
          <w:rFonts w:ascii="Times New Roman" w:hAnsi="Times New Roman" w:cs="Times New Roman"/>
        </w:rPr>
        <w:t xml:space="preserve"> Травмы, отравления </w:t>
      </w:r>
      <w:proofErr w:type="gramStart"/>
      <w:r w:rsidRPr="00115EE6">
        <w:rPr>
          <w:rFonts w:ascii="Times New Roman" w:hAnsi="Times New Roman" w:cs="Times New Roman"/>
        </w:rPr>
        <w:t>и  другие</w:t>
      </w:r>
      <w:proofErr w:type="gramEnd"/>
      <w:r w:rsidRPr="00115EE6">
        <w:rPr>
          <w:rFonts w:ascii="Times New Roman" w:hAnsi="Times New Roman" w:cs="Times New Roman"/>
        </w:rPr>
        <w:t xml:space="preserve">  внешние воздействия- 5,4 %;</w:t>
      </w:r>
    </w:p>
    <w:p w:rsidR="008F3AF5" w:rsidRPr="00115EE6" w:rsidRDefault="008F3AF5" w:rsidP="006A23B3">
      <w:pPr>
        <w:numPr>
          <w:ilvl w:val="0"/>
          <w:numId w:val="7"/>
        </w:numPr>
        <w:tabs>
          <w:tab w:val="clear" w:pos="1080"/>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rPr>
        <w:t xml:space="preserve">7место-   Новообразования- 2,8 </w:t>
      </w:r>
      <w:proofErr w:type="gramStart"/>
      <w:r w:rsidRPr="00115EE6">
        <w:rPr>
          <w:rFonts w:ascii="Times New Roman" w:hAnsi="Times New Roman" w:cs="Times New Roman"/>
        </w:rPr>
        <w:t>% ;</w:t>
      </w:r>
      <w:proofErr w:type="gramEnd"/>
    </w:p>
    <w:p w:rsidR="008F3AF5" w:rsidRPr="00115EE6" w:rsidRDefault="008F3AF5" w:rsidP="006A23B3">
      <w:pPr>
        <w:numPr>
          <w:ilvl w:val="0"/>
          <w:numId w:val="7"/>
        </w:numPr>
        <w:tabs>
          <w:tab w:val="clear" w:pos="1080"/>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rPr>
        <w:t xml:space="preserve">8место-  </w:t>
      </w:r>
      <w:proofErr w:type="gramStart"/>
      <w:r w:rsidRPr="00115EE6">
        <w:rPr>
          <w:rFonts w:ascii="Times New Roman" w:hAnsi="Times New Roman" w:cs="Times New Roman"/>
        </w:rPr>
        <w:t>Болезни  кожи</w:t>
      </w:r>
      <w:proofErr w:type="gramEnd"/>
      <w:r w:rsidRPr="00115EE6">
        <w:rPr>
          <w:rFonts w:ascii="Times New Roman" w:hAnsi="Times New Roman" w:cs="Times New Roman"/>
        </w:rPr>
        <w:t xml:space="preserve"> и подкожнойклетчатки-2,3 %:</w:t>
      </w:r>
    </w:p>
    <w:p w:rsidR="008F3AF5" w:rsidRPr="00115EE6" w:rsidRDefault="008F3AF5" w:rsidP="006A23B3">
      <w:pPr>
        <w:numPr>
          <w:ilvl w:val="0"/>
          <w:numId w:val="7"/>
        </w:numPr>
        <w:tabs>
          <w:tab w:val="clear" w:pos="1080"/>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rPr>
        <w:t>9</w:t>
      </w:r>
      <w:proofErr w:type="gramStart"/>
      <w:r w:rsidRPr="00115EE6">
        <w:rPr>
          <w:rFonts w:ascii="Times New Roman" w:hAnsi="Times New Roman" w:cs="Times New Roman"/>
        </w:rPr>
        <w:t>место  -</w:t>
      </w:r>
      <w:proofErr w:type="gramEnd"/>
      <w:r w:rsidRPr="00115EE6">
        <w:rPr>
          <w:rFonts w:ascii="Times New Roman" w:hAnsi="Times New Roman" w:cs="Times New Roman"/>
        </w:rPr>
        <w:t xml:space="preserve"> Болезни глаза и его придаточного аппарата- 1,2 %;</w:t>
      </w:r>
    </w:p>
    <w:p w:rsidR="008F3AF5" w:rsidRPr="00115EE6" w:rsidRDefault="008F3AF5" w:rsidP="006A23B3">
      <w:pPr>
        <w:numPr>
          <w:ilvl w:val="0"/>
          <w:numId w:val="7"/>
        </w:numPr>
        <w:tabs>
          <w:tab w:val="clear" w:pos="1080"/>
        </w:tabs>
        <w:spacing w:after="0" w:line="240" w:lineRule="auto"/>
        <w:ind w:left="0" w:firstLine="567"/>
        <w:jc w:val="both"/>
        <w:rPr>
          <w:rFonts w:ascii="Times New Roman" w:hAnsi="Times New Roman" w:cs="Times New Roman"/>
          <w:sz w:val="24"/>
          <w:szCs w:val="24"/>
        </w:rPr>
      </w:pPr>
      <w:proofErr w:type="gramStart"/>
      <w:r w:rsidRPr="00115EE6">
        <w:rPr>
          <w:rFonts w:ascii="Times New Roman" w:hAnsi="Times New Roman" w:cs="Times New Roman"/>
        </w:rPr>
        <w:t>10  место</w:t>
      </w:r>
      <w:proofErr w:type="gramEnd"/>
      <w:r w:rsidRPr="00115EE6">
        <w:rPr>
          <w:rFonts w:ascii="Times New Roman" w:hAnsi="Times New Roman" w:cs="Times New Roman"/>
        </w:rPr>
        <w:t>-Болезни эндокринной системы -1,2 %.</w:t>
      </w:r>
    </w:p>
    <w:p w:rsidR="008F3AF5" w:rsidRPr="00115EE6" w:rsidRDefault="008F3AF5" w:rsidP="00115EE6">
      <w:pPr>
        <w:spacing w:after="0" w:line="240" w:lineRule="auto"/>
        <w:ind w:right="-1" w:firstLine="567"/>
        <w:jc w:val="both"/>
        <w:rPr>
          <w:rFonts w:ascii="Times New Roman" w:hAnsi="Times New Roman" w:cs="Times New Roman"/>
          <w:sz w:val="24"/>
          <w:szCs w:val="24"/>
        </w:rPr>
      </w:pPr>
      <w:r w:rsidRPr="00115EE6">
        <w:rPr>
          <w:rFonts w:ascii="Times New Roman" w:hAnsi="Times New Roman" w:cs="Times New Roman"/>
          <w:sz w:val="24"/>
          <w:szCs w:val="24"/>
        </w:rPr>
        <w:t>За последние годы -2018-2020гг. санитарно-эпидемиологическая обстановка в г. Пыть-Ях продолжает оставаться достаточно напряженной:</w:t>
      </w:r>
    </w:p>
    <w:p w:rsidR="008F3AF5" w:rsidRPr="00115EE6" w:rsidRDefault="008F3AF5" w:rsidP="00115EE6">
      <w:pPr>
        <w:pStyle w:val="aff"/>
        <w:spacing w:after="0" w:line="240" w:lineRule="auto"/>
        <w:ind w:left="0" w:right="-1" w:firstLine="567"/>
        <w:jc w:val="both"/>
        <w:rPr>
          <w:rFonts w:ascii="Times New Roman" w:hAnsi="Times New Roman"/>
          <w:sz w:val="24"/>
          <w:szCs w:val="24"/>
        </w:rPr>
      </w:pPr>
      <w:r w:rsidRPr="00115EE6">
        <w:rPr>
          <w:rFonts w:ascii="Times New Roman" w:hAnsi="Times New Roman"/>
          <w:sz w:val="24"/>
          <w:szCs w:val="24"/>
        </w:rPr>
        <w:tab/>
      </w:r>
      <w:r w:rsidRPr="00115EE6">
        <w:rPr>
          <w:rFonts w:ascii="Times New Roman" w:hAnsi="Times New Roman"/>
          <w:sz w:val="24"/>
        </w:rPr>
        <w:t>В 2</w:t>
      </w:r>
      <w:r w:rsidR="00115EE6">
        <w:rPr>
          <w:rFonts w:ascii="Times New Roman" w:hAnsi="Times New Roman"/>
          <w:sz w:val="24"/>
        </w:rPr>
        <w:t xml:space="preserve">019 году численность населения </w:t>
      </w:r>
      <w:r w:rsidRPr="00115EE6">
        <w:rPr>
          <w:rFonts w:ascii="Times New Roman" w:hAnsi="Times New Roman"/>
          <w:sz w:val="24"/>
        </w:rPr>
        <w:t xml:space="preserve">уменьшилась на 1379 </w:t>
      </w:r>
      <w:proofErr w:type="gramStart"/>
      <w:r w:rsidRPr="00115EE6">
        <w:rPr>
          <w:rFonts w:ascii="Times New Roman" w:hAnsi="Times New Roman"/>
          <w:sz w:val="24"/>
        </w:rPr>
        <w:t>человек  по</w:t>
      </w:r>
      <w:proofErr w:type="gramEnd"/>
      <w:r w:rsidRPr="00115EE6">
        <w:rPr>
          <w:rFonts w:ascii="Times New Roman" w:hAnsi="Times New Roman"/>
          <w:sz w:val="24"/>
        </w:rPr>
        <w:t xml:space="preserve">  сравнению с прошлым годом (таб. № 1)- отрицательная динамика. Прибыло в 2019 году 261 человек, выбыло 1610 человек, родилось 436 человек, и умерло 268 человек. Наблюдается снижение количества населения на 3,3 % </w:t>
      </w:r>
      <w:proofErr w:type="gramStart"/>
      <w:r w:rsidRPr="00115EE6">
        <w:rPr>
          <w:rFonts w:ascii="Times New Roman" w:hAnsi="Times New Roman"/>
          <w:sz w:val="24"/>
        </w:rPr>
        <w:t>( в</w:t>
      </w:r>
      <w:proofErr w:type="gramEnd"/>
      <w:r w:rsidRPr="00115EE6">
        <w:rPr>
          <w:rFonts w:ascii="Times New Roman" w:hAnsi="Times New Roman"/>
          <w:sz w:val="24"/>
        </w:rPr>
        <w:t xml:space="preserve"> 2019г на  2,28 %</w:t>
      </w:r>
    </w:p>
    <w:p w:rsidR="008F3AF5" w:rsidRPr="00115EE6" w:rsidRDefault="008F3AF5" w:rsidP="00115EE6">
      <w:pPr>
        <w:spacing w:after="0" w:line="240" w:lineRule="auto"/>
        <w:ind w:firstLine="567"/>
        <w:jc w:val="both"/>
        <w:rPr>
          <w:rFonts w:ascii="Times New Roman" w:hAnsi="Times New Roman" w:cs="Times New Roman"/>
          <w:sz w:val="24"/>
        </w:rPr>
      </w:pPr>
      <w:r w:rsidRPr="00115EE6">
        <w:rPr>
          <w:rFonts w:ascii="Times New Roman" w:hAnsi="Times New Roman" w:cs="Times New Roman"/>
          <w:sz w:val="24"/>
          <w:szCs w:val="24"/>
        </w:rPr>
        <w:t>В 20</w:t>
      </w:r>
      <w:r w:rsidR="00115EE6">
        <w:rPr>
          <w:rFonts w:ascii="Times New Roman" w:hAnsi="Times New Roman" w:cs="Times New Roman"/>
          <w:sz w:val="24"/>
          <w:szCs w:val="24"/>
        </w:rPr>
        <w:t xml:space="preserve">20г г    абсолютный показатель </w:t>
      </w:r>
      <w:r w:rsidRPr="00115EE6">
        <w:rPr>
          <w:rFonts w:ascii="Times New Roman" w:hAnsi="Times New Roman" w:cs="Times New Roman"/>
          <w:sz w:val="24"/>
          <w:szCs w:val="24"/>
        </w:rPr>
        <w:t>смертности    по г. Пыть-Ях составил 268 и увеличился, по сравнению с 2018 годом на 35,4%, по сравнению с 2018</w:t>
      </w:r>
      <w:proofErr w:type="gramStart"/>
      <w:r w:rsidRPr="00115EE6">
        <w:rPr>
          <w:rFonts w:ascii="Times New Roman" w:hAnsi="Times New Roman" w:cs="Times New Roman"/>
          <w:sz w:val="24"/>
          <w:szCs w:val="24"/>
        </w:rPr>
        <w:t>годом  на</w:t>
      </w:r>
      <w:proofErr w:type="gramEnd"/>
      <w:r w:rsidRPr="00115EE6">
        <w:rPr>
          <w:rFonts w:ascii="Times New Roman" w:hAnsi="Times New Roman" w:cs="Times New Roman"/>
          <w:sz w:val="24"/>
          <w:szCs w:val="24"/>
        </w:rPr>
        <w:t xml:space="preserve"> 15%.  </w:t>
      </w:r>
      <w:r w:rsidRPr="00115EE6">
        <w:rPr>
          <w:rFonts w:ascii="Times New Roman" w:hAnsi="Times New Roman" w:cs="Times New Roman"/>
          <w:sz w:val="24"/>
        </w:rPr>
        <w:t xml:space="preserve">По шкале смертности показатель оценивается как </w:t>
      </w:r>
      <w:proofErr w:type="gramStart"/>
      <w:r w:rsidRPr="00115EE6">
        <w:rPr>
          <w:rFonts w:ascii="Times New Roman" w:hAnsi="Times New Roman" w:cs="Times New Roman"/>
          <w:sz w:val="24"/>
        </w:rPr>
        <w:t>низкий .</w:t>
      </w:r>
      <w:proofErr w:type="gramEnd"/>
    </w:p>
    <w:p w:rsidR="008F3AF5" w:rsidRPr="00115EE6" w:rsidRDefault="008F3AF5" w:rsidP="00115EE6">
      <w:pPr>
        <w:spacing w:after="0" w:line="240" w:lineRule="auto"/>
        <w:ind w:firstLine="567"/>
        <w:jc w:val="both"/>
        <w:rPr>
          <w:rFonts w:ascii="Times New Roman" w:hAnsi="Times New Roman" w:cs="Times New Roman"/>
          <w:sz w:val="24"/>
        </w:rPr>
      </w:pPr>
      <w:r w:rsidRPr="00115EE6">
        <w:rPr>
          <w:rFonts w:ascii="Times New Roman" w:hAnsi="Times New Roman" w:cs="Times New Roman"/>
          <w:sz w:val="24"/>
        </w:rPr>
        <w:t xml:space="preserve">Качественный уровень состояния показателя смертности в городе Пыть-Ях на </w:t>
      </w:r>
      <w:proofErr w:type="gramStart"/>
      <w:r w:rsidRPr="00115EE6">
        <w:rPr>
          <w:rFonts w:ascii="Times New Roman" w:hAnsi="Times New Roman" w:cs="Times New Roman"/>
          <w:sz w:val="24"/>
        </w:rPr>
        <w:t>протяжении  3</w:t>
      </w:r>
      <w:proofErr w:type="gramEnd"/>
      <w:r w:rsidRPr="00115EE6">
        <w:rPr>
          <w:rFonts w:ascii="Times New Roman" w:hAnsi="Times New Roman" w:cs="Times New Roman"/>
          <w:sz w:val="24"/>
        </w:rPr>
        <w:t xml:space="preserve"> лет оценивается как низкий.</w:t>
      </w:r>
    </w:p>
    <w:p w:rsidR="008F3AF5" w:rsidRPr="00115EE6" w:rsidRDefault="008F3AF5" w:rsidP="00115EE6">
      <w:pPr>
        <w:spacing w:after="0" w:line="240" w:lineRule="auto"/>
        <w:ind w:firstLine="567"/>
        <w:jc w:val="both"/>
        <w:rPr>
          <w:rFonts w:ascii="Times New Roman" w:hAnsi="Times New Roman" w:cs="Times New Roman"/>
          <w:sz w:val="24"/>
        </w:rPr>
      </w:pPr>
      <w:r w:rsidRPr="00115EE6">
        <w:rPr>
          <w:rFonts w:ascii="Times New Roman" w:hAnsi="Times New Roman" w:cs="Times New Roman"/>
          <w:sz w:val="24"/>
        </w:rPr>
        <w:t>В 2020 году по сравнению с 2018-19 г.г. годом структура причин смертности существенно не изменилась.</w:t>
      </w:r>
    </w:p>
    <w:p w:rsidR="008F3AF5" w:rsidRPr="00115EE6" w:rsidRDefault="008F3AF5" w:rsidP="00115EE6">
      <w:pPr>
        <w:spacing w:after="0" w:line="240" w:lineRule="auto"/>
        <w:ind w:firstLine="567"/>
        <w:jc w:val="both"/>
        <w:rPr>
          <w:rFonts w:ascii="Times New Roman" w:hAnsi="Times New Roman" w:cs="Times New Roman"/>
          <w:sz w:val="24"/>
        </w:rPr>
      </w:pPr>
      <w:r w:rsidRPr="00115EE6">
        <w:rPr>
          <w:rFonts w:ascii="Times New Roman" w:hAnsi="Times New Roman" w:cs="Times New Roman"/>
          <w:sz w:val="24"/>
        </w:rPr>
        <w:t>По-прежнему в структуре причин смертности населения города Пыть-Ях лидируют такие классы болезней, как:</w:t>
      </w:r>
    </w:p>
    <w:p w:rsidR="008F3AF5" w:rsidRPr="00115EE6" w:rsidRDefault="008F3AF5" w:rsidP="00115EE6">
      <w:pPr>
        <w:spacing w:after="0" w:line="240" w:lineRule="auto"/>
        <w:ind w:firstLine="567"/>
        <w:jc w:val="both"/>
        <w:rPr>
          <w:rFonts w:ascii="Times New Roman" w:hAnsi="Times New Roman" w:cs="Times New Roman"/>
          <w:sz w:val="24"/>
        </w:rPr>
      </w:pPr>
      <w:r w:rsidRPr="00115EE6">
        <w:rPr>
          <w:rFonts w:ascii="Times New Roman" w:hAnsi="Times New Roman" w:cs="Times New Roman"/>
          <w:sz w:val="24"/>
        </w:rPr>
        <w:t xml:space="preserve">1.Болезни системы кровообращения </w:t>
      </w:r>
      <w:r w:rsidRPr="00115EE6">
        <w:rPr>
          <w:rFonts w:ascii="Times New Roman" w:hAnsi="Times New Roman" w:cs="Times New Roman"/>
          <w:sz w:val="24"/>
        </w:rPr>
        <w:tab/>
        <w:t xml:space="preserve">- </w:t>
      </w:r>
      <w:r w:rsidRPr="00115EE6">
        <w:rPr>
          <w:rFonts w:ascii="Times New Roman" w:hAnsi="Times New Roman" w:cs="Times New Roman"/>
          <w:color w:val="000000"/>
        </w:rPr>
        <w:t>39,9 %, в 2019г-</w:t>
      </w:r>
      <w:r w:rsidRPr="00115EE6">
        <w:rPr>
          <w:rFonts w:ascii="Times New Roman" w:hAnsi="Times New Roman" w:cs="Times New Roman"/>
          <w:sz w:val="24"/>
        </w:rPr>
        <w:t>36,11%,2018 г. – 35,86%;</w:t>
      </w:r>
    </w:p>
    <w:p w:rsidR="008F3AF5" w:rsidRPr="00115EE6" w:rsidRDefault="008F3AF5" w:rsidP="00115EE6">
      <w:pPr>
        <w:spacing w:after="0" w:line="240" w:lineRule="auto"/>
        <w:ind w:firstLine="567"/>
        <w:jc w:val="both"/>
        <w:rPr>
          <w:rFonts w:ascii="Times New Roman" w:hAnsi="Times New Roman" w:cs="Times New Roman"/>
          <w:sz w:val="24"/>
        </w:rPr>
      </w:pPr>
      <w:r w:rsidRPr="00115EE6">
        <w:rPr>
          <w:rFonts w:ascii="Times New Roman" w:hAnsi="Times New Roman" w:cs="Times New Roman"/>
          <w:sz w:val="24"/>
        </w:rPr>
        <w:t xml:space="preserve">2. Злокачественные </w:t>
      </w:r>
      <w:proofErr w:type="gramStart"/>
      <w:r w:rsidRPr="00115EE6">
        <w:rPr>
          <w:rFonts w:ascii="Times New Roman" w:hAnsi="Times New Roman" w:cs="Times New Roman"/>
          <w:sz w:val="24"/>
        </w:rPr>
        <w:t>новообразования  -</w:t>
      </w:r>
      <w:proofErr w:type="gramEnd"/>
      <w:r w:rsidRPr="00115EE6">
        <w:rPr>
          <w:rFonts w:ascii="Times New Roman" w:hAnsi="Times New Roman" w:cs="Times New Roman"/>
          <w:sz w:val="24"/>
        </w:rPr>
        <w:t xml:space="preserve"> 18% , в 2019г-25,46%,  2018 г.- 24,47%;</w:t>
      </w:r>
    </w:p>
    <w:p w:rsidR="008F3AF5" w:rsidRPr="00115EE6" w:rsidRDefault="008F3AF5" w:rsidP="00115EE6">
      <w:pPr>
        <w:spacing w:after="0" w:line="240" w:lineRule="auto"/>
        <w:ind w:firstLine="567"/>
        <w:jc w:val="both"/>
        <w:rPr>
          <w:rFonts w:ascii="Times New Roman" w:hAnsi="Times New Roman" w:cs="Times New Roman"/>
          <w:sz w:val="24"/>
        </w:rPr>
      </w:pPr>
      <w:r w:rsidRPr="00115EE6">
        <w:rPr>
          <w:rFonts w:ascii="Times New Roman" w:hAnsi="Times New Roman" w:cs="Times New Roman"/>
          <w:sz w:val="24"/>
        </w:rPr>
        <w:t xml:space="preserve">3. Несчастные случаи, травмы -14.4%, в 2019г-12,5 </w:t>
      </w:r>
      <w:proofErr w:type="gramStart"/>
      <w:r w:rsidRPr="00115EE6">
        <w:rPr>
          <w:rFonts w:ascii="Times New Roman" w:hAnsi="Times New Roman" w:cs="Times New Roman"/>
          <w:sz w:val="24"/>
        </w:rPr>
        <w:t>% ,</w:t>
      </w:r>
      <w:proofErr w:type="gramEnd"/>
      <w:r w:rsidRPr="00115EE6">
        <w:rPr>
          <w:rFonts w:ascii="Times New Roman" w:hAnsi="Times New Roman" w:cs="Times New Roman"/>
          <w:sz w:val="24"/>
        </w:rPr>
        <w:t xml:space="preserve"> 2018 г.  – 11,39 %;</w:t>
      </w:r>
    </w:p>
    <w:p w:rsidR="008F3AF5" w:rsidRPr="00115EE6" w:rsidRDefault="008F3AF5" w:rsidP="00115EE6">
      <w:pPr>
        <w:spacing w:after="0" w:line="240" w:lineRule="auto"/>
        <w:ind w:left="709" w:firstLine="567"/>
        <w:jc w:val="both"/>
        <w:rPr>
          <w:rFonts w:ascii="Times New Roman" w:hAnsi="Times New Roman" w:cs="Times New Roman"/>
          <w:sz w:val="24"/>
        </w:rPr>
      </w:pPr>
      <w:r w:rsidRPr="00115EE6">
        <w:rPr>
          <w:rFonts w:ascii="Times New Roman" w:hAnsi="Times New Roman" w:cs="Times New Roman"/>
          <w:sz w:val="24"/>
        </w:rPr>
        <w:t xml:space="preserve">4. </w:t>
      </w:r>
      <w:proofErr w:type="gramStart"/>
      <w:r w:rsidRPr="00115EE6">
        <w:rPr>
          <w:rFonts w:ascii="Times New Roman" w:hAnsi="Times New Roman" w:cs="Times New Roman"/>
          <w:sz w:val="24"/>
        </w:rPr>
        <w:t>Инфекционные  и</w:t>
      </w:r>
      <w:proofErr w:type="gramEnd"/>
      <w:r w:rsidRPr="00115EE6">
        <w:rPr>
          <w:rFonts w:ascii="Times New Roman" w:hAnsi="Times New Roman" w:cs="Times New Roman"/>
          <w:sz w:val="24"/>
        </w:rPr>
        <w:t xml:space="preserve">   паразитарные заболевания, в том числе КОВИД-19-8.7% ( в 2019г-5,1%( в 2019году  в структуре смертности занимал 5 место );</w:t>
      </w:r>
    </w:p>
    <w:p w:rsidR="008F3AF5" w:rsidRPr="00115EE6" w:rsidRDefault="008F3AF5" w:rsidP="00115EE6">
      <w:pPr>
        <w:spacing w:after="0" w:line="240" w:lineRule="auto"/>
        <w:ind w:left="709" w:firstLine="567"/>
        <w:jc w:val="both"/>
        <w:rPr>
          <w:rFonts w:ascii="Times New Roman" w:hAnsi="Times New Roman" w:cs="Times New Roman"/>
          <w:sz w:val="24"/>
        </w:rPr>
      </w:pPr>
      <w:proofErr w:type="gramStart"/>
      <w:r w:rsidRPr="00115EE6">
        <w:rPr>
          <w:rFonts w:ascii="Times New Roman" w:hAnsi="Times New Roman" w:cs="Times New Roman"/>
          <w:sz w:val="24"/>
        </w:rPr>
        <w:t>5.Болезни  эндокринной</w:t>
      </w:r>
      <w:proofErr w:type="gramEnd"/>
      <w:r w:rsidRPr="00115EE6">
        <w:rPr>
          <w:rFonts w:ascii="Times New Roman" w:hAnsi="Times New Roman" w:cs="Times New Roman"/>
          <w:sz w:val="24"/>
        </w:rPr>
        <w:t xml:space="preserve"> системы-7.2%, в 2019г-9,7% ( в 2019году  в структуре смертности занимал 4 место );</w:t>
      </w:r>
    </w:p>
    <w:p w:rsidR="008F3AF5" w:rsidRPr="00115EE6" w:rsidRDefault="008F3AF5" w:rsidP="00115EE6">
      <w:pPr>
        <w:spacing w:after="0" w:line="240" w:lineRule="auto"/>
        <w:ind w:firstLine="567"/>
        <w:jc w:val="both"/>
        <w:rPr>
          <w:rFonts w:ascii="Times New Roman" w:hAnsi="Times New Roman" w:cs="Times New Roman"/>
          <w:sz w:val="24"/>
          <w:szCs w:val="24"/>
        </w:rPr>
      </w:pPr>
      <w:bookmarkStart w:id="29" w:name="_Hlk63351033"/>
      <w:r w:rsidRPr="00115EE6">
        <w:rPr>
          <w:rFonts w:ascii="Times New Roman" w:hAnsi="Times New Roman" w:cs="Times New Roman"/>
          <w:sz w:val="24"/>
        </w:rPr>
        <w:t xml:space="preserve">Смертность по причине злокачественных </w:t>
      </w:r>
      <w:proofErr w:type="gramStart"/>
      <w:r w:rsidRPr="00115EE6">
        <w:rPr>
          <w:rFonts w:ascii="Times New Roman" w:hAnsi="Times New Roman" w:cs="Times New Roman"/>
          <w:sz w:val="24"/>
        </w:rPr>
        <w:t>новообразований  занимает</w:t>
      </w:r>
      <w:proofErr w:type="gramEnd"/>
      <w:r w:rsidRPr="00115EE6">
        <w:rPr>
          <w:rFonts w:ascii="Times New Roman" w:hAnsi="Times New Roman" w:cs="Times New Roman"/>
          <w:sz w:val="24"/>
        </w:rPr>
        <w:t xml:space="preserve"> второе место в структуре причин смертности.</w:t>
      </w:r>
      <w:r w:rsidRPr="00115EE6">
        <w:rPr>
          <w:rFonts w:ascii="Times New Roman" w:hAnsi="Times New Roman" w:cs="Times New Roman"/>
          <w:sz w:val="24"/>
          <w:szCs w:val="24"/>
        </w:rPr>
        <w:t xml:space="preserve"> Факторами, способствующими </w:t>
      </w:r>
      <w:proofErr w:type="gramStart"/>
      <w:r w:rsidRPr="00115EE6">
        <w:rPr>
          <w:rFonts w:ascii="Times New Roman" w:hAnsi="Times New Roman" w:cs="Times New Roman"/>
          <w:sz w:val="24"/>
          <w:szCs w:val="24"/>
        </w:rPr>
        <w:t>развитию новообразований</w:t>
      </w:r>
      <w:proofErr w:type="gramEnd"/>
      <w:r w:rsidRPr="00115EE6">
        <w:rPr>
          <w:rFonts w:ascii="Times New Roman" w:hAnsi="Times New Roman" w:cs="Times New Roman"/>
          <w:sz w:val="24"/>
          <w:szCs w:val="24"/>
        </w:rPr>
        <w:t xml:space="preserve"> является контакт с канцерогенными веществами и материалами.</w:t>
      </w:r>
    </w:p>
    <w:bookmarkEnd w:id="29"/>
    <w:p w:rsidR="008F3AF5" w:rsidRPr="00115EE6" w:rsidRDefault="008F3AF5" w:rsidP="00115EE6">
      <w:pPr>
        <w:spacing w:after="0" w:line="240" w:lineRule="auto"/>
        <w:ind w:firstLine="567"/>
        <w:jc w:val="both"/>
        <w:rPr>
          <w:rFonts w:ascii="Times New Roman" w:hAnsi="Times New Roman" w:cs="Times New Roman"/>
          <w:snapToGrid w:val="0"/>
          <w:sz w:val="24"/>
          <w:szCs w:val="24"/>
        </w:rPr>
      </w:pPr>
      <w:r w:rsidRPr="00115EE6">
        <w:rPr>
          <w:rFonts w:ascii="Times New Roman" w:hAnsi="Times New Roman" w:cs="Times New Roman"/>
          <w:snapToGrid w:val="0"/>
          <w:sz w:val="24"/>
          <w:szCs w:val="24"/>
        </w:rPr>
        <w:t xml:space="preserve">В 2020 г. </w:t>
      </w:r>
      <w:proofErr w:type="gramStart"/>
      <w:r w:rsidRPr="00115EE6">
        <w:rPr>
          <w:rFonts w:ascii="Times New Roman" w:hAnsi="Times New Roman" w:cs="Times New Roman"/>
          <w:snapToGrid w:val="0"/>
          <w:sz w:val="24"/>
          <w:szCs w:val="24"/>
        </w:rPr>
        <w:t>показатель  младенческой</w:t>
      </w:r>
      <w:proofErr w:type="gramEnd"/>
      <w:r w:rsidRPr="00115EE6">
        <w:rPr>
          <w:rFonts w:ascii="Times New Roman" w:hAnsi="Times New Roman" w:cs="Times New Roman"/>
          <w:snapToGrid w:val="0"/>
          <w:sz w:val="24"/>
          <w:szCs w:val="24"/>
        </w:rPr>
        <w:t xml:space="preserve">  смертности составил 0, в 2019г- до 2,0  по сравнению с 2018 г( 7,5). - положительна динамика.</w:t>
      </w:r>
    </w:p>
    <w:p w:rsidR="008F3AF5" w:rsidRPr="00115EE6" w:rsidRDefault="008F3AF5" w:rsidP="00115EE6">
      <w:pPr>
        <w:spacing w:after="0" w:line="240" w:lineRule="auto"/>
        <w:ind w:firstLine="567"/>
        <w:jc w:val="both"/>
        <w:rPr>
          <w:rFonts w:ascii="Times New Roman" w:hAnsi="Times New Roman" w:cs="Times New Roman"/>
          <w:sz w:val="24"/>
          <w:szCs w:val="24"/>
        </w:rPr>
      </w:pPr>
      <w:r w:rsidRPr="00115EE6">
        <w:rPr>
          <w:rFonts w:ascii="Times New Roman" w:hAnsi="Times New Roman" w:cs="Times New Roman"/>
          <w:sz w:val="24"/>
          <w:szCs w:val="24"/>
        </w:rPr>
        <w:t xml:space="preserve">В 2020 г. детей, родившихся мертвыми </w:t>
      </w:r>
      <w:proofErr w:type="gramStart"/>
      <w:r w:rsidRPr="00115EE6">
        <w:rPr>
          <w:rFonts w:ascii="Times New Roman" w:hAnsi="Times New Roman" w:cs="Times New Roman"/>
          <w:sz w:val="24"/>
          <w:szCs w:val="24"/>
        </w:rPr>
        <w:t>зарегистрировано  4</w:t>
      </w:r>
      <w:proofErr w:type="gramEnd"/>
      <w:r w:rsidRPr="00115EE6">
        <w:rPr>
          <w:rFonts w:ascii="Times New Roman" w:hAnsi="Times New Roman" w:cs="Times New Roman"/>
          <w:sz w:val="24"/>
          <w:szCs w:val="24"/>
        </w:rPr>
        <w:t xml:space="preserve"> чел показатель мертворождаемости по городу Пыть-Ях составил 9.1  -отрицательная  динамика , в 2019 г 2,2 (1 чел), в 2018 гг. показатель мертворождаемости составил 1,9.   </w:t>
      </w:r>
    </w:p>
    <w:p w:rsidR="008F3AF5" w:rsidRPr="00115EE6" w:rsidRDefault="008F3AF5" w:rsidP="00115EE6">
      <w:pPr>
        <w:spacing w:after="0" w:line="240" w:lineRule="auto"/>
        <w:ind w:firstLine="567"/>
        <w:jc w:val="both"/>
        <w:rPr>
          <w:rFonts w:ascii="Times New Roman" w:hAnsi="Times New Roman" w:cs="Times New Roman"/>
          <w:sz w:val="24"/>
        </w:rPr>
      </w:pPr>
      <w:r w:rsidRPr="00115EE6">
        <w:rPr>
          <w:rFonts w:ascii="Times New Roman" w:hAnsi="Times New Roman" w:cs="Times New Roman"/>
          <w:sz w:val="24"/>
        </w:rPr>
        <w:t xml:space="preserve">В динамике наблюдается стойкое снижение естественного </w:t>
      </w:r>
      <w:proofErr w:type="gramStart"/>
      <w:r w:rsidRPr="00115EE6">
        <w:rPr>
          <w:rFonts w:ascii="Times New Roman" w:hAnsi="Times New Roman" w:cs="Times New Roman"/>
          <w:sz w:val="24"/>
        </w:rPr>
        <w:t>прироста  населения</w:t>
      </w:r>
      <w:proofErr w:type="gramEnd"/>
      <w:r w:rsidRPr="00115EE6">
        <w:rPr>
          <w:rFonts w:ascii="Times New Roman" w:hAnsi="Times New Roman" w:cs="Times New Roman"/>
          <w:sz w:val="24"/>
        </w:rPr>
        <w:t xml:space="preserve"> в городе Пыть-Ях: показатель естественного прироста и составил 4.2 в 2020году, это самый низкий показатель-отрицательная динамика, в 2019гпоказатель  на 1000 населения составил 6,2  и 7.23 на 1000 населения в 2018г.</w:t>
      </w:r>
    </w:p>
    <w:p w:rsidR="008F3AF5" w:rsidRPr="00115EE6" w:rsidRDefault="008F3AF5" w:rsidP="00115EE6">
      <w:pPr>
        <w:spacing w:after="0" w:line="240" w:lineRule="auto"/>
        <w:ind w:firstLine="567"/>
        <w:jc w:val="both"/>
        <w:rPr>
          <w:rFonts w:ascii="Times New Roman" w:hAnsi="Times New Roman" w:cs="Times New Roman"/>
          <w:sz w:val="24"/>
          <w:highlight w:val="yellow"/>
        </w:rPr>
      </w:pPr>
      <w:r w:rsidRPr="00115EE6">
        <w:rPr>
          <w:rFonts w:ascii="Times New Roman" w:hAnsi="Times New Roman" w:cs="Times New Roman"/>
          <w:sz w:val="24"/>
        </w:rPr>
        <w:t xml:space="preserve"> По соотношению возрастных групп «Дети 0-14» и «50 и старше» определяется тип структуры населения. В 2020 году 69,2 % </w:t>
      </w:r>
      <w:proofErr w:type="gramStart"/>
      <w:r w:rsidRPr="00115EE6">
        <w:rPr>
          <w:rFonts w:ascii="Times New Roman" w:hAnsi="Times New Roman" w:cs="Times New Roman"/>
          <w:sz w:val="24"/>
        </w:rPr>
        <w:t>( 2019</w:t>
      </w:r>
      <w:proofErr w:type="gramEnd"/>
      <w:r w:rsidRPr="00115EE6">
        <w:rPr>
          <w:rFonts w:ascii="Times New Roman" w:hAnsi="Times New Roman" w:cs="Times New Roman"/>
          <w:sz w:val="24"/>
        </w:rPr>
        <w:t xml:space="preserve"> году 70,2 % ,в 2018 году – 71,0 %)  населения  города составляют дети от 0 до 14лет и взрослые лица от 15лет до 49 лет,население возрастной группы 50лет и старше в 2020г.составило 30,8%( в  2019г.- 29,8%,в2018г.-28,9%),что свидетельствует о прогрессивном типе населения, но в динамике прослеживается увеличение в возрастной группе«50 и старше» и снижение в возрастной группе «Дети 0-14».</w:t>
      </w:r>
      <w:r w:rsidRPr="00115EE6">
        <w:rPr>
          <w:rFonts w:ascii="Times New Roman" w:hAnsi="Times New Roman" w:cs="Times New Roman"/>
          <w:sz w:val="24"/>
          <w:highlight w:val="yellow"/>
        </w:rPr>
        <w:t xml:space="preserve"> </w:t>
      </w:r>
    </w:p>
    <w:p w:rsidR="008F3AF5" w:rsidRPr="00115EE6" w:rsidRDefault="008F3AF5" w:rsidP="00115EE6">
      <w:pPr>
        <w:pStyle w:val="33"/>
        <w:spacing w:line="240" w:lineRule="auto"/>
        <w:ind w:firstLine="567"/>
        <w:rPr>
          <w:sz w:val="24"/>
          <w:szCs w:val="24"/>
        </w:rPr>
      </w:pPr>
      <w:r w:rsidRPr="00115EE6">
        <w:rPr>
          <w:sz w:val="24"/>
          <w:szCs w:val="24"/>
        </w:rPr>
        <w:t xml:space="preserve">     Самый высокий уровень заболеваемости всего населения по г. Пыть-Ях, превышающий показатели на протяжении 3 лет  по другим классам болезней, по-прежнему зарегистрирован по классу болезни органов дыхания. а в их структуре в целом и по возрастным группам лидируют такие виды патологии как: хронические бронхиты, эмфиземы, бронхиальная астма, ХОБЛ. Причиной этому, вероятно, послужило неблагоприятное воздействие таких факторов окружающей среды, климатические условия,  </w:t>
      </w:r>
      <w:r w:rsidRPr="00115EE6">
        <w:rPr>
          <w:sz w:val="24"/>
          <w:szCs w:val="24"/>
        </w:rPr>
        <w:lastRenderedPageBreak/>
        <w:t xml:space="preserve">атмосферный воздух, воздух рабочей зоны, </w:t>
      </w:r>
      <w:bookmarkStart w:id="30" w:name="_Hlk63350883"/>
      <w:r w:rsidRPr="00115EE6">
        <w:rPr>
          <w:sz w:val="24"/>
          <w:szCs w:val="24"/>
        </w:rPr>
        <w:t xml:space="preserve">а также крайне неблагоприятная эпидемиологическая обстановка, связанныя с заболеваемостью новой коронавирусной инфекцией.. </w:t>
      </w:r>
    </w:p>
    <w:p w:rsidR="008F3AF5" w:rsidRPr="00115EE6" w:rsidRDefault="008F3AF5" w:rsidP="00115EE6">
      <w:pPr>
        <w:spacing w:after="0" w:line="240" w:lineRule="auto"/>
        <w:ind w:firstLine="567"/>
        <w:jc w:val="both"/>
        <w:rPr>
          <w:rFonts w:ascii="Times New Roman" w:hAnsi="Times New Roman" w:cs="Times New Roman"/>
        </w:rPr>
      </w:pPr>
      <w:r w:rsidRPr="00115EE6">
        <w:rPr>
          <w:rFonts w:ascii="Times New Roman" w:hAnsi="Times New Roman" w:cs="Times New Roman"/>
          <w:sz w:val="24"/>
          <w:szCs w:val="24"/>
        </w:rPr>
        <w:t xml:space="preserve">     Самый высокий уровень заболеваемости, превышающий показатели на протяжении 3 лет по другим классам болезней, по-прежнему зарегистрирован по классу болезни органов дыхания. На втором месте в 2020</w:t>
      </w:r>
      <w:proofErr w:type="gramStart"/>
      <w:r w:rsidRPr="00115EE6">
        <w:rPr>
          <w:rFonts w:ascii="Times New Roman" w:hAnsi="Times New Roman" w:cs="Times New Roman"/>
          <w:sz w:val="24"/>
          <w:szCs w:val="24"/>
        </w:rPr>
        <w:t>году,  как</w:t>
      </w:r>
      <w:proofErr w:type="gramEnd"/>
      <w:r w:rsidRPr="00115EE6">
        <w:rPr>
          <w:rFonts w:ascii="Times New Roman" w:hAnsi="Times New Roman" w:cs="Times New Roman"/>
          <w:sz w:val="24"/>
          <w:szCs w:val="24"/>
        </w:rPr>
        <w:t xml:space="preserve"> и в 2018-2019 гг., стоит показатель заболеваемости по классу болезни мочеполовой системы. На третьем месте в 2020 году показатель заболеваемости по классу б</w:t>
      </w:r>
      <w:r w:rsidRPr="00115EE6">
        <w:rPr>
          <w:rFonts w:ascii="Times New Roman" w:hAnsi="Times New Roman" w:cs="Times New Roman"/>
        </w:rPr>
        <w:t xml:space="preserve">олезни костно-мышечной системы и соединительной </w:t>
      </w:r>
      <w:proofErr w:type="gramStart"/>
      <w:r w:rsidRPr="00115EE6">
        <w:rPr>
          <w:rFonts w:ascii="Times New Roman" w:hAnsi="Times New Roman" w:cs="Times New Roman"/>
        </w:rPr>
        <w:t>ткани</w:t>
      </w:r>
      <w:r w:rsidRPr="00115EE6">
        <w:rPr>
          <w:rFonts w:ascii="Times New Roman" w:hAnsi="Times New Roman" w:cs="Times New Roman"/>
          <w:sz w:val="24"/>
          <w:szCs w:val="24"/>
        </w:rPr>
        <w:t xml:space="preserve"> ,</w:t>
      </w:r>
      <w:proofErr w:type="gramEnd"/>
      <w:r w:rsidRPr="00115EE6">
        <w:rPr>
          <w:rFonts w:ascii="Times New Roman" w:hAnsi="Times New Roman" w:cs="Times New Roman"/>
          <w:sz w:val="24"/>
          <w:szCs w:val="24"/>
        </w:rPr>
        <w:t xml:space="preserve"> как и в 2018-2019 гг.</w:t>
      </w:r>
    </w:p>
    <w:bookmarkEnd w:id="30"/>
    <w:p w:rsidR="008F3AF5" w:rsidRPr="00115EE6" w:rsidRDefault="008F3AF5" w:rsidP="00115EE6">
      <w:pPr>
        <w:pStyle w:val="33"/>
        <w:spacing w:line="240" w:lineRule="auto"/>
        <w:ind w:firstLine="567"/>
        <w:rPr>
          <w:sz w:val="24"/>
          <w:szCs w:val="24"/>
        </w:rPr>
      </w:pPr>
      <w:r w:rsidRPr="00115EE6">
        <w:rPr>
          <w:sz w:val="24"/>
          <w:szCs w:val="24"/>
        </w:rPr>
        <w:t>На протяжении последних 2-х лет( период2019-2018г.г.) первом месте по уровню заболеваемости определялось в возрастной группе дети(0-14лет)- затем подростки(15-17лет)  и взрослые. В 2020году,  регистрируется  повышение показателя общей заболеваемости в возрастной группе подростки, по сравнению с 2019годом на 19,4% - впервые  на первом месте по показателям общей заболеваемости  определено в возрастной группе подростки, затем дети до 14 лет и взрослые.</w:t>
      </w:r>
    </w:p>
    <w:p w:rsidR="008F3AF5" w:rsidRPr="00115EE6" w:rsidRDefault="008F3AF5" w:rsidP="00115EE6">
      <w:pPr>
        <w:pStyle w:val="33"/>
        <w:spacing w:line="240" w:lineRule="auto"/>
        <w:ind w:firstLine="567"/>
        <w:rPr>
          <w:sz w:val="24"/>
          <w:szCs w:val="24"/>
          <w:highlight w:val="yellow"/>
        </w:rPr>
      </w:pPr>
      <w:r w:rsidRPr="00115EE6">
        <w:rPr>
          <w:sz w:val="24"/>
          <w:szCs w:val="24"/>
        </w:rPr>
        <w:t>В 2020году, по сравнению с 2019годом показатель общей заболеваемостипо г Пыть-Ях  на 1000  населения снизился на 3,6% , по сравнению с 2019годом, но выше на 1,5%, по сравнению с 2018годом</w:t>
      </w:r>
    </w:p>
    <w:p w:rsidR="008F3AF5" w:rsidRPr="00115EE6" w:rsidRDefault="008F3AF5" w:rsidP="00115EE6">
      <w:pPr>
        <w:pStyle w:val="33"/>
        <w:spacing w:line="240" w:lineRule="auto"/>
        <w:ind w:firstLine="567"/>
        <w:rPr>
          <w:sz w:val="24"/>
          <w:szCs w:val="24"/>
        </w:rPr>
      </w:pPr>
      <w:r w:rsidRPr="00115EE6">
        <w:rPr>
          <w:sz w:val="24"/>
          <w:szCs w:val="24"/>
        </w:rPr>
        <w:t>В 2020году наблюдается  снижение уровня общей заболеваемости  на 1000  населения в группах:</w:t>
      </w:r>
    </w:p>
    <w:p w:rsidR="008F3AF5" w:rsidRPr="00115EE6" w:rsidRDefault="008F3AF5" w:rsidP="00115EE6">
      <w:pPr>
        <w:pStyle w:val="33"/>
        <w:spacing w:line="240" w:lineRule="auto"/>
        <w:ind w:firstLine="567"/>
        <w:rPr>
          <w:sz w:val="24"/>
          <w:szCs w:val="24"/>
        </w:rPr>
      </w:pPr>
      <w:r w:rsidRPr="00115EE6">
        <w:rPr>
          <w:sz w:val="24"/>
          <w:szCs w:val="24"/>
        </w:rPr>
        <w:t>- незначительное снижение  показателей общей заболеваемости в возрастной группе  дети 0-14 лет на 3,3 % по сравнению с 2019годом и на 6%, по сравнению в 2018годом;</w:t>
      </w:r>
    </w:p>
    <w:p w:rsidR="008F3AF5" w:rsidRPr="00115EE6" w:rsidRDefault="008F3AF5" w:rsidP="00115EE6">
      <w:pPr>
        <w:pStyle w:val="33"/>
        <w:spacing w:line="240" w:lineRule="auto"/>
        <w:ind w:firstLine="567"/>
        <w:rPr>
          <w:sz w:val="24"/>
          <w:szCs w:val="24"/>
        </w:rPr>
      </w:pPr>
      <w:r w:rsidRPr="00115EE6">
        <w:rPr>
          <w:sz w:val="24"/>
          <w:szCs w:val="24"/>
        </w:rPr>
        <w:t xml:space="preserve">- взрослые ( 18 лет и старше) на 4,6% по сравнению с 2019годом  и незначительный рост -на 0,2% по сравнению в 2018годом </w:t>
      </w:r>
    </w:p>
    <w:p w:rsidR="008F3AF5" w:rsidRPr="00115EE6" w:rsidRDefault="008F3AF5" w:rsidP="00115EE6">
      <w:pPr>
        <w:spacing w:after="0" w:line="240" w:lineRule="auto"/>
        <w:ind w:firstLine="567"/>
        <w:jc w:val="both"/>
        <w:rPr>
          <w:rFonts w:ascii="Times New Roman" w:hAnsi="Times New Roman" w:cs="Times New Roman"/>
          <w:sz w:val="24"/>
          <w:szCs w:val="24"/>
        </w:rPr>
      </w:pPr>
      <w:proofErr w:type="gramStart"/>
      <w:r w:rsidRPr="00115EE6">
        <w:rPr>
          <w:rFonts w:ascii="Times New Roman" w:hAnsi="Times New Roman" w:cs="Times New Roman"/>
          <w:sz w:val="24"/>
          <w:szCs w:val="24"/>
        </w:rPr>
        <w:t>В  2020</w:t>
      </w:r>
      <w:proofErr w:type="gramEnd"/>
      <w:r w:rsidR="00115EE6">
        <w:rPr>
          <w:rFonts w:ascii="Times New Roman" w:hAnsi="Times New Roman" w:cs="Times New Roman"/>
          <w:sz w:val="24"/>
          <w:szCs w:val="24"/>
        </w:rPr>
        <w:t xml:space="preserve"> </w:t>
      </w:r>
      <w:r w:rsidRPr="00115EE6">
        <w:rPr>
          <w:rFonts w:ascii="Times New Roman" w:hAnsi="Times New Roman" w:cs="Times New Roman"/>
          <w:sz w:val="24"/>
          <w:szCs w:val="24"/>
        </w:rPr>
        <w:t>году регистрируется рост   показателей заболеваемости  только по двум  классам  болезней в общей структуре заболеваемости:</w:t>
      </w:r>
    </w:p>
    <w:p w:rsidR="008F3AF5" w:rsidRPr="00115EE6" w:rsidRDefault="008F3AF5" w:rsidP="006A23B3">
      <w:pPr>
        <w:numPr>
          <w:ilvl w:val="0"/>
          <w:numId w:val="3"/>
        </w:numPr>
        <w:tabs>
          <w:tab w:val="clear" w:pos="1446"/>
          <w:tab w:val="num" w:pos="567"/>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w:t>
      </w:r>
      <w:r w:rsidRPr="00115EE6">
        <w:rPr>
          <w:rFonts w:ascii="Times New Roman" w:hAnsi="Times New Roman" w:cs="Times New Roman"/>
        </w:rPr>
        <w:t xml:space="preserve"> Травмы, отравления и другие внешние воздействия </w:t>
      </w:r>
      <w:proofErr w:type="gramStart"/>
      <w:r w:rsidRPr="00115EE6">
        <w:rPr>
          <w:rFonts w:ascii="Times New Roman" w:hAnsi="Times New Roman" w:cs="Times New Roman"/>
        </w:rPr>
        <w:t>на  3.3</w:t>
      </w:r>
      <w:proofErr w:type="gramEnd"/>
      <w:r w:rsidRPr="00115EE6">
        <w:rPr>
          <w:rFonts w:ascii="Times New Roman" w:hAnsi="Times New Roman" w:cs="Times New Roman"/>
        </w:rPr>
        <w:t>%</w:t>
      </w:r>
      <w:r w:rsidRPr="00115EE6">
        <w:rPr>
          <w:rFonts w:ascii="Times New Roman" w:hAnsi="Times New Roman" w:cs="Times New Roman"/>
          <w:sz w:val="24"/>
          <w:szCs w:val="24"/>
        </w:rPr>
        <w:t xml:space="preserve"> по сравнению с 2019годом </w:t>
      </w:r>
      <w:r w:rsidRPr="00115EE6">
        <w:rPr>
          <w:rFonts w:ascii="Times New Roman" w:hAnsi="Times New Roman" w:cs="Times New Roman"/>
        </w:rPr>
        <w:t xml:space="preserve">  ( в 2019г на 6,26%</w:t>
      </w:r>
      <w:r w:rsidRPr="00115EE6">
        <w:rPr>
          <w:rFonts w:ascii="Times New Roman" w:hAnsi="Times New Roman" w:cs="Times New Roman"/>
          <w:sz w:val="24"/>
          <w:szCs w:val="24"/>
        </w:rPr>
        <w:t xml:space="preserve"> по сравнению с 2018 годом  );</w:t>
      </w:r>
    </w:p>
    <w:p w:rsidR="008F3AF5" w:rsidRPr="00115EE6" w:rsidRDefault="008F3AF5" w:rsidP="006A23B3">
      <w:pPr>
        <w:numPr>
          <w:ilvl w:val="0"/>
          <w:numId w:val="3"/>
        </w:numPr>
        <w:tabs>
          <w:tab w:val="clear" w:pos="1446"/>
          <w:tab w:val="num" w:pos="360"/>
          <w:tab w:val="num" w:pos="567"/>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 xml:space="preserve">Болезни органов </w:t>
      </w:r>
      <w:proofErr w:type="gramStart"/>
      <w:r w:rsidRPr="00115EE6">
        <w:rPr>
          <w:rFonts w:ascii="Times New Roman" w:hAnsi="Times New Roman" w:cs="Times New Roman"/>
          <w:sz w:val="24"/>
          <w:szCs w:val="24"/>
        </w:rPr>
        <w:t>дыхания  на</w:t>
      </w:r>
      <w:proofErr w:type="gramEnd"/>
      <w:r w:rsidRPr="00115EE6">
        <w:rPr>
          <w:rFonts w:ascii="Times New Roman" w:hAnsi="Times New Roman" w:cs="Times New Roman"/>
          <w:sz w:val="24"/>
          <w:szCs w:val="24"/>
        </w:rPr>
        <w:t xml:space="preserve"> 14,2% по сравнению с 2019годом ( на 2,7% в по сравнению с  2018г .</w:t>
      </w:r>
    </w:p>
    <w:p w:rsidR="008F3AF5" w:rsidRPr="00115EE6" w:rsidRDefault="008F3AF5" w:rsidP="00A366B1">
      <w:pPr>
        <w:tabs>
          <w:tab w:val="num" w:pos="567"/>
        </w:tabs>
        <w:spacing w:after="0" w:line="240" w:lineRule="auto"/>
        <w:ind w:firstLine="567"/>
        <w:jc w:val="both"/>
        <w:rPr>
          <w:rFonts w:ascii="Times New Roman" w:hAnsi="Times New Roman" w:cs="Times New Roman"/>
          <w:sz w:val="24"/>
          <w:szCs w:val="24"/>
        </w:rPr>
      </w:pPr>
      <w:r w:rsidRPr="00115EE6">
        <w:rPr>
          <w:rFonts w:ascii="Times New Roman" w:hAnsi="Times New Roman" w:cs="Times New Roman"/>
          <w:sz w:val="24"/>
          <w:szCs w:val="24"/>
        </w:rPr>
        <w:t>По остальным классам болезней регистрируется в 2020г снижение:</w:t>
      </w:r>
    </w:p>
    <w:p w:rsidR="008F3AF5" w:rsidRPr="00115EE6" w:rsidRDefault="008F3AF5" w:rsidP="006A23B3">
      <w:pPr>
        <w:numPr>
          <w:ilvl w:val="0"/>
          <w:numId w:val="3"/>
        </w:numPr>
        <w:tabs>
          <w:tab w:val="clear" w:pos="1446"/>
          <w:tab w:val="num" w:pos="360"/>
          <w:tab w:val="num" w:pos="567"/>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Н</w:t>
      </w:r>
      <w:r w:rsidRPr="00115EE6">
        <w:rPr>
          <w:rFonts w:ascii="Times New Roman" w:hAnsi="Times New Roman" w:cs="Times New Roman"/>
        </w:rPr>
        <w:t xml:space="preserve">екоторые инфекционные и паразитарные </w:t>
      </w:r>
      <w:proofErr w:type="gramStart"/>
      <w:r w:rsidRPr="00115EE6">
        <w:rPr>
          <w:rFonts w:ascii="Times New Roman" w:hAnsi="Times New Roman" w:cs="Times New Roman"/>
        </w:rPr>
        <w:t>болезни</w:t>
      </w:r>
      <w:r w:rsidRPr="00115EE6">
        <w:rPr>
          <w:rFonts w:ascii="Times New Roman" w:hAnsi="Times New Roman" w:cs="Times New Roman"/>
          <w:sz w:val="24"/>
          <w:szCs w:val="24"/>
        </w:rPr>
        <w:t xml:space="preserve">  на</w:t>
      </w:r>
      <w:proofErr w:type="gramEnd"/>
      <w:r w:rsidRPr="00115EE6">
        <w:rPr>
          <w:rFonts w:ascii="Times New Roman" w:hAnsi="Times New Roman" w:cs="Times New Roman"/>
          <w:sz w:val="24"/>
          <w:szCs w:val="24"/>
        </w:rPr>
        <w:t xml:space="preserve"> 0,9% по сравнению с 2019годом , но рост на 4,9 % по сравнению с 2018годом;</w:t>
      </w:r>
    </w:p>
    <w:p w:rsidR="008F3AF5" w:rsidRPr="00115EE6" w:rsidRDefault="008F3AF5" w:rsidP="006A23B3">
      <w:pPr>
        <w:numPr>
          <w:ilvl w:val="0"/>
          <w:numId w:val="3"/>
        </w:numPr>
        <w:tabs>
          <w:tab w:val="clear" w:pos="1446"/>
          <w:tab w:val="num" w:pos="360"/>
          <w:tab w:val="num" w:pos="567"/>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Новообразования на10,48% по сравнению с 2019</w:t>
      </w:r>
      <w:proofErr w:type="gramStart"/>
      <w:r w:rsidRPr="00115EE6">
        <w:rPr>
          <w:rFonts w:ascii="Times New Roman" w:hAnsi="Times New Roman" w:cs="Times New Roman"/>
          <w:sz w:val="24"/>
          <w:szCs w:val="24"/>
        </w:rPr>
        <w:t>годом ,</w:t>
      </w:r>
      <w:proofErr w:type="gramEnd"/>
      <w:r w:rsidRPr="00115EE6">
        <w:rPr>
          <w:rFonts w:ascii="Times New Roman" w:hAnsi="Times New Roman" w:cs="Times New Roman"/>
          <w:sz w:val="24"/>
          <w:szCs w:val="24"/>
        </w:rPr>
        <w:t xml:space="preserve"> в 2019г рост на  </w:t>
      </w:r>
      <w:r w:rsidRPr="00115EE6">
        <w:rPr>
          <w:rFonts w:ascii="Times New Roman" w:hAnsi="Times New Roman" w:cs="Times New Roman"/>
          <w:color w:val="000000"/>
          <w:sz w:val="24"/>
          <w:szCs w:val="24"/>
        </w:rPr>
        <w:t>11,44</w:t>
      </w:r>
      <w:r w:rsidRPr="00115EE6">
        <w:rPr>
          <w:rFonts w:ascii="Times New Roman" w:hAnsi="Times New Roman" w:cs="Times New Roman"/>
          <w:sz w:val="24"/>
          <w:szCs w:val="24"/>
        </w:rPr>
        <w:t>% , по сравнению с 2018 годом  ;</w:t>
      </w:r>
    </w:p>
    <w:p w:rsidR="008F3AF5" w:rsidRPr="00115EE6" w:rsidRDefault="008F3AF5" w:rsidP="006A23B3">
      <w:pPr>
        <w:numPr>
          <w:ilvl w:val="0"/>
          <w:numId w:val="3"/>
        </w:numPr>
        <w:tabs>
          <w:tab w:val="clear" w:pos="1446"/>
          <w:tab w:val="num" w:pos="360"/>
          <w:tab w:val="num" w:pos="567"/>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Болезни крови и кроветворных органов на 13,2</w:t>
      </w:r>
      <w:proofErr w:type="gramStart"/>
      <w:r w:rsidRPr="00115EE6">
        <w:rPr>
          <w:rFonts w:ascii="Times New Roman" w:hAnsi="Times New Roman" w:cs="Times New Roman"/>
          <w:sz w:val="24"/>
          <w:szCs w:val="24"/>
        </w:rPr>
        <w:t>%  по</w:t>
      </w:r>
      <w:proofErr w:type="gramEnd"/>
      <w:r w:rsidRPr="00115EE6">
        <w:rPr>
          <w:rFonts w:ascii="Times New Roman" w:hAnsi="Times New Roman" w:cs="Times New Roman"/>
          <w:sz w:val="24"/>
          <w:szCs w:val="24"/>
        </w:rPr>
        <w:t xml:space="preserve"> сравнению с 2019годом но  рост в 2019г на </w:t>
      </w:r>
      <w:r w:rsidRPr="00115EE6">
        <w:rPr>
          <w:rFonts w:ascii="Times New Roman" w:hAnsi="Times New Roman" w:cs="Times New Roman"/>
          <w:color w:val="000000"/>
          <w:sz w:val="24"/>
          <w:szCs w:val="24"/>
        </w:rPr>
        <w:t>18,85</w:t>
      </w:r>
      <w:r w:rsidRPr="00115EE6">
        <w:rPr>
          <w:rFonts w:ascii="Times New Roman" w:hAnsi="Times New Roman" w:cs="Times New Roman"/>
          <w:sz w:val="24"/>
          <w:szCs w:val="24"/>
        </w:rPr>
        <w:t xml:space="preserve">% , из них анемии на </w:t>
      </w:r>
      <w:r w:rsidRPr="00115EE6">
        <w:rPr>
          <w:rFonts w:ascii="Times New Roman" w:hAnsi="Times New Roman" w:cs="Times New Roman"/>
          <w:color w:val="000000"/>
          <w:sz w:val="24"/>
          <w:szCs w:val="24"/>
        </w:rPr>
        <w:t>17,91%</w:t>
      </w:r>
      <w:r w:rsidRPr="00115EE6">
        <w:rPr>
          <w:rFonts w:ascii="Times New Roman" w:hAnsi="Times New Roman" w:cs="Times New Roman"/>
          <w:sz w:val="24"/>
          <w:szCs w:val="24"/>
        </w:rPr>
        <w:t xml:space="preserve"> по сравнению с 2018 годом; </w:t>
      </w:r>
    </w:p>
    <w:p w:rsidR="008F3AF5" w:rsidRPr="00115EE6" w:rsidRDefault="008F3AF5" w:rsidP="006A23B3">
      <w:pPr>
        <w:numPr>
          <w:ilvl w:val="0"/>
          <w:numId w:val="3"/>
        </w:numPr>
        <w:tabs>
          <w:tab w:val="clear" w:pos="1446"/>
          <w:tab w:val="num" w:pos="360"/>
          <w:tab w:val="num" w:pos="567"/>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 xml:space="preserve">Болезни эндокринной системы, нарушения питания и нарушения обмена веществ </w:t>
      </w:r>
      <w:proofErr w:type="gramStart"/>
      <w:r w:rsidRPr="00115EE6">
        <w:rPr>
          <w:rFonts w:ascii="Times New Roman" w:hAnsi="Times New Roman" w:cs="Times New Roman"/>
          <w:sz w:val="24"/>
          <w:szCs w:val="24"/>
        </w:rPr>
        <w:t>на  3</w:t>
      </w:r>
      <w:proofErr w:type="gramEnd"/>
      <w:r w:rsidRPr="00115EE6">
        <w:rPr>
          <w:rFonts w:ascii="Times New Roman" w:hAnsi="Times New Roman" w:cs="Times New Roman"/>
          <w:sz w:val="24"/>
          <w:szCs w:val="24"/>
        </w:rPr>
        <w:t xml:space="preserve">. 46% по сравнению с 2019годом но  рост в 2019г </w:t>
      </w:r>
      <w:r w:rsidRPr="00115EE6">
        <w:rPr>
          <w:rFonts w:ascii="Times New Roman" w:hAnsi="Times New Roman" w:cs="Times New Roman"/>
          <w:color w:val="000000"/>
          <w:sz w:val="24"/>
          <w:szCs w:val="24"/>
        </w:rPr>
        <w:t>14,76</w:t>
      </w:r>
      <w:r w:rsidRPr="00115EE6">
        <w:rPr>
          <w:rFonts w:ascii="Times New Roman" w:hAnsi="Times New Roman" w:cs="Times New Roman"/>
          <w:sz w:val="24"/>
          <w:szCs w:val="24"/>
        </w:rPr>
        <w:t>% по сравнению с 2018 годом  ;</w:t>
      </w:r>
    </w:p>
    <w:p w:rsidR="008F3AF5" w:rsidRPr="00115EE6" w:rsidRDefault="008F3AF5" w:rsidP="006A23B3">
      <w:pPr>
        <w:numPr>
          <w:ilvl w:val="0"/>
          <w:numId w:val="3"/>
        </w:numPr>
        <w:tabs>
          <w:tab w:val="clear" w:pos="1446"/>
          <w:tab w:val="num" w:pos="567"/>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 xml:space="preserve"> Болезни нервной системы на 6.8% по сравнению с 2019</w:t>
      </w:r>
      <w:proofErr w:type="gramStart"/>
      <w:r w:rsidRPr="00115EE6">
        <w:rPr>
          <w:rFonts w:ascii="Times New Roman" w:hAnsi="Times New Roman" w:cs="Times New Roman"/>
          <w:sz w:val="24"/>
          <w:szCs w:val="24"/>
        </w:rPr>
        <w:t>годом ,</w:t>
      </w:r>
      <w:proofErr w:type="gramEnd"/>
      <w:r w:rsidRPr="00115EE6">
        <w:rPr>
          <w:rFonts w:ascii="Times New Roman" w:hAnsi="Times New Roman" w:cs="Times New Roman"/>
          <w:sz w:val="24"/>
          <w:szCs w:val="24"/>
        </w:rPr>
        <w:t xml:space="preserve"> но рост в 2019г на  </w:t>
      </w:r>
      <w:r w:rsidRPr="00115EE6">
        <w:rPr>
          <w:rFonts w:ascii="Times New Roman" w:hAnsi="Times New Roman" w:cs="Times New Roman"/>
          <w:color w:val="000000"/>
          <w:sz w:val="24"/>
          <w:szCs w:val="24"/>
        </w:rPr>
        <w:t>4,45</w:t>
      </w:r>
      <w:r w:rsidRPr="00115EE6">
        <w:rPr>
          <w:rFonts w:ascii="Times New Roman" w:hAnsi="Times New Roman" w:cs="Times New Roman"/>
          <w:sz w:val="24"/>
          <w:szCs w:val="24"/>
        </w:rPr>
        <w:t>%  по сравнению с 2018 годом  ;</w:t>
      </w:r>
    </w:p>
    <w:p w:rsidR="008F3AF5" w:rsidRPr="00115EE6" w:rsidRDefault="008F3AF5" w:rsidP="006A23B3">
      <w:pPr>
        <w:numPr>
          <w:ilvl w:val="0"/>
          <w:numId w:val="3"/>
        </w:numPr>
        <w:tabs>
          <w:tab w:val="clear" w:pos="1446"/>
          <w:tab w:val="num" w:pos="567"/>
          <w:tab w:val="num" w:pos="851"/>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 xml:space="preserve">       Врожденные аномалии на 64.1%, по сравнению с 2019</w:t>
      </w:r>
      <w:proofErr w:type="gramStart"/>
      <w:r w:rsidRPr="00115EE6">
        <w:rPr>
          <w:rFonts w:ascii="Times New Roman" w:hAnsi="Times New Roman" w:cs="Times New Roman"/>
          <w:sz w:val="24"/>
          <w:szCs w:val="24"/>
        </w:rPr>
        <w:t>годом ,</w:t>
      </w:r>
      <w:proofErr w:type="gramEnd"/>
      <w:r w:rsidRPr="00115EE6">
        <w:rPr>
          <w:rFonts w:ascii="Times New Roman" w:hAnsi="Times New Roman" w:cs="Times New Roman"/>
          <w:sz w:val="24"/>
          <w:szCs w:val="24"/>
        </w:rPr>
        <w:t xml:space="preserve"> но рост в 2019г на </w:t>
      </w:r>
      <w:r w:rsidRPr="00115EE6">
        <w:rPr>
          <w:rFonts w:ascii="Times New Roman" w:hAnsi="Times New Roman" w:cs="Times New Roman"/>
          <w:color w:val="000000"/>
          <w:sz w:val="24"/>
          <w:szCs w:val="24"/>
        </w:rPr>
        <w:t>4,03</w:t>
      </w:r>
      <w:r w:rsidRPr="00115EE6">
        <w:rPr>
          <w:rFonts w:ascii="Times New Roman" w:hAnsi="Times New Roman" w:cs="Times New Roman"/>
          <w:sz w:val="24"/>
          <w:szCs w:val="24"/>
        </w:rPr>
        <w:t xml:space="preserve"> % по сравнению с 2018 годом  ;</w:t>
      </w:r>
    </w:p>
    <w:p w:rsidR="008F3AF5" w:rsidRPr="00115EE6" w:rsidRDefault="008F3AF5" w:rsidP="006A23B3">
      <w:pPr>
        <w:numPr>
          <w:ilvl w:val="0"/>
          <w:numId w:val="3"/>
        </w:numPr>
        <w:tabs>
          <w:tab w:val="clear" w:pos="1446"/>
          <w:tab w:val="num" w:pos="567"/>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Болезни мочеполовой системы на10,1</w:t>
      </w:r>
      <w:proofErr w:type="gramStart"/>
      <w:r w:rsidRPr="00115EE6">
        <w:rPr>
          <w:rFonts w:ascii="Times New Roman" w:hAnsi="Times New Roman" w:cs="Times New Roman"/>
          <w:sz w:val="24"/>
          <w:szCs w:val="24"/>
        </w:rPr>
        <w:t>%  по</w:t>
      </w:r>
      <w:proofErr w:type="gramEnd"/>
      <w:r w:rsidRPr="00115EE6">
        <w:rPr>
          <w:rFonts w:ascii="Times New Roman" w:hAnsi="Times New Roman" w:cs="Times New Roman"/>
          <w:sz w:val="24"/>
          <w:szCs w:val="24"/>
        </w:rPr>
        <w:t xml:space="preserve"> сравнению с 2019годом , но рост в 2019г на 19,81 % по сравнению с 2018 годом  ;</w:t>
      </w:r>
    </w:p>
    <w:p w:rsidR="008F3AF5" w:rsidRPr="00115EE6" w:rsidRDefault="008F3AF5" w:rsidP="006A23B3">
      <w:pPr>
        <w:numPr>
          <w:ilvl w:val="0"/>
          <w:numId w:val="3"/>
        </w:numPr>
        <w:tabs>
          <w:tab w:val="clear" w:pos="1446"/>
          <w:tab w:val="num" w:pos="360"/>
          <w:tab w:val="num" w:pos="567"/>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Болезни органов пищеварения на 11,6% по сравнению с 2019</w:t>
      </w:r>
      <w:proofErr w:type="gramStart"/>
      <w:r w:rsidRPr="00115EE6">
        <w:rPr>
          <w:rFonts w:ascii="Times New Roman" w:hAnsi="Times New Roman" w:cs="Times New Roman"/>
          <w:sz w:val="24"/>
          <w:szCs w:val="24"/>
        </w:rPr>
        <w:t>годом ,</w:t>
      </w:r>
      <w:proofErr w:type="gramEnd"/>
      <w:r w:rsidRPr="00115EE6">
        <w:rPr>
          <w:rFonts w:ascii="Times New Roman" w:hAnsi="Times New Roman" w:cs="Times New Roman"/>
          <w:sz w:val="24"/>
          <w:szCs w:val="24"/>
        </w:rPr>
        <w:t xml:space="preserve"> но рост в 2019г на 2,37 % по сравнению с 2018 годом  ;</w:t>
      </w:r>
    </w:p>
    <w:p w:rsidR="008F3AF5" w:rsidRPr="00115EE6" w:rsidRDefault="008F3AF5" w:rsidP="006A23B3">
      <w:pPr>
        <w:numPr>
          <w:ilvl w:val="0"/>
          <w:numId w:val="3"/>
        </w:numPr>
        <w:tabs>
          <w:tab w:val="clear" w:pos="1446"/>
          <w:tab w:val="num" w:pos="360"/>
          <w:tab w:val="num" w:pos="567"/>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 xml:space="preserve">Болезни костно-мышечной системы и </w:t>
      </w:r>
      <w:proofErr w:type="gramStart"/>
      <w:r w:rsidRPr="00115EE6">
        <w:rPr>
          <w:rFonts w:ascii="Times New Roman" w:hAnsi="Times New Roman" w:cs="Times New Roman"/>
          <w:sz w:val="24"/>
          <w:szCs w:val="24"/>
        </w:rPr>
        <w:t>соединительной  ткани</w:t>
      </w:r>
      <w:proofErr w:type="gramEnd"/>
      <w:r w:rsidRPr="00115EE6">
        <w:rPr>
          <w:rFonts w:ascii="Times New Roman" w:hAnsi="Times New Roman" w:cs="Times New Roman"/>
          <w:sz w:val="24"/>
          <w:szCs w:val="24"/>
        </w:rPr>
        <w:t xml:space="preserve"> на11,5%  по сравнению с 2019годом , но рост в по сравнению с 2017годом );</w:t>
      </w:r>
    </w:p>
    <w:p w:rsidR="008F3AF5" w:rsidRPr="00115EE6" w:rsidRDefault="008F3AF5" w:rsidP="006A23B3">
      <w:pPr>
        <w:numPr>
          <w:ilvl w:val="0"/>
          <w:numId w:val="3"/>
        </w:numPr>
        <w:tabs>
          <w:tab w:val="clear" w:pos="1446"/>
          <w:tab w:val="num" w:pos="360"/>
          <w:tab w:val="num" w:pos="567"/>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Болезни глаза и его придаточного аппарата на27,8</w:t>
      </w:r>
      <w:proofErr w:type="gramStart"/>
      <w:r w:rsidRPr="00115EE6">
        <w:rPr>
          <w:rFonts w:ascii="Times New Roman" w:hAnsi="Times New Roman" w:cs="Times New Roman"/>
          <w:sz w:val="24"/>
          <w:szCs w:val="24"/>
        </w:rPr>
        <w:t>%  по</w:t>
      </w:r>
      <w:proofErr w:type="gramEnd"/>
      <w:r w:rsidRPr="00115EE6">
        <w:rPr>
          <w:rFonts w:ascii="Times New Roman" w:hAnsi="Times New Roman" w:cs="Times New Roman"/>
          <w:sz w:val="24"/>
          <w:szCs w:val="24"/>
        </w:rPr>
        <w:t xml:space="preserve"> сравнению с 2019годом , но рост в 2019г  на 12,86%  по сравнению с 2018 годом  ;</w:t>
      </w:r>
    </w:p>
    <w:p w:rsidR="008F3AF5" w:rsidRPr="00115EE6" w:rsidRDefault="008F3AF5" w:rsidP="006A23B3">
      <w:pPr>
        <w:numPr>
          <w:ilvl w:val="0"/>
          <w:numId w:val="3"/>
        </w:numPr>
        <w:tabs>
          <w:tab w:val="clear" w:pos="1446"/>
          <w:tab w:val="num" w:pos="360"/>
          <w:tab w:val="num" w:pos="567"/>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 xml:space="preserve">Болезни уха и сосцевидного </w:t>
      </w:r>
      <w:proofErr w:type="gramStart"/>
      <w:r w:rsidRPr="00115EE6">
        <w:rPr>
          <w:rFonts w:ascii="Times New Roman" w:hAnsi="Times New Roman" w:cs="Times New Roman"/>
          <w:sz w:val="24"/>
          <w:szCs w:val="24"/>
        </w:rPr>
        <w:t>отростка  на</w:t>
      </w:r>
      <w:proofErr w:type="gramEnd"/>
      <w:r w:rsidRPr="00115EE6">
        <w:rPr>
          <w:rFonts w:ascii="Times New Roman" w:hAnsi="Times New Roman" w:cs="Times New Roman"/>
          <w:sz w:val="24"/>
          <w:szCs w:val="24"/>
        </w:rPr>
        <w:t xml:space="preserve"> 14,9% по сравнению с 2019годом , но рост в 2019г на </w:t>
      </w:r>
      <w:r w:rsidRPr="00115EE6">
        <w:rPr>
          <w:rFonts w:ascii="Times New Roman" w:hAnsi="Times New Roman" w:cs="Times New Roman"/>
          <w:color w:val="000000"/>
          <w:sz w:val="24"/>
          <w:szCs w:val="24"/>
        </w:rPr>
        <w:t>9,79</w:t>
      </w:r>
      <w:r w:rsidRPr="00115EE6">
        <w:rPr>
          <w:rFonts w:ascii="Times New Roman" w:hAnsi="Times New Roman" w:cs="Times New Roman"/>
          <w:sz w:val="24"/>
          <w:szCs w:val="24"/>
        </w:rPr>
        <w:t>%  по сравнению с 2018 годом  ;</w:t>
      </w:r>
    </w:p>
    <w:p w:rsidR="008F3AF5" w:rsidRPr="00115EE6" w:rsidRDefault="008F3AF5" w:rsidP="006A23B3">
      <w:pPr>
        <w:numPr>
          <w:ilvl w:val="0"/>
          <w:numId w:val="3"/>
        </w:numPr>
        <w:tabs>
          <w:tab w:val="clear" w:pos="1446"/>
          <w:tab w:val="num" w:pos="360"/>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lastRenderedPageBreak/>
        <w:t>Болезни системы кровообращения на 12,9% по сравнению с 2019</w:t>
      </w:r>
      <w:proofErr w:type="gramStart"/>
      <w:r w:rsidRPr="00115EE6">
        <w:rPr>
          <w:rFonts w:ascii="Times New Roman" w:hAnsi="Times New Roman" w:cs="Times New Roman"/>
          <w:sz w:val="24"/>
          <w:szCs w:val="24"/>
        </w:rPr>
        <w:t>годом ,</w:t>
      </w:r>
      <w:proofErr w:type="gramEnd"/>
      <w:r w:rsidRPr="00115EE6">
        <w:rPr>
          <w:rFonts w:ascii="Times New Roman" w:hAnsi="Times New Roman" w:cs="Times New Roman"/>
          <w:sz w:val="24"/>
          <w:szCs w:val="24"/>
        </w:rPr>
        <w:t xml:space="preserve"> но рост в 2019г на </w:t>
      </w:r>
      <w:r w:rsidRPr="00115EE6">
        <w:rPr>
          <w:rFonts w:ascii="Times New Roman" w:hAnsi="Times New Roman" w:cs="Times New Roman"/>
          <w:color w:val="000000"/>
          <w:sz w:val="24"/>
          <w:szCs w:val="24"/>
        </w:rPr>
        <w:t>26,38</w:t>
      </w:r>
      <w:r w:rsidRPr="00115EE6">
        <w:rPr>
          <w:rFonts w:ascii="Times New Roman" w:hAnsi="Times New Roman" w:cs="Times New Roman"/>
          <w:sz w:val="24"/>
          <w:szCs w:val="24"/>
        </w:rPr>
        <w:t>%  по сравнению с 2018 годом  ;</w:t>
      </w:r>
    </w:p>
    <w:p w:rsidR="008F3AF5" w:rsidRPr="00115EE6" w:rsidRDefault="008F3AF5" w:rsidP="006A23B3">
      <w:pPr>
        <w:numPr>
          <w:ilvl w:val="0"/>
          <w:numId w:val="3"/>
        </w:numPr>
        <w:tabs>
          <w:tab w:val="clear" w:pos="1446"/>
          <w:tab w:val="num" w:pos="360"/>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Болезни кожи и подкожной клетчатки на 3,9% по сравнению с 2019</w:t>
      </w:r>
      <w:proofErr w:type="gramStart"/>
      <w:r w:rsidRPr="00115EE6">
        <w:rPr>
          <w:rFonts w:ascii="Times New Roman" w:hAnsi="Times New Roman" w:cs="Times New Roman"/>
          <w:sz w:val="24"/>
          <w:szCs w:val="24"/>
        </w:rPr>
        <w:t>годом ,</w:t>
      </w:r>
      <w:proofErr w:type="gramEnd"/>
      <w:r w:rsidRPr="00115EE6">
        <w:rPr>
          <w:rFonts w:ascii="Times New Roman" w:hAnsi="Times New Roman" w:cs="Times New Roman"/>
          <w:sz w:val="24"/>
          <w:szCs w:val="24"/>
        </w:rPr>
        <w:t xml:space="preserve"> но рост в 2019г на 5,17 % по сравнению с 2018 годом;    </w:t>
      </w:r>
    </w:p>
    <w:p w:rsidR="008F3AF5" w:rsidRPr="00115EE6" w:rsidRDefault="008F3AF5" w:rsidP="006A23B3">
      <w:pPr>
        <w:numPr>
          <w:ilvl w:val="0"/>
          <w:numId w:val="3"/>
        </w:numPr>
        <w:tabs>
          <w:tab w:val="clear" w:pos="1446"/>
          <w:tab w:val="num" w:pos="360"/>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П</w:t>
      </w:r>
      <w:r w:rsidRPr="00115EE6">
        <w:rPr>
          <w:rFonts w:ascii="Times New Roman" w:hAnsi="Times New Roman" w:cs="Times New Roman"/>
        </w:rPr>
        <w:t>сихические расстройства и расстройства поведения</w:t>
      </w:r>
      <w:r w:rsidRPr="00115EE6">
        <w:rPr>
          <w:rFonts w:ascii="Times New Roman" w:hAnsi="Times New Roman" w:cs="Times New Roman"/>
          <w:sz w:val="24"/>
          <w:szCs w:val="24"/>
        </w:rPr>
        <w:t xml:space="preserve"> на 6.7% по сравнению с 2019</w:t>
      </w:r>
      <w:proofErr w:type="gramStart"/>
      <w:r w:rsidRPr="00115EE6">
        <w:rPr>
          <w:rFonts w:ascii="Times New Roman" w:hAnsi="Times New Roman" w:cs="Times New Roman"/>
          <w:sz w:val="24"/>
          <w:szCs w:val="24"/>
        </w:rPr>
        <w:t>годом  и</w:t>
      </w:r>
      <w:proofErr w:type="gramEnd"/>
      <w:r w:rsidRPr="00115EE6">
        <w:rPr>
          <w:rFonts w:ascii="Times New Roman" w:hAnsi="Times New Roman" w:cs="Times New Roman"/>
          <w:sz w:val="24"/>
          <w:szCs w:val="24"/>
        </w:rPr>
        <w:t xml:space="preserve"> в 2019г  на </w:t>
      </w:r>
      <w:r w:rsidRPr="00115EE6">
        <w:rPr>
          <w:rFonts w:ascii="Times New Roman" w:hAnsi="Times New Roman" w:cs="Times New Roman"/>
          <w:color w:val="000000"/>
          <w:sz w:val="24"/>
          <w:szCs w:val="24"/>
        </w:rPr>
        <w:t>1,64</w:t>
      </w:r>
      <w:r w:rsidRPr="00115EE6">
        <w:rPr>
          <w:rFonts w:ascii="Times New Roman" w:hAnsi="Times New Roman" w:cs="Times New Roman"/>
          <w:sz w:val="24"/>
          <w:szCs w:val="24"/>
        </w:rPr>
        <w:t>%  по сравнению с 2018 годом  ;</w:t>
      </w:r>
    </w:p>
    <w:p w:rsidR="008F3AF5" w:rsidRPr="00115EE6" w:rsidRDefault="008F3AF5" w:rsidP="006A23B3">
      <w:pPr>
        <w:numPr>
          <w:ilvl w:val="0"/>
          <w:numId w:val="3"/>
        </w:numPr>
        <w:tabs>
          <w:tab w:val="clear" w:pos="1446"/>
          <w:tab w:val="num" w:pos="360"/>
        </w:tabs>
        <w:spacing w:after="0" w:line="240" w:lineRule="auto"/>
        <w:ind w:left="0" w:firstLine="567"/>
        <w:rPr>
          <w:rFonts w:ascii="Times New Roman" w:hAnsi="Times New Roman" w:cs="Times New Roman"/>
          <w:sz w:val="24"/>
          <w:szCs w:val="24"/>
        </w:rPr>
      </w:pPr>
      <w:r w:rsidRPr="00115EE6">
        <w:rPr>
          <w:rFonts w:ascii="Times New Roman" w:hAnsi="Times New Roman" w:cs="Times New Roman"/>
          <w:sz w:val="24"/>
          <w:szCs w:val="24"/>
        </w:rPr>
        <w:t>Беременность, роды и послеродовый период на 35,3</w:t>
      </w:r>
      <w:proofErr w:type="gramStart"/>
      <w:r w:rsidRPr="00115EE6">
        <w:rPr>
          <w:rFonts w:ascii="Times New Roman" w:hAnsi="Times New Roman" w:cs="Times New Roman"/>
          <w:sz w:val="24"/>
          <w:szCs w:val="24"/>
        </w:rPr>
        <w:t>%  по</w:t>
      </w:r>
      <w:proofErr w:type="gramEnd"/>
      <w:r w:rsidRPr="00115EE6">
        <w:rPr>
          <w:rFonts w:ascii="Times New Roman" w:hAnsi="Times New Roman" w:cs="Times New Roman"/>
          <w:sz w:val="24"/>
          <w:szCs w:val="24"/>
        </w:rPr>
        <w:t xml:space="preserve"> сравнению с 2019годом  и в 2019г  ;</w:t>
      </w:r>
    </w:p>
    <w:p w:rsidR="008F3AF5" w:rsidRPr="00115EE6" w:rsidRDefault="008F3AF5" w:rsidP="00A366B1">
      <w:pPr>
        <w:spacing w:after="0" w:line="240" w:lineRule="auto"/>
        <w:ind w:firstLine="567"/>
        <w:jc w:val="both"/>
        <w:rPr>
          <w:rFonts w:ascii="Times New Roman" w:hAnsi="Times New Roman" w:cs="Times New Roman"/>
          <w:sz w:val="24"/>
          <w:szCs w:val="24"/>
        </w:rPr>
      </w:pPr>
      <w:r w:rsidRPr="00115EE6">
        <w:rPr>
          <w:rFonts w:ascii="Times New Roman" w:hAnsi="Times New Roman" w:cs="Times New Roman"/>
          <w:sz w:val="24"/>
          <w:szCs w:val="24"/>
        </w:rPr>
        <w:t xml:space="preserve">Отдельные состояния в перинатальный период в 2020году не зарегистрированы. </w:t>
      </w:r>
    </w:p>
    <w:p w:rsidR="008F3AF5" w:rsidRPr="00115EE6" w:rsidRDefault="008F3AF5" w:rsidP="00115EE6">
      <w:pPr>
        <w:spacing w:after="0" w:line="240" w:lineRule="auto"/>
        <w:ind w:firstLine="567"/>
        <w:jc w:val="both"/>
        <w:rPr>
          <w:rFonts w:ascii="Times New Roman" w:hAnsi="Times New Roman" w:cs="Times New Roman"/>
          <w:sz w:val="24"/>
          <w:szCs w:val="24"/>
        </w:rPr>
      </w:pPr>
      <w:proofErr w:type="gramStart"/>
      <w:r w:rsidRPr="00115EE6">
        <w:rPr>
          <w:rFonts w:ascii="Times New Roman" w:hAnsi="Times New Roman" w:cs="Times New Roman"/>
          <w:sz w:val="24"/>
          <w:szCs w:val="24"/>
        </w:rPr>
        <w:t>В  2020</w:t>
      </w:r>
      <w:proofErr w:type="gramEnd"/>
      <w:r w:rsidRPr="00115EE6">
        <w:rPr>
          <w:rFonts w:ascii="Times New Roman" w:hAnsi="Times New Roman" w:cs="Times New Roman"/>
          <w:sz w:val="24"/>
          <w:szCs w:val="24"/>
        </w:rPr>
        <w:t xml:space="preserve"> г в структуре заболеваемости среди детей лидирующее место также занимают болезни органов дыхания и составляют большую долю 59,96% (в 2019-59,52 %, в 2018году-61,84 % % . </w:t>
      </w:r>
    </w:p>
    <w:p w:rsidR="008F3AF5" w:rsidRPr="00115EE6" w:rsidRDefault="00A366B1" w:rsidP="00115EE6">
      <w:pPr>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Второе </w:t>
      </w:r>
      <w:r w:rsidR="008F3AF5" w:rsidRPr="00115EE6">
        <w:rPr>
          <w:rFonts w:ascii="Times New Roman" w:hAnsi="Times New Roman" w:cs="Times New Roman"/>
          <w:sz w:val="24"/>
          <w:szCs w:val="24"/>
        </w:rPr>
        <w:t xml:space="preserve">место в структуре заболеваемости детского </w:t>
      </w:r>
      <w:proofErr w:type="gramStart"/>
      <w:r w:rsidR="008F3AF5" w:rsidRPr="00115EE6">
        <w:rPr>
          <w:rFonts w:ascii="Times New Roman" w:hAnsi="Times New Roman" w:cs="Times New Roman"/>
          <w:sz w:val="24"/>
          <w:szCs w:val="24"/>
        </w:rPr>
        <w:t>населения  в</w:t>
      </w:r>
      <w:proofErr w:type="gramEnd"/>
      <w:r w:rsidR="008F3AF5" w:rsidRPr="00115EE6">
        <w:rPr>
          <w:rFonts w:ascii="Times New Roman" w:hAnsi="Times New Roman" w:cs="Times New Roman"/>
          <w:sz w:val="24"/>
          <w:szCs w:val="24"/>
        </w:rPr>
        <w:t xml:space="preserve"> 2019 году травмы и отравления, удельный вес составляет -6,66% ( в 2019г-5,97%), на третьем месте в структуре заболеваемости детского населения  в 2020 году  болезни нервной системы-5,24%, тогда как в 2019 году третье место занимали </w:t>
      </w:r>
      <w:r w:rsidR="008F3AF5" w:rsidRPr="00115EE6">
        <w:rPr>
          <w:rFonts w:ascii="Times New Roman" w:hAnsi="Times New Roman" w:cs="Times New Roman"/>
        </w:rPr>
        <w:t>болезни глаза и придаточного аппарата – 5,15%, в 2018 -4,8%</w:t>
      </w:r>
      <w:r w:rsidR="008F3AF5" w:rsidRPr="00115EE6">
        <w:rPr>
          <w:rFonts w:ascii="Times New Roman" w:hAnsi="Times New Roman" w:cs="Times New Roman"/>
          <w:sz w:val="24"/>
          <w:szCs w:val="24"/>
        </w:rPr>
        <w:t xml:space="preserve">.Одной из причин снижения заболеваемости по классу </w:t>
      </w:r>
      <w:r w:rsidR="008F3AF5" w:rsidRPr="00115EE6">
        <w:rPr>
          <w:rFonts w:ascii="Times New Roman" w:hAnsi="Times New Roman" w:cs="Times New Roman"/>
        </w:rPr>
        <w:t>болезни глаза и придаточного аппарата является отсутствие офтальмолога в г. Пыть-Ях.</w:t>
      </w:r>
    </w:p>
    <w:p w:rsidR="008F3AF5" w:rsidRPr="00115EE6" w:rsidRDefault="008F3AF5" w:rsidP="00115EE6">
      <w:pPr>
        <w:spacing w:after="0" w:line="240" w:lineRule="auto"/>
        <w:ind w:firstLine="567"/>
        <w:jc w:val="both"/>
        <w:rPr>
          <w:rFonts w:ascii="Times New Roman" w:hAnsi="Times New Roman" w:cs="Times New Roman"/>
          <w:sz w:val="24"/>
          <w:szCs w:val="24"/>
        </w:rPr>
      </w:pPr>
      <w:r w:rsidRPr="00115EE6">
        <w:rPr>
          <w:rFonts w:ascii="Times New Roman" w:hAnsi="Times New Roman" w:cs="Times New Roman"/>
          <w:sz w:val="24"/>
          <w:szCs w:val="24"/>
        </w:rPr>
        <w:t xml:space="preserve">В 2020году регистрируется резкий рост общей заболеваемости с временной утратой трудоспособности по </w:t>
      </w:r>
      <w:proofErr w:type="gramStart"/>
      <w:r w:rsidRPr="00115EE6">
        <w:rPr>
          <w:rFonts w:ascii="Times New Roman" w:hAnsi="Times New Roman" w:cs="Times New Roman"/>
          <w:sz w:val="24"/>
          <w:szCs w:val="24"/>
        </w:rPr>
        <w:t>показателям  100</w:t>
      </w:r>
      <w:proofErr w:type="gramEnd"/>
      <w:r w:rsidRPr="00115EE6">
        <w:rPr>
          <w:rFonts w:ascii="Times New Roman" w:hAnsi="Times New Roman" w:cs="Times New Roman"/>
          <w:sz w:val="24"/>
          <w:szCs w:val="24"/>
        </w:rPr>
        <w:t xml:space="preserve">  человек  работающих   в г Пыть-Ях на 66%  по «заболеваниям» с </w:t>
      </w:r>
      <w:r w:rsidRPr="00115EE6">
        <w:rPr>
          <w:rFonts w:ascii="Times New Roman" w:hAnsi="Times New Roman" w:cs="Times New Roman"/>
        </w:rPr>
        <w:t xml:space="preserve">10060 абс.в 2019г </w:t>
      </w:r>
      <w:r w:rsidRPr="00115EE6">
        <w:rPr>
          <w:rFonts w:ascii="Times New Roman" w:hAnsi="Times New Roman" w:cs="Times New Roman"/>
          <w:sz w:val="24"/>
          <w:szCs w:val="24"/>
        </w:rPr>
        <w:t xml:space="preserve"> до </w:t>
      </w:r>
      <w:r w:rsidRPr="00115EE6">
        <w:rPr>
          <w:rFonts w:ascii="Times New Roman" w:hAnsi="Times New Roman" w:cs="Times New Roman"/>
          <w:color w:val="000000"/>
        </w:rPr>
        <w:t>11696 абс. в 2020 году</w:t>
      </w:r>
      <w:r w:rsidRPr="00115EE6">
        <w:rPr>
          <w:rFonts w:ascii="Times New Roman" w:hAnsi="Times New Roman" w:cs="Times New Roman"/>
          <w:sz w:val="24"/>
          <w:szCs w:val="24"/>
        </w:rPr>
        <w:t xml:space="preserve">, </w:t>
      </w:r>
    </w:p>
    <w:p w:rsidR="008F3AF5" w:rsidRPr="00115EE6" w:rsidRDefault="008F3AF5" w:rsidP="00115EE6">
      <w:pPr>
        <w:spacing w:after="0" w:line="240" w:lineRule="auto"/>
        <w:ind w:firstLine="567"/>
        <w:jc w:val="both"/>
        <w:rPr>
          <w:rFonts w:ascii="Times New Roman" w:hAnsi="Times New Roman" w:cs="Times New Roman"/>
          <w:sz w:val="24"/>
          <w:szCs w:val="24"/>
        </w:rPr>
      </w:pPr>
      <w:r w:rsidRPr="00115EE6">
        <w:rPr>
          <w:rFonts w:ascii="Times New Roman" w:hAnsi="Times New Roman" w:cs="Times New Roman"/>
          <w:sz w:val="24"/>
          <w:szCs w:val="24"/>
        </w:rPr>
        <w:t xml:space="preserve">В 2020г </w:t>
      </w:r>
      <w:proofErr w:type="gramStart"/>
      <w:r w:rsidRPr="00115EE6">
        <w:rPr>
          <w:rFonts w:ascii="Times New Roman" w:hAnsi="Times New Roman" w:cs="Times New Roman"/>
          <w:sz w:val="24"/>
          <w:szCs w:val="24"/>
        </w:rPr>
        <w:t>показатель  заболеваемости</w:t>
      </w:r>
      <w:proofErr w:type="gramEnd"/>
      <w:r w:rsidRPr="00115EE6">
        <w:rPr>
          <w:rFonts w:ascii="Times New Roman" w:hAnsi="Times New Roman" w:cs="Times New Roman"/>
          <w:sz w:val="24"/>
          <w:szCs w:val="24"/>
        </w:rPr>
        <w:t xml:space="preserve"> с  ВУТ  «По всем причинам» на 100 работающих  составил 62,77случаев абс 14235 вырос на 55,5% по  сравнению с 2019г ( абс 12966) с  2019г.  отмечается рост на 55,5%.</w:t>
      </w:r>
    </w:p>
    <w:p w:rsidR="008F3AF5" w:rsidRPr="00115EE6" w:rsidRDefault="008F3AF5" w:rsidP="00115EE6">
      <w:pPr>
        <w:spacing w:after="0" w:line="240" w:lineRule="auto"/>
        <w:ind w:firstLine="567"/>
        <w:jc w:val="both"/>
        <w:rPr>
          <w:rFonts w:ascii="Times New Roman" w:hAnsi="Times New Roman" w:cs="Times New Roman"/>
          <w:sz w:val="24"/>
          <w:szCs w:val="24"/>
        </w:rPr>
      </w:pPr>
      <w:proofErr w:type="gramStart"/>
      <w:r w:rsidRPr="00115EE6">
        <w:rPr>
          <w:rFonts w:ascii="Times New Roman" w:hAnsi="Times New Roman" w:cs="Times New Roman"/>
          <w:sz w:val="24"/>
          <w:szCs w:val="24"/>
        </w:rPr>
        <w:t>В  2019</w:t>
      </w:r>
      <w:proofErr w:type="gramEnd"/>
      <w:r w:rsidRPr="00115EE6">
        <w:rPr>
          <w:rFonts w:ascii="Times New Roman" w:hAnsi="Times New Roman" w:cs="Times New Roman"/>
          <w:sz w:val="24"/>
          <w:szCs w:val="24"/>
        </w:rPr>
        <w:t xml:space="preserve">г. показатель заболеваемость с ВУТ ( всего случаев заболеваний)  на 100  человек  взрослого населения составил 31,06 случаев и по сравнению с 2018 г. показатель  заболеваемости  «Всего по заболеваниям»   среди взрослого населения снизился на 18,13%. </w:t>
      </w:r>
    </w:p>
    <w:p w:rsidR="008F3AF5" w:rsidRPr="00115EE6" w:rsidRDefault="008F3AF5" w:rsidP="00115EE6">
      <w:pPr>
        <w:pStyle w:val="a"/>
        <w:numPr>
          <w:ilvl w:val="0"/>
          <w:numId w:val="0"/>
        </w:numPr>
        <w:ind w:firstLine="567"/>
        <w:jc w:val="both"/>
      </w:pPr>
      <w:r w:rsidRPr="00115EE6">
        <w:t xml:space="preserve">В 2020году в связи с повышенной заболеваемостью новой коронавирусной инфекцией показатель </w:t>
      </w:r>
      <w:proofErr w:type="gramStart"/>
      <w:r w:rsidRPr="00115EE6">
        <w:t>заболеваемости  с</w:t>
      </w:r>
      <w:proofErr w:type="gramEnd"/>
      <w:r w:rsidRPr="00115EE6">
        <w:t xml:space="preserve"> ВУТ на 100 работающих по  «факторам, влияющим на состояние здоровья населения и обращения за медицинской помощью; составил 11,6 ( в абсолютных случаях 2631,  со</w:t>
      </w:r>
      <w:r w:rsidRPr="00115EE6">
        <w:rPr>
          <w:lang w:val="en-US"/>
        </w:rPr>
        <w:t>vid</w:t>
      </w:r>
      <w:r w:rsidRPr="00115EE6">
        <w:t>-19-1,119( 271 случаев) .</w:t>
      </w:r>
    </w:p>
    <w:p w:rsidR="008F3AF5" w:rsidRPr="00115EE6" w:rsidRDefault="008F3AF5" w:rsidP="00115EE6">
      <w:pPr>
        <w:pStyle w:val="a"/>
        <w:numPr>
          <w:ilvl w:val="0"/>
          <w:numId w:val="0"/>
        </w:numPr>
        <w:ind w:firstLine="567"/>
        <w:jc w:val="both"/>
      </w:pPr>
      <w:r w:rsidRPr="00115EE6">
        <w:t>В 2018-2019гг наблюдалось снижение заболеваемости с ВУТ по большинству классов болезней.</w:t>
      </w:r>
    </w:p>
    <w:p w:rsidR="008F3AF5" w:rsidRPr="00115EE6" w:rsidRDefault="00115EE6" w:rsidP="00115E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2020году практически по всем </w:t>
      </w:r>
      <w:r w:rsidR="008F3AF5" w:rsidRPr="00115EE6">
        <w:rPr>
          <w:rFonts w:ascii="Times New Roman" w:hAnsi="Times New Roman" w:cs="Times New Roman"/>
          <w:sz w:val="24"/>
          <w:szCs w:val="24"/>
        </w:rPr>
        <w:t xml:space="preserve">классам </w:t>
      </w:r>
      <w:proofErr w:type="gramStart"/>
      <w:r w:rsidR="008F3AF5" w:rsidRPr="00115EE6">
        <w:rPr>
          <w:rFonts w:ascii="Times New Roman" w:hAnsi="Times New Roman" w:cs="Times New Roman"/>
          <w:sz w:val="24"/>
          <w:szCs w:val="24"/>
        </w:rPr>
        <w:t>заболеваний( кроме</w:t>
      </w:r>
      <w:proofErr w:type="gramEnd"/>
      <w:r w:rsidR="008F3AF5" w:rsidRPr="00115EE6">
        <w:rPr>
          <w:rFonts w:ascii="Times New Roman" w:hAnsi="Times New Roman" w:cs="Times New Roman"/>
          <w:sz w:val="24"/>
          <w:szCs w:val="24"/>
        </w:rPr>
        <w:t xml:space="preserve"> заболеваний глаз и эндокринной системы   регистрируется рост заболеваемости с ВУТ на 100 работающих, по сравнению с 2019годом:</w:t>
      </w:r>
    </w:p>
    <w:p w:rsidR="008F3AF5" w:rsidRPr="00115EE6" w:rsidRDefault="008F3AF5" w:rsidP="00115EE6">
      <w:pPr>
        <w:spacing w:after="0" w:line="240" w:lineRule="auto"/>
        <w:ind w:firstLine="567"/>
        <w:jc w:val="both"/>
        <w:rPr>
          <w:rFonts w:ascii="Times New Roman" w:hAnsi="Times New Roman" w:cs="Times New Roman"/>
          <w:sz w:val="24"/>
          <w:szCs w:val="24"/>
        </w:rPr>
      </w:pPr>
      <w:r w:rsidRPr="00115EE6">
        <w:rPr>
          <w:rFonts w:ascii="Times New Roman" w:hAnsi="Times New Roman" w:cs="Times New Roman"/>
          <w:sz w:val="24"/>
          <w:szCs w:val="24"/>
        </w:rPr>
        <w:t>-Некоторые инфекционные и паразитарные болезни на 364%;</w:t>
      </w:r>
    </w:p>
    <w:p w:rsidR="008F3AF5" w:rsidRPr="00115EE6" w:rsidRDefault="008F3AF5" w:rsidP="00115EE6">
      <w:pPr>
        <w:spacing w:after="0" w:line="240" w:lineRule="auto"/>
        <w:ind w:firstLine="567"/>
        <w:jc w:val="both"/>
        <w:rPr>
          <w:rFonts w:ascii="Times New Roman" w:hAnsi="Times New Roman" w:cs="Times New Roman"/>
          <w:sz w:val="24"/>
          <w:szCs w:val="24"/>
        </w:rPr>
      </w:pPr>
      <w:r w:rsidRPr="00115EE6">
        <w:rPr>
          <w:rFonts w:ascii="Times New Roman" w:hAnsi="Times New Roman" w:cs="Times New Roman"/>
          <w:sz w:val="24"/>
          <w:szCs w:val="24"/>
        </w:rPr>
        <w:t xml:space="preserve">- Болезни органов </w:t>
      </w:r>
      <w:proofErr w:type="gramStart"/>
      <w:r w:rsidRPr="00115EE6">
        <w:rPr>
          <w:rFonts w:ascii="Times New Roman" w:hAnsi="Times New Roman" w:cs="Times New Roman"/>
          <w:sz w:val="24"/>
          <w:szCs w:val="24"/>
        </w:rPr>
        <w:t>дыхания  на</w:t>
      </w:r>
      <w:proofErr w:type="gramEnd"/>
      <w:r w:rsidRPr="00115EE6">
        <w:rPr>
          <w:rFonts w:ascii="Times New Roman" w:hAnsi="Times New Roman" w:cs="Times New Roman"/>
          <w:sz w:val="24"/>
          <w:szCs w:val="24"/>
        </w:rPr>
        <w:t xml:space="preserve">    158% , в а 2019г наблюдалось снижение на 10,9%  по сравнению с 2018г. в.т.  пневмонии </w:t>
      </w:r>
      <w:proofErr w:type="gramStart"/>
      <w:r w:rsidRPr="00115EE6">
        <w:rPr>
          <w:rFonts w:ascii="Times New Roman" w:hAnsi="Times New Roman" w:cs="Times New Roman"/>
          <w:sz w:val="24"/>
          <w:szCs w:val="24"/>
        </w:rPr>
        <w:t>рост  на</w:t>
      </w:r>
      <w:proofErr w:type="gramEnd"/>
      <w:r w:rsidRPr="00115EE6">
        <w:rPr>
          <w:rFonts w:ascii="Times New Roman" w:hAnsi="Times New Roman" w:cs="Times New Roman"/>
          <w:sz w:val="24"/>
          <w:szCs w:val="24"/>
        </w:rPr>
        <w:t xml:space="preserve">  630%  , в 2019г регистрировалось снижение на   41,2%  по сравнению с 2018г. ;</w:t>
      </w:r>
    </w:p>
    <w:p w:rsidR="008F3AF5" w:rsidRPr="00115EE6" w:rsidRDefault="008F3AF5" w:rsidP="00115EE6">
      <w:pPr>
        <w:spacing w:after="0" w:line="240" w:lineRule="auto"/>
        <w:ind w:firstLine="567"/>
        <w:jc w:val="both"/>
        <w:rPr>
          <w:rFonts w:ascii="Times New Roman" w:hAnsi="Times New Roman" w:cs="Times New Roman"/>
          <w:sz w:val="24"/>
          <w:szCs w:val="24"/>
        </w:rPr>
      </w:pPr>
      <w:r w:rsidRPr="00115EE6">
        <w:rPr>
          <w:rFonts w:ascii="Times New Roman" w:hAnsi="Times New Roman" w:cs="Times New Roman"/>
          <w:sz w:val="24"/>
          <w:szCs w:val="24"/>
        </w:rPr>
        <w:t>- Новообразования на 40,44%, из них злокачественные новообразования на 59,2%;</w:t>
      </w:r>
    </w:p>
    <w:p w:rsidR="008F3AF5" w:rsidRPr="00115EE6" w:rsidRDefault="008F3AF5" w:rsidP="00115EE6">
      <w:pPr>
        <w:spacing w:after="0" w:line="240" w:lineRule="auto"/>
        <w:ind w:firstLine="567"/>
        <w:jc w:val="both"/>
        <w:rPr>
          <w:rFonts w:ascii="Times New Roman" w:hAnsi="Times New Roman" w:cs="Times New Roman"/>
          <w:sz w:val="24"/>
          <w:szCs w:val="24"/>
        </w:rPr>
      </w:pPr>
      <w:r w:rsidRPr="00115EE6">
        <w:rPr>
          <w:rFonts w:ascii="Times New Roman" w:hAnsi="Times New Roman" w:cs="Times New Roman"/>
          <w:sz w:val="24"/>
          <w:szCs w:val="24"/>
        </w:rPr>
        <w:t>- Болезни крови и кроветворных органов и отдельные нарушения, вовлекающие иммунный механизм из них злокачественные новообразования на 85,7%;</w:t>
      </w:r>
    </w:p>
    <w:p w:rsidR="008F3AF5" w:rsidRPr="00115EE6" w:rsidRDefault="008F3AF5" w:rsidP="00115EE6">
      <w:pPr>
        <w:spacing w:after="0" w:line="240" w:lineRule="auto"/>
        <w:ind w:firstLine="567"/>
        <w:jc w:val="both"/>
        <w:rPr>
          <w:rFonts w:ascii="Times New Roman" w:hAnsi="Times New Roman" w:cs="Times New Roman"/>
          <w:sz w:val="24"/>
          <w:szCs w:val="24"/>
        </w:rPr>
      </w:pPr>
      <w:r w:rsidRPr="00115EE6">
        <w:rPr>
          <w:rFonts w:ascii="Times New Roman" w:hAnsi="Times New Roman" w:cs="Times New Roman"/>
          <w:sz w:val="24"/>
          <w:szCs w:val="24"/>
        </w:rPr>
        <w:t>- Психические расстройства и расстройства поведения на 20 %</w:t>
      </w:r>
    </w:p>
    <w:p w:rsidR="008F3AF5" w:rsidRPr="00115EE6" w:rsidRDefault="008F3AF5" w:rsidP="00115EE6">
      <w:pPr>
        <w:spacing w:after="0" w:line="240" w:lineRule="auto"/>
        <w:ind w:firstLine="567"/>
        <w:jc w:val="both"/>
        <w:rPr>
          <w:rFonts w:ascii="Times New Roman" w:hAnsi="Times New Roman" w:cs="Times New Roman"/>
          <w:sz w:val="24"/>
          <w:szCs w:val="24"/>
        </w:rPr>
      </w:pPr>
      <w:r w:rsidRPr="00115EE6">
        <w:rPr>
          <w:rFonts w:ascii="Times New Roman" w:hAnsi="Times New Roman" w:cs="Times New Roman"/>
          <w:sz w:val="24"/>
          <w:szCs w:val="24"/>
        </w:rPr>
        <w:t>- Болезни нервной системы на 73%;</w:t>
      </w:r>
    </w:p>
    <w:p w:rsidR="008F3AF5" w:rsidRPr="00115EE6" w:rsidRDefault="008F3AF5" w:rsidP="00115EE6">
      <w:pPr>
        <w:spacing w:after="0" w:line="240" w:lineRule="auto"/>
        <w:ind w:firstLine="567"/>
        <w:jc w:val="both"/>
        <w:rPr>
          <w:rFonts w:ascii="Times New Roman" w:hAnsi="Times New Roman" w:cs="Times New Roman"/>
          <w:sz w:val="24"/>
          <w:szCs w:val="24"/>
        </w:rPr>
      </w:pPr>
      <w:r w:rsidRPr="00115EE6">
        <w:rPr>
          <w:rFonts w:ascii="Times New Roman" w:hAnsi="Times New Roman" w:cs="Times New Roman"/>
          <w:sz w:val="24"/>
          <w:szCs w:val="24"/>
        </w:rPr>
        <w:t>- Болезни уха и сосцевидного отростка на 65,2%;</w:t>
      </w:r>
    </w:p>
    <w:p w:rsidR="008F3AF5" w:rsidRPr="00115EE6" w:rsidRDefault="008F3AF5" w:rsidP="00115EE6">
      <w:pPr>
        <w:spacing w:after="0" w:line="240" w:lineRule="auto"/>
        <w:ind w:firstLine="567"/>
        <w:jc w:val="both"/>
        <w:rPr>
          <w:rFonts w:ascii="Times New Roman" w:hAnsi="Times New Roman" w:cs="Times New Roman"/>
          <w:sz w:val="24"/>
          <w:szCs w:val="24"/>
        </w:rPr>
      </w:pPr>
      <w:r w:rsidRPr="00115EE6">
        <w:rPr>
          <w:rFonts w:ascii="Times New Roman" w:hAnsi="Times New Roman" w:cs="Times New Roman"/>
          <w:sz w:val="24"/>
          <w:szCs w:val="24"/>
        </w:rPr>
        <w:t xml:space="preserve">- Болезни системы </w:t>
      </w:r>
      <w:proofErr w:type="gramStart"/>
      <w:r w:rsidRPr="00115EE6">
        <w:rPr>
          <w:rFonts w:ascii="Times New Roman" w:hAnsi="Times New Roman" w:cs="Times New Roman"/>
          <w:sz w:val="24"/>
          <w:szCs w:val="24"/>
        </w:rPr>
        <w:t>кровообращения  на</w:t>
      </w:r>
      <w:proofErr w:type="gramEnd"/>
      <w:r w:rsidRPr="00115EE6">
        <w:rPr>
          <w:rFonts w:ascii="Times New Roman" w:hAnsi="Times New Roman" w:cs="Times New Roman"/>
          <w:sz w:val="24"/>
          <w:szCs w:val="24"/>
        </w:rPr>
        <w:t xml:space="preserve"> 1,9%</w:t>
      </w:r>
    </w:p>
    <w:p w:rsidR="008F3AF5" w:rsidRPr="00115EE6" w:rsidRDefault="008F3AF5" w:rsidP="00115EE6">
      <w:pPr>
        <w:spacing w:after="0" w:line="240" w:lineRule="auto"/>
        <w:ind w:firstLine="567"/>
        <w:jc w:val="both"/>
        <w:rPr>
          <w:rFonts w:ascii="Times New Roman" w:hAnsi="Times New Roman" w:cs="Times New Roman"/>
          <w:sz w:val="24"/>
          <w:szCs w:val="24"/>
        </w:rPr>
      </w:pPr>
      <w:r w:rsidRPr="00115EE6">
        <w:rPr>
          <w:rFonts w:ascii="Times New Roman" w:hAnsi="Times New Roman" w:cs="Times New Roman"/>
          <w:sz w:val="24"/>
          <w:szCs w:val="24"/>
        </w:rPr>
        <w:t xml:space="preserve"> - Болезни органов пищеварения на   25,3%, в 2019г регистрировалось </w:t>
      </w:r>
      <w:proofErr w:type="gramStart"/>
      <w:r w:rsidRPr="00115EE6">
        <w:rPr>
          <w:rFonts w:ascii="Times New Roman" w:hAnsi="Times New Roman" w:cs="Times New Roman"/>
          <w:sz w:val="24"/>
          <w:szCs w:val="24"/>
        </w:rPr>
        <w:t>снижение  на</w:t>
      </w:r>
      <w:proofErr w:type="gramEnd"/>
      <w:r w:rsidRPr="00115EE6">
        <w:rPr>
          <w:rFonts w:ascii="Times New Roman" w:hAnsi="Times New Roman" w:cs="Times New Roman"/>
          <w:sz w:val="24"/>
          <w:szCs w:val="24"/>
        </w:rPr>
        <w:t xml:space="preserve">   22,8%  по сравнению с 2018г;</w:t>
      </w:r>
    </w:p>
    <w:p w:rsidR="008F3AF5" w:rsidRPr="00115EE6" w:rsidRDefault="008F3AF5" w:rsidP="00115EE6">
      <w:pPr>
        <w:spacing w:after="0" w:line="240" w:lineRule="auto"/>
        <w:ind w:firstLine="567"/>
        <w:jc w:val="both"/>
        <w:rPr>
          <w:rFonts w:ascii="Times New Roman" w:hAnsi="Times New Roman" w:cs="Times New Roman"/>
          <w:sz w:val="24"/>
          <w:szCs w:val="24"/>
        </w:rPr>
      </w:pPr>
      <w:r w:rsidRPr="00115EE6">
        <w:rPr>
          <w:rFonts w:ascii="Times New Roman" w:hAnsi="Times New Roman" w:cs="Times New Roman"/>
          <w:sz w:val="24"/>
          <w:szCs w:val="24"/>
        </w:rPr>
        <w:t xml:space="preserve">- Болезни кожи и подкожной клетчатки на 23,3% </w:t>
      </w:r>
      <w:proofErr w:type="gramStart"/>
      <w:r w:rsidRPr="00115EE6">
        <w:rPr>
          <w:rFonts w:ascii="Times New Roman" w:hAnsi="Times New Roman" w:cs="Times New Roman"/>
          <w:sz w:val="24"/>
          <w:szCs w:val="24"/>
        </w:rPr>
        <w:t>( в</w:t>
      </w:r>
      <w:proofErr w:type="gramEnd"/>
      <w:r w:rsidRPr="00115EE6">
        <w:rPr>
          <w:rFonts w:ascii="Times New Roman" w:hAnsi="Times New Roman" w:cs="Times New Roman"/>
          <w:sz w:val="24"/>
          <w:szCs w:val="24"/>
        </w:rPr>
        <w:t xml:space="preserve"> 2019г регистрировалось снижение на     40,6%  по сравнению с 2018г.;</w:t>
      </w:r>
    </w:p>
    <w:p w:rsidR="008F3AF5" w:rsidRPr="00115EE6" w:rsidRDefault="008F3AF5" w:rsidP="00115EE6">
      <w:pPr>
        <w:spacing w:after="0" w:line="240" w:lineRule="auto"/>
        <w:ind w:firstLine="567"/>
        <w:jc w:val="both"/>
        <w:rPr>
          <w:rFonts w:ascii="Times New Roman" w:hAnsi="Times New Roman" w:cs="Times New Roman"/>
          <w:sz w:val="24"/>
          <w:szCs w:val="24"/>
        </w:rPr>
      </w:pPr>
      <w:r w:rsidRPr="00115EE6">
        <w:rPr>
          <w:rFonts w:ascii="Times New Roman" w:hAnsi="Times New Roman" w:cs="Times New Roman"/>
          <w:sz w:val="24"/>
          <w:szCs w:val="24"/>
        </w:rPr>
        <w:t>- Болезни костно-мышечной системы на 24,8</w:t>
      </w:r>
      <w:proofErr w:type="gramStart"/>
      <w:r w:rsidRPr="00115EE6">
        <w:rPr>
          <w:rFonts w:ascii="Times New Roman" w:hAnsi="Times New Roman" w:cs="Times New Roman"/>
          <w:sz w:val="24"/>
          <w:szCs w:val="24"/>
        </w:rPr>
        <w:t>% ,</w:t>
      </w:r>
      <w:proofErr w:type="gramEnd"/>
      <w:r w:rsidRPr="00115EE6">
        <w:rPr>
          <w:rFonts w:ascii="Times New Roman" w:hAnsi="Times New Roman" w:cs="Times New Roman"/>
          <w:sz w:val="24"/>
          <w:szCs w:val="24"/>
        </w:rPr>
        <w:t xml:space="preserve"> в 2019г  регистрировалось снижение на        11,5%  по сравнению с 2018г.;</w:t>
      </w:r>
    </w:p>
    <w:p w:rsidR="008F3AF5" w:rsidRPr="00115EE6" w:rsidRDefault="008F3AF5" w:rsidP="00115EE6">
      <w:pPr>
        <w:spacing w:after="0" w:line="240" w:lineRule="auto"/>
        <w:ind w:firstLine="567"/>
        <w:jc w:val="both"/>
        <w:rPr>
          <w:rFonts w:ascii="Times New Roman" w:hAnsi="Times New Roman" w:cs="Times New Roman"/>
          <w:sz w:val="24"/>
          <w:szCs w:val="24"/>
        </w:rPr>
      </w:pPr>
      <w:r w:rsidRPr="00115EE6">
        <w:rPr>
          <w:rFonts w:ascii="Times New Roman" w:hAnsi="Times New Roman" w:cs="Times New Roman"/>
          <w:sz w:val="24"/>
          <w:szCs w:val="24"/>
        </w:rPr>
        <w:lastRenderedPageBreak/>
        <w:t xml:space="preserve">-Болезни мочеполовой системы </w:t>
      </w:r>
      <w:proofErr w:type="gramStart"/>
      <w:r w:rsidRPr="00115EE6">
        <w:rPr>
          <w:rFonts w:ascii="Times New Roman" w:hAnsi="Times New Roman" w:cs="Times New Roman"/>
          <w:sz w:val="24"/>
          <w:szCs w:val="24"/>
        </w:rPr>
        <w:t>на  23</w:t>
      </w:r>
      <w:proofErr w:type="gramEnd"/>
      <w:r w:rsidRPr="00115EE6">
        <w:rPr>
          <w:rFonts w:ascii="Times New Roman" w:hAnsi="Times New Roman" w:cs="Times New Roman"/>
          <w:sz w:val="24"/>
          <w:szCs w:val="24"/>
        </w:rPr>
        <w:t>,6%, в 2019г  регистрировалось снижение на           24,6%  по сравнению с 2018г.;</w:t>
      </w:r>
    </w:p>
    <w:p w:rsidR="008F3AF5" w:rsidRPr="00115EE6" w:rsidRDefault="008F3AF5" w:rsidP="00115EE6">
      <w:pPr>
        <w:spacing w:after="0" w:line="240" w:lineRule="auto"/>
        <w:ind w:firstLine="567"/>
        <w:jc w:val="both"/>
        <w:rPr>
          <w:rFonts w:ascii="Times New Roman" w:hAnsi="Times New Roman" w:cs="Times New Roman"/>
          <w:sz w:val="24"/>
          <w:szCs w:val="24"/>
        </w:rPr>
      </w:pPr>
      <w:r w:rsidRPr="00115EE6">
        <w:rPr>
          <w:rFonts w:ascii="Times New Roman" w:hAnsi="Times New Roman" w:cs="Times New Roman"/>
        </w:rPr>
        <w:t xml:space="preserve">-Травмы, отравления </w:t>
      </w:r>
      <w:proofErr w:type="gramStart"/>
      <w:r w:rsidRPr="00115EE6">
        <w:rPr>
          <w:rFonts w:ascii="Times New Roman" w:hAnsi="Times New Roman" w:cs="Times New Roman"/>
        </w:rPr>
        <w:t>и  другие</w:t>
      </w:r>
      <w:proofErr w:type="gramEnd"/>
      <w:r w:rsidRPr="00115EE6">
        <w:rPr>
          <w:rFonts w:ascii="Times New Roman" w:hAnsi="Times New Roman" w:cs="Times New Roman"/>
        </w:rPr>
        <w:t xml:space="preserve">  внешние воздействия на 70,2%, в 2019г  регистрировалось снижение на    42,9%  по сравнению с 2018г.  </w:t>
      </w:r>
    </w:p>
    <w:p w:rsidR="008F3AF5" w:rsidRPr="00115EE6" w:rsidRDefault="008F3AF5" w:rsidP="00115EE6">
      <w:pPr>
        <w:spacing w:after="0" w:line="240" w:lineRule="auto"/>
        <w:ind w:firstLine="567"/>
        <w:jc w:val="both"/>
        <w:rPr>
          <w:rFonts w:ascii="Times New Roman" w:hAnsi="Times New Roman" w:cs="Times New Roman"/>
          <w:sz w:val="24"/>
          <w:szCs w:val="24"/>
        </w:rPr>
      </w:pPr>
      <w:r w:rsidRPr="00115EE6">
        <w:rPr>
          <w:rFonts w:ascii="Times New Roman" w:hAnsi="Times New Roman" w:cs="Times New Roman"/>
          <w:sz w:val="24"/>
          <w:szCs w:val="24"/>
        </w:rPr>
        <w:t xml:space="preserve">Лидирующие места в </w:t>
      </w:r>
      <w:proofErr w:type="gramStart"/>
      <w:r w:rsidRPr="00115EE6">
        <w:rPr>
          <w:rFonts w:ascii="Times New Roman" w:hAnsi="Times New Roman" w:cs="Times New Roman"/>
          <w:sz w:val="24"/>
          <w:szCs w:val="24"/>
        </w:rPr>
        <w:t>структуре  заболеваемости</w:t>
      </w:r>
      <w:proofErr w:type="gramEnd"/>
      <w:r w:rsidRPr="00115EE6">
        <w:rPr>
          <w:rFonts w:ascii="Times New Roman" w:hAnsi="Times New Roman" w:cs="Times New Roman"/>
          <w:sz w:val="24"/>
          <w:szCs w:val="24"/>
        </w:rPr>
        <w:t xml:space="preserve"> с временной утратой трудоспособности по г. Пыть-Ях в 2020   по классам болезней распределились следующим образом:</w:t>
      </w:r>
    </w:p>
    <w:p w:rsidR="008F3AF5" w:rsidRPr="00115EE6" w:rsidRDefault="008F3AF5" w:rsidP="006A23B3">
      <w:pPr>
        <w:numPr>
          <w:ilvl w:val="0"/>
          <w:numId w:val="7"/>
        </w:numPr>
        <w:tabs>
          <w:tab w:val="clear" w:pos="1080"/>
          <w:tab w:val="num" w:pos="0"/>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1 место -  Болезни органов дыхания- 43%, в том числе пневмонии 1,4%;</w:t>
      </w:r>
    </w:p>
    <w:p w:rsidR="008F3AF5" w:rsidRPr="00115EE6" w:rsidRDefault="008F3AF5" w:rsidP="006A23B3">
      <w:pPr>
        <w:numPr>
          <w:ilvl w:val="0"/>
          <w:numId w:val="7"/>
        </w:numPr>
        <w:tabs>
          <w:tab w:val="clear" w:pos="1080"/>
          <w:tab w:val="num" w:pos="0"/>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2 место - Болезни костно-мышечной системы-20%;</w:t>
      </w:r>
    </w:p>
    <w:p w:rsidR="008F3AF5" w:rsidRPr="00115EE6" w:rsidRDefault="008F3AF5" w:rsidP="006A23B3">
      <w:pPr>
        <w:numPr>
          <w:ilvl w:val="0"/>
          <w:numId w:val="7"/>
        </w:numPr>
        <w:tabs>
          <w:tab w:val="clear" w:pos="1080"/>
          <w:tab w:val="num" w:pos="0"/>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3 место - Болезни системы кровообращения-6,1%</w:t>
      </w:r>
    </w:p>
    <w:p w:rsidR="008F3AF5" w:rsidRPr="00115EE6" w:rsidRDefault="008F3AF5" w:rsidP="006A23B3">
      <w:pPr>
        <w:numPr>
          <w:ilvl w:val="0"/>
          <w:numId w:val="7"/>
        </w:numPr>
        <w:tabs>
          <w:tab w:val="clear" w:pos="1080"/>
          <w:tab w:val="num" w:pos="0"/>
        </w:tabs>
        <w:spacing w:after="0" w:line="240" w:lineRule="auto"/>
        <w:ind w:left="0" w:firstLine="567"/>
        <w:jc w:val="both"/>
        <w:rPr>
          <w:rFonts w:ascii="Times New Roman" w:hAnsi="Times New Roman" w:cs="Times New Roman"/>
          <w:sz w:val="24"/>
          <w:szCs w:val="24"/>
        </w:rPr>
      </w:pPr>
      <w:r w:rsidRPr="00115EE6">
        <w:rPr>
          <w:rFonts w:ascii="Times New Roman" w:hAnsi="Times New Roman" w:cs="Times New Roman"/>
          <w:sz w:val="24"/>
          <w:szCs w:val="24"/>
        </w:rPr>
        <w:t>4 место -</w:t>
      </w:r>
      <w:r w:rsidRPr="00115EE6">
        <w:rPr>
          <w:rFonts w:ascii="Times New Roman" w:hAnsi="Times New Roman" w:cs="Times New Roman"/>
        </w:rPr>
        <w:t xml:space="preserve"> Травмы, отравления </w:t>
      </w:r>
      <w:proofErr w:type="gramStart"/>
      <w:r w:rsidRPr="00115EE6">
        <w:rPr>
          <w:rFonts w:ascii="Times New Roman" w:hAnsi="Times New Roman" w:cs="Times New Roman"/>
        </w:rPr>
        <w:t>и  другие</w:t>
      </w:r>
      <w:proofErr w:type="gramEnd"/>
      <w:r w:rsidRPr="00115EE6">
        <w:rPr>
          <w:rFonts w:ascii="Times New Roman" w:hAnsi="Times New Roman" w:cs="Times New Roman"/>
        </w:rPr>
        <w:t xml:space="preserve">  внешние воздействия- 5,5 %;</w:t>
      </w:r>
    </w:p>
    <w:p w:rsidR="008F3AF5" w:rsidRPr="00115EE6" w:rsidRDefault="008F3AF5" w:rsidP="006A23B3">
      <w:pPr>
        <w:numPr>
          <w:ilvl w:val="0"/>
          <w:numId w:val="7"/>
        </w:numPr>
        <w:tabs>
          <w:tab w:val="clear" w:pos="1080"/>
          <w:tab w:val="num" w:pos="0"/>
        </w:tabs>
        <w:spacing w:after="0" w:line="240" w:lineRule="auto"/>
        <w:ind w:left="0" w:firstLine="567"/>
        <w:jc w:val="both"/>
        <w:rPr>
          <w:rFonts w:ascii="Times New Roman" w:hAnsi="Times New Roman" w:cs="Times New Roman"/>
          <w:sz w:val="24"/>
          <w:szCs w:val="24"/>
        </w:rPr>
      </w:pPr>
      <w:proofErr w:type="gramStart"/>
      <w:r w:rsidRPr="00115EE6">
        <w:rPr>
          <w:rFonts w:ascii="Times New Roman" w:hAnsi="Times New Roman" w:cs="Times New Roman"/>
          <w:sz w:val="24"/>
          <w:szCs w:val="24"/>
        </w:rPr>
        <w:t>5  место</w:t>
      </w:r>
      <w:proofErr w:type="gramEnd"/>
      <w:r w:rsidRPr="00115EE6">
        <w:rPr>
          <w:rFonts w:ascii="Times New Roman" w:hAnsi="Times New Roman" w:cs="Times New Roman"/>
          <w:sz w:val="24"/>
          <w:szCs w:val="24"/>
        </w:rPr>
        <w:t>- Болезни  мочеполовой  системы -5,1%;</w:t>
      </w:r>
    </w:p>
    <w:p w:rsidR="008F3AF5" w:rsidRPr="00115EE6" w:rsidRDefault="008F3AF5" w:rsidP="006A23B3">
      <w:pPr>
        <w:numPr>
          <w:ilvl w:val="0"/>
          <w:numId w:val="7"/>
        </w:numPr>
        <w:tabs>
          <w:tab w:val="clear" w:pos="1080"/>
          <w:tab w:val="num" w:pos="0"/>
        </w:tabs>
        <w:spacing w:after="0" w:line="240" w:lineRule="auto"/>
        <w:ind w:left="0" w:firstLine="567"/>
        <w:jc w:val="both"/>
        <w:rPr>
          <w:rFonts w:ascii="Times New Roman" w:hAnsi="Times New Roman" w:cs="Times New Roman"/>
          <w:sz w:val="24"/>
          <w:szCs w:val="24"/>
        </w:rPr>
      </w:pPr>
      <w:proofErr w:type="gramStart"/>
      <w:r w:rsidRPr="00115EE6">
        <w:rPr>
          <w:rFonts w:ascii="Times New Roman" w:hAnsi="Times New Roman" w:cs="Times New Roman"/>
          <w:sz w:val="24"/>
          <w:szCs w:val="24"/>
        </w:rPr>
        <w:t>6  место</w:t>
      </w:r>
      <w:proofErr w:type="gramEnd"/>
      <w:r w:rsidRPr="00115EE6">
        <w:rPr>
          <w:rFonts w:ascii="Times New Roman" w:hAnsi="Times New Roman" w:cs="Times New Roman"/>
          <w:sz w:val="24"/>
          <w:szCs w:val="24"/>
        </w:rPr>
        <w:t>-  Болезни  органов  пищеварения- 4%;</w:t>
      </w:r>
    </w:p>
    <w:p w:rsidR="008F3AF5" w:rsidRPr="00115EE6" w:rsidRDefault="008F3AF5" w:rsidP="006A23B3">
      <w:pPr>
        <w:numPr>
          <w:ilvl w:val="0"/>
          <w:numId w:val="7"/>
        </w:numPr>
        <w:tabs>
          <w:tab w:val="clear" w:pos="1080"/>
          <w:tab w:val="num" w:pos="0"/>
        </w:tabs>
        <w:spacing w:after="0" w:line="240" w:lineRule="auto"/>
        <w:ind w:left="0" w:firstLine="567"/>
        <w:jc w:val="both"/>
        <w:rPr>
          <w:rFonts w:ascii="Times New Roman" w:hAnsi="Times New Roman" w:cs="Times New Roman"/>
          <w:sz w:val="24"/>
          <w:szCs w:val="24"/>
        </w:rPr>
      </w:pPr>
      <w:proofErr w:type="gramStart"/>
      <w:r w:rsidRPr="00115EE6">
        <w:rPr>
          <w:rFonts w:ascii="Times New Roman" w:hAnsi="Times New Roman" w:cs="Times New Roman"/>
        </w:rPr>
        <w:t>7  место</w:t>
      </w:r>
      <w:proofErr w:type="gramEnd"/>
      <w:r w:rsidRPr="00115EE6">
        <w:rPr>
          <w:rFonts w:ascii="Times New Roman" w:hAnsi="Times New Roman" w:cs="Times New Roman"/>
        </w:rPr>
        <w:t>-Некоторые инфекционные и паразитарные болезни2.8%</w:t>
      </w:r>
    </w:p>
    <w:p w:rsidR="008F3AF5" w:rsidRPr="00115EE6" w:rsidRDefault="008F3AF5" w:rsidP="006A23B3">
      <w:pPr>
        <w:numPr>
          <w:ilvl w:val="0"/>
          <w:numId w:val="7"/>
        </w:numPr>
        <w:tabs>
          <w:tab w:val="clear" w:pos="1080"/>
          <w:tab w:val="num" w:pos="0"/>
        </w:tabs>
        <w:spacing w:after="0" w:line="240" w:lineRule="auto"/>
        <w:ind w:left="0" w:firstLine="567"/>
        <w:jc w:val="both"/>
        <w:rPr>
          <w:rFonts w:ascii="Times New Roman" w:hAnsi="Times New Roman" w:cs="Times New Roman"/>
          <w:sz w:val="24"/>
          <w:szCs w:val="24"/>
        </w:rPr>
      </w:pPr>
      <w:proofErr w:type="gramStart"/>
      <w:r w:rsidRPr="00115EE6">
        <w:rPr>
          <w:rFonts w:ascii="Times New Roman" w:hAnsi="Times New Roman" w:cs="Times New Roman"/>
        </w:rPr>
        <w:t>8  место</w:t>
      </w:r>
      <w:proofErr w:type="gramEnd"/>
      <w:r w:rsidRPr="00115EE6">
        <w:rPr>
          <w:rFonts w:ascii="Times New Roman" w:hAnsi="Times New Roman" w:cs="Times New Roman"/>
        </w:rPr>
        <w:t>-   Новообразования- 2,4 % ;</w:t>
      </w:r>
    </w:p>
    <w:p w:rsidR="008F3AF5" w:rsidRPr="00115EE6" w:rsidRDefault="008F3AF5" w:rsidP="006A23B3">
      <w:pPr>
        <w:numPr>
          <w:ilvl w:val="0"/>
          <w:numId w:val="7"/>
        </w:numPr>
        <w:tabs>
          <w:tab w:val="clear" w:pos="1080"/>
          <w:tab w:val="num" w:pos="0"/>
        </w:tabs>
        <w:spacing w:after="0" w:line="240" w:lineRule="auto"/>
        <w:ind w:left="0" w:firstLine="567"/>
        <w:jc w:val="both"/>
        <w:rPr>
          <w:rFonts w:ascii="Times New Roman" w:hAnsi="Times New Roman" w:cs="Times New Roman"/>
          <w:sz w:val="24"/>
          <w:szCs w:val="24"/>
        </w:rPr>
      </w:pPr>
      <w:proofErr w:type="gramStart"/>
      <w:r w:rsidRPr="00115EE6">
        <w:rPr>
          <w:rFonts w:ascii="Times New Roman" w:hAnsi="Times New Roman" w:cs="Times New Roman"/>
        </w:rPr>
        <w:t>9  место</w:t>
      </w:r>
      <w:proofErr w:type="gramEnd"/>
      <w:r w:rsidRPr="00115EE6">
        <w:rPr>
          <w:rFonts w:ascii="Times New Roman" w:hAnsi="Times New Roman" w:cs="Times New Roman"/>
        </w:rPr>
        <w:t>-  Болезни  кожи и подкожнойклетчатки-1,8 %:</w:t>
      </w:r>
    </w:p>
    <w:p w:rsidR="008F3AF5" w:rsidRPr="00115EE6" w:rsidRDefault="008F3AF5" w:rsidP="006A23B3">
      <w:pPr>
        <w:numPr>
          <w:ilvl w:val="0"/>
          <w:numId w:val="7"/>
        </w:numPr>
        <w:tabs>
          <w:tab w:val="clear" w:pos="1080"/>
          <w:tab w:val="num" w:pos="0"/>
        </w:tabs>
        <w:spacing w:after="0" w:line="240" w:lineRule="auto"/>
        <w:ind w:left="0" w:firstLine="567"/>
        <w:jc w:val="both"/>
        <w:rPr>
          <w:rFonts w:ascii="Times New Roman" w:hAnsi="Times New Roman" w:cs="Times New Roman"/>
          <w:sz w:val="24"/>
          <w:szCs w:val="24"/>
        </w:rPr>
      </w:pPr>
      <w:proofErr w:type="gramStart"/>
      <w:r w:rsidRPr="00115EE6">
        <w:rPr>
          <w:rFonts w:ascii="Times New Roman" w:hAnsi="Times New Roman" w:cs="Times New Roman"/>
        </w:rPr>
        <w:t>10  место</w:t>
      </w:r>
      <w:proofErr w:type="gramEnd"/>
      <w:r w:rsidRPr="00115EE6">
        <w:rPr>
          <w:rFonts w:ascii="Times New Roman" w:hAnsi="Times New Roman" w:cs="Times New Roman"/>
        </w:rPr>
        <w:t xml:space="preserve">  - Болезни глаза и его придаточного аппарата- 0,6 %;</w:t>
      </w:r>
    </w:p>
    <w:p w:rsidR="008F3AF5" w:rsidRPr="00115EE6" w:rsidRDefault="008F3AF5" w:rsidP="006A23B3">
      <w:pPr>
        <w:numPr>
          <w:ilvl w:val="0"/>
          <w:numId w:val="7"/>
        </w:numPr>
        <w:tabs>
          <w:tab w:val="clear" w:pos="1080"/>
          <w:tab w:val="num" w:pos="0"/>
        </w:tabs>
        <w:spacing w:after="0" w:line="240" w:lineRule="auto"/>
        <w:ind w:left="0" w:firstLine="567"/>
        <w:jc w:val="both"/>
        <w:rPr>
          <w:rFonts w:ascii="Times New Roman" w:hAnsi="Times New Roman" w:cs="Times New Roman"/>
          <w:sz w:val="24"/>
          <w:szCs w:val="24"/>
        </w:rPr>
      </w:pPr>
      <w:proofErr w:type="gramStart"/>
      <w:r w:rsidRPr="00115EE6">
        <w:rPr>
          <w:rFonts w:ascii="Times New Roman" w:hAnsi="Times New Roman" w:cs="Times New Roman"/>
        </w:rPr>
        <w:t>11  место</w:t>
      </w:r>
      <w:proofErr w:type="gramEnd"/>
      <w:r w:rsidRPr="00115EE6">
        <w:rPr>
          <w:rFonts w:ascii="Times New Roman" w:hAnsi="Times New Roman" w:cs="Times New Roman"/>
        </w:rPr>
        <w:t>-Болезни эндокринной системы -0,5 %.</w:t>
      </w:r>
    </w:p>
    <w:p w:rsidR="008F3AF5" w:rsidRPr="00115EE6" w:rsidRDefault="008F3AF5" w:rsidP="00115EE6">
      <w:pPr>
        <w:spacing w:after="0" w:line="240" w:lineRule="auto"/>
        <w:ind w:firstLine="567"/>
        <w:jc w:val="both"/>
        <w:rPr>
          <w:rFonts w:ascii="Times New Roman" w:hAnsi="Times New Roman" w:cs="Times New Roman"/>
          <w:sz w:val="24"/>
          <w:szCs w:val="24"/>
        </w:rPr>
      </w:pPr>
      <w:bookmarkStart w:id="31" w:name="_Hlk63350935"/>
      <w:r w:rsidRPr="00115EE6">
        <w:rPr>
          <w:rFonts w:ascii="Times New Roman" w:hAnsi="Times New Roman" w:cs="Times New Roman"/>
          <w:sz w:val="24"/>
          <w:szCs w:val="24"/>
        </w:rPr>
        <w:t xml:space="preserve">Потреблением   населением для питьевых нужд, приготовления в пищу воды не соответствующей требованиям санитарных норм и правил является одним из факторов, высокого уровня заболеваемости </w:t>
      </w:r>
      <w:proofErr w:type="gramStart"/>
      <w:r w:rsidRPr="00115EE6">
        <w:rPr>
          <w:rFonts w:ascii="Times New Roman" w:hAnsi="Times New Roman" w:cs="Times New Roman"/>
          <w:sz w:val="24"/>
          <w:szCs w:val="24"/>
        </w:rPr>
        <w:t>по  классам</w:t>
      </w:r>
      <w:proofErr w:type="gramEnd"/>
      <w:r w:rsidRPr="00115EE6">
        <w:rPr>
          <w:rFonts w:ascii="Times New Roman" w:hAnsi="Times New Roman" w:cs="Times New Roman"/>
          <w:sz w:val="24"/>
          <w:szCs w:val="24"/>
        </w:rPr>
        <w:t>: болезни системы пищеварения, мочеполовой системы.</w:t>
      </w:r>
    </w:p>
    <w:bookmarkEnd w:id="31"/>
    <w:p w:rsidR="008F3AF5" w:rsidRPr="00115EE6" w:rsidRDefault="008F3AF5" w:rsidP="00115EE6">
      <w:pPr>
        <w:autoSpaceDE w:val="0"/>
        <w:autoSpaceDN w:val="0"/>
        <w:spacing w:after="0" w:line="240" w:lineRule="auto"/>
        <w:ind w:firstLine="567"/>
        <w:jc w:val="both"/>
        <w:rPr>
          <w:rFonts w:ascii="Times New Roman" w:hAnsi="Times New Roman" w:cs="Times New Roman"/>
          <w:sz w:val="24"/>
          <w:szCs w:val="24"/>
        </w:rPr>
      </w:pPr>
      <w:r w:rsidRPr="00115EE6">
        <w:rPr>
          <w:rFonts w:ascii="Times New Roman" w:hAnsi="Times New Roman" w:cs="Times New Roman"/>
          <w:sz w:val="24"/>
          <w:szCs w:val="24"/>
        </w:rPr>
        <w:t xml:space="preserve">Сложившаяся ситуация с состоянием и качеством питания населения области, с учетом влияния факторов внешней среды и наследственности - определяет рост алиментарно-зависимых заболеваний и болезней органов пищеварения (БОП) </w:t>
      </w:r>
      <w:proofErr w:type="gramStart"/>
      <w:r w:rsidRPr="00115EE6">
        <w:rPr>
          <w:rFonts w:ascii="Times New Roman" w:hAnsi="Times New Roman" w:cs="Times New Roman"/>
          <w:sz w:val="24"/>
          <w:szCs w:val="24"/>
        </w:rPr>
        <w:t>среди  населения</w:t>
      </w:r>
      <w:proofErr w:type="gramEnd"/>
      <w:r w:rsidRPr="00115EE6">
        <w:rPr>
          <w:rFonts w:ascii="Times New Roman" w:hAnsi="Times New Roman" w:cs="Times New Roman"/>
          <w:sz w:val="24"/>
          <w:szCs w:val="24"/>
        </w:rPr>
        <w:t xml:space="preserve"> города.</w:t>
      </w:r>
    </w:p>
    <w:p w:rsidR="008F3AF5" w:rsidRPr="00115EE6" w:rsidRDefault="008F3AF5" w:rsidP="00115EE6">
      <w:pPr>
        <w:pStyle w:val="a5"/>
        <w:ind w:firstLine="567"/>
        <w:jc w:val="both"/>
        <w:rPr>
          <w:b/>
          <w:sz w:val="24"/>
          <w:szCs w:val="24"/>
          <w:lang w:val="ru-RU"/>
        </w:rPr>
      </w:pPr>
      <w:r w:rsidRPr="00115EE6">
        <w:rPr>
          <w:b/>
          <w:sz w:val="24"/>
          <w:szCs w:val="24"/>
        </w:rPr>
        <w:t>В связи со снижением потребления населением полноценных животных белков, а следовательно и незаменимых аминокислот, избыточное потребление углеводов, в том числе сахара и другими погрешностями питания, отмечается неуклонный рост числа алиментарно-зависимых заболеваний и болезней органов пищеварения среди населения города.</w:t>
      </w:r>
      <w:r w:rsidRPr="00115EE6">
        <w:rPr>
          <w:b/>
          <w:sz w:val="24"/>
          <w:szCs w:val="24"/>
          <w:lang w:val="ru-RU"/>
        </w:rPr>
        <w:t xml:space="preserve"> </w:t>
      </w:r>
    </w:p>
    <w:p w:rsidR="008F3AF5" w:rsidRPr="00115EE6" w:rsidRDefault="008F3AF5" w:rsidP="00115EE6">
      <w:pPr>
        <w:spacing w:after="0" w:line="240" w:lineRule="auto"/>
        <w:ind w:firstLine="567"/>
        <w:jc w:val="both"/>
        <w:rPr>
          <w:rFonts w:ascii="Times New Roman" w:hAnsi="Times New Roman" w:cs="Times New Roman"/>
        </w:rPr>
      </w:pPr>
      <w:r w:rsidRPr="00115EE6">
        <w:rPr>
          <w:rFonts w:ascii="Times New Roman" w:hAnsi="Times New Roman" w:cs="Times New Roman"/>
          <w:sz w:val="24"/>
          <w:szCs w:val="24"/>
        </w:rPr>
        <w:t xml:space="preserve">Ведущее место в структуре заболеваемости болезнями, связанными с микронутриентной недостаточностью по прежнему занимает тиреоидит- 35,5% </w:t>
      </w:r>
      <w:proofErr w:type="gramStart"/>
      <w:r w:rsidRPr="00115EE6">
        <w:rPr>
          <w:rFonts w:ascii="Times New Roman" w:hAnsi="Times New Roman" w:cs="Times New Roman"/>
          <w:sz w:val="24"/>
          <w:szCs w:val="24"/>
        </w:rPr>
        <w:t>( в</w:t>
      </w:r>
      <w:proofErr w:type="gramEnd"/>
      <w:r w:rsidRPr="00115EE6">
        <w:rPr>
          <w:rFonts w:ascii="Times New Roman" w:hAnsi="Times New Roman" w:cs="Times New Roman"/>
          <w:sz w:val="24"/>
          <w:szCs w:val="24"/>
        </w:rPr>
        <w:t xml:space="preserve"> 2019г-34,4%), другие формы  нетоксического  зоба- 29,44% ( в 2019г -29,5%),эндемический зоб, связанный с  йодной недостаточностью-19,5% ( в 2019г-20,3%,)субклинический  гипотиреоз, в следствии  йодной недостаточности-9.8% (в 2019г-10,6%).</w:t>
      </w:r>
    </w:p>
    <w:p w:rsidR="008F3AF5" w:rsidRPr="00115EE6" w:rsidRDefault="008F3AF5" w:rsidP="00115EE6">
      <w:pPr>
        <w:pStyle w:val="a5"/>
        <w:ind w:firstLine="567"/>
        <w:jc w:val="both"/>
        <w:rPr>
          <w:b/>
          <w:sz w:val="24"/>
          <w:szCs w:val="24"/>
          <w:lang w:val="ru-RU"/>
        </w:rPr>
      </w:pPr>
      <w:r w:rsidRPr="00115EE6">
        <w:rPr>
          <w:b/>
          <w:sz w:val="24"/>
          <w:szCs w:val="24"/>
          <w:lang w:val="ru-RU"/>
        </w:rPr>
        <w:t xml:space="preserve"> В 2020 году </w:t>
      </w:r>
      <w:r w:rsidRPr="00115EE6">
        <w:rPr>
          <w:b/>
          <w:sz w:val="24"/>
          <w:szCs w:val="24"/>
        </w:rPr>
        <w:t xml:space="preserve">зарегистрировано заболеваний, связанных с микронутриентной недостаточностью </w:t>
      </w:r>
      <w:proofErr w:type="gramStart"/>
      <w:r w:rsidRPr="00115EE6">
        <w:rPr>
          <w:b/>
          <w:sz w:val="24"/>
          <w:szCs w:val="24"/>
        </w:rPr>
        <w:t>1318</w:t>
      </w:r>
      <w:r w:rsidRPr="00115EE6">
        <w:rPr>
          <w:b/>
          <w:sz w:val="24"/>
          <w:szCs w:val="24"/>
          <w:lang w:val="ru-RU"/>
        </w:rPr>
        <w:t xml:space="preserve"> </w:t>
      </w:r>
      <w:r w:rsidRPr="00115EE6">
        <w:rPr>
          <w:b/>
          <w:sz w:val="24"/>
          <w:szCs w:val="24"/>
        </w:rPr>
        <w:t>,</w:t>
      </w:r>
      <w:proofErr w:type="gramEnd"/>
      <w:r w:rsidRPr="00115EE6">
        <w:rPr>
          <w:b/>
          <w:sz w:val="24"/>
          <w:szCs w:val="24"/>
          <w:lang w:val="ru-RU"/>
        </w:rPr>
        <w:t xml:space="preserve"> показатель заболеваемости  на 1000 населения составил</w:t>
      </w:r>
      <w:r w:rsidRPr="00115EE6">
        <w:rPr>
          <w:b/>
          <w:sz w:val="24"/>
          <w:szCs w:val="24"/>
        </w:rPr>
        <w:t xml:space="preserve"> 33,08</w:t>
      </w:r>
      <w:r w:rsidRPr="00115EE6">
        <w:rPr>
          <w:b/>
          <w:sz w:val="24"/>
          <w:szCs w:val="24"/>
          <w:lang w:val="ru-RU"/>
        </w:rPr>
        <w:t>,что на 10,5%% меньше уровня  заболеваемости болезнями  данной группы   в 2019 году.</w:t>
      </w:r>
    </w:p>
    <w:p w:rsidR="008F3AF5" w:rsidRPr="00115EE6" w:rsidRDefault="008F3AF5" w:rsidP="00115EE6">
      <w:pPr>
        <w:tabs>
          <w:tab w:val="left" w:pos="8364"/>
        </w:tabs>
        <w:autoSpaceDE w:val="0"/>
        <w:autoSpaceDN w:val="0"/>
        <w:ind w:right="-58" w:firstLine="567"/>
        <w:jc w:val="both"/>
        <w:rPr>
          <w:rFonts w:ascii="Times New Roman" w:hAnsi="Times New Roman" w:cs="Times New Roman"/>
          <w:sz w:val="24"/>
          <w:szCs w:val="24"/>
        </w:rPr>
      </w:pPr>
      <w:r w:rsidRPr="00115EE6">
        <w:rPr>
          <w:rFonts w:ascii="Times New Roman" w:hAnsi="Times New Roman" w:cs="Times New Roman"/>
          <w:sz w:val="24"/>
          <w:szCs w:val="24"/>
        </w:rPr>
        <w:t>На протяжении всего наблюдаемого периода ведущее место у взрослых принадлежит сахарному диабету, показатель заболеваемости которым   имеет тенденцию к прогрессированию.</w:t>
      </w:r>
    </w:p>
    <w:p w:rsidR="00630798" w:rsidRPr="00115EE6" w:rsidRDefault="00630798" w:rsidP="00115EE6">
      <w:pPr>
        <w:spacing w:after="0" w:line="240" w:lineRule="auto"/>
        <w:rPr>
          <w:rFonts w:ascii="Times New Roman" w:hAnsi="Times New Roman" w:cs="Times New Roman"/>
          <w:b/>
          <w:sz w:val="24"/>
          <w:szCs w:val="24"/>
        </w:rPr>
      </w:pPr>
      <w:r w:rsidRPr="00115EE6">
        <w:rPr>
          <w:rFonts w:ascii="Times New Roman" w:hAnsi="Times New Roman" w:cs="Times New Roman"/>
          <w:b/>
          <w:sz w:val="24"/>
          <w:szCs w:val="24"/>
        </w:rPr>
        <w:t>1.2.2 Результаты токсикологического мониторинга</w:t>
      </w:r>
    </w:p>
    <w:p w:rsidR="00630798" w:rsidRPr="00115EE6" w:rsidRDefault="00630798" w:rsidP="00115EE6">
      <w:pPr>
        <w:spacing w:after="0" w:line="240" w:lineRule="auto"/>
        <w:ind w:firstLine="708"/>
        <w:jc w:val="both"/>
        <w:rPr>
          <w:rFonts w:ascii="Times New Roman" w:hAnsi="Times New Roman" w:cs="Times New Roman"/>
          <w:sz w:val="24"/>
          <w:szCs w:val="24"/>
        </w:rPr>
      </w:pPr>
      <w:r w:rsidRPr="00115EE6">
        <w:rPr>
          <w:rFonts w:ascii="Times New Roman" w:hAnsi="Times New Roman" w:cs="Times New Roman"/>
          <w:sz w:val="24"/>
          <w:szCs w:val="24"/>
        </w:rPr>
        <w:t xml:space="preserve">В 2020 году среди населения г. Пыть-Ях количество </w:t>
      </w:r>
      <w:proofErr w:type="gramStart"/>
      <w:r w:rsidRPr="00115EE6">
        <w:rPr>
          <w:rFonts w:ascii="Times New Roman" w:hAnsi="Times New Roman" w:cs="Times New Roman"/>
          <w:sz w:val="24"/>
          <w:szCs w:val="24"/>
        </w:rPr>
        <w:t>случаев  острых</w:t>
      </w:r>
      <w:proofErr w:type="gramEnd"/>
      <w:r w:rsidRPr="00115EE6">
        <w:rPr>
          <w:rFonts w:ascii="Times New Roman" w:hAnsi="Times New Roman" w:cs="Times New Roman"/>
          <w:sz w:val="24"/>
          <w:szCs w:val="24"/>
        </w:rPr>
        <w:t xml:space="preserve">  отравлений химической этиологии увеличилось в сравнении  с 2019 годом на 16,0 %. По данным СГМ в 2020 г. среди населения г. Пыть-</w:t>
      </w:r>
      <w:proofErr w:type="gramStart"/>
      <w:r w:rsidRPr="00115EE6">
        <w:rPr>
          <w:rFonts w:ascii="Times New Roman" w:hAnsi="Times New Roman" w:cs="Times New Roman"/>
          <w:sz w:val="24"/>
          <w:szCs w:val="24"/>
        </w:rPr>
        <w:t>Яха  зарегистрировано</w:t>
      </w:r>
      <w:proofErr w:type="gramEnd"/>
      <w:r w:rsidRPr="00115EE6">
        <w:rPr>
          <w:rFonts w:ascii="Times New Roman" w:hAnsi="Times New Roman" w:cs="Times New Roman"/>
          <w:sz w:val="24"/>
          <w:szCs w:val="24"/>
        </w:rPr>
        <w:t xml:space="preserve"> 28 случаев острых отравлений химической этиологии, показатель на 100 тыс. населения – 70,3,  в 2019 г. - 25 случаев, показатель на 100 тыс. населения - 60,6.</w:t>
      </w:r>
    </w:p>
    <w:p w:rsidR="00630798" w:rsidRPr="00115EE6" w:rsidRDefault="00630798" w:rsidP="00115EE6">
      <w:pPr>
        <w:spacing w:after="0" w:line="240" w:lineRule="auto"/>
        <w:ind w:firstLine="708"/>
        <w:jc w:val="both"/>
        <w:rPr>
          <w:rFonts w:ascii="Times New Roman" w:hAnsi="Times New Roman" w:cs="Times New Roman"/>
          <w:sz w:val="24"/>
          <w:szCs w:val="24"/>
        </w:rPr>
      </w:pPr>
      <w:r w:rsidRPr="00115EE6">
        <w:rPr>
          <w:rFonts w:ascii="Times New Roman" w:hAnsi="Times New Roman" w:cs="Times New Roman"/>
          <w:sz w:val="24"/>
          <w:szCs w:val="24"/>
        </w:rPr>
        <w:t xml:space="preserve">В 2018г. зарегистрированы случаи </w:t>
      </w:r>
      <w:proofErr w:type="gramStart"/>
      <w:r w:rsidRPr="00115EE6">
        <w:rPr>
          <w:rFonts w:ascii="Times New Roman" w:hAnsi="Times New Roman" w:cs="Times New Roman"/>
          <w:sz w:val="24"/>
          <w:szCs w:val="24"/>
        </w:rPr>
        <w:t>отравления  среди</w:t>
      </w:r>
      <w:proofErr w:type="gramEnd"/>
      <w:r w:rsidRPr="00115EE6">
        <w:rPr>
          <w:rFonts w:ascii="Times New Roman" w:hAnsi="Times New Roman" w:cs="Times New Roman"/>
          <w:sz w:val="24"/>
          <w:szCs w:val="24"/>
        </w:rPr>
        <w:t xml:space="preserve">  возрастных групп - взрослое и детское население. Отравления среди подростков не регистрировались.</w:t>
      </w:r>
    </w:p>
    <w:p w:rsidR="00630798" w:rsidRPr="00115EE6" w:rsidRDefault="00630798" w:rsidP="00115EE6">
      <w:pPr>
        <w:spacing w:after="0" w:line="240" w:lineRule="auto"/>
        <w:ind w:firstLine="567"/>
        <w:jc w:val="both"/>
        <w:rPr>
          <w:rFonts w:ascii="Times New Roman" w:hAnsi="Times New Roman" w:cs="Times New Roman"/>
          <w:sz w:val="24"/>
          <w:szCs w:val="24"/>
        </w:rPr>
      </w:pPr>
      <w:r w:rsidRPr="00115EE6">
        <w:rPr>
          <w:rFonts w:ascii="Times New Roman" w:hAnsi="Times New Roman" w:cs="Times New Roman"/>
          <w:sz w:val="24"/>
          <w:szCs w:val="24"/>
        </w:rPr>
        <w:t xml:space="preserve">  Возросло количество случаев </w:t>
      </w:r>
      <w:proofErr w:type="gramStart"/>
      <w:r w:rsidRPr="00115EE6">
        <w:rPr>
          <w:rFonts w:ascii="Times New Roman" w:hAnsi="Times New Roman" w:cs="Times New Roman"/>
          <w:sz w:val="24"/>
          <w:szCs w:val="24"/>
        </w:rPr>
        <w:t>отравления  спиртосодержащей</w:t>
      </w:r>
      <w:proofErr w:type="gramEnd"/>
      <w:r w:rsidRPr="00115EE6">
        <w:rPr>
          <w:rFonts w:ascii="Times New Roman" w:hAnsi="Times New Roman" w:cs="Times New Roman"/>
          <w:sz w:val="24"/>
          <w:szCs w:val="24"/>
        </w:rPr>
        <w:t xml:space="preserve"> продукцией на 20,6 %  с показателя 29,1 на 100 тысяч населения (12 случаев) до показателя  35,1 на 100 тысяч населения (14 случаев).  Снизилось количество случаев отравлений лекарственными </w:t>
      </w:r>
      <w:r w:rsidRPr="00115EE6">
        <w:rPr>
          <w:rFonts w:ascii="Times New Roman" w:hAnsi="Times New Roman" w:cs="Times New Roman"/>
          <w:sz w:val="24"/>
          <w:szCs w:val="24"/>
        </w:rPr>
        <w:lastRenderedPageBreak/>
        <w:t xml:space="preserve">препаратами на 27,6 </w:t>
      </w:r>
      <w:proofErr w:type="gramStart"/>
      <w:r w:rsidRPr="00115EE6">
        <w:rPr>
          <w:rFonts w:ascii="Times New Roman" w:hAnsi="Times New Roman" w:cs="Times New Roman"/>
          <w:sz w:val="24"/>
          <w:szCs w:val="24"/>
        </w:rPr>
        <w:t>%  с</w:t>
      </w:r>
      <w:proofErr w:type="gramEnd"/>
      <w:r w:rsidRPr="00115EE6">
        <w:rPr>
          <w:rFonts w:ascii="Times New Roman" w:hAnsi="Times New Roman" w:cs="Times New Roman"/>
          <w:sz w:val="24"/>
          <w:szCs w:val="24"/>
        </w:rPr>
        <w:t xml:space="preserve"> показателя 24,3 на 100 тысяч населения (10 случаев) до показателя  17,6 на 100 тысяч населения (7 случаев). </w:t>
      </w:r>
    </w:p>
    <w:p w:rsidR="00630798" w:rsidRPr="00115EE6" w:rsidRDefault="00630798" w:rsidP="00115EE6">
      <w:pPr>
        <w:spacing w:after="0" w:line="240" w:lineRule="auto"/>
        <w:ind w:firstLine="708"/>
        <w:jc w:val="both"/>
        <w:rPr>
          <w:rFonts w:ascii="Times New Roman" w:hAnsi="Times New Roman" w:cs="Times New Roman"/>
          <w:sz w:val="24"/>
          <w:szCs w:val="24"/>
        </w:rPr>
      </w:pPr>
      <w:r w:rsidRPr="00115EE6">
        <w:rPr>
          <w:rFonts w:ascii="Times New Roman" w:hAnsi="Times New Roman" w:cs="Times New Roman"/>
          <w:sz w:val="24"/>
          <w:szCs w:val="24"/>
        </w:rPr>
        <w:t xml:space="preserve">Показатель летальности в 2020 году по сравнению с 2019 годом вырос </w:t>
      </w:r>
      <w:proofErr w:type="gramStart"/>
      <w:r w:rsidRPr="00115EE6">
        <w:rPr>
          <w:rFonts w:ascii="Times New Roman" w:hAnsi="Times New Roman" w:cs="Times New Roman"/>
          <w:sz w:val="24"/>
          <w:szCs w:val="24"/>
        </w:rPr>
        <w:t>на  107</w:t>
      </w:r>
      <w:proofErr w:type="gramEnd"/>
      <w:r w:rsidRPr="00115EE6">
        <w:rPr>
          <w:rFonts w:ascii="Times New Roman" w:hAnsi="Times New Roman" w:cs="Times New Roman"/>
          <w:sz w:val="24"/>
          <w:szCs w:val="24"/>
        </w:rPr>
        <w:t>,7 % или в 2,1 раза с показателя 2019 году- 16,9  на 100 тыс. населения (7 случаев), до показателя  в 2020 году – 35,1 на 100 тыс. населения (14 случаев).</w:t>
      </w:r>
    </w:p>
    <w:p w:rsidR="00630798" w:rsidRPr="00115EE6" w:rsidRDefault="00630798" w:rsidP="00115EE6">
      <w:pPr>
        <w:spacing w:after="0" w:line="240" w:lineRule="auto"/>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903"/>
        <w:gridCol w:w="896"/>
        <w:gridCol w:w="896"/>
        <w:gridCol w:w="896"/>
        <w:gridCol w:w="957"/>
        <w:gridCol w:w="933"/>
        <w:gridCol w:w="904"/>
        <w:gridCol w:w="897"/>
      </w:tblGrid>
      <w:tr w:rsidR="00630798" w:rsidRPr="00115EE6" w:rsidTr="00630798">
        <w:tc>
          <w:tcPr>
            <w:tcW w:w="2072" w:type="dxa"/>
            <w:vMerge w:val="restart"/>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Острые бытовые отравления химическо этологии</w:t>
            </w:r>
          </w:p>
        </w:tc>
        <w:tc>
          <w:tcPr>
            <w:tcW w:w="1854" w:type="dxa"/>
            <w:gridSpan w:val="2"/>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Все население/ из них с летальным исходом</w:t>
            </w:r>
          </w:p>
        </w:tc>
        <w:tc>
          <w:tcPr>
            <w:tcW w:w="1854" w:type="dxa"/>
            <w:gridSpan w:val="2"/>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Детское население/ из них с летальным исходом</w:t>
            </w:r>
          </w:p>
        </w:tc>
        <w:tc>
          <w:tcPr>
            <w:tcW w:w="1935" w:type="dxa"/>
            <w:gridSpan w:val="2"/>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Подростковое население /из них с летальным исходом</w:t>
            </w:r>
          </w:p>
        </w:tc>
        <w:tc>
          <w:tcPr>
            <w:tcW w:w="1856" w:type="dxa"/>
            <w:gridSpan w:val="2"/>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Взрослое население/ из них с летальным исходом</w:t>
            </w:r>
          </w:p>
        </w:tc>
      </w:tr>
      <w:tr w:rsidR="00630798" w:rsidRPr="00115EE6" w:rsidTr="00630798">
        <w:tc>
          <w:tcPr>
            <w:tcW w:w="2072" w:type="dxa"/>
            <w:vMerge/>
          </w:tcPr>
          <w:p w:rsidR="00630798" w:rsidRPr="00115EE6" w:rsidRDefault="00630798" w:rsidP="00115EE6">
            <w:pPr>
              <w:spacing w:after="0" w:line="240" w:lineRule="auto"/>
              <w:rPr>
                <w:rFonts w:ascii="Times New Roman" w:hAnsi="Times New Roman" w:cs="Times New Roman"/>
              </w:rPr>
            </w:pP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2020</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 xml:space="preserve">2019  </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2020</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 xml:space="preserve">2019  </w:t>
            </w:r>
          </w:p>
        </w:tc>
        <w:tc>
          <w:tcPr>
            <w:tcW w:w="97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2020</w:t>
            </w:r>
          </w:p>
        </w:tc>
        <w:tc>
          <w:tcPr>
            <w:tcW w:w="958"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 xml:space="preserve">2019  </w:t>
            </w:r>
          </w:p>
        </w:tc>
        <w:tc>
          <w:tcPr>
            <w:tcW w:w="928"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2020</w:t>
            </w:r>
          </w:p>
        </w:tc>
        <w:tc>
          <w:tcPr>
            <w:tcW w:w="928"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 xml:space="preserve">2019  </w:t>
            </w:r>
          </w:p>
        </w:tc>
      </w:tr>
      <w:tr w:rsidR="00630798" w:rsidRPr="00115EE6" w:rsidTr="00630798">
        <w:tc>
          <w:tcPr>
            <w:tcW w:w="2072"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В т. ч. отравления спиртсодержащей продукцией</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14/11</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12/6</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2/0</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2/0</w:t>
            </w:r>
          </w:p>
        </w:tc>
        <w:tc>
          <w:tcPr>
            <w:tcW w:w="97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c>
          <w:tcPr>
            <w:tcW w:w="958"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c>
          <w:tcPr>
            <w:tcW w:w="928"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12/11</w:t>
            </w:r>
          </w:p>
        </w:tc>
        <w:tc>
          <w:tcPr>
            <w:tcW w:w="928"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10/6</w:t>
            </w:r>
          </w:p>
        </w:tc>
      </w:tr>
      <w:tr w:rsidR="00630798" w:rsidRPr="00115EE6" w:rsidTr="00630798">
        <w:tc>
          <w:tcPr>
            <w:tcW w:w="2072"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Наркотическими веществами</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2/1</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c>
          <w:tcPr>
            <w:tcW w:w="97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c>
          <w:tcPr>
            <w:tcW w:w="958"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c>
          <w:tcPr>
            <w:tcW w:w="928"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2/1</w:t>
            </w:r>
          </w:p>
        </w:tc>
        <w:tc>
          <w:tcPr>
            <w:tcW w:w="928"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r>
      <w:tr w:rsidR="00630798" w:rsidRPr="00115EE6" w:rsidTr="00630798">
        <w:tc>
          <w:tcPr>
            <w:tcW w:w="2072"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Лекарственными препаратами</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7/0</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10/0</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4/0</w:t>
            </w:r>
          </w:p>
        </w:tc>
        <w:tc>
          <w:tcPr>
            <w:tcW w:w="97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c>
          <w:tcPr>
            <w:tcW w:w="958"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c>
          <w:tcPr>
            <w:tcW w:w="928"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7/0</w:t>
            </w:r>
          </w:p>
        </w:tc>
        <w:tc>
          <w:tcPr>
            <w:tcW w:w="928"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6/0</w:t>
            </w:r>
          </w:p>
        </w:tc>
      </w:tr>
      <w:tr w:rsidR="00630798" w:rsidRPr="00115EE6" w:rsidTr="00630798">
        <w:tc>
          <w:tcPr>
            <w:tcW w:w="2072"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Пищевыми продуктами</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c>
          <w:tcPr>
            <w:tcW w:w="97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c>
          <w:tcPr>
            <w:tcW w:w="958"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c>
          <w:tcPr>
            <w:tcW w:w="928"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c>
          <w:tcPr>
            <w:tcW w:w="928"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r>
      <w:tr w:rsidR="00630798" w:rsidRPr="00115EE6" w:rsidTr="00630798">
        <w:tc>
          <w:tcPr>
            <w:tcW w:w="2072"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Другими мониторируемыми видами</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5/2</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3/1</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2/0</w:t>
            </w:r>
          </w:p>
        </w:tc>
        <w:tc>
          <w:tcPr>
            <w:tcW w:w="97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c>
          <w:tcPr>
            <w:tcW w:w="958"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c>
          <w:tcPr>
            <w:tcW w:w="928"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5/2</w:t>
            </w:r>
          </w:p>
        </w:tc>
        <w:tc>
          <w:tcPr>
            <w:tcW w:w="928"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1/1</w:t>
            </w:r>
          </w:p>
        </w:tc>
      </w:tr>
      <w:tr w:rsidR="00630798" w:rsidRPr="00115EE6" w:rsidTr="00630798">
        <w:tc>
          <w:tcPr>
            <w:tcW w:w="2072"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Итого</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28/14</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25/7</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2/0</w:t>
            </w:r>
          </w:p>
        </w:tc>
        <w:tc>
          <w:tcPr>
            <w:tcW w:w="92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8/0</w:t>
            </w:r>
          </w:p>
        </w:tc>
        <w:tc>
          <w:tcPr>
            <w:tcW w:w="977"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c>
          <w:tcPr>
            <w:tcW w:w="958"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w:t>
            </w:r>
          </w:p>
        </w:tc>
        <w:tc>
          <w:tcPr>
            <w:tcW w:w="928"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26/14</w:t>
            </w:r>
          </w:p>
        </w:tc>
        <w:tc>
          <w:tcPr>
            <w:tcW w:w="928" w:type="dxa"/>
          </w:tcPr>
          <w:p w:rsidR="00630798" w:rsidRPr="00115EE6" w:rsidRDefault="00630798" w:rsidP="00115EE6">
            <w:pPr>
              <w:spacing w:after="0" w:line="240" w:lineRule="auto"/>
              <w:rPr>
                <w:rFonts w:ascii="Times New Roman" w:hAnsi="Times New Roman" w:cs="Times New Roman"/>
              </w:rPr>
            </w:pPr>
            <w:r w:rsidRPr="00115EE6">
              <w:rPr>
                <w:rFonts w:ascii="Times New Roman" w:hAnsi="Times New Roman" w:cs="Times New Roman"/>
              </w:rPr>
              <w:t>17/7</w:t>
            </w:r>
          </w:p>
        </w:tc>
      </w:tr>
    </w:tbl>
    <w:p w:rsidR="00630798" w:rsidRPr="00115EE6" w:rsidRDefault="00630798" w:rsidP="00115EE6">
      <w:pPr>
        <w:spacing w:after="0" w:line="240" w:lineRule="auto"/>
        <w:rPr>
          <w:rFonts w:ascii="Times New Roman" w:hAnsi="Times New Roman" w:cs="Times New Roman"/>
          <w:sz w:val="24"/>
          <w:szCs w:val="24"/>
        </w:rPr>
      </w:pPr>
    </w:p>
    <w:p w:rsidR="00630798" w:rsidRPr="00115EE6" w:rsidRDefault="00630798" w:rsidP="00115EE6">
      <w:pPr>
        <w:spacing w:after="0" w:line="240" w:lineRule="auto"/>
        <w:ind w:firstLine="708"/>
        <w:jc w:val="both"/>
        <w:rPr>
          <w:rFonts w:ascii="Times New Roman" w:hAnsi="Times New Roman" w:cs="Times New Roman"/>
          <w:sz w:val="24"/>
          <w:szCs w:val="24"/>
        </w:rPr>
      </w:pPr>
      <w:r w:rsidRPr="00115EE6">
        <w:rPr>
          <w:rFonts w:ascii="Times New Roman" w:hAnsi="Times New Roman" w:cs="Times New Roman"/>
          <w:sz w:val="24"/>
          <w:szCs w:val="24"/>
        </w:rPr>
        <w:t>В 2020 году основными причинами, формирующими структуру острых отравлений, являются</w:t>
      </w:r>
      <w:r w:rsidRPr="00115EE6">
        <w:rPr>
          <w:rFonts w:ascii="Times New Roman" w:hAnsi="Times New Roman" w:cs="Times New Roman"/>
        </w:rPr>
        <w:t xml:space="preserve"> л</w:t>
      </w:r>
      <w:r w:rsidRPr="00115EE6">
        <w:rPr>
          <w:rFonts w:ascii="Times New Roman" w:hAnsi="Times New Roman" w:cs="Times New Roman"/>
          <w:sz w:val="24"/>
          <w:szCs w:val="24"/>
        </w:rPr>
        <w:t xml:space="preserve">екарственные средства.  Наиболее часто </w:t>
      </w:r>
      <w:proofErr w:type="gramStart"/>
      <w:r w:rsidRPr="00115EE6">
        <w:rPr>
          <w:rFonts w:ascii="Times New Roman" w:hAnsi="Times New Roman" w:cs="Times New Roman"/>
          <w:sz w:val="24"/>
          <w:szCs w:val="24"/>
        </w:rPr>
        <w:t>встречающиеся  лекарственные</w:t>
      </w:r>
      <w:proofErr w:type="gramEnd"/>
      <w:r w:rsidRPr="00115EE6">
        <w:rPr>
          <w:rFonts w:ascii="Times New Roman" w:hAnsi="Times New Roman" w:cs="Times New Roman"/>
          <w:sz w:val="24"/>
          <w:szCs w:val="24"/>
        </w:rPr>
        <w:t xml:space="preserve"> препараты, вызывающие отравление: психотропные,  диуретики, противосудорожные препараты.</w:t>
      </w:r>
    </w:p>
    <w:p w:rsidR="00630798" w:rsidRPr="00115EE6" w:rsidRDefault="00630798" w:rsidP="00115EE6">
      <w:pPr>
        <w:spacing w:after="0" w:line="240" w:lineRule="auto"/>
        <w:ind w:firstLine="708"/>
        <w:jc w:val="both"/>
        <w:rPr>
          <w:rFonts w:ascii="Times New Roman" w:hAnsi="Times New Roman" w:cs="Times New Roman"/>
          <w:sz w:val="24"/>
          <w:szCs w:val="24"/>
        </w:rPr>
      </w:pPr>
      <w:r w:rsidRPr="00115EE6">
        <w:rPr>
          <w:rFonts w:ascii="Times New Roman" w:hAnsi="Times New Roman" w:cs="Times New Roman"/>
          <w:sz w:val="24"/>
          <w:szCs w:val="24"/>
        </w:rPr>
        <w:t xml:space="preserve">    В общей структуре отравлений   удельный вес отравлений лекарственными средствами </w:t>
      </w:r>
      <w:proofErr w:type="gramStart"/>
      <w:r w:rsidRPr="00115EE6">
        <w:rPr>
          <w:rFonts w:ascii="Times New Roman" w:hAnsi="Times New Roman" w:cs="Times New Roman"/>
          <w:sz w:val="24"/>
          <w:szCs w:val="24"/>
        </w:rPr>
        <w:t>составил  -</w:t>
      </w:r>
      <w:proofErr w:type="gramEnd"/>
      <w:r w:rsidRPr="00115EE6">
        <w:rPr>
          <w:rFonts w:ascii="Times New Roman" w:hAnsi="Times New Roman" w:cs="Times New Roman"/>
          <w:sz w:val="24"/>
          <w:szCs w:val="24"/>
        </w:rPr>
        <w:t xml:space="preserve"> 25,0 % ,   отравления  спиртосодержащей продукцией – 50,0 %, другими мониторируемыми видами – 17,9 % и наркотическими веществами – 7,1 % .</w:t>
      </w:r>
    </w:p>
    <w:p w:rsidR="00630798" w:rsidRPr="00115EE6" w:rsidRDefault="00630798" w:rsidP="00115EE6">
      <w:pPr>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 xml:space="preserve"> </w:t>
      </w:r>
      <w:r w:rsidRPr="00115EE6">
        <w:rPr>
          <w:rFonts w:ascii="Times New Roman" w:hAnsi="Times New Roman" w:cs="Times New Roman"/>
          <w:sz w:val="24"/>
          <w:szCs w:val="24"/>
        </w:rPr>
        <w:tab/>
        <w:t xml:space="preserve"> Анализ структуры отравлений по социальному статусу пострадавших показал, что наибольшее количество отравлений зарегистрировано среди взрослого населения – 92,9 % (26 случаев), среди детей – 7,1 % (2 случая).</w:t>
      </w:r>
    </w:p>
    <w:p w:rsidR="00630798" w:rsidRPr="00115EE6" w:rsidRDefault="00630798" w:rsidP="00115EE6">
      <w:pPr>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 xml:space="preserve"> </w:t>
      </w:r>
      <w:r w:rsidRPr="00115EE6">
        <w:rPr>
          <w:rFonts w:ascii="Times New Roman" w:hAnsi="Times New Roman" w:cs="Times New Roman"/>
          <w:sz w:val="24"/>
          <w:szCs w:val="24"/>
        </w:rPr>
        <w:tab/>
        <w:t xml:space="preserve">Среди взрослого населения – 73,1 % (19 </w:t>
      </w:r>
      <w:proofErr w:type="gramStart"/>
      <w:r w:rsidRPr="00115EE6">
        <w:rPr>
          <w:rFonts w:ascii="Times New Roman" w:hAnsi="Times New Roman" w:cs="Times New Roman"/>
          <w:sz w:val="24"/>
          <w:szCs w:val="24"/>
        </w:rPr>
        <w:t>случаев)  зарегистрировано</w:t>
      </w:r>
      <w:proofErr w:type="gramEnd"/>
      <w:r w:rsidRPr="00115EE6">
        <w:rPr>
          <w:rFonts w:ascii="Times New Roman" w:hAnsi="Times New Roman" w:cs="Times New Roman"/>
          <w:sz w:val="24"/>
          <w:szCs w:val="24"/>
        </w:rPr>
        <w:t xml:space="preserve"> у работающего населения, 26,9 % (7 случаев) среди неработающего населения (безработные, пенсионеры).  </w:t>
      </w:r>
    </w:p>
    <w:p w:rsidR="00630798" w:rsidRPr="00115EE6" w:rsidRDefault="00630798" w:rsidP="00115EE6">
      <w:pPr>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 xml:space="preserve"> </w:t>
      </w:r>
      <w:r w:rsidRPr="00115EE6">
        <w:rPr>
          <w:rFonts w:ascii="Times New Roman" w:hAnsi="Times New Roman" w:cs="Times New Roman"/>
          <w:sz w:val="24"/>
          <w:szCs w:val="24"/>
        </w:rPr>
        <w:tab/>
        <w:t xml:space="preserve">В структуре </w:t>
      </w:r>
      <w:proofErr w:type="gramStart"/>
      <w:r w:rsidRPr="00115EE6">
        <w:rPr>
          <w:rFonts w:ascii="Times New Roman" w:hAnsi="Times New Roman" w:cs="Times New Roman"/>
          <w:sz w:val="24"/>
          <w:szCs w:val="24"/>
        </w:rPr>
        <w:t>обстоятельств:  случайные</w:t>
      </w:r>
      <w:proofErr w:type="gramEnd"/>
      <w:r w:rsidRPr="00115EE6">
        <w:rPr>
          <w:rFonts w:ascii="Times New Roman" w:hAnsi="Times New Roman" w:cs="Times New Roman"/>
          <w:sz w:val="24"/>
          <w:szCs w:val="24"/>
        </w:rPr>
        <w:t xml:space="preserve"> отравления составили 15 случаев (53,6 %), преднамеренные – 6 случаев (21,4 %)  и неопределенные – 7 случаев (25,0 %).</w:t>
      </w:r>
    </w:p>
    <w:p w:rsidR="00630798" w:rsidRDefault="00630798" w:rsidP="00115EE6">
      <w:pPr>
        <w:spacing w:after="0" w:line="240" w:lineRule="auto"/>
        <w:ind w:firstLine="708"/>
        <w:jc w:val="both"/>
        <w:rPr>
          <w:rFonts w:ascii="Times New Roman" w:hAnsi="Times New Roman" w:cs="Times New Roman"/>
          <w:sz w:val="24"/>
          <w:szCs w:val="24"/>
        </w:rPr>
      </w:pPr>
      <w:r w:rsidRPr="00115EE6">
        <w:rPr>
          <w:rFonts w:ascii="Times New Roman" w:hAnsi="Times New Roman" w:cs="Times New Roman"/>
          <w:sz w:val="24"/>
          <w:szCs w:val="24"/>
        </w:rPr>
        <w:t xml:space="preserve">Отравления среди мужчин регистрируются в 3 раза чаще чем среди женского </w:t>
      </w:r>
      <w:proofErr w:type="gramStart"/>
      <w:r w:rsidRPr="00115EE6">
        <w:rPr>
          <w:rFonts w:ascii="Times New Roman" w:hAnsi="Times New Roman" w:cs="Times New Roman"/>
          <w:sz w:val="24"/>
          <w:szCs w:val="24"/>
        </w:rPr>
        <w:t>населения  -</w:t>
      </w:r>
      <w:proofErr w:type="gramEnd"/>
      <w:r w:rsidRPr="00115EE6">
        <w:rPr>
          <w:rFonts w:ascii="Times New Roman" w:hAnsi="Times New Roman" w:cs="Times New Roman"/>
          <w:sz w:val="24"/>
          <w:szCs w:val="24"/>
        </w:rPr>
        <w:t xml:space="preserve"> 21 случай среди мужчин, 7 случаев - среди женщин.</w:t>
      </w:r>
    </w:p>
    <w:p w:rsidR="00115EE6" w:rsidRPr="00115EE6" w:rsidRDefault="00115EE6" w:rsidP="00115EE6">
      <w:pPr>
        <w:spacing w:after="0" w:line="240" w:lineRule="auto"/>
        <w:ind w:firstLine="708"/>
        <w:jc w:val="both"/>
        <w:rPr>
          <w:rFonts w:ascii="Times New Roman" w:hAnsi="Times New Roman" w:cs="Times New Roman"/>
          <w:sz w:val="24"/>
          <w:szCs w:val="24"/>
        </w:rPr>
      </w:pPr>
    </w:p>
    <w:p w:rsidR="008F3AF5" w:rsidRDefault="00630798" w:rsidP="00115EE6">
      <w:pPr>
        <w:spacing w:after="0" w:line="240" w:lineRule="auto"/>
        <w:jc w:val="both"/>
        <w:rPr>
          <w:rFonts w:ascii="Times New Roman" w:eastAsia="Times New Roman" w:hAnsi="Times New Roman" w:cs="Times New Roman"/>
          <w:b/>
          <w:sz w:val="24"/>
          <w:szCs w:val="24"/>
          <w:lang w:eastAsia="ru-RU"/>
        </w:rPr>
      </w:pPr>
      <w:r w:rsidRPr="00115EE6">
        <w:rPr>
          <w:rFonts w:ascii="Times New Roman" w:hAnsi="Times New Roman" w:cs="Times New Roman"/>
          <w:sz w:val="24"/>
          <w:szCs w:val="24"/>
        </w:rPr>
        <w:t xml:space="preserve"> </w:t>
      </w:r>
      <w:proofErr w:type="gramStart"/>
      <w:r w:rsidR="008F3AF5" w:rsidRPr="00115EE6">
        <w:rPr>
          <w:rFonts w:ascii="Times New Roman" w:eastAsia="Times New Roman" w:hAnsi="Times New Roman" w:cs="Times New Roman"/>
          <w:b/>
          <w:sz w:val="24"/>
          <w:szCs w:val="24"/>
          <w:lang w:eastAsia="ru-RU"/>
        </w:rPr>
        <w:t>1.2.</w:t>
      </w:r>
      <w:r w:rsidRPr="00115EE6">
        <w:rPr>
          <w:rFonts w:ascii="Times New Roman" w:eastAsia="Times New Roman" w:hAnsi="Times New Roman" w:cs="Times New Roman"/>
          <w:b/>
          <w:sz w:val="24"/>
          <w:szCs w:val="24"/>
          <w:lang w:eastAsia="ru-RU"/>
        </w:rPr>
        <w:t>3</w:t>
      </w:r>
      <w:r w:rsidR="008F3AF5" w:rsidRPr="00115EE6">
        <w:rPr>
          <w:rFonts w:ascii="Times New Roman" w:eastAsia="Times New Roman" w:hAnsi="Times New Roman" w:cs="Times New Roman"/>
          <w:b/>
          <w:sz w:val="24"/>
          <w:szCs w:val="24"/>
          <w:lang w:eastAsia="ru-RU"/>
        </w:rPr>
        <w:t xml:space="preserve">  Сведения</w:t>
      </w:r>
      <w:proofErr w:type="gramEnd"/>
      <w:r w:rsidR="008F3AF5" w:rsidRPr="00115EE6">
        <w:rPr>
          <w:rFonts w:ascii="Times New Roman" w:eastAsia="Times New Roman" w:hAnsi="Times New Roman" w:cs="Times New Roman"/>
          <w:b/>
          <w:sz w:val="24"/>
          <w:szCs w:val="24"/>
          <w:lang w:eastAsia="ru-RU"/>
        </w:rPr>
        <w:t xml:space="preserve"> о профессиональной заболеваемости</w:t>
      </w:r>
    </w:p>
    <w:p w:rsidR="00115EE6" w:rsidRPr="00115EE6" w:rsidRDefault="00115EE6" w:rsidP="00115EE6">
      <w:pPr>
        <w:spacing w:after="0" w:line="240" w:lineRule="auto"/>
        <w:jc w:val="both"/>
        <w:rPr>
          <w:rFonts w:ascii="Times New Roman" w:eastAsia="Times New Roman" w:hAnsi="Times New Roman" w:cs="Times New Roman"/>
          <w:b/>
          <w:sz w:val="24"/>
          <w:szCs w:val="24"/>
          <w:lang w:eastAsia="ru-RU"/>
        </w:rPr>
      </w:pPr>
    </w:p>
    <w:p w:rsidR="008F3AF5" w:rsidRPr="00115EE6" w:rsidRDefault="008F3AF5" w:rsidP="00115EE6">
      <w:pPr>
        <w:spacing w:after="0" w:line="240" w:lineRule="auto"/>
        <w:ind w:firstLine="709"/>
        <w:jc w:val="both"/>
        <w:rPr>
          <w:rFonts w:ascii="Times New Roman" w:eastAsia="Times New Roman" w:hAnsi="Times New Roman" w:cs="Times New Roman"/>
          <w:sz w:val="24"/>
          <w:szCs w:val="24"/>
          <w:lang w:eastAsia="ru-RU"/>
        </w:rPr>
      </w:pPr>
      <w:r w:rsidRPr="00115EE6">
        <w:rPr>
          <w:rFonts w:ascii="Times New Roman" w:eastAsia="Times New Roman" w:hAnsi="Times New Roman" w:cs="Times New Roman"/>
          <w:sz w:val="24"/>
          <w:szCs w:val="24"/>
          <w:lang w:eastAsia="ru-RU"/>
        </w:rPr>
        <w:t xml:space="preserve">Профессиональная заболеваемость выступает как отдельная категория отражающая состояние условий труда и здоровье работающих. </w:t>
      </w:r>
    </w:p>
    <w:p w:rsidR="008F3AF5" w:rsidRPr="00115EE6" w:rsidRDefault="008F3AF5" w:rsidP="00115EE6">
      <w:pPr>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 xml:space="preserve">         </w:t>
      </w:r>
      <w:proofErr w:type="gramStart"/>
      <w:r w:rsidRPr="00115EE6">
        <w:rPr>
          <w:rFonts w:ascii="Times New Roman" w:hAnsi="Times New Roman" w:cs="Times New Roman"/>
          <w:sz w:val="24"/>
          <w:szCs w:val="24"/>
        </w:rPr>
        <w:t>Неблагоприятные  условия</w:t>
      </w:r>
      <w:proofErr w:type="gramEnd"/>
      <w:r w:rsidRPr="00115EE6">
        <w:rPr>
          <w:rFonts w:ascii="Times New Roman" w:hAnsi="Times New Roman" w:cs="Times New Roman"/>
          <w:sz w:val="24"/>
          <w:szCs w:val="24"/>
        </w:rPr>
        <w:t xml:space="preserve"> труда, недостатки в обеспечении работающих средствами коллективной и индивидуальной защиты, несоблюдение правил техники безопасности при проведении работ ведут к регистрации хронической профессиональной заболеваемости. В 2020 году отмечено снижение </w:t>
      </w:r>
      <w:proofErr w:type="gramStart"/>
      <w:r w:rsidRPr="00115EE6">
        <w:rPr>
          <w:rFonts w:ascii="Times New Roman" w:hAnsi="Times New Roman" w:cs="Times New Roman"/>
          <w:sz w:val="24"/>
          <w:szCs w:val="24"/>
        </w:rPr>
        <w:t>количества  поступивших</w:t>
      </w:r>
      <w:proofErr w:type="gramEnd"/>
      <w:r w:rsidRPr="00115EE6">
        <w:rPr>
          <w:rFonts w:ascii="Times New Roman" w:hAnsi="Times New Roman" w:cs="Times New Roman"/>
          <w:sz w:val="24"/>
          <w:szCs w:val="24"/>
        </w:rPr>
        <w:t xml:space="preserve"> в территориальный отдел экстренных извещений о предварительном диагнозе профессиональных заболеваний в сравнении с 2018годом. </w:t>
      </w:r>
    </w:p>
    <w:p w:rsidR="008F3AF5" w:rsidRPr="00115EE6" w:rsidRDefault="008F3AF5" w:rsidP="00115EE6">
      <w:pPr>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 xml:space="preserve">   </w:t>
      </w:r>
      <w:r w:rsidR="00115EE6">
        <w:rPr>
          <w:rFonts w:ascii="Times New Roman" w:hAnsi="Times New Roman" w:cs="Times New Roman"/>
          <w:sz w:val="24"/>
          <w:szCs w:val="24"/>
        </w:rPr>
        <w:tab/>
      </w:r>
      <w:r w:rsidRPr="00115EE6">
        <w:rPr>
          <w:rFonts w:ascii="Times New Roman" w:hAnsi="Times New Roman" w:cs="Times New Roman"/>
          <w:sz w:val="24"/>
          <w:szCs w:val="24"/>
        </w:rPr>
        <w:t xml:space="preserve">В течении года в ТО УРПН   </w:t>
      </w:r>
      <w:proofErr w:type="gramStart"/>
      <w:r w:rsidRPr="00115EE6">
        <w:rPr>
          <w:rFonts w:ascii="Times New Roman" w:hAnsi="Times New Roman" w:cs="Times New Roman"/>
          <w:sz w:val="24"/>
          <w:szCs w:val="24"/>
        </w:rPr>
        <w:t>поступило  9</w:t>
      </w:r>
      <w:proofErr w:type="gramEnd"/>
      <w:r w:rsidRPr="00115EE6">
        <w:rPr>
          <w:rFonts w:ascii="Times New Roman" w:hAnsi="Times New Roman" w:cs="Times New Roman"/>
          <w:sz w:val="24"/>
          <w:szCs w:val="24"/>
        </w:rPr>
        <w:t xml:space="preserve"> извещений об установлении предварительного диагноза профессионального заболевания (в 2019 году 14 извещений),  из них: 2 из ОГАУЗ «Стрижевская городская больница», 4-БУ ХМАО-Югры «НОКБ им Яцкив», 1- БУ Когалымская городская больница, 2- БУ ХМАО-Югры «ПЯОКБ». </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3581"/>
        <w:gridCol w:w="1897"/>
        <w:gridCol w:w="2966"/>
      </w:tblGrid>
      <w:tr w:rsidR="008F3AF5" w:rsidRPr="00115EE6" w:rsidTr="00115EE6">
        <w:tc>
          <w:tcPr>
            <w:tcW w:w="1376"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lastRenderedPageBreak/>
              <w:t xml:space="preserve">Год </w:t>
            </w:r>
          </w:p>
        </w:tc>
        <w:tc>
          <w:tcPr>
            <w:tcW w:w="3581"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 xml:space="preserve">Поступило извещений </w:t>
            </w:r>
            <w:proofErr w:type="gramStart"/>
            <w:r w:rsidRPr="00115EE6">
              <w:rPr>
                <w:rFonts w:ascii="Times New Roman" w:hAnsi="Times New Roman" w:cs="Times New Roman"/>
                <w:sz w:val="24"/>
                <w:szCs w:val="24"/>
              </w:rPr>
              <w:t>об  установлении</w:t>
            </w:r>
            <w:proofErr w:type="gramEnd"/>
            <w:r w:rsidRPr="00115EE6">
              <w:rPr>
                <w:rFonts w:ascii="Times New Roman" w:hAnsi="Times New Roman" w:cs="Times New Roman"/>
                <w:sz w:val="24"/>
                <w:szCs w:val="24"/>
              </w:rPr>
              <w:t xml:space="preserve">  предварительного диагноза профзаболевания</w:t>
            </w:r>
          </w:p>
        </w:tc>
        <w:tc>
          <w:tcPr>
            <w:tcW w:w="1897"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Составлено СГХУТ</w:t>
            </w:r>
          </w:p>
        </w:tc>
        <w:tc>
          <w:tcPr>
            <w:tcW w:w="2966"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Поступило извещений об установлении заключительного диагноза профзаболевания</w:t>
            </w:r>
          </w:p>
        </w:tc>
      </w:tr>
      <w:tr w:rsidR="008F3AF5" w:rsidRPr="00115EE6" w:rsidTr="00115EE6">
        <w:tc>
          <w:tcPr>
            <w:tcW w:w="1376"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2015</w:t>
            </w:r>
          </w:p>
        </w:tc>
        <w:tc>
          <w:tcPr>
            <w:tcW w:w="3581"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24</w:t>
            </w:r>
          </w:p>
        </w:tc>
        <w:tc>
          <w:tcPr>
            <w:tcW w:w="1897"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27 (в т.я. по извещениям 2014года 3)</w:t>
            </w:r>
          </w:p>
        </w:tc>
        <w:tc>
          <w:tcPr>
            <w:tcW w:w="2966"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24 (расследовано 20)</w:t>
            </w:r>
          </w:p>
        </w:tc>
      </w:tr>
      <w:tr w:rsidR="008F3AF5" w:rsidRPr="00115EE6" w:rsidTr="00115EE6">
        <w:tc>
          <w:tcPr>
            <w:tcW w:w="1376"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2016</w:t>
            </w:r>
          </w:p>
        </w:tc>
        <w:tc>
          <w:tcPr>
            <w:tcW w:w="3581"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34</w:t>
            </w:r>
          </w:p>
        </w:tc>
        <w:tc>
          <w:tcPr>
            <w:tcW w:w="1897"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25</w:t>
            </w:r>
          </w:p>
        </w:tc>
        <w:tc>
          <w:tcPr>
            <w:tcW w:w="2966"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7 (расследовано 11 переходящие с 2015 года)</w:t>
            </w:r>
          </w:p>
        </w:tc>
      </w:tr>
      <w:tr w:rsidR="008F3AF5" w:rsidRPr="00115EE6" w:rsidTr="00115EE6">
        <w:tc>
          <w:tcPr>
            <w:tcW w:w="1376"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2017</w:t>
            </w:r>
          </w:p>
        </w:tc>
        <w:tc>
          <w:tcPr>
            <w:tcW w:w="3581"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11</w:t>
            </w:r>
          </w:p>
        </w:tc>
        <w:tc>
          <w:tcPr>
            <w:tcW w:w="1897"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13</w:t>
            </w:r>
          </w:p>
        </w:tc>
        <w:tc>
          <w:tcPr>
            <w:tcW w:w="2966"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11 (расследовано 11)</w:t>
            </w:r>
          </w:p>
        </w:tc>
      </w:tr>
      <w:tr w:rsidR="008F3AF5" w:rsidRPr="00115EE6" w:rsidTr="00115EE6">
        <w:trPr>
          <w:trHeight w:val="1105"/>
        </w:trPr>
        <w:tc>
          <w:tcPr>
            <w:tcW w:w="1376"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2018</w:t>
            </w:r>
          </w:p>
        </w:tc>
        <w:tc>
          <w:tcPr>
            <w:tcW w:w="3581"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36</w:t>
            </w:r>
          </w:p>
        </w:tc>
        <w:tc>
          <w:tcPr>
            <w:tcW w:w="1897"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32 (4 перенаправлены в ТО по месту работы)</w:t>
            </w:r>
          </w:p>
        </w:tc>
        <w:tc>
          <w:tcPr>
            <w:tcW w:w="2966"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5 (расследовано 5)</w:t>
            </w:r>
          </w:p>
        </w:tc>
      </w:tr>
      <w:tr w:rsidR="008F3AF5" w:rsidRPr="00115EE6" w:rsidTr="00115EE6">
        <w:trPr>
          <w:trHeight w:val="301"/>
        </w:trPr>
        <w:tc>
          <w:tcPr>
            <w:tcW w:w="1376"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2019</w:t>
            </w:r>
          </w:p>
        </w:tc>
        <w:tc>
          <w:tcPr>
            <w:tcW w:w="3581"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14</w:t>
            </w:r>
          </w:p>
        </w:tc>
        <w:tc>
          <w:tcPr>
            <w:tcW w:w="1897"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11 (3 возвращены для внесения изменений)</w:t>
            </w:r>
          </w:p>
        </w:tc>
        <w:tc>
          <w:tcPr>
            <w:tcW w:w="2966"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5 (расследовано 5)</w:t>
            </w:r>
          </w:p>
        </w:tc>
      </w:tr>
      <w:tr w:rsidR="008F3AF5" w:rsidRPr="00115EE6" w:rsidTr="00115EE6">
        <w:trPr>
          <w:trHeight w:val="301"/>
        </w:trPr>
        <w:tc>
          <w:tcPr>
            <w:tcW w:w="1376"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2020</w:t>
            </w:r>
          </w:p>
        </w:tc>
        <w:tc>
          <w:tcPr>
            <w:tcW w:w="3581"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9</w:t>
            </w:r>
          </w:p>
        </w:tc>
        <w:tc>
          <w:tcPr>
            <w:tcW w:w="1897"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7</w:t>
            </w:r>
          </w:p>
        </w:tc>
        <w:tc>
          <w:tcPr>
            <w:tcW w:w="2966"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2 (расследовано 1)</w:t>
            </w:r>
          </w:p>
        </w:tc>
      </w:tr>
    </w:tbl>
    <w:p w:rsidR="008F3AF5" w:rsidRPr="00115EE6" w:rsidRDefault="008F3AF5" w:rsidP="00115EE6">
      <w:pPr>
        <w:spacing w:after="0" w:line="240" w:lineRule="auto"/>
        <w:jc w:val="both"/>
        <w:rPr>
          <w:rFonts w:ascii="Times New Roman" w:hAnsi="Times New Roman" w:cs="Times New Roman"/>
          <w:sz w:val="24"/>
          <w:szCs w:val="24"/>
        </w:rPr>
      </w:pPr>
    </w:p>
    <w:p w:rsidR="008F3AF5" w:rsidRPr="00115EE6" w:rsidRDefault="008F3AF5" w:rsidP="00115EE6">
      <w:pPr>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 xml:space="preserve">   В связи с тем, что профзаболевания выявляются у лиц старше 55 лет увеличилась доля предварительных диагнозов профзаболевания устанавливаемых в лечебных учреждениях</w:t>
      </w:r>
      <w:r w:rsidR="00115EE6">
        <w:rPr>
          <w:rFonts w:ascii="Times New Roman" w:hAnsi="Times New Roman" w:cs="Times New Roman"/>
          <w:sz w:val="24"/>
          <w:szCs w:val="24"/>
        </w:rPr>
        <w:t>,</w:t>
      </w:r>
      <w:r w:rsidRPr="00115EE6">
        <w:rPr>
          <w:rFonts w:ascii="Times New Roman" w:hAnsi="Times New Roman" w:cs="Times New Roman"/>
          <w:sz w:val="24"/>
          <w:szCs w:val="24"/>
        </w:rPr>
        <w:t xml:space="preserve"> расположенных за пределами ХМАО, по месту жительства работников после выхода на пенсию. </w:t>
      </w:r>
    </w:p>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 xml:space="preserve">    Составлено </w:t>
      </w:r>
      <w:proofErr w:type="gramStart"/>
      <w:r w:rsidRPr="00115EE6">
        <w:rPr>
          <w:rFonts w:ascii="Times New Roman" w:hAnsi="Times New Roman" w:cs="Times New Roman"/>
          <w:sz w:val="24"/>
          <w:szCs w:val="24"/>
        </w:rPr>
        <w:t>7  СГХУТ</w:t>
      </w:r>
      <w:proofErr w:type="gramEnd"/>
      <w:r w:rsidRPr="00115EE6">
        <w:rPr>
          <w:rFonts w:ascii="Times New Roman" w:hAnsi="Times New Roman" w:cs="Times New Roman"/>
          <w:sz w:val="24"/>
          <w:szCs w:val="24"/>
        </w:rPr>
        <w:t xml:space="preserve"> (с 2019года 11 СГХУТ) </w:t>
      </w:r>
    </w:p>
    <w:p w:rsidR="008F3AF5" w:rsidRDefault="008F3AF5" w:rsidP="00115EE6">
      <w:pPr>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 xml:space="preserve">    В 2020 году установлено заключительных диагнозов профессионального заболевания 2, расследовано 1 случай профессиональных заболеваний. </w:t>
      </w:r>
    </w:p>
    <w:p w:rsidR="00115EE6" w:rsidRPr="00115EE6" w:rsidRDefault="00115EE6" w:rsidP="00115EE6">
      <w:pPr>
        <w:spacing w:after="0" w:line="240" w:lineRule="auto"/>
        <w:jc w:val="both"/>
        <w:rPr>
          <w:rFonts w:ascii="Times New Roman" w:hAnsi="Times New Roman" w:cs="Times New Roman"/>
          <w:sz w:val="24"/>
          <w:szCs w:val="24"/>
        </w:rPr>
      </w:pPr>
    </w:p>
    <w:tbl>
      <w:tblPr>
        <w:tblW w:w="9226" w:type="dxa"/>
        <w:tblInd w:w="93" w:type="dxa"/>
        <w:tblLook w:val="0000" w:firstRow="0" w:lastRow="0" w:firstColumn="0" w:lastColumn="0" w:noHBand="0" w:noVBand="0"/>
      </w:tblPr>
      <w:tblGrid>
        <w:gridCol w:w="4013"/>
        <w:gridCol w:w="947"/>
        <w:gridCol w:w="947"/>
        <w:gridCol w:w="799"/>
        <w:gridCol w:w="839"/>
        <w:gridCol w:w="839"/>
        <w:gridCol w:w="842"/>
      </w:tblGrid>
      <w:tr w:rsidR="008F3AF5" w:rsidRPr="00115EE6" w:rsidTr="00115EE6">
        <w:trPr>
          <w:trHeight w:val="1035"/>
        </w:trPr>
        <w:tc>
          <w:tcPr>
            <w:tcW w:w="4013" w:type="dxa"/>
            <w:tcBorders>
              <w:top w:val="single" w:sz="4" w:space="0" w:color="auto"/>
              <w:left w:val="single" w:sz="4" w:space="0" w:color="auto"/>
              <w:bottom w:val="single" w:sz="4" w:space="0" w:color="auto"/>
              <w:right w:val="single" w:sz="4" w:space="0" w:color="auto"/>
            </w:tcBorders>
            <w:shd w:val="clear" w:color="auto" w:fill="auto"/>
          </w:tcPr>
          <w:p w:rsidR="008F3AF5" w:rsidRPr="00115EE6" w:rsidRDefault="008F3AF5" w:rsidP="00115EE6">
            <w:pPr>
              <w:spacing w:after="0" w:line="240" w:lineRule="auto"/>
              <w:jc w:val="center"/>
              <w:rPr>
                <w:rFonts w:ascii="Times New Roman" w:hAnsi="Times New Roman" w:cs="Times New Roman"/>
                <w:sz w:val="24"/>
                <w:szCs w:val="24"/>
              </w:rPr>
            </w:pPr>
            <w:r w:rsidRPr="00115EE6">
              <w:rPr>
                <w:rFonts w:ascii="Times New Roman" w:hAnsi="Times New Roman" w:cs="Times New Roman"/>
                <w:sz w:val="24"/>
                <w:szCs w:val="24"/>
              </w:rPr>
              <w:t xml:space="preserve"> ТОУправления Роспотребнадзора по ХМАО-Югре</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rsidR="008F3AF5" w:rsidRPr="00115EE6" w:rsidRDefault="008F3AF5" w:rsidP="00115EE6">
            <w:pPr>
              <w:spacing w:after="0" w:line="240" w:lineRule="auto"/>
              <w:jc w:val="center"/>
              <w:rPr>
                <w:rFonts w:ascii="Times New Roman" w:hAnsi="Times New Roman" w:cs="Times New Roman"/>
                <w:sz w:val="24"/>
                <w:szCs w:val="24"/>
              </w:rPr>
            </w:pPr>
            <w:r w:rsidRPr="00115EE6">
              <w:rPr>
                <w:rFonts w:ascii="Times New Roman" w:hAnsi="Times New Roman" w:cs="Times New Roman"/>
                <w:sz w:val="24"/>
                <w:szCs w:val="24"/>
              </w:rPr>
              <w:t>Составлено СГХ</w:t>
            </w:r>
          </w:p>
        </w:tc>
        <w:tc>
          <w:tcPr>
            <w:tcW w:w="2520" w:type="dxa"/>
            <w:gridSpan w:val="3"/>
            <w:tcBorders>
              <w:top w:val="single" w:sz="4" w:space="0" w:color="auto"/>
              <w:left w:val="nil"/>
              <w:bottom w:val="single" w:sz="4" w:space="0" w:color="auto"/>
              <w:right w:val="single" w:sz="4" w:space="0" w:color="auto"/>
            </w:tcBorders>
            <w:shd w:val="clear" w:color="auto" w:fill="auto"/>
            <w:vAlign w:val="center"/>
          </w:tcPr>
          <w:p w:rsidR="008F3AF5" w:rsidRPr="00115EE6" w:rsidRDefault="008F3AF5" w:rsidP="00115EE6">
            <w:pPr>
              <w:spacing w:after="0" w:line="240" w:lineRule="auto"/>
              <w:jc w:val="center"/>
              <w:rPr>
                <w:rFonts w:ascii="Times New Roman" w:hAnsi="Times New Roman" w:cs="Times New Roman"/>
                <w:sz w:val="24"/>
                <w:szCs w:val="24"/>
              </w:rPr>
            </w:pPr>
            <w:r w:rsidRPr="00115EE6">
              <w:rPr>
                <w:rFonts w:ascii="Times New Roman" w:hAnsi="Times New Roman" w:cs="Times New Roman"/>
                <w:sz w:val="24"/>
                <w:szCs w:val="24"/>
              </w:rPr>
              <w:t>Составлено Актов профзаболеваний</w:t>
            </w:r>
          </w:p>
        </w:tc>
      </w:tr>
      <w:tr w:rsidR="008F3AF5" w:rsidRPr="00115EE6" w:rsidTr="00115EE6">
        <w:trPr>
          <w:trHeight w:val="225"/>
        </w:trPr>
        <w:tc>
          <w:tcPr>
            <w:tcW w:w="4013" w:type="dxa"/>
            <w:tcBorders>
              <w:top w:val="nil"/>
              <w:left w:val="single" w:sz="4" w:space="0" w:color="auto"/>
              <w:bottom w:val="single" w:sz="4" w:space="0" w:color="auto"/>
              <w:right w:val="single" w:sz="4" w:space="0" w:color="auto"/>
            </w:tcBorders>
            <w:shd w:val="clear" w:color="auto" w:fill="auto"/>
            <w:noWrap/>
            <w:vAlign w:val="bottom"/>
          </w:tcPr>
          <w:p w:rsidR="008F3AF5" w:rsidRPr="00115EE6" w:rsidRDefault="008F3AF5" w:rsidP="00115EE6">
            <w:pPr>
              <w:spacing w:after="0" w:line="240" w:lineRule="auto"/>
              <w:rPr>
                <w:rFonts w:ascii="Times New Roman" w:hAnsi="Times New Roman" w:cs="Times New Roman"/>
                <w:sz w:val="24"/>
                <w:szCs w:val="24"/>
              </w:rPr>
            </w:pPr>
            <w:r w:rsidRPr="00115EE6">
              <w:rPr>
                <w:rFonts w:ascii="Times New Roman" w:hAnsi="Times New Roman" w:cs="Times New Roman"/>
                <w:sz w:val="24"/>
                <w:szCs w:val="24"/>
              </w:rPr>
              <w:t> </w:t>
            </w:r>
          </w:p>
        </w:tc>
        <w:tc>
          <w:tcPr>
            <w:tcW w:w="947" w:type="dxa"/>
            <w:tcBorders>
              <w:top w:val="nil"/>
              <w:left w:val="nil"/>
              <w:bottom w:val="single" w:sz="4" w:space="0" w:color="auto"/>
              <w:right w:val="single" w:sz="4" w:space="0" w:color="auto"/>
            </w:tcBorders>
            <w:shd w:val="clear" w:color="auto" w:fill="auto"/>
            <w:noWrap/>
            <w:vAlign w:val="bottom"/>
          </w:tcPr>
          <w:p w:rsidR="008F3AF5" w:rsidRPr="00115EE6" w:rsidRDefault="008F3AF5" w:rsidP="00115EE6">
            <w:pPr>
              <w:spacing w:after="0" w:line="240" w:lineRule="auto"/>
              <w:jc w:val="right"/>
              <w:rPr>
                <w:rFonts w:ascii="Times New Roman" w:hAnsi="Times New Roman" w:cs="Times New Roman"/>
                <w:sz w:val="24"/>
                <w:szCs w:val="24"/>
              </w:rPr>
            </w:pPr>
            <w:r w:rsidRPr="00115EE6">
              <w:rPr>
                <w:rFonts w:ascii="Times New Roman" w:hAnsi="Times New Roman" w:cs="Times New Roman"/>
                <w:sz w:val="24"/>
                <w:szCs w:val="24"/>
              </w:rPr>
              <w:t>2018</w:t>
            </w:r>
          </w:p>
        </w:tc>
        <w:tc>
          <w:tcPr>
            <w:tcW w:w="947" w:type="dxa"/>
            <w:tcBorders>
              <w:top w:val="nil"/>
              <w:left w:val="nil"/>
              <w:bottom w:val="single" w:sz="4" w:space="0" w:color="auto"/>
              <w:right w:val="single" w:sz="4" w:space="0" w:color="auto"/>
            </w:tcBorders>
            <w:shd w:val="clear" w:color="auto" w:fill="auto"/>
            <w:noWrap/>
            <w:vAlign w:val="bottom"/>
          </w:tcPr>
          <w:p w:rsidR="008F3AF5" w:rsidRPr="00115EE6" w:rsidRDefault="008F3AF5" w:rsidP="00115EE6">
            <w:pPr>
              <w:spacing w:after="0" w:line="240" w:lineRule="auto"/>
              <w:jc w:val="right"/>
              <w:rPr>
                <w:rFonts w:ascii="Times New Roman" w:hAnsi="Times New Roman" w:cs="Times New Roman"/>
                <w:sz w:val="24"/>
                <w:szCs w:val="24"/>
              </w:rPr>
            </w:pPr>
            <w:r w:rsidRPr="00115EE6">
              <w:rPr>
                <w:rFonts w:ascii="Times New Roman" w:hAnsi="Times New Roman" w:cs="Times New Roman"/>
                <w:sz w:val="24"/>
                <w:szCs w:val="24"/>
              </w:rPr>
              <w:t>2019</w:t>
            </w:r>
          </w:p>
        </w:tc>
        <w:tc>
          <w:tcPr>
            <w:tcW w:w="799" w:type="dxa"/>
            <w:tcBorders>
              <w:top w:val="nil"/>
              <w:left w:val="nil"/>
              <w:bottom w:val="single" w:sz="4" w:space="0" w:color="auto"/>
              <w:right w:val="single" w:sz="4" w:space="0" w:color="auto"/>
            </w:tcBorders>
            <w:shd w:val="clear" w:color="auto" w:fill="auto"/>
            <w:noWrap/>
            <w:vAlign w:val="bottom"/>
          </w:tcPr>
          <w:p w:rsidR="008F3AF5" w:rsidRPr="00115EE6" w:rsidRDefault="008F3AF5" w:rsidP="00115EE6">
            <w:pPr>
              <w:spacing w:after="0" w:line="240" w:lineRule="auto"/>
              <w:jc w:val="right"/>
              <w:rPr>
                <w:rFonts w:ascii="Times New Roman" w:hAnsi="Times New Roman" w:cs="Times New Roman"/>
                <w:sz w:val="24"/>
                <w:szCs w:val="24"/>
              </w:rPr>
            </w:pPr>
            <w:r w:rsidRPr="00115EE6">
              <w:rPr>
                <w:rFonts w:ascii="Times New Roman" w:hAnsi="Times New Roman" w:cs="Times New Roman"/>
                <w:sz w:val="24"/>
                <w:szCs w:val="24"/>
              </w:rPr>
              <w:t>2020</w:t>
            </w:r>
          </w:p>
        </w:tc>
        <w:tc>
          <w:tcPr>
            <w:tcW w:w="839" w:type="dxa"/>
            <w:tcBorders>
              <w:top w:val="nil"/>
              <w:left w:val="nil"/>
              <w:bottom w:val="single" w:sz="4" w:space="0" w:color="auto"/>
              <w:right w:val="single" w:sz="4" w:space="0" w:color="auto"/>
            </w:tcBorders>
            <w:shd w:val="clear" w:color="auto" w:fill="auto"/>
            <w:noWrap/>
            <w:vAlign w:val="bottom"/>
          </w:tcPr>
          <w:p w:rsidR="008F3AF5" w:rsidRPr="00115EE6" w:rsidRDefault="008F3AF5" w:rsidP="00115EE6">
            <w:pPr>
              <w:spacing w:after="0" w:line="240" w:lineRule="auto"/>
              <w:jc w:val="right"/>
              <w:rPr>
                <w:rFonts w:ascii="Times New Roman" w:hAnsi="Times New Roman" w:cs="Times New Roman"/>
                <w:sz w:val="24"/>
                <w:szCs w:val="24"/>
              </w:rPr>
            </w:pPr>
            <w:r w:rsidRPr="00115EE6">
              <w:rPr>
                <w:rFonts w:ascii="Times New Roman" w:hAnsi="Times New Roman" w:cs="Times New Roman"/>
                <w:sz w:val="24"/>
                <w:szCs w:val="24"/>
              </w:rPr>
              <w:t>2018</w:t>
            </w:r>
          </w:p>
        </w:tc>
        <w:tc>
          <w:tcPr>
            <w:tcW w:w="839" w:type="dxa"/>
            <w:tcBorders>
              <w:top w:val="nil"/>
              <w:left w:val="nil"/>
              <w:bottom w:val="single" w:sz="4" w:space="0" w:color="auto"/>
              <w:right w:val="single" w:sz="4" w:space="0" w:color="auto"/>
            </w:tcBorders>
            <w:shd w:val="clear" w:color="auto" w:fill="auto"/>
            <w:noWrap/>
            <w:vAlign w:val="bottom"/>
          </w:tcPr>
          <w:p w:rsidR="008F3AF5" w:rsidRPr="00115EE6" w:rsidRDefault="008F3AF5" w:rsidP="00115EE6">
            <w:pPr>
              <w:spacing w:after="0" w:line="240" w:lineRule="auto"/>
              <w:jc w:val="right"/>
              <w:rPr>
                <w:rFonts w:ascii="Times New Roman" w:hAnsi="Times New Roman" w:cs="Times New Roman"/>
                <w:sz w:val="24"/>
                <w:szCs w:val="24"/>
              </w:rPr>
            </w:pPr>
            <w:r w:rsidRPr="00115EE6">
              <w:rPr>
                <w:rFonts w:ascii="Times New Roman" w:hAnsi="Times New Roman" w:cs="Times New Roman"/>
                <w:sz w:val="24"/>
                <w:szCs w:val="24"/>
              </w:rPr>
              <w:t>2019</w:t>
            </w:r>
          </w:p>
        </w:tc>
        <w:tc>
          <w:tcPr>
            <w:tcW w:w="842" w:type="dxa"/>
            <w:tcBorders>
              <w:top w:val="nil"/>
              <w:left w:val="nil"/>
              <w:bottom w:val="single" w:sz="4" w:space="0" w:color="auto"/>
              <w:right w:val="single" w:sz="4" w:space="0" w:color="auto"/>
            </w:tcBorders>
            <w:shd w:val="clear" w:color="auto" w:fill="auto"/>
            <w:noWrap/>
            <w:vAlign w:val="bottom"/>
          </w:tcPr>
          <w:p w:rsidR="008F3AF5" w:rsidRPr="00115EE6" w:rsidRDefault="008F3AF5" w:rsidP="00115EE6">
            <w:pPr>
              <w:spacing w:after="0" w:line="240" w:lineRule="auto"/>
              <w:jc w:val="right"/>
              <w:rPr>
                <w:rFonts w:ascii="Times New Roman" w:hAnsi="Times New Roman" w:cs="Times New Roman"/>
                <w:sz w:val="24"/>
                <w:szCs w:val="24"/>
              </w:rPr>
            </w:pPr>
            <w:r w:rsidRPr="00115EE6">
              <w:rPr>
                <w:rFonts w:ascii="Times New Roman" w:hAnsi="Times New Roman" w:cs="Times New Roman"/>
                <w:sz w:val="24"/>
                <w:szCs w:val="24"/>
              </w:rPr>
              <w:t>2020</w:t>
            </w:r>
          </w:p>
        </w:tc>
      </w:tr>
      <w:tr w:rsidR="008F3AF5" w:rsidRPr="00115EE6" w:rsidTr="00115EE6">
        <w:trPr>
          <w:trHeight w:val="225"/>
        </w:trPr>
        <w:tc>
          <w:tcPr>
            <w:tcW w:w="4013" w:type="dxa"/>
            <w:tcBorders>
              <w:top w:val="nil"/>
              <w:left w:val="single" w:sz="4" w:space="0" w:color="auto"/>
              <w:bottom w:val="single" w:sz="4" w:space="0" w:color="auto"/>
              <w:right w:val="single" w:sz="4" w:space="0" w:color="auto"/>
            </w:tcBorders>
            <w:shd w:val="clear" w:color="auto" w:fill="auto"/>
            <w:noWrap/>
            <w:vAlign w:val="bottom"/>
          </w:tcPr>
          <w:p w:rsidR="008F3AF5" w:rsidRPr="00115EE6" w:rsidRDefault="008F3AF5" w:rsidP="00115EE6">
            <w:pPr>
              <w:spacing w:after="0" w:line="240" w:lineRule="auto"/>
              <w:rPr>
                <w:rFonts w:ascii="Times New Roman" w:hAnsi="Times New Roman" w:cs="Times New Roman"/>
                <w:sz w:val="24"/>
                <w:szCs w:val="24"/>
              </w:rPr>
            </w:pPr>
            <w:r w:rsidRPr="00115EE6">
              <w:rPr>
                <w:rFonts w:ascii="Times New Roman" w:hAnsi="Times New Roman" w:cs="Times New Roman"/>
                <w:sz w:val="24"/>
                <w:szCs w:val="24"/>
              </w:rPr>
              <w:t> Нефтеюганск, Нефтеюганский район, г.Пыть-Ях</w:t>
            </w:r>
          </w:p>
        </w:tc>
        <w:tc>
          <w:tcPr>
            <w:tcW w:w="947" w:type="dxa"/>
            <w:tcBorders>
              <w:top w:val="nil"/>
              <w:left w:val="nil"/>
              <w:bottom w:val="single" w:sz="4" w:space="0" w:color="auto"/>
              <w:right w:val="single" w:sz="4" w:space="0" w:color="auto"/>
            </w:tcBorders>
            <w:shd w:val="clear" w:color="auto" w:fill="auto"/>
            <w:noWrap/>
            <w:vAlign w:val="bottom"/>
          </w:tcPr>
          <w:p w:rsidR="008F3AF5" w:rsidRPr="00115EE6" w:rsidRDefault="008F3AF5" w:rsidP="00115EE6">
            <w:pPr>
              <w:spacing w:after="0" w:line="240" w:lineRule="auto"/>
              <w:rPr>
                <w:rFonts w:ascii="Times New Roman" w:hAnsi="Times New Roman" w:cs="Times New Roman"/>
                <w:sz w:val="24"/>
                <w:szCs w:val="24"/>
              </w:rPr>
            </w:pPr>
            <w:r w:rsidRPr="00115EE6">
              <w:rPr>
                <w:rFonts w:ascii="Times New Roman" w:hAnsi="Times New Roman" w:cs="Times New Roman"/>
                <w:sz w:val="24"/>
                <w:szCs w:val="24"/>
              </w:rPr>
              <w:t>32</w:t>
            </w:r>
          </w:p>
        </w:tc>
        <w:tc>
          <w:tcPr>
            <w:tcW w:w="947" w:type="dxa"/>
            <w:tcBorders>
              <w:top w:val="nil"/>
              <w:left w:val="nil"/>
              <w:bottom w:val="single" w:sz="4" w:space="0" w:color="auto"/>
              <w:right w:val="single" w:sz="4" w:space="0" w:color="auto"/>
            </w:tcBorders>
            <w:shd w:val="clear" w:color="auto" w:fill="auto"/>
            <w:noWrap/>
            <w:vAlign w:val="bottom"/>
          </w:tcPr>
          <w:p w:rsidR="008F3AF5" w:rsidRPr="00115EE6" w:rsidRDefault="008F3AF5" w:rsidP="00115EE6">
            <w:pPr>
              <w:spacing w:after="0" w:line="240" w:lineRule="auto"/>
              <w:rPr>
                <w:rFonts w:ascii="Times New Roman" w:hAnsi="Times New Roman" w:cs="Times New Roman"/>
                <w:sz w:val="24"/>
                <w:szCs w:val="24"/>
              </w:rPr>
            </w:pPr>
            <w:r w:rsidRPr="00115EE6">
              <w:rPr>
                <w:rFonts w:ascii="Times New Roman" w:hAnsi="Times New Roman" w:cs="Times New Roman"/>
                <w:sz w:val="24"/>
                <w:szCs w:val="24"/>
              </w:rPr>
              <w:t>11</w:t>
            </w:r>
          </w:p>
        </w:tc>
        <w:tc>
          <w:tcPr>
            <w:tcW w:w="799" w:type="dxa"/>
            <w:tcBorders>
              <w:top w:val="nil"/>
              <w:left w:val="nil"/>
              <w:bottom w:val="single" w:sz="4" w:space="0" w:color="auto"/>
              <w:right w:val="single" w:sz="4" w:space="0" w:color="auto"/>
            </w:tcBorders>
            <w:shd w:val="clear" w:color="auto" w:fill="auto"/>
            <w:noWrap/>
            <w:vAlign w:val="bottom"/>
          </w:tcPr>
          <w:p w:rsidR="008F3AF5" w:rsidRPr="00115EE6" w:rsidRDefault="008F3AF5" w:rsidP="00115EE6">
            <w:pPr>
              <w:spacing w:after="0" w:line="240" w:lineRule="auto"/>
              <w:rPr>
                <w:rFonts w:ascii="Times New Roman" w:hAnsi="Times New Roman" w:cs="Times New Roman"/>
                <w:sz w:val="24"/>
                <w:szCs w:val="24"/>
              </w:rPr>
            </w:pPr>
            <w:r w:rsidRPr="00115EE6">
              <w:rPr>
                <w:rFonts w:ascii="Times New Roman" w:hAnsi="Times New Roman" w:cs="Times New Roman"/>
                <w:sz w:val="24"/>
                <w:szCs w:val="24"/>
              </w:rPr>
              <w:t>7</w:t>
            </w:r>
          </w:p>
        </w:tc>
        <w:tc>
          <w:tcPr>
            <w:tcW w:w="839" w:type="dxa"/>
            <w:tcBorders>
              <w:top w:val="nil"/>
              <w:left w:val="nil"/>
              <w:bottom w:val="single" w:sz="4" w:space="0" w:color="auto"/>
              <w:right w:val="single" w:sz="4" w:space="0" w:color="auto"/>
            </w:tcBorders>
            <w:shd w:val="clear" w:color="auto" w:fill="auto"/>
            <w:noWrap/>
            <w:vAlign w:val="bottom"/>
          </w:tcPr>
          <w:p w:rsidR="008F3AF5" w:rsidRPr="00115EE6" w:rsidRDefault="008F3AF5" w:rsidP="00115EE6">
            <w:pPr>
              <w:spacing w:after="0" w:line="240" w:lineRule="auto"/>
              <w:rPr>
                <w:rFonts w:ascii="Times New Roman" w:hAnsi="Times New Roman" w:cs="Times New Roman"/>
                <w:sz w:val="24"/>
                <w:szCs w:val="24"/>
              </w:rPr>
            </w:pPr>
            <w:r w:rsidRPr="00115EE6">
              <w:rPr>
                <w:rFonts w:ascii="Times New Roman" w:hAnsi="Times New Roman" w:cs="Times New Roman"/>
                <w:sz w:val="24"/>
                <w:szCs w:val="24"/>
              </w:rPr>
              <w:t> 5</w:t>
            </w:r>
          </w:p>
        </w:tc>
        <w:tc>
          <w:tcPr>
            <w:tcW w:w="839" w:type="dxa"/>
            <w:tcBorders>
              <w:top w:val="nil"/>
              <w:left w:val="nil"/>
              <w:bottom w:val="single" w:sz="4" w:space="0" w:color="auto"/>
              <w:right w:val="single" w:sz="4" w:space="0" w:color="auto"/>
            </w:tcBorders>
            <w:shd w:val="clear" w:color="auto" w:fill="auto"/>
            <w:noWrap/>
            <w:vAlign w:val="bottom"/>
          </w:tcPr>
          <w:p w:rsidR="008F3AF5" w:rsidRPr="00115EE6" w:rsidRDefault="008F3AF5" w:rsidP="00115EE6">
            <w:pPr>
              <w:spacing w:after="0" w:line="240" w:lineRule="auto"/>
              <w:rPr>
                <w:rFonts w:ascii="Times New Roman" w:hAnsi="Times New Roman" w:cs="Times New Roman"/>
                <w:sz w:val="24"/>
                <w:szCs w:val="24"/>
              </w:rPr>
            </w:pPr>
            <w:r w:rsidRPr="00115EE6">
              <w:rPr>
                <w:rFonts w:ascii="Times New Roman" w:hAnsi="Times New Roman" w:cs="Times New Roman"/>
                <w:sz w:val="24"/>
                <w:szCs w:val="24"/>
              </w:rPr>
              <w:t>5</w:t>
            </w:r>
          </w:p>
        </w:tc>
        <w:tc>
          <w:tcPr>
            <w:tcW w:w="842" w:type="dxa"/>
            <w:tcBorders>
              <w:top w:val="nil"/>
              <w:left w:val="nil"/>
              <w:bottom w:val="single" w:sz="4" w:space="0" w:color="auto"/>
              <w:right w:val="single" w:sz="4" w:space="0" w:color="auto"/>
            </w:tcBorders>
            <w:shd w:val="clear" w:color="auto" w:fill="auto"/>
            <w:noWrap/>
            <w:vAlign w:val="bottom"/>
          </w:tcPr>
          <w:p w:rsidR="008F3AF5" w:rsidRPr="00115EE6" w:rsidRDefault="008F3AF5" w:rsidP="00115EE6">
            <w:pPr>
              <w:spacing w:after="0" w:line="240" w:lineRule="auto"/>
              <w:rPr>
                <w:rFonts w:ascii="Times New Roman" w:hAnsi="Times New Roman" w:cs="Times New Roman"/>
                <w:sz w:val="24"/>
                <w:szCs w:val="24"/>
              </w:rPr>
            </w:pPr>
            <w:r w:rsidRPr="00115EE6">
              <w:rPr>
                <w:rFonts w:ascii="Times New Roman" w:hAnsi="Times New Roman" w:cs="Times New Roman"/>
                <w:sz w:val="24"/>
                <w:szCs w:val="24"/>
              </w:rPr>
              <w:t>2</w:t>
            </w:r>
          </w:p>
        </w:tc>
      </w:tr>
    </w:tbl>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 xml:space="preserve">     В структуре профессиональных заболеваний преобладают хронические формы. </w:t>
      </w:r>
      <w:proofErr w:type="gramStart"/>
      <w:r w:rsidRPr="00115EE6">
        <w:rPr>
          <w:rFonts w:ascii="Times New Roman" w:hAnsi="Times New Roman" w:cs="Times New Roman"/>
          <w:sz w:val="24"/>
          <w:szCs w:val="24"/>
        </w:rPr>
        <w:t>Распределены  профессиональные</w:t>
      </w:r>
      <w:proofErr w:type="gramEnd"/>
      <w:r w:rsidRPr="00115EE6">
        <w:rPr>
          <w:rFonts w:ascii="Times New Roman" w:hAnsi="Times New Roman" w:cs="Times New Roman"/>
          <w:sz w:val="24"/>
          <w:szCs w:val="24"/>
        </w:rPr>
        <w:t xml:space="preserve"> заболевания по этиологии следующим образом: коронавирусная инфекция </w:t>
      </w:r>
    </w:p>
    <w:p w:rsid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 xml:space="preserve">      По предприятиям профзаболевания распределились следующим образом:    </w:t>
      </w:r>
    </w:p>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7"/>
      </w:tblGrid>
      <w:tr w:rsidR="008F3AF5" w:rsidRPr="00115EE6" w:rsidTr="00630798">
        <w:tc>
          <w:tcPr>
            <w:tcW w:w="4786"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Наименование предприятия</w:t>
            </w:r>
          </w:p>
        </w:tc>
        <w:tc>
          <w:tcPr>
            <w:tcW w:w="4785"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Количество случаев</w:t>
            </w:r>
          </w:p>
        </w:tc>
      </w:tr>
      <w:tr w:rsidR="008F3AF5" w:rsidRPr="00115EE6" w:rsidTr="00630798">
        <w:tc>
          <w:tcPr>
            <w:tcW w:w="4786"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«БУ ХМАО-Югры «НОКБ им Яцкив</w:t>
            </w:r>
          </w:p>
        </w:tc>
        <w:tc>
          <w:tcPr>
            <w:tcW w:w="4785" w:type="dxa"/>
          </w:tcPr>
          <w:p w:rsidR="008F3AF5" w:rsidRPr="00115EE6" w:rsidRDefault="008F3AF5" w:rsidP="00115EE6">
            <w:pPr>
              <w:suppressAutoHyphens/>
              <w:spacing w:after="0" w:line="240" w:lineRule="auto"/>
              <w:jc w:val="both"/>
              <w:rPr>
                <w:rFonts w:ascii="Times New Roman" w:hAnsi="Times New Roman" w:cs="Times New Roman"/>
                <w:sz w:val="24"/>
                <w:szCs w:val="24"/>
              </w:rPr>
            </w:pPr>
            <w:r w:rsidRPr="00115EE6">
              <w:rPr>
                <w:rFonts w:ascii="Times New Roman" w:hAnsi="Times New Roman" w:cs="Times New Roman"/>
                <w:sz w:val="24"/>
                <w:szCs w:val="24"/>
              </w:rPr>
              <w:t>1</w:t>
            </w:r>
          </w:p>
        </w:tc>
      </w:tr>
    </w:tbl>
    <w:p w:rsidR="008F3AF5" w:rsidRPr="00115EE6" w:rsidRDefault="008F3AF5" w:rsidP="00115EE6">
      <w:pPr>
        <w:spacing w:after="0" w:line="240" w:lineRule="auto"/>
        <w:jc w:val="both"/>
        <w:textAlignment w:val="baseline"/>
        <w:rPr>
          <w:rFonts w:ascii="Times New Roman" w:hAnsi="Times New Roman" w:cs="Times New Roman"/>
          <w:sz w:val="24"/>
          <w:szCs w:val="24"/>
        </w:rPr>
      </w:pPr>
      <w:r w:rsidRPr="00115EE6">
        <w:rPr>
          <w:rFonts w:ascii="Times New Roman" w:hAnsi="Times New Roman" w:cs="Times New Roman"/>
          <w:sz w:val="24"/>
          <w:szCs w:val="24"/>
        </w:rPr>
        <w:t xml:space="preserve">     В регионе по отраслям экономики показатель профзаболеваемости колеблется в широком диапазоне: </w:t>
      </w:r>
    </w:p>
    <w:p w:rsidR="008F3AF5" w:rsidRPr="00115EE6" w:rsidRDefault="008F3AF5" w:rsidP="00115EE6">
      <w:pPr>
        <w:spacing w:after="0" w:line="240" w:lineRule="auto"/>
        <w:ind w:firstLine="709"/>
        <w:jc w:val="center"/>
        <w:rPr>
          <w:rFonts w:ascii="Times New Roman" w:hAnsi="Times New Roman" w:cs="Times New Roman"/>
          <w:b/>
          <w:sz w:val="24"/>
          <w:szCs w:val="24"/>
        </w:rPr>
      </w:pPr>
      <w:r w:rsidRPr="00115EE6">
        <w:rPr>
          <w:rFonts w:ascii="Times New Roman" w:hAnsi="Times New Roman" w:cs="Times New Roman"/>
          <w:b/>
          <w:sz w:val="24"/>
          <w:szCs w:val="24"/>
        </w:rPr>
        <w:t>Число профессиональных заболеваний и отравлений с учетом вида и формы патологии по видам экономической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973"/>
        <w:gridCol w:w="1333"/>
        <w:gridCol w:w="974"/>
        <w:gridCol w:w="1333"/>
        <w:gridCol w:w="902"/>
        <w:gridCol w:w="961"/>
        <w:gridCol w:w="619"/>
        <w:gridCol w:w="985"/>
      </w:tblGrid>
      <w:tr w:rsidR="008F3AF5" w:rsidRPr="00115EE6" w:rsidTr="00630798">
        <w:tc>
          <w:tcPr>
            <w:tcW w:w="1298" w:type="dxa"/>
            <w:tcBorders>
              <w:bottom w:val="nil"/>
            </w:tcBorders>
            <w:shd w:val="clear" w:color="auto" w:fill="auto"/>
          </w:tcPr>
          <w:p w:rsidR="008F3AF5" w:rsidRPr="00115EE6" w:rsidRDefault="008F3AF5" w:rsidP="00115EE6">
            <w:pPr>
              <w:spacing w:after="0" w:line="240" w:lineRule="auto"/>
              <w:jc w:val="center"/>
              <w:rPr>
                <w:rFonts w:ascii="Times New Roman" w:eastAsia="Calibri" w:hAnsi="Times New Roman" w:cs="Times New Roman"/>
                <w:sz w:val="24"/>
                <w:szCs w:val="24"/>
              </w:rPr>
            </w:pPr>
            <w:r w:rsidRPr="00115EE6">
              <w:rPr>
                <w:rFonts w:ascii="Times New Roman" w:eastAsia="Calibri" w:hAnsi="Times New Roman" w:cs="Times New Roman"/>
                <w:sz w:val="24"/>
                <w:szCs w:val="24"/>
              </w:rPr>
              <w:t>Виды экономической деятельности</w:t>
            </w:r>
          </w:p>
        </w:tc>
        <w:tc>
          <w:tcPr>
            <w:tcW w:w="997" w:type="dxa"/>
            <w:tcBorders>
              <w:bottom w:val="nil"/>
            </w:tcBorders>
            <w:shd w:val="clear" w:color="auto" w:fill="auto"/>
          </w:tcPr>
          <w:p w:rsidR="008F3AF5" w:rsidRPr="00115EE6" w:rsidRDefault="008F3AF5" w:rsidP="00115EE6">
            <w:pPr>
              <w:spacing w:after="0" w:line="240" w:lineRule="auto"/>
              <w:jc w:val="center"/>
              <w:rPr>
                <w:rFonts w:ascii="Times New Roman" w:eastAsia="Calibri" w:hAnsi="Times New Roman" w:cs="Times New Roman"/>
                <w:sz w:val="24"/>
                <w:szCs w:val="24"/>
              </w:rPr>
            </w:pPr>
            <w:r w:rsidRPr="00115EE6">
              <w:rPr>
                <w:rFonts w:ascii="Times New Roman" w:eastAsia="Calibri" w:hAnsi="Times New Roman" w:cs="Times New Roman"/>
                <w:sz w:val="24"/>
                <w:szCs w:val="24"/>
              </w:rPr>
              <w:t>Число заболеваний</w:t>
            </w:r>
          </w:p>
        </w:tc>
        <w:tc>
          <w:tcPr>
            <w:tcW w:w="1367" w:type="dxa"/>
            <w:tcBorders>
              <w:bottom w:val="nil"/>
            </w:tcBorders>
            <w:shd w:val="clear" w:color="auto" w:fill="auto"/>
          </w:tcPr>
          <w:p w:rsidR="008F3AF5" w:rsidRPr="00115EE6" w:rsidRDefault="008F3AF5" w:rsidP="00115EE6">
            <w:pPr>
              <w:spacing w:after="0" w:line="240" w:lineRule="auto"/>
              <w:jc w:val="center"/>
              <w:rPr>
                <w:rFonts w:ascii="Times New Roman" w:eastAsia="Calibri" w:hAnsi="Times New Roman" w:cs="Times New Roman"/>
                <w:sz w:val="24"/>
                <w:szCs w:val="24"/>
              </w:rPr>
            </w:pPr>
            <w:r w:rsidRPr="00115EE6">
              <w:rPr>
                <w:rFonts w:ascii="Times New Roman" w:eastAsia="Calibri" w:hAnsi="Times New Roman" w:cs="Times New Roman"/>
                <w:sz w:val="24"/>
                <w:szCs w:val="24"/>
              </w:rPr>
              <w:t>С утратой трудоспособности</w:t>
            </w:r>
          </w:p>
        </w:tc>
        <w:tc>
          <w:tcPr>
            <w:tcW w:w="997" w:type="dxa"/>
            <w:tcBorders>
              <w:bottom w:val="nil"/>
            </w:tcBorders>
            <w:shd w:val="clear" w:color="auto" w:fill="auto"/>
          </w:tcPr>
          <w:p w:rsidR="008F3AF5" w:rsidRPr="00115EE6" w:rsidRDefault="008F3AF5" w:rsidP="00115EE6">
            <w:pPr>
              <w:spacing w:after="0" w:line="240" w:lineRule="auto"/>
              <w:jc w:val="center"/>
              <w:rPr>
                <w:rFonts w:ascii="Times New Roman" w:eastAsia="Calibri" w:hAnsi="Times New Roman" w:cs="Times New Roman"/>
                <w:sz w:val="24"/>
                <w:szCs w:val="24"/>
              </w:rPr>
            </w:pPr>
            <w:r w:rsidRPr="00115EE6">
              <w:rPr>
                <w:rFonts w:ascii="Times New Roman" w:eastAsia="Calibri" w:hAnsi="Times New Roman" w:cs="Times New Roman"/>
                <w:sz w:val="24"/>
                <w:szCs w:val="24"/>
              </w:rPr>
              <w:t>Число заболеваний у женщин</w:t>
            </w:r>
          </w:p>
        </w:tc>
        <w:tc>
          <w:tcPr>
            <w:tcW w:w="1367" w:type="dxa"/>
            <w:tcBorders>
              <w:bottom w:val="nil"/>
            </w:tcBorders>
            <w:shd w:val="clear" w:color="auto" w:fill="auto"/>
          </w:tcPr>
          <w:p w:rsidR="008F3AF5" w:rsidRPr="00115EE6" w:rsidRDefault="008F3AF5" w:rsidP="00115EE6">
            <w:pPr>
              <w:spacing w:after="0" w:line="240" w:lineRule="auto"/>
              <w:jc w:val="center"/>
              <w:rPr>
                <w:rFonts w:ascii="Times New Roman" w:eastAsia="Calibri" w:hAnsi="Times New Roman" w:cs="Times New Roman"/>
                <w:sz w:val="24"/>
                <w:szCs w:val="24"/>
              </w:rPr>
            </w:pPr>
            <w:r w:rsidRPr="00115EE6">
              <w:rPr>
                <w:rFonts w:ascii="Times New Roman" w:eastAsia="Calibri" w:hAnsi="Times New Roman" w:cs="Times New Roman"/>
                <w:sz w:val="24"/>
                <w:szCs w:val="24"/>
              </w:rPr>
              <w:t>В т.ч. с утратой трудоспособности</w:t>
            </w:r>
          </w:p>
        </w:tc>
        <w:tc>
          <w:tcPr>
            <w:tcW w:w="1906" w:type="dxa"/>
            <w:gridSpan w:val="2"/>
            <w:shd w:val="clear" w:color="auto" w:fill="auto"/>
          </w:tcPr>
          <w:p w:rsidR="008F3AF5" w:rsidRPr="00115EE6" w:rsidRDefault="008F3AF5" w:rsidP="00115EE6">
            <w:pPr>
              <w:spacing w:after="0" w:line="240" w:lineRule="auto"/>
              <w:jc w:val="center"/>
              <w:rPr>
                <w:rFonts w:ascii="Times New Roman" w:eastAsia="Calibri" w:hAnsi="Times New Roman" w:cs="Times New Roman"/>
                <w:sz w:val="24"/>
                <w:szCs w:val="24"/>
              </w:rPr>
            </w:pPr>
            <w:r w:rsidRPr="00115EE6">
              <w:rPr>
                <w:rFonts w:ascii="Times New Roman" w:eastAsia="Calibri" w:hAnsi="Times New Roman" w:cs="Times New Roman"/>
                <w:sz w:val="24"/>
                <w:szCs w:val="24"/>
              </w:rPr>
              <w:t>Вид заболевания</w:t>
            </w:r>
          </w:p>
        </w:tc>
        <w:tc>
          <w:tcPr>
            <w:tcW w:w="1639" w:type="dxa"/>
            <w:gridSpan w:val="2"/>
            <w:shd w:val="clear" w:color="auto" w:fill="auto"/>
          </w:tcPr>
          <w:p w:rsidR="008F3AF5" w:rsidRPr="00115EE6" w:rsidRDefault="008F3AF5" w:rsidP="00115EE6">
            <w:pPr>
              <w:spacing w:after="0" w:line="240" w:lineRule="auto"/>
              <w:jc w:val="center"/>
              <w:rPr>
                <w:rFonts w:ascii="Times New Roman" w:eastAsia="Calibri" w:hAnsi="Times New Roman" w:cs="Times New Roman"/>
                <w:sz w:val="24"/>
                <w:szCs w:val="24"/>
              </w:rPr>
            </w:pPr>
            <w:r w:rsidRPr="00115EE6">
              <w:rPr>
                <w:rFonts w:ascii="Times New Roman" w:eastAsia="Calibri" w:hAnsi="Times New Roman" w:cs="Times New Roman"/>
                <w:sz w:val="24"/>
                <w:szCs w:val="24"/>
              </w:rPr>
              <w:t>Форма заболевания</w:t>
            </w:r>
          </w:p>
        </w:tc>
      </w:tr>
      <w:tr w:rsidR="008F3AF5" w:rsidRPr="00115EE6" w:rsidTr="00630798">
        <w:tc>
          <w:tcPr>
            <w:tcW w:w="1298" w:type="dxa"/>
            <w:tcBorders>
              <w:top w:val="nil"/>
            </w:tcBorders>
            <w:shd w:val="clear" w:color="auto" w:fill="auto"/>
          </w:tcPr>
          <w:p w:rsidR="008F3AF5" w:rsidRPr="00115EE6" w:rsidRDefault="008F3AF5" w:rsidP="00115EE6">
            <w:pPr>
              <w:spacing w:after="0" w:line="240" w:lineRule="auto"/>
              <w:jc w:val="center"/>
              <w:rPr>
                <w:rFonts w:ascii="Times New Roman" w:eastAsia="Calibri" w:hAnsi="Times New Roman" w:cs="Times New Roman"/>
                <w:sz w:val="24"/>
                <w:szCs w:val="24"/>
              </w:rPr>
            </w:pPr>
          </w:p>
        </w:tc>
        <w:tc>
          <w:tcPr>
            <w:tcW w:w="997" w:type="dxa"/>
            <w:tcBorders>
              <w:top w:val="nil"/>
            </w:tcBorders>
            <w:shd w:val="clear" w:color="auto" w:fill="auto"/>
          </w:tcPr>
          <w:p w:rsidR="008F3AF5" w:rsidRPr="00115EE6" w:rsidRDefault="008F3AF5" w:rsidP="00115EE6">
            <w:pPr>
              <w:spacing w:after="0" w:line="240" w:lineRule="auto"/>
              <w:jc w:val="center"/>
              <w:rPr>
                <w:rFonts w:ascii="Times New Roman" w:eastAsia="Calibri" w:hAnsi="Times New Roman" w:cs="Times New Roman"/>
                <w:sz w:val="24"/>
                <w:szCs w:val="24"/>
              </w:rPr>
            </w:pPr>
          </w:p>
        </w:tc>
        <w:tc>
          <w:tcPr>
            <w:tcW w:w="1367" w:type="dxa"/>
            <w:tcBorders>
              <w:top w:val="nil"/>
            </w:tcBorders>
            <w:shd w:val="clear" w:color="auto" w:fill="auto"/>
          </w:tcPr>
          <w:p w:rsidR="008F3AF5" w:rsidRPr="00115EE6" w:rsidRDefault="008F3AF5" w:rsidP="00115EE6">
            <w:pPr>
              <w:spacing w:after="0" w:line="240" w:lineRule="auto"/>
              <w:jc w:val="center"/>
              <w:rPr>
                <w:rFonts w:ascii="Times New Roman" w:eastAsia="Calibri" w:hAnsi="Times New Roman" w:cs="Times New Roman"/>
                <w:sz w:val="24"/>
                <w:szCs w:val="24"/>
              </w:rPr>
            </w:pPr>
          </w:p>
        </w:tc>
        <w:tc>
          <w:tcPr>
            <w:tcW w:w="997" w:type="dxa"/>
            <w:tcBorders>
              <w:top w:val="nil"/>
            </w:tcBorders>
            <w:shd w:val="clear" w:color="auto" w:fill="auto"/>
          </w:tcPr>
          <w:p w:rsidR="008F3AF5" w:rsidRPr="00115EE6" w:rsidRDefault="008F3AF5" w:rsidP="00115EE6">
            <w:pPr>
              <w:spacing w:after="0" w:line="240" w:lineRule="auto"/>
              <w:jc w:val="center"/>
              <w:rPr>
                <w:rFonts w:ascii="Times New Roman" w:eastAsia="Calibri" w:hAnsi="Times New Roman" w:cs="Times New Roman"/>
                <w:sz w:val="24"/>
                <w:szCs w:val="24"/>
              </w:rPr>
            </w:pPr>
          </w:p>
        </w:tc>
        <w:tc>
          <w:tcPr>
            <w:tcW w:w="1367" w:type="dxa"/>
            <w:tcBorders>
              <w:top w:val="nil"/>
            </w:tcBorders>
            <w:shd w:val="clear" w:color="auto" w:fill="auto"/>
          </w:tcPr>
          <w:p w:rsidR="008F3AF5" w:rsidRPr="00115EE6" w:rsidRDefault="008F3AF5" w:rsidP="00115EE6">
            <w:pPr>
              <w:spacing w:after="0" w:line="240" w:lineRule="auto"/>
              <w:jc w:val="center"/>
              <w:rPr>
                <w:rFonts w:ascii="Times New Roman" w:eastAsia="Calibri" w:hAnsi="Times New Roman" w:cs="Times New Roman"/>
                <w:sz w:val="24"/>
                <w:szCs w:val="24"/>
              </w:rPr>
            </w:pPr>
          </w:p>
        </w:tc>
        <w:tc>
          <w:tcPr>
            <w:tcW w:w="923" w:type="dxa"/>
            <w:shd w:val="clear" w:color="auto" w:fill="auto"/>
          </w:tcPr>
          <w:p w:rsidR="008F3AF5" w:rsidRPr="00115EE6" w:rsidRDefault="008F3AF5" w:rsidP="00115EE6">
            <w:pPr>
              <w:spacing w:after="0" w:line="240" w:lineRule="auto"/>
              <w:rPr>
                <w:rFonts w:ascii="Times New Roman" w:eastAsia="Calibri" w:hAnsi="Times New Roman" w:cs="Times New Roman"/>
                <w:sz w:val="24"/>
                <w:szCs w:val="24"/>
              </w:rPr>
            </w:pPr>
            <w:r w:rsidRPr="00115EE6">
              <w:rPr>
                <w:rFonts w:ascii="Times New Roman" w:eastAsia="Calibri" w:hAnsi="Times New Roman" w:cs="Times New Roman"/>
                <w:sz w:val="24"/>
                <w:szCs w:val="24"/>
              </w:rPr>
              <w:t>отравление</w:t>
            </w:r>
          </w:p>
        </w:tc>
        <w:tc>
          <w:tcPr>
            <w:tcW w:w="983" w:type="dxa"/>
            <w:shd w:val="clear" w:color="auto" w:fill="auto"/>
          </w:tcPr>
          <w:p w:rsidR="008F3AF5" w:rsidRPr="00115EE6" w:rsidRDefault="008F3AF5" w:rsidP="00115EE6">
            <w:pPr>
              <w:spacing w:after="0" w:line="240" w:lineRule="auto"/>
              <w:rPr>
                <w:rFonts w:ascii="Times New Roman" w:eastAsia="Calibri" w:hAnsi="Times New Roman" w:cs="Times New Roman"/>
                <w:sz w:val="24"/>
                <w:szCs w:val="24"/>
              </w:rPr>
            </w:pPr>
            <w:r w:rsidRPr="00115EE6">
              <w:rPr>
                <w:rFonts w:ascii="Times New Roman" w:eastAsia="Calibri" w:hAnsi="Times New Roman" w:cs="Times New Roman"/>
                <w:sz w:val="24"/>
                <w:szCs w:val="24"/>
              </w:rPr>
              <w:t>заболевание</w:t>
            </w:r>
          </w:p>
        </w:tc>
        <w:tc>
          <w:tcPr>
            <w:tcW w:w="631" w:type="dxa"/>
            <w:shd w:val="clear" w:color="auto" w:fill="auto"/>
          </w:tcPr>
          <w:p w:rsidR="008F3AF5" w:rsidRPr="00115EE6" w:rsidRDefault="008F3AF5" w:rsidP="00115EE6">
            <w:pPr>
              <w:spacing w:after="0" w:line="240" w:lineRule="auto"/>
              <w:rPr>
                <w:rFonts w:ascii="Times New Roman" w:eastAsia="Calibri" w:hAnsi="Times New Roman" w:cs="Times New Roman"/>
                <w:sz w:val="24"/>
                <w:szCs w:val="24"/>
              </w:rPr>
            </w:pPr>
            <w:r w:rsidRPr="00115EE6">
              <w:rPr>
                <w:rFonts w:ascii="Times New Roman" w:eastAsia="Calibri" w:hAnsi="Times New Roman" w:cs="Times New Roman"/>
                <w:sz w:val="24"/>
                <w:szCs w:val="24"/>
              </w:rPr>
              <w:t>острое</w:t>
            </w:r>
          </w:p>
        </w:tc>
        <w:tc>
          <w:tcPr>
            <w:tcW w:w="1008" w:type="dxa"/>
            <w:shd w:val="clear" w:color="auto" w:fill="auto"/>
          </w:tcPr>
          <w:p w:rsidR="008F3AF5" w:rsidRPr="00115EE6" w:rsidRDefault="008F3AF5" w:rsidP="00115EE6">
            <w:pPr>
              <w:spacing w:after="0" w:line="240" w:lineRule="auto"/>
              <w:rPr>
                <w:rFonts w:ascii="Times New Roman" w:eastAsia="Calibri" w:hAnsi="Times New Roman" w:cs="Times New Roman"/>
                <w:sz w:val="24"/>
                <w:szCs w:val="24"/>
              </w:rPr>
            </w:pPr>
            <w:r w:rsidRPr="00115EE6">
              <w:rPr>
                <w:rFonts w:ascii="Times New Roman" w:eastAsia="Calibri" w:hAnsi="Times New Roman" w:cs="Times New Roman"/>
                <w:sz w:val="24"/>
                <w:szCs w:val="24"/>
              </w:rPr>
              <w:t>хроническое</w:t>
            </w:r>
          </w:p>
        </w:tc>
      </w:tr>
      <w:tr w:rsidR="008F3AF5" w:rsidRPr="00115EE6" w:rsidTr="00630798">
        <w:tc>
          <w:tcPr>
            <w:tcW w:w="1298" w:type="dxa"/>
            <w:shd w:val="clear" w:color="auto" w:fill="auto"/>
          </w:tcPr>
          <w:p w:rsidR="008F3AF5" w:rsidRPr="00115EE6" w:rsidRDefault="008F3AF5" w:rsidP="00115EE6">
            <w:pPr>
              <w:spacing w:after="0" w:line="240" w:lineRule="auto"/>
              <w:jc w:val="center"/>
              <w:rPr>
                <w:rFonts w:ascii="Times New Roman" w:eastAsia="Calibri" w:hAnsi="Times New Roman" w:cs="Times New Roman"/>
                <w:sz w:val="24"/>
                <w:szCs w:val="24"/>
              </w:rPr>
            </w:pPr>
            <w:r w:rsidRPr="00115EE6">
              <w:rPr>
                <w:rFonts w:ascii="Times New Roman" w:eastAsia="Calibri" w:hAnsi="Times New Roman" w:cs="Times New Roman"/>
                <w:sz w:val="24"/>
                <w:szCs w:val="24"/>
              </w:rPr>
              <w:lastRenderedPageBreak/>
              <w:t>Здравоохранение</w:t>
            </w:r>
          </w:p>
        </w:tc>
        <w:tc>
          <w:tcPr>
            <w:tcW w:w="997" w:type="dxa"/>
            <w:shd w:val="clear" w:color="auto" w:fill="auto"/>
          </w:tcPr>
          <w:p w:rsidR="008F3AF5" w:rsidRPr="00115EE6" w:rsidRDefault="008F3AF5" w:rsidP="00115EE6">
            <w:pPr>
              <w:spacing w:after="0" w:line="240" w:lineRule="auto"/>
              <w:jc w:val="center"/>
              <w:rPr>
                <w:rFonts w:ascii="Times New Roman" w:eastAsia="Calibri" w:hAnsi="Times New Roman" w:cs="Times New Roman"/>
                <w:sz w:val="24"/>
                <w:szCs w:val="24"/>
              </w:rPr>
            </w:pPr>
            <w:r w:rsidRPr="00115EE6">
              <w:rPr>
                <w:rFonts w:ascii="Times New Roman" w:eastAsia="Calibri" w:hAnsi="Times New Roman" w:cs="Times New Roman"/>
                <w:sz w:val="24"/>
                <w:szCs w:val="24"/>
              </w:rPr>
              <w:t>1</w:t>
            </w:r>
          </w:p>
        </w:tc>
        <w:tc>
          <w:tcPr>
            <w:tcW w:w="1367" w:type="dxa"/>
            <w:shd w:val="clear" w:color="auto" w:fill="auto"/>
          </w:tcPr>
          <w:p w:rsidR="008F3AF5" w:rsidRPr="00115EE6" w:rsidRDefault="008F3AF5" w:rsidP="00115EE6">
            <w:pPr>
              <w:spacing w:after="0" w:line="240" w:lineRule="auto"/>
              <w:jc w:val="center"/>
              <w:rPr>
                <w:rFonts w:ascii="Times New Roman" w:eastAsia="Calibri" w:hAnsi="Times New Roman" w:cs="Times New Roman"/>
                <w:sz w:val="24"/>
                <w:szCs w:val="24"/>
              </w:rPr>
            </w:pPr>
            <w:r w:rsidRPr="00115EE6">
              <w:rPr>
                <w:rFonts w:ascii="Times New Roman" w:eastAsia="Calibri" w:hAnsi="Times New Roman" w:cs="Times New Roman"/>
                <w:sz w:val="24"/>
                <w:szCs w:val="24"/>
              </w:rPr>
              <w:t>1</w:t>
            </w:r>
          </w:p>
        </w:tc>
        <w:tc>
          <w:tcPr>
            <w:tcW w:w="997" w:type="dxa"/>
            <w:shd w:val="clear" w:color="auto" w:fill="auto"/>
          </w:tcPr>
          <w:p w:rsidR="008F3AF5" w:rsidRPr="00115EE6" w:rsidRDefault="008F3AF5" w:rsidP="00115EE6">
            <w:pPr>
              <w:spacing w:after="0" w:line="240" w:lineRule="auto"/>
              <w:jc w:val="center"/>
              <w:rPr>
                <w:rFonts w:ascii="Times New Roman" w:eastAsia="Calibri" w:hAnsi="Times New Roman" w:cs="Times New Roman"/>
                <w:sz w:val="24"/>
                <w:szCs w:val="24"/>
              </w:rPr>
            </w:pPr>
            <w:r w:rsidRPr="00115EE6">
              <w:rPr>
                <w:rFonts w:ascii="Times New Roman" w:eastAsia="Calibri" w:hAnsi="Times New Roman" w:cs="Times New Roman"/>
                <w:sz w:val="24"/>
                <w:szCs w:val="24"/>
              </w:rPr>
              <w:t>1</w:t>
            </w:r>
          </w:p>
        </w:tc>
        <w:tc>
          <w:tcPr>
            <w:tcW w:w="1367" w:type="dxa"/>
            <w:shd w:val="clear" w:color="auto" w:fill="auto"/>
          </w:tcPr>
          <w:p w:rsidR="008F3AF5" w:rsidRPr="00115EE6" w:rsidRDefault="008F3AF5" w:rsidP="00115EE6">
            <w:pPr>
              <w:spacing w:after="0" w:line="240" w:lineRule="auto"/>
              <w:jc w:val="center"/>
              <w:rPr>
                <w:rFonts w:ascii="Times New Roman" w:eastAsia="Calibri" w:hAnsi="Times New Roman" w:cs="Times New Roman"/>
                <w:sz w:val="24"/>
                <w:szCs w:val="24"/>
              </w:rPr>
            </w:pPr>
            <w:r w:rsidRPr="00115EE6">
              <w:rPr>
                <w:rFonts w:ascii="Times New Roman" w:eastAsia="Calibri" w:hAnsi="Times New Roman" w:cs="Times New Roman"/>
                <w:sz w:val="24"/>
                <w:szCs w:val="24"/>
              </w:rPr>
              <w:t>1</w:t>
            </w:r>
          </w:p>
        </w:tc>
        <w:tc>
          <w:tcPr>
            <w:tcW w:w="923" w:type="dxa"/>
            <w:shd w:val="clear" w:color="auto" w:fill="auto"/>
          </w:tcPr>
          <w:p w:rsidR="008F3AF5" w:rsidRPr="00115EE6" w:rsidRDefault="008F3AF5" w:rsidP="00115EE6">
            <w:pPr>
              <w:spacing w:after="0" w:line="240" w:lineRule="auto"/>
              <w:rPr>
                <w:rFonts w:ascii="Times New Roman" w:eastAsia="Calibri" w:hAnsi="Times New Roman" w:cs="Times New Roman"/>
                <w:sz w:val="24"/>
                <w:szCs w:val="24"/>
              </w:rPr>
            </w:pPr>
          </w:p>
        </w:tc>
        <w:tc>
          <w:tcPr>
            <w:tcW w:w="983" w:type="dxa"/>
            <w:shd w:val="clear" w:color="auto" w:fill="auto"/>
          </w:tcPr>
          <w:p w:rsidR="008F3AF5" w:rsidRPr="00115EE6" w:rsidRDefault="008F3AF5" w:rsidP="00115EE6">
            <w:pPr>
              <w:spacing w:after="0" w:line="240" w:lineRule="auto"/>
              <w:rPr>
                <w:rFonts w:ascii="Times New Roman" w:eastAsia="Calibri" w:hAnsi="Times New Roman" w:cs="Times New Roman"/>
                <w:sz w:val="24"/>
                <w:szCs w:val="24"/>
              </w:rPr>
            </w:pPr>
            <w:r w:rsidRPr="00115EE6">
              <w:rPr>
                <w:rFonts w:ascii="Times New Roman" w:eastAsia="Calibri" w:hAnsi="Times New Roman" w:cs="Times New Roman"/>
                <w:sz w:val="24"/>
                <w:szCs w:val="24"/>
              </w:rPr>
              <w:t>1</w:t>
            </w:r>
          </w:p>
        </w:tc>
        <w:tc>
          <w:tcPr>
            <w:tcW w:w="631" w:type="dxa"/>
            <w:shd w:val="clear" w:color="auto" w:fill="auto"/>
          </w:tcPr>
          <w:p w:rsidR="008F3AF5" w:rsidRPr="00115EE6" w:rsidRDefault="008F3AF5" w:rsidP="00115EE6">
            <w:pPr>
              <w:spacing w:after="0" w:line="240" w:lineRule="auto"/>
              <w:rPr>
                <w:rFonts w:ascii="Times New Roman" w:eastAsia="Calibri" w:hAnsi="Times New Roman" w:cs="Times New Roman"/>
                <w:sz w:val="24"/>
                <w:szCs w:val="24"/>
              </w:rPr>
            </w:pPr>
            <w:r w:rsidRPr="00115EE6">
              <w:rPr>
                <w:rFonts w:ascii="Times New Roman" w:eastAsia="Calibri" w:hAnsi="Times New Roman" w:cs="Times New Roman"/>
                <w:sz w:val="24"/>
                <w:szCs w:val="24"/>
              </w:rPr>
              <w:t>1</w:t>
            </w:r>
          </w:p>
        </w:tc>
        <w:tc>
          <w:tcPr>
            <w:tcW w:w="1008" w:type="dxa"/>
            <w:shd w:val="clear" w:color="auto" w:fill="auto"/>
          </w:tcPr>
          <w:p w:rsidR="008F3AF5" w:rsidRPr="00115EE6" w:rsidRDefault="008F3AF5" w:rsidP="00115EE6">
            <w:pPr>
              <w:spacing w:after="0" w:line="240" w:lineRule="auto"/>
              <w:rPr>
                <w:rFonts w:ascii="Times New Roman" w:eastAsia="Calibri" w:hAnsi="Times New Roman" w:cs="Times New Roman"/>
                <w:sz w:val="24"/>
                <w:szCs w:val="24"/>
              </w:rPr>
            </w:pPr>
          </w:p>
        </w:tc>
      </w:tr>
    </w:tbl>
    <w:p w:rsidR="008F3AF5" w:rsidRPr="00115EE6" w:rsidRDefault="008F3AF5" w:rsidP="00115EE6">
      <w:pPr>
        <w:suppressAutoHyphens/>
        <w:spacing w:after="0" w:line="240" w:lineRule="auto"/>
        <w:jc w:val="both"/>
        <w:rPr>
          <w:rFonts w:ascii="Times New Roman" w:hAnsi="Times New Roman" w:cs="Times New Roman"/>
          <w:sz w:val="24"/>
          <w:szCs w:val="24"/>
          <w:highlight w:val="yellow"/>
        </w:rPr>
      </w:pPr>
    </w:p>
    <w:p w:rsidR="008F3AF5" w:rsidRPr="008F3AF5" w:rsidRDefault="008F3AF5" w:rsidP="008F3AF5">
      <w:pPr>
        <w:spacing w:after="0" w:line="240" w:lineRule="auto"/>
        <w:jc w:val="center"/>
        <w:rPr>
          <w:rFonts w:ascii="Times New Roman" w:eastAsia="Times New Roman" w:hAnsi="Times New Roman" w:cs="Times New Roman"/>
          <w:b/>
          <w:sz w:val="24"/>
          <w:szCs w:val="24"/>
          <w:lang w:eastAsia="ru-RU"/>
        </w:rPr>
      </w:pPr>
      <w:r w:rsidRPr="008F3AF5">
        <w:rPr>
          <w:rFonts w:ascii="Times New Roman" w:eastAsia="Times New Roman" w:hAnsi="Times New Roman" w:cs="Times New Roman"/>
          <w:b/>
          <w:sz w:val="24"/>
          <w:szCs w:val="24"/>
          <w:lang w:eastAsia="ru-RU"/>
        </w:rPr>
        <w:t xml:space="preserve">Динамика профессиональной заболеваемости в </w:t>
      </w:r>
      <w:proofErr w:type="gramStart"/>
      <w:r w:rsidRPr="008F3AF5">
        <w:rPr>
          <w:rFonts w:ascii="Times New Roman" w:eastAsia="Times New Roman" w:hAnsi="Times New Roman" w:cs="Times New Roman"/>
          <w:b/>
          <w:sz w:val="24"/>
          <w:szCs w:val="24"/>
          <w:lang w:eastAsia="ru-RU"/>
        </w:rPr>
        <w:t>сравнении  2018</w:t>
      </w:r>
      <w:proofErr w:type="gramEnd"/>
      <w:r w:rsidRPr="008F3AF5">
        <w:rPr>
          <w:rFonts w:ascii="Times New Roman" w:eastAsia="Times New Roman" w:hAnsi="Times New Roman" w:cs="Times New Roman"/>
          <w:b/>
          <w:sz w:val="24"/>
          <w:szCs w:val="24"/>
          <w:lang w:eastAsia="ru-RU"/>
        </w:rPr>
        <w:t xml:space="preserve"> по 2020</w:t>
      </w:r>
    </w:p>
    <w:p w:rsidR="008F3AF5" w:rsidRPr="008F3AF5" w:rsidRDefault="008F3AF5" w:rsidP="008F3AF5">
      <w:pPr>
        <w:spacing w:after="0" w:line="240" w:lineRule="auto"/>
        <w:jc w:val="center"/>
        <w:rPr>
          <w:rFonts w:ascii="Times New Roman" w:eastAsia="Times New Roman" w:hAnsi="Times New Roman" w:cs="Times New Roman"/>
          <w:b/>
          <w:sz w:val="24"/>
          <w:szCs w:val="24"/>
          <w:lang w:eastAsia="ru-RU"/>
        </w:rPr>
      </w:pPr>
      <w:r w:rsidRPr="008F3AF5">
        <w:rPr>
          <w:rFonts w:ascii="Times New Roman" w:eastAsia="Times New Roman" w:hAnsi="Times New Roman" w:cs="Times New Roman"/>
          <w:b/>
          <w:sz w:val="24"/>
          <w:szCs w:val="24"/>
          <w:lang w:eastAsia="ru-RU"/>
        </w:rPr>
        <w:t>годы</w:t>
      </w:r>
    </w:p>
    <w:p w:rsidR="008F3AF5" w:rsidRPr="008F3AF5" w:rsidRDefault="008F3AF5" w:rsidP="008F3AF5">
      <w:pPr>
        <w:spacing w:after="0" w:line="240" w:lineRule="auto"/>
        <w:jc w:val="center"/>
        <w:rPr>
          <w:rFonts w:ascii="Times New Roman" w:eastAsia="Times New Roman" w:hAnsi="Times New Roman" w:cs="Times New Roman"/>
          <w:b/>
          <w:sz w:val="24"/>
          <w:szCs w:val="24"/>
          <w:lang w:eastAsia="ru-RU"/>
        </w:rPr>
      </w:pP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1984"/>
        <w:gridCol w:w="2083"/>
        <w:gridCol w:w="2282"/>
        <w:gridCol w:w="1980"/>
      </w:tblGrid>
      <w:tr w:rsidR="008F3AF5" w:rsidRPr="008F3AF5" w:rsidTr="00630798">
        <w:tc>
          <w:tcPr>
            <w:tcW w:w="959" w:type="dxa"/>
            <w:vMerge w:val="restart"/>
            <w:tcBorders>
              <w:top w:val="single" w:sz="6" w:space="0" w:color="auto"/>
              <w:left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ab/>
              <w:t>Год</w:t>
            </w:r>
          </w:p>
        </w:tc>
        <w:tc>
          <w:tcPr>
            <w:tcW w:w="4067" w:type="dxa"/>
            <w:gridSpan w:val="2"/>
            <w:tcBorders>
              <w:top w:val="single" w:sz="6" w:space="0" w:color="auto"/>
              <w:left w:val="single" w:sz="6" w:space="0" w:color="auto"/>
              <w:bottom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Острая проф. патология</w:t>
            </w:r>
          </w:p>
        </w:tc>
        <w:tc>
          <w:tcPr>
            <w:tcW w:w="2282" w:type="dxa"/>
            <w:vMerge w:val="restart"/>
            <w:tcBorders>
              <w:top w:val="single" w:sz="6" w:space="0" w:color="auto"/>
              <w:left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Хроническая проф. патология</w:t>
            </w:r>
          </w:p>
        </w:tc>
        <w:tc>
          <w:tcPr>
            <w:tcW w:w="1980" w:type="dxa"/>
            <w:vMerge w:val="restart"/>
            <w:tcBorders>
              <w:top w:val="single" w:sz="6" w:space="0" w:color="auto"/>
              <w:left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Показатель на 10000</w:t>
            </w:r>
          </w:p>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работающих</w:t>
            </w:r>
          </w:p>
        </w:tc>
      </w:tr>
      <w:tr w:rsidR="008F3AF5" w:rsidRPr="008F3AF5" w:rsidTr="00630798">
        <w:tc>
          <w:tcPr>
            <w:tcW w:w="959" w:type="dxa"/>
            <w:vMerge/>
            <w:tcBorders>
              <w:left w:val="single" w:sz="6" w:space="0" w:color="auto"/>
              <w:bottom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Проф. Отравлений</w:t>
            </w:r>
          </w:p>
        </w:tc>
        <w:tc>
          <w:tcPr>
            <w:tcW w:w="2083" w:type="dxa"/>
            <w:tcBorders>
              <w:top w:val="single" w:sz="6" w:space="0" w:color="auto"/>
              <w:left w:val="single" w:sz="6" w:space="0" w:color="auto"/>
              <w:bottom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Проф. заболеваний</w:t>
            </w:r>
          </w:p>
        </w:tc>
        <w:tc>
          <w:tcPr>
            <w:tcW w:w="2282" w:type="dxa"/>
            <w:vMerge/>
            <w:tcBorders>
              <w:left w:val="single" w:sz="6" w:space="0" w:color="auto"/>
              <w:bottom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p>
        </w:tc>
        <w:tc>
          <w:tcPr>
            <w:tcW w:w="1980" w:type="dxa"/>
            <w:vMerge/>
            <w:tcBorders>
              <w:left w:val="single" w:sz="6" w:space="0" w:color="auto"/>
              <w:bottom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p>
        </w:tc>
      </w:tr>
      <w:tr w:rsidR="008F3AF5" w:rsidRPr="008F3AF5" w:rsidTr="00630798">
        <w:tc>
          <w:tcPr>
            <w:tcW w:w="959" w:type="dxa"/>
            <w:tcBorders>
              <w:top w:val="single" w:sz="6" w:space="0" w:color="auto"/>
              <w:left w:val="single" w:sz="6" w:space="0" w:color="auto"/>
              <w:bottom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2018</w:t>
            </w:r>
          </w:p>
        </w:tc>
        <w:tc>
          <w:tcPr>
            <w:tcW w:w="1984" w:type="dxa"/>
            <w:tcBorders>
              <w:top w:val="single" w:sz="6" w:space="0" w:color="auto"/>
              <w:left w:val="single" w:sz="6" w:space="0" w:color="auto"/>
              <w:bottom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w:t>
            </w:r>
          </w:p>
        </w:tc>
        <w:tc>
          <w:tcPr>
            <w:tcW w:w="2083" w:type="dxa"/>
            <w:tcBorders>
              <w:top w:val="single" w:sz="6" w:space="0" w:color="auto"/>
              <w:left w:val="single" w:sz="6" w:space="0" w:color="auto"/>
              <w:bottom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w:t>
            </w:r>
          </w:p>
        </w:tc>
        <w:tc>
          <w:tcPr>
            <w:tcW w:w="2282" w:type="dxa"/>
            <w:tcBorders>
              <w:top w:val="single" w:sz="6" w:space="0" w:color="auto"/>
              <w:left w:val="single" w:sz="6" w:space="0" w:color="auto"/>
              <w:bottom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5</w:t>
            </w:r>
          </w:p>
        </w:tc>
        <w:tc>
          <w:tcPr>
            <w:tcW w:w="1980" w:type="dxa"/>
            <w:tcBorders>
              <w:top w:val="single" w:sz="6" w:space="0" w:color="auto"/>
              <w:left w:val="single" w:sz="6" w:space="0" w:color="auto"/>
              <w:bottom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0,96</w:t>
            </w:r>
          </w:p>
        </w:tc>
      </w:tr>
      <w:tr w:rsidR="008F3AF5" w:rsidRPr="008F3AF5" w:rsidTr="00630798">
        <w:tc>
          <w:tcPr>
            <w:tcW w:w="959" w:type="dxa"/>
            <w:tcBorders>
              <w:top w:val="single" w:sz="6" w:space="0" w:color="auto"/>
              <w:left w:val="single" w:sz="6" w:space="0" w:color="auto"/>
              <w:bottom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2019</w:t>
            </w:r>
          </w:p>
        </w:tc>
        <w:tc>
          <w:tcPr>
            <w:tcW w:w="1984" w:type="dxa"/>
            <w:tcBorders>
              <w:top w:val="single" w:sz="6" w:space="0" w:color="auto"/>
              <w:left w:val="single" w:sz="6" w:space="0" w:color="auto"/>
              <w:bottom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w:t>
            </w:r>
          </w:p>
        </w:tc>
        <w:tc>
          <w:tcPr>
            <w:tcW w:w="2083" w:type="dxa"/>
            <w:tcBorders>
              <w:top w:val="single" w:sz="6" w:space="0" w:color="auto"/>
              <w:left w:val="single" w:sz="6" w:space="0" w:color="auto"/>
              <w:bottom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w:t>
            </w:r>
          </w:p>
        </w:tc>
        <w:tc>
          <w:tcPr>
            <w:tcW w:w="2282" w:type="dxa"/>
            <w:tcBorders>
              <w:top w:val="single" w:sz="6" w:space="0" w:color="auto"/>
              <w:left w:val="single" w:sz="6" w:space="0" w:color="auto"/>
              <w:bottom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5</w:t>
            </w:r>
          </w:p>
        </w:tc>
        <w:tc>
          <w:tcPr>
            <w:tcW w:w="1980" w:type="dxa"/>
            <w:tcBorders>
              <w:top w:val="single" w:sz="6" w:space="0" w:color="auto"/>
              <w:left w:val="single" w:sz="6" w:space="0" w:color="auto"/>
              <w:bottom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0,96</w:t>
            </w:r>
          </w:p>
        </w:tc>
      </w:tr>
      <w:tr w:rsidR="008F3AF5" w:rsidRPr="008F3AF5" w:rsidTr="00630798">
        <w:tc>
          <w:tcPr>
            <w:tcW w:w="959" w:type="dxa"/>
            <w:tcBorders>
              <w:top w:val="single" w:sz="6" w:space="0" w:color="auto"/>
              <w:left w:val="single" w:sz="6" w:space="0" w:color="auto"/>
              <w:bottom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2020</w:t>
            </w:r>
          </w:p>
        </w:tc>
        <w:tc>
          <w:tcPr>
            <w:tcW w:w="1984" w:type="dxa"/>
            <w:tcBorders>
              <w:top w:val="single" w:sz="6" w:space="0" w:color="auto"/>
              <w:left w:val="single" w:sz="6" w:space="0" w:color="auto"/>
              <w:bottom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w:t>
            </w:r>
          </w:p>
        </w:tc>
        <w:tc>
          <w:tcPr>
            <w:tcW w:w="2083" w:type="dxa"/>
            <w:tcBorders>
              <w:top w:val="single" w:sz="6" w:space="0" w:color="auto"/>
              <w:left w:val="single" w:sz="6" w:space="0" w:color="auto"/>
              <w:bottom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w:t>
            </w:r>
          </w:p>
        </w:tc>
        <w:tc>
          <w:tcPr>
            <w:tcW w:w="2282" w:type="dxa"/>
            <w:tcBorders>
              <w:top w:val="single" w:sz="6" w:space="0" w:color="auto"/>
              <w:left w:val="single" w:sz="6" w:space="0" w:color="auto"/>
              <w:bottom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5</w:t>
            </w:r>
          </w:p>
        </w:tc>
        <w:tc>
          <w:tcPr>
            <w:tcW w:w="1980" w:type="dxa"/>
            <w:tcBorders>
              <w:top w:val="single" w:sz="6" w:space="0" w:color="auto"/>
              <w:left w:val="single" w:sz="6" w:space="0" w:color="auto"/>
              <w:bottom w:val="single" w:sz="6" w:space="0" w:color="auto"/>
              <w:right w:val="single" w:sz="6" w:space="0" w:color="auto"/>
            </w:tcBorders>
          </w:tcPr>
          <w:p w:rsidR="008F3AF5" w:rsidRPr="008F3AF5" w:rsidRDefault="008F3AF5" w:rsidP="008F3AF5">
            <w:pPr>
              <w:spacing w:after="0" w:line="240" w:lineRule="auto"/>
              <w:jc w:val="center"/>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0,96</w:t>
            </w:r>
          </w:p>
        </w:tc>
      </w:tr>
    </w:tbl>
    <w:p w:rsidR="008F3AF5" w:rsidRPr="008F3AF5" w:rsidRDefault="008F3AF5" w:rsidP="008F3AF5">
      <w:pPr>
        <w:spacing w:after="0" w:line="240" w:lineRule="auto"/>
        <w:jc w:val="right"/>
        <w:rPr>
          <w:rFonts w:ascii="Times New Roman" w:eastAsia="Times New Roman" w:hAnsi="Times New Roman" w:cs="Times New Roman"/>
          <w:sz w:val="24"/>
          <w:szCs w:val="24"/>
          <w:lang w:eastAsia="ru-RU"/>
        </w:rPr>
      </w:pPr>
    </w:p>
    <w:p w:rsidR="008F3AF5" w:rsidRPr="008F3AF5" w:rsidRDefault="00115EE6" w:rsidP="008F3AF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Диаграмма</w:t>
      </w:r>
    </w:p>
    <w:p w:rsidR="008F3AF5" w:rsidRPr="008F3AF5" w:rsidRDefault="008F3AF5" w:rsidP="008F3AF5">
      <w:pPr>
        <w:spacing w:after="0" w:line="240" w:lineRule="auto"/>
        <w:rPr>
          <w:rFonts w:ascii="Times New Roman" w:eastAsia="Times New Roman" w:hAnsi="Times New Roman" w:cs="Times New Roman"/>
          <w:sz w:val="24"/>
          <w:szCs w:val="24"/>
          <w:lang w:eastAsia="ru-RU"/>
        </w:rPr>
      </w:pPr>
      <w:r w:rsidRPr="008F3AF5">
        <w:rPr>
          <w:rFonts w:ascii="Times New Roman" w:eastAsia="Times New Roman" w:hAnsi="Times New Roman" w:cs="Times New Roman"/>
          <w:noProof/>
          <w:sz w:val="24"/>
          <w:szCs w:val="24"/>
          <w:lang w:eastAsia="ru-RU"/>
        </w:rPr>
        <w:drawing>
          <wp:inline distT="0" distB="0" distL="0" distR="0" wp14:anchorId="162DE836" wp14:editId="7A321CD5">
            <wp:extent cx="5943600" cy="243840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F3AF5" w:rsidRPr="008F3AF5" w:rsidRDefault="008F3AF5" w:rsidP="008F3AF5">
      <w:pPr>
        <w:suppressAutoHyphens/>
        <w:spacing w:after="0" w:line="240" w:lineRule="auto"/>
        <w:jc w:val="both"/>
        <w:rPr>
          <w:rFonts w:ascii="Times New Roman" w:eastAsia="Times New Roman" w:hAnsi="Times New Roman" w:cs="Times New Roman"/>
          <w:sz w:val="24"/>
          <w:szCs w:val="24"/>
          <w:highlight w:val="yellow"/>
          <w:lang w:eastAsia="ru-RU"/>
        </w:rPr>
      </w:pPr>
    </w:p>
    <w:p w:rsidR="008F3AF5" w:rsidRPr="008F3AF5" w:rsidRDefault="008F3AF5" w:rsidP="00115EE6">
      <w:pPr>
        <w:spacing w:after="0" w:line="240" w:lineRule="auto"/>
        <w:ind w:firstLine="567"/>
        <w:jc w:val="both"/>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Профессиональную заболеваемость во много определяет:</w:t>
      </w:r>
    </w:p>
    <w:p w:rsidR="008F3AF5" w:rsidRPr="008F3AF5" w:rsidRDefault="008F3AF5" w:rsidP="00115EE6">
      <w:pPr>
        <w:spacing w:after="0" w:line="240" w:lineRule="auto"/>
        <w:ind w:firstLine="567"/>
        <w:jc w:val="both"/>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-ухудшение контроля за техникой безопасности производства в результате разрушения отраслевой системы управления охраной труда, сокращения служб охраны труда на предприятиях: не соблюдение режима работы, отсутствие контроля за использованием средств защиты.</w:t>
      </w:r>
    </w:p>
    <w:p w:rsidR="008F3AF5" w:rsidRPr="008F3AF5" w:rsidRDefault="008F3AF5" w:rsidP="00115EE6">
      <w:pPr>
        <w:spacing w:after="0" w:line="240" w:lineRule="auto"/>
        <w:ind w:firstLine="567"/>
        <w:jc w:val="both"/>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 xml:space="preserve">-ослабление ответственности работодателей и руководителей производств за состояние условий труда и охраны труда. </w:t>
      </w:r>
    </w:p>
    <w:p w:rsidR="008F3AF5" w:rsidRPr="008F3AF5" w:rsidRDefault="008F3AF5" w:rsidP="00115EE6">
      <w:pPr>
        <w:spacing w:after="0" w:line="240" w:lineRule="auto"/>
        <w:ind w:firstLine="567"/>
        <w:jc w:val="both"/>
        <w:rPr>
          <w:rFonts w:ascii="Times New Roman" w:eastAsia="Times New Roman" w:hAnsi="Times New Roman" w:cs="Times New Roman"/>
          <w:sz w:val="24"/>
          <w:szCs w:val="24"/>
          <w:lang w:eastAsia="ru-RU"/>
        </w:rPr>
      </w:pPr>
      <w:r w:rsidRPr="008F3AF5">
        <w:rPr>
          <w:rFonts w:ascii="Times New Roman" w:eastAsia="Times New Roman" w:hAnsi="Times New Roman" w:cs="Times New Roman"/>
          <w:sz w:val="24"/>
          <w:szCs w:val="24"/>
          <w:lang w:eastAsia="ru-RU"/>
        </w:rPr>
        <w:t>-закупка и использование техники по своим шумовым и вибрационным характеристикам не соответствующей требованиям нормативных актов.</w:t>
      </w:r>
    </w:p>
    <w:p w:rsidR="008F3AF5" w:rsidRPr="008F3AF5" w:rsidRDefault="008F3AF5" w:rsidP="008F3AF5">
      <w:pPr>
        <w:spacing w:after="0" w:line="240" w:lineRule="auto"/>
        <w:jc w:val="both"/>
        <w:rPr>
          <w:rFonts w:ascii="Times New Roman" w:hAnsi="Times New Roman" w:cs="Times New Roman"/>
          <w:sz w:val="24"/>
          <w:szCs w:val="24"/>
        </w:rPr>
      </w:pPr>
      <w:r w:rsidRPr="008F3AF5">
        <w:rPr>
          <w:sz w:val="24"/>
          <w:szCs w:val="24"/>
        </w:rPr>
        <w:t xml:space="preserve">               </w:t>
      </w:r>
      <w:r w:rsidRPr="008F3AF5">
        <w:rPr>
          <w:rFonts w:ascii="Times New Roman" w:hAnsi="Times New Roman" w:cs="Times New Roman"/>
          <w:sz w:val="24"/>
          <w:szCs w:val="24"/>
        </w:rPr>
        <w:t xml:space="preserve">Медицинские осмотры </w:t>
      </w:r>
      <w:proofErr w:type="gramStart"/>
      <w:r w:rsidRPr="008F3AF5">
        <w:rPr>
          <w:rFonts w:ascii="Times New Roman" w:hAnsi="Times New Roman" w:cs="Times New Roman"/>
          <w:sz w:val="24"/>
          <w:szCs w:val="24"/>
        </w:rPr>
        <w:t>лиц</w:t>
      </w:r>
      <w:proofErr w:type="gramEnd"/>
      <w:r w:rsidRPr="008F3AF5">
        <w:rPr>
          <w:rFonts w:ascii="Times New Roman" w:hAnsi="Times New Roman" w:cs="Times New Roman"/>
          <w:sz w:val="24"/>
          <w:szCs w:val="24"/>
        </w:rPr>
        <w:t xml:space="preserve"> занятых на вредных и опасных производствах организованы на базе поликлиники №1 БУ ХМАО-Югры «Нефтеюганская окружная клиническая больница им. В.И.Яцкив</w:t>
      </w:r>
      <w:proofErr w:type="gramStart"/>
      <w:r w:rsidRPr="008F3AF5">
        <w:rPr>
          <w:rFonts w:ascii="Times New Roman" w:hAnsi="Times New Roman" w:cs="Times New Roman"/>
          <w:sz w:val="24"/>
          <w:szCs w:val="24"/>
        </w:rPr>
        <w:t>»,  ООО</w:t>
      </w:r>
      <w:proofErr w:type="gramEnd"/>
      <w:r w:rsidRPr="008F3AF5">
        <w:rPr>
          <w:rFonts w:ascii="Times New Roman" w:hAnsi="Times New Roman" w:cs="Times New Roman"/>
          <w:sz w:val="24"/>
          <w:szCs w:val="24"/>
        </w:rPr>
        <w:t xml:space="preserve"> ЛУ  «Витамин+»,  БУ ХМАО-Югры   «Пыть-Яхская окружная больница»,  БУ ХМАО-Югры  «Нефтеюганская районная больница», ООО «Профэнергомед», ООО «Юганский медицинский центр». Работники подразделений ООО «ГазпромТрансСургут» КС-5 и КС-6 </w:t>
      </w:r>
      <w:proofErr w:type="gramStart"/>
      <w:r w:rsidRPr="008F3AF5">
        <w:rPr>
          <w:rFonts w:ascii="Times New Roman" w:hAnsi="Times New Roman" w:cs="Times New Roman"/>
          <w:sz w:val="24"/>
          <w:szCs w:val="24"/>
        </w:rPr>
        <w:t>проходят  ПМО</w:t>
      </w:r>
      <w:proofErr w:type="gramEnd"/>
      <w:r w:rsidRPr="008F3AF5">
        <w:rPr>
          <w:rFonts w:ascii="Times New Roman" w:hAnsi="Times New Roman" w:cs="Times New Roman"/>
          <w:sz w:val="24"/>
          <w:szCs w:val="24"/>
        </w:rPr>
        <w:t xml:space="preserve"> в ведомственной организации МСЧ ООО «ГазпромТрансСургут».</w:t>
      </w:r>
    </w:p>
    <w:p w:rsidR="008F3AF5" w:rsidRPr="008F3AF5" w:rsidRDefault="008F3AF5" w:rsidP="008F3AF5">
      <w:pPr>
        <w:suppressAutoHyphens/>
        <w:spacing w:after="0" w:line="240" w:lineRule="auto"/>
        <w:jc w:val="both"/>
        <w:rPr>
          <w:rFonts w:ascii="Times New Roman" w:hAnsi="Times New Roman" w:cs="Times New Roman"/>
          <w:sz w:val="24"/>
          <w:szCs w:val="24"/>
        </w:rPr>
      </w:pPr>
      <w:r w:rsidRPr="008F3AF5">
        <w:rPr>
          <w:rFonts w:ascii="Times New Roman" w:hAnsi="Times New Roman" w:cs="Times New Roman"/>
          <w:sz w:val="24"/>
          <w:szCs w:val="24"/>
        </w:rPr>
        <w:t xml:space="preserve">                В соответствии с Приказом Министерства здравоохранения и социального развития Российской Федерации (Минздравсоцразвития России) от 12 апреля </w:t>
      </w:r>
      <w:smartTag w:uri="urn:schemas-microsoft-com:office:smarttags" w:element="metricconverter">
        <w:smartTagPr>
          <w:attr w:name="ProductID" w:val="2011 г"/>
        </w:smartTagPr>
        <w:r w:rsidRPr="008F3AF5">
          <w:rPr>
            <w:rFonts w:ascii="Times New Roman" w:hAnsi="Times New Roman" w:cs="Times New Roman"/>
            <w:sz w:val="24"/>
            <w:szCs w:val="24"/>
          </w:rPr>
          <w:t>2011 г</w:t>
        </w:r>
      </w:smartTag>
      <w:r w:rsidRPr="008F3AF5">
        <w:rPr>
          <w:rFonts w:ascii="Times New Roman" w:hAnsi="Times New Roman" w:cs="Times New Roman"/>
          <w:sz w:val="24"/>
          <w:szCs w:val="24"/>
        </w:rPr>
        <w:t xml:space="preserve">. N 302н г.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в отдел поступило заключительных актов по результатам ПМО 437, списков контингентов подлежащих периодическим медицинским осмотрам </w:t>
      </w:r>
      <w:r w:rsidRPr="0023160C">
        <w:rPr>
          <w:rFonts w:ascii="Times New Roman" w:hAnsi="Times New Roman" w:cs="Times New Roman"/>
          <w:sz w:val="24"/>
          <w:szCs w:val="24"/>
        </w:rPr>
        <w:t>47,</w:t>
      </w:r>
      <w:r w:rsidRPr="008F3AF5">
        <w:rPr>
          <w:rFonts w:ascii="Times New Roman" w:hAnsi="Times New Roman" w:cs="Times New Roman"/>
          <w:sz w:val="24"/>
          <w:szCs w:val="24"/>
        </w:rPr>
        <w:t xml:space="preserve"> в основном списки </w:t>
      </w:r>
      <w:r w:rsidRPr="008F3AF5">
        <w:rPr>
          <w:rFonts w:ascii="Times New Roman" w:hAnsi="Times New Roman" w:cs="Times New Roman"/>
          <w:sz w:val="24"/>
          <w:szCs w:val="24"/>
        </w:rPr>
        <w:lastRenderedPageBreak/>
        <w:t xml:space="preserve">предоставляются муниципальными учреждениями (школы и детские сады). Списки </w:t>
      </w:r>
      <w:proofErr w:type="gramStart"/>
      <w:r w:rsidRPr="008F3AF5">
        <w:rPr>
          <w:rFonts w:ascii="Times New Roman" w:hAnsi="Times New Roman" w:cs="Times New Roman"/>
          <w:sz w:val="24"/>
          <w:szCs w:val="24"/>
        </w:rPr>
        <w:t>и  заключительные</w:t>
      </w:r>
      <w:proofErr w:type="gramEnd"/>
      <w:r w:rsidRPr="008F3AF5">
        <w:rPr>
          <w:rFonts w:ascii="Times New Roman" w:hAnsi="Times New Roman" w:cs="Times New Roman"/>
          <w:sz w:val="24"/>
          <w:szCs w:val="24"/>
        </w:rPr>
        <w:t xml:space="preserve"> акты поступают как из промпредприятий, так и из учреждений здравоохранения, образования, коммунальных объектов.</w:t>
      </w:r>
    </w:p>
    <w:p w:rsidR="008F3AF5" w:rsidRPr="008F3AF5" w:rsidRDefault="008F3AF5" w:rsidP="0023160C">
      <w:pPr>
        <w:suppressAutoHyphens/>
        <w:spacing w:after="0" w:line="240" w:lineRule="auto"/>
        <w:ind w:firstLine="567"/>
        <w:jc w:val="both"/>
        <w:rPr>
          <w:rFonts w:ascii="Times New Roman" w:hAnsi="Times New Roman" w:cs="Times New Roman"/>
          <w:sz w:val="24"/>
          <w:szCs w:val="24"/>
        </w:rPr>
      </w:pPr>
      <w:r w:rsidRPr="008F3AF5">
        <w:rPr>
          <w:rFonts w:ascii="Times New Roman" w:hAnsi="Times New Roman" w:cs="Times New Roman"/>
          <w:sz w:val="24"/>
          <w:szCs w:val="24"/>
        </w:rPr>
        <w:t>Основные замечания при оформлении заключительных актов:</w:t>
      </w:r>
    </w:p>
    <w:p w:rsidR="008F3AF5" w:rsidRPr="008F3AF5" w:rsidRDefault="008F3AF5" w:rsidP="0023160C">
      <w:pPr>
        <w:numPr>
          <w:ilvl w:val="0"/>
          <w:numId w:val="2"/>
        </w:numPr>
        <w:suppressAutoHyphens/>
        <w:spacing w:after="0" w:line="240" w:lineRule="auto"/>
        <w:ind w:left="0" w:firstLine="567"/>
        <w:jc w:val="both"/>
        <w:rPr>
          <w:rFonts w:ascii="Times New Roman" w:hAnsi="Times New Roman" w:cs="Times New Roman"/>
          <w:sz w:val="24"/>
          <w:szCs w:val="24"/>
        </w:rPr>
      </w:pPr>
      <w:r w:rsidRPr="008F3AF5">
        <w:rPr>
          <w:rFonts w:ascii="Times New Roman" w:hAnsi="Times New Roman" w:cs="Times New Roman"/>
          <w:sz w:val="24"/>
          <w:szCs w:val="24"/>
        </w:rPr>
        <w:t>К заключительных актам не прикладываются списки лиц прошедших периодический медицинский осмотр, Нарушение п.43 Приказа №302н.</w:t>
      </w:r>
    </w:p>
    <w:p w:rsidR="008F3AF5" w:rsidRPr="008F3AF5" w:rsidRDefault="008F3AF5" w:rsidP="0023160C">
      <w:pPr>
        <w:pStyle w:val="ConsPlusNormal"/>
        <w:numPr>
          <w:ilvl w:val="0"/>
          <w:numId w:val="2"/>
        </w:numPr>
        <w:ind w:left="0" w:firstLine="567"/>
        <w:jc w:val="both"/>
        <w:rPr>
          <w:rFonts w:ascii="Times New Roman" w:hAnsi="Times New Roman" w:cs="Times New Roman"/>
          <w:sz w:val="24"/>
          <w:szCs w:val="24"/>
        </w:rPr>
      </w:pPr>
      <w:r w:rsidRPr="008F3AF5">
        <w:rPr>
          <w:rFonts w:ascii="Times New Roman" w:hAnsi="Times New Roman" w:cs="Times New Roman"/>
          <w:sz w:val="24"/>
          <w:szCs w:val="24"/>
        </w:rPr>
        <w:t>В заключительных актах зачастую указывается не общая численность работников, занятых на тяжелых работах и на работах с вредными и (или) опасными условиями труда, а численность работников, занятых на тяжелых работах и на работах с вредными и (или) опасными условиями труда подлежащих осмотру в текущем году. Нарушение п.43 Приказа №302н.</w:t>
      </w:r>
    </w:p>
    <w:p w:rsidR="008F3AF5" w:rsidRPr="008F3AF5" w:rsidRDefault="008F3AF5" w:rsidP="0023160C">
      <w:pPr>
        <w:pStyle w:val="ConsPlusNormal"/>
        <w:numPr>
          <w:ilvl w:val="0"/>
          <w:numId w:val="2"/>
        </w:numPr>
        <w:ind w:left="0" w:firstLine="567"/>
        <w:jc w:val="both"/>
        <w:rPr>
          <w:rFonts w:ascii="Times New Roman" w:hAnsi="Times New Roman" w:cs="Times New Roman"/>
          <w:sz w:val="24"/>
          <w:szCs w:val="24"/>
        </w:rPr>
      </w:pPr>
      <w:r w:rsidRPr="008F3AF5">
        <w:rPr>
          <w:rFonts w:ascii="Times New Roman" w:hAnsi="Times New Roman" w:cs="Times New Roman"/>
          <w:sz w:val="24"/>
          <w:szCs w:val="24"/>
        </w:rPr>
        <w:t>В заключительных актах отсутствуют рекомендации врачебной комиссии о прохождении работниками периодического медицинского осмотра в центре профессиональной патологии раз в 5 лет, в нарушение п. 37 Приказа №302н.</w:t>
      </w:r>
    </w:p>
    <w:p w:rsidR="008F3AF5" w:rsidRPr="008F3AF5" w:rsidRDefault="008F3AF5" w:rsidP="0023160C">
      <w:pPr>
        <w:pStyle w:val="ConsPlusNormal"/>
        <w:numPr>
          <w:ilvl w:val="0"/>
          <w:numId w:val="2"/>
        </w:numPr>
        <w:ind w:left="0" w:firstLine="567"/>
        <w:jc w:val="both"/>
        <w:rPr>
          <w:rFonts w:ascii="Times New Roman" w:hAnsi="Times New Roman" w:cs="Times New Roman"/>
          <w:sz w:val="24"/>
          <w:szCs w:val="24"/>
        </w:rPr>
      </w:pPr>
      <w:r w:rsidRPr="008F3AF5">
        <w:rPr>
          <w:rFonts w:ascii="Times New Roman" w:hAnsi="Times New Roman" w:cs="Times New Roman"/>
          <w:sz w:val="24"/>
          <w:szCs w:val="24"/>
        </w:rPr>
        <w:t>В заключительных актах отсутствует перечень работников со стажем 5 лет и более в данной профессии, в нарушение п. 37 Приказа №302н.</w:t>
      </w:r>
    </w:p>
    <w:p w:rsidR="008F3AF5" w:rsidRPr="008F3AF5" w:rsidRDefault="008F3AF5" w:rsidP="0023160C">
      <w:pPr>
        <w:pStyle w:val="ConsPlusNormal"/>
        <w:ind w:firstLine="567"/>
        <w:jc w:val="both"/>
        <w:rPr>
          <w:rFonts w:ascii="Times New Roman" w:hAnsi="Times New Roman" w:cs="Times New Roman"/>
          <w:sz w:val="24"/>
          <w:szCs w:val="24"/>
        </w:rPr>
      </w:pPr>
    </w:p>
    <w:p w:rsidR="008F3AF5" w:rsidRPr="008F3AF5" w:rsidRDefault="008F3AF5" w:rsidP="008F3AF5">
      <w:pPr>
        <w:suppressAutoHyphens/>
        <w:spacing w:after="0" w:line="240" w:lineRule="auto"/>
        <w:jc w:val="both"/>
        <w:rPr>
          <w:rFonts w:ascii="Times New Roman" w:hAnsi="Times New Roman" w:cs="Times New Roman"/>
          <w:sz w:val="24"/>
          <w:szCs w:val="24"/>
        </w:rPr>
      </w:pPr>
      <w:r w:rsidRPr="008F3AF5">
        <w:rPr>
          <w:rFonts w:ascii="Times New Roman" w:hAnsi="Times New Roman" w:cs="Times New Roman"/>
          <w:sz w:val="24"/>
          <w:szCs w:val="24"/>
        </w:rPr>
        <w:t xml:space="preserve">             В 2020г. в ходе периодических медицинских осмотров не выявлено ни одного случая профзаболевания. ПМО работников транспорта (сухопутного), работников нефтедобывающей отрасли не выполняют своей основной функции: выявление на ранней стадии признаков профессиональной патологии, вследствие чего имеет место несвоевременная диагностика начальных признаков профессиональных заболеваний, позднее выявление запущенных форм профпатологии, развитие профессиональной инвалидности.  </w:t>
      </w:r>
    </w:p>
    <w:p w:rsidR="008F3AF5" w:rsidRPr="008F3AF5" w:rsidRDefault="008F3AF5" w:rsidP="008F3AF5">
      <w:pPr>
        <w:suppressAutoHyphens/>
        <w:spacing w:after="0" w:line="240" w:lineRule="auto"/>
        <w:jc w:val="both"/>
        <w:rPr>
          <w:rFonts w:ascii="Times New Roman" w:hAnsi="Times New Roman" w:cs="Times New Roman"/>
          <w:sz w:val="24"/>
          <w:szCs w:val="24"/>
        </w:rPr>
      </w:pPr>
      <w:r w:rsidRPr="008F3AF5">
        <w:rPr>
          <w:rFonts w:ascii="Times New Roman" w:hAnsi="Times New Roman" w:cs="Times New Roman"/>
          <w:sz w:val="24"/>
          <w:szCs w:val="24"/>
        </w:rPr>
        <w:t xml:space="preserve">          Все работодатели ознакомлены  с Приказом Министерства здравоохранения и социального развития РФ от 1 марта </w:t>
      </w:r>
      <w:smartTag w:uri="urn:schemas-microsoft-com:office:smarttags" w:element="metricconverter">
        <w:smartTagPr>
          <w:attr w:name="ProductID" w:val="2012 г"/>
        </w:smartTagPr>
        <w:r w:rsidRPr="008F3AF5">
          <w:rPr>
            <w:rFonts w:ascii="Times New Roman" w:hAnsi="Times New Roman" w:cs="Times New Roman"/>
            <w:sz w:val="24"/>
            <w:szCs w:val="24"/>
          </w:rPr>
          <w:t>2012 г</w:t>
        </w:r>
      </w:smartTag>
      <w:r w:rsidRPr="008F3AF5">
        <w:rPr>
          <w:rFonts w:ascii="Times New Roman" w:hAnsi="Times New Roman" w:cs="Times New Roman"/>
          <w:sz w:val="24"/>
          <w:szCs w:val="24"/>
        </w:rPr>
        <w:t xml:space="preserve">. № 181н  «Об утверждении типового перечня ежегодно реализуемых работодателем мероприятий по улучшению условий труда и снижению уровней профессиональных рисков», на межведомственных комиссиях по охране труда в администрациях г. Нефтеюганска и Нефтеюганского района заслушаны отчеты об исполнении вышеуказанного приказа предприятиями с повышенным уровнем травматизма и профессиональной заболеваемости.  </w:t>
      </w:r>
    </w:p>
    <w:p w:rsidR="00630798" w:rsidRPr="00B45265" w:rsidRDefault="00630798" w:rsidP="00630798">
      <w:pPr>
        <w:pStyle w:val="af6"/>
        <w:tabs>
          <w:tab w:val="left" w:pos="546"/>
        </w:tabs>
        <w:spacing w:before="240" w:after="120" w:line="240" w:lineRule="auto"/>
        <w:rPr>
          <w:sz w:val="26"/>
          <w:szCs w:val="26"/>
        </w:rPr>
      </w:pPr>
      <w:r w:rsidRPr="00B45265">
        <w:rPr>
          <w:sz w:val="26"/>
          <w:szCs w:val="26"/>
        </w:rPr>
        <w:t>Глава 1.3. Сведения об  инфекционной и паразитарной заболеваемости населения по территории города Пыть-Ях (уровень, динамика, ранжирование проблем)</w:t>
      </w:r>
    </w:p>
    <w:p w:rsidR="00630798" w:rsidRPr="00582568" w:rsidRDefault="00630798" w:rsidP="00630798">
      <w:pPr>
        <w:pStyle w:val="a5"/>
        <w:ind w:firstLine="709"/>
        <w:jc w:val="both"/>
        <w:rPr>
          <w:sz w:val="24"/>
          <w:szCs w:val="24"/>
        </w:rPr>
      </w:pPr>
      <w:r w:rsidRPr="00582568">
        <w:rPr>
          <w:sz w:val="24"/>
          <w:szCs w:val="24"/>
        </w:rPr>
        <w:t>Проблема инфекционной и паразитарной заболеваемости по своей медицинской и социально – экономической значимости на территории г. Пыть – Ях остается достаточно актуальной.</w:t>
      </w:r>
    </w:p>
    <w:p w:rsidR="00630798" w:rsidRPr="0078530C" w:rsidRDefault="00630798" w:rsidP="00630798">
      <w:pPr>
        <w:pStyle w:val="a5"/>
        <w:ind w:firstLine="709"/>
        <w:jc w:val="both"/>
        <w:rPr>
          <w:sz w:val="24"/>
          <w:szCs w:val="24"/>
        </w:rPr>
      </w:pPr>
      <w:r w:rsidRPr="0078530C">
        <w:rPr>
          <w:sz w:val="24"/>
          <w:szCs w:val="24"/>
        </w:rPr>
        <w:t xml:space="preserve">На территории г. Пыть – Ях в </w:t>
      </w:r>
      <w:r w:rsidRPr="0078530C">
        <w:rPr>
          <w:sz w:val="24"/>
          <w:szCs w:val="24"/>
          <w:lang w:val="ru-RU"/>
        </w:rPr>
        <w:t xml:space="preserve"> 2020году сумма всех инфекционных и паразитарных заболеваний  составила заболеваний 204</w:t>
      </w:r>
      <w:r>
        <w:rPr>
          <w:sz w:val="24"/>
          <w:szCs w:val="24"/>
          <w:lang w:val="ru-RU"/>
        </w:rPr>
        <w:t>68</w:t>
      </w:r>
      <w:r w:rsidRPr="0078530C">
        <w:rPr>
          <w:sz w:val="24"/>
          <w:szCs w:val="24"/>
          <w:lang w:val="ru-RU"/>
        </w:rPr>
        <w:t xml:space="preserve"> случаев, </w:t>
      </w:r>
      <w:r w:rsidRPr="0078530C">
        <w:rPr>
          <w:sz w:val="24"/>
          <w:szCs w:val="24"/>
        </w:rPr>
        <w:t xml:space="preserve">показатель заболеваемости на 100 тыс. нас. </w:t>
      </w:r>
      <w:r w:rsidRPr="0078530C">
        <w:rPr>
          <w:sz w:val="22"/>
          <w:szCs w:val="22"/>
        </w:rPr>
        <w:t>51370,3</w:t>
      </w:r>
      <w:r w:rsidRPr="0078530C">
        <w:rPr>
          <w:sz w:val="24"/>
          <w:szCs w:val="24"/>
        </w:rPr>
        <w:t>.</w:t>
      </w:r>
    </w:p>
    <w:p w:rsidR="00630798" w:rsidRPr="00582568" w:rsidRDefault="00630798" w:rsidP="00630798">
      <w:pPr>
        <w:ind w:left="-120" w:firstLine="840"/>
        <w:jc w:val="both"/>
        <w:rPr>
          <w:szCs w:val="24"/>
          <w:highlight w:val="yellow"/>
        </w:rPr>
      </w:pPr>
      <w:r w:rsidRPr="00582568">
        <w:rPr>
          <w:noProof/>
          <w:highlight w:val="yellow"/>
          <w:lang w:eastAsia="ru-RU"/>
        </w:rPr>
        <w:drawing>
          <wp:anchor distT="0" distB="0" distL="114300" distR="114300" simplePos="0" relativeHeight="251670528" behindDoc="0" locked="0" layoutInCell="1" allowOverlap="1">
            <wp:simplePos x="0" y="0"/>
            <wp:positionH relativeFrom="column">
              <wp:posOffset>495300</wp:posOffset>
            </wp:positionH>
            <wp:positionV relativeFrom="paragraph">
              <wp:posOffset>42545</wp:posOffset>
            </wp:positionV>
            <wp:extent cx="5490845" cy="1993900"/>
            <wp:effectExtent l="5080" t="10795" r="9525" b="5080"/>
            <wp:wrapNone/>
            <wp:docPr id="36" name="Диаграмма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rsidR="00630798" w:rsidRPr="00582568" w:rsidRDefault="00630798" w:rsidP="00630798">
      <w:pPr>
        <w:ind w:left="-120" w:firstLine="840"/>
        <w:jc w:val="both"/>
        <w:rPr>
          <w:szCs w:val="24"/>
          <w:highlight w:val="yellow"/>
        </w:rPr>
      </w:pPr>
    </w:p>
    <w:p w:rsidR="00630798" w:rsidRPr="00582568" w:rsidRDefault="00630798" w:rsidP="00630798">
      <w:pPr>
        <w:ind w:left="-120" w:firstLine="840"/>
        <w:jc w:val="both"/>
        <w:rPr>
          <w:szCs w:val="24"/>
          <w:highlight w:val="yellow"/>
        </w:rPr>
      </w:pPr>
    </w:p>
    <w:p w:rsidR="00630798" w:rsidRPr="00582568" w:rsidRDefault="00630798" w:rsidP="00630798">
      <w:pPr>
        <w:ind w:left="-120" w:firstLine="840"/>
        <w:jc w:val="both"/>
        <w:rPr>
          <w:szCs w:val="24"/>
          <w:highlight w:val="yellow"/>
        </w:rPr>
      </w:pPr>
    </w:p>
    <w:p w:rsidR="00630798" w:rsidRPr="00582568" w:rsidRDefault="00630798" w:rsidP="00630798">
      <w:pPr>
        <w:ind w:left="-120" w:firstLine="840"/>
        <w:jc w:val="both"/>
        <w:rPr>
          <w:szCs w:val="24"/>
          <w:highlight w:val="yellow"/>
        </w:rPr>
      </w:pPr>
    </w:p>
    <w:p w:rsidR="00630798" w:rsidRPr="00582568" w:rsidRDefault="00630798" w:rsidP="00630798">
      <w:pPr>
        <w:ind w:left="-120" w:firstLine="840"/>
        <w:jc w:val="both"/>
        <w:rPr>
          <w:szCs w:val="24"/>
          <w:highlight w:val="yellow"/>
        </w:rPr>
      </w:pPr>
    </w:p>
    <w:p w:rsidR="00630798" w:rsidRPr="00582568" w:rsidRDefault="00630798" w:rsidP="00630798">
      <w:pPr>
        <w:ind w:left="-120" w:firstLine="840"/>
        <w:jc w:val="both"/>
        <w:rPr>
          <w:szCs w:val="24"/>
          <w:highlight w:val="yellow"/>
        </w:rPr>
      </w:pPr>
    </w:p>
    <w:p w:rsidR="0023160C" w:rsidRDefault="0023160C" w:rsidP="00630798">
      <w:pPr>
        <w:ind w:left="240"/>
        <w:jc w:val="both"/>
        <w:rPr>
          <w:rFonts w:ascii="Times New Roman" w:hAnsi="Times New Roman" w:cs="Times New Roman"/>
          <w:bCs/>
        </w:rPr>
      </w:pPr>
    </w:p>
    <w:p w:rsidR="00630798" w:rsidRPr="0023160C" w:rsidRDefault="00630798" w:rsidP="0023160C">
      <w:pPr>
        <w:spacing w:after="0" w:line="240" w:lineRule="auto"/>
        <w:ind w:left="240"/>
        <w:jc w:val="both"/>
        <w:rPr>
          <w:rFonts w:ascii="Times New Roman" w:hAnsi="Times New Roman" w:cs="Times New Roman"/>
        </w:rPr>
      </w:pPr>
      <w:r w:rsidRPr="0023160C">
        <w:rPr>
          <w:rFonts w:ascii="Times New Roman" w:hAnsi="Times New Roman" w:cs="Times New Roman"/>
          <w:bCs/>
        </w:rPr>
        <w:lastRenderedPageBreak/>
        <w:t xml:space="preserve">Рис. № 1. </w:t>
      </w:r>
      <w:r w:rsidRPr="0023160C">
        <w:rPr>
          <w:rFonts w:ascii="Times New Roman" w:hAnsi="Times New Roman" w:cs="Times New Roman"/>
        </w:rPr>
        <w:t xml:space="preserve"> Годовая динамика общей инфекционной заболеваемости в г. Пыть - Ях </w:t>
      </w:r>
    </w:p>
    <w:p w:rsidR="00630798" w:rsidRPr="0023160C" w:rsidRDefault="00630798" w:rsidP="0023160C">
      <w:pPr>
        <w:spacing w:after="0" w:line="240" w:lineRule="auto"/>
        <w:ind w:left="240" w:firstLine="709"/>
        <w:jc w:val="center"/>
        <w:rPr>
          <w:rFonts w:ascii="Times New Roman" w:hAnsi="Times New Roman" w:cs="Times New Roman"/>
        </w:rPr>
      </w:pPr>
      <w:r w:rsidRPr="0023160C">
        <w:rPr>
          <w:rFonts w:ascii="Times New Roman" w:hAnsi="Times New Roman" w:cs="Times New Roman"/>
        </w:rPr>
        <w:t>за период 2018-2020 гг.</w:t>
      </w:r>
    </w:p>
    <w:p w:rsidR="00630798" w:rsidRPr="0023160C" w:rsidRDefault="00630798" w:rsidP="0023160C">
      <w:pPr>
        <w:pStyle w:val="a5"/>
        <w:ind w:firstLine="709"/>
        <w:jc w:val="both"/>
        <w:rPr>
          <w:sz w:val="24"/>
          <w:szCs w:val="24"/>
        </w:rPr>
      </w:pPr>
    </w:p>
    <w:p w:rsidR="00630798" w:rsidRPr="0023160C" w:rsidRDefault="00630798" w:rsidP="0023160C">
      <w:pPr>
        <w:pStyle w:val="a5"/>
        <w:ind w:firstLine="709"/>
        <w:jc w:val="both"/>
        <w:rPr>
          <w:sz w:val="24"/>
          <w:szCs w:val="24"/>
          <w:lang w:val="ru-RU"/>
        </w:rPr>
      </w:pPr>
      <w:r w:rsidRPr="0023160C">
        <w:rPr>
          <w:sz w:val="24"/>
          <w:szCs w:val="24"/>
        </w:rPr>
        <w:t>В 20</w:t>
      </w:r>
      <w:r w:rsidRPr="0023160C">
        <w:rPr>
          <w:sz w:val="24"/>
          <w:szCs w:val="24"/>
          <w:lang w:val="ru-RU"/>
        </w:rPr>
        <w:t>20</w:t>
      </w:r>
      <w:r w:rsidRPr="0023160C">
        <w:rPr>
          <w:sz w:val="24"/>
          <w:szCs w:val="24"/>
        </w:rPr>
        <w:t xml:space="preserve"> году по сравнению с 20</w:t>
      </w:r>
      <w:r w:rsidRPr="0023160C">
        <w:rPr>
          <w:sz w:val="24"/>
          <w:szCs w:val="24"/>
          <w:lang w:val="ru-RU"/>
        </w:rPr>
        <w:t>19</w:t>
      </w:r>
      <w:r w:rsidRPr="0023160C">
        <w:rPr>
          <w:sz w:val="24"/>
          <w:szCs w:val="24"/>
        </w:rPr>
        <w:t xml:space="preserve"> г. наблюдается </w:t>
      </w:r>
      <w:r w:rsidRPr="0023160C">
        <w:rPr>
          <w:sz w:val="24"/>
          <w:szCs w:val="24"/>
          <w:lang w:val="ru-RU"/>
        </w:rPr>
        <w:t>рост</w:t>
      </w:r>
      <w:r w:rsidRPr="0023160C">
        <w:rPr>
          <w:sz w:val="24"/>
          <w:szCs w:val="24"/>
        </w:rPr>
        <w:t xml:space="preserve">  уровня заболеваемости на </w:t>
      </w:r>
      <w:r w:rsidRPr="0023160C">
        <w:rPr>
          <w:sz w:val="24"/>
          <w:szCs w:val="24"/>
          <w:lang w:val="ru-RU"/>
        </w:rPr>
        <w:t xml:space="preserve"> 151%, по сравнению с 2019годом ( в 2019г по сравнению с 2018г зарегистрирован рост на на 46,0</w:t>
      </w:r>
      <w:r w:rsidRPr="0023160C">
        <w:rPr>
          <w:sz w:val="24"/>
          <w:szCs w:val="24"/>
        </w:rPr>
        <w:t xml:space="preserve"> %</w:t>
      </w:r>
      <w:r w:rsidRPr="0023160C">
        <w:rPr>
          <w:sz w:val="24"/>
          <w:szCs w:val="24"/>
          <w:lang w:val="ru-RU"/>
        </w:rPr>
        <w:t>)</w:t>
      </w:r>
      <w:r w:rsidRPr="0023160C">
        <w:rPr>
          <w:sz w:val="24"/>
          <w:szCs w:val="24"/>
        </w:rPr>
        <w:t xml:space="preserve">.  </w:t>
      </w:r>
      <w:r w:rsidRPr="0023160C">
        <w:rPr>
          <w:sz w:val="24"/>
          <w:szCs w:val="24"/>
          <w:lang w:val="ru-RU"/>
        </w:rPr>
        <w:t>Основной вклад в рост  инфекционной заболеваемости в 2020г зарегистрирован  по нозологическим формам: грипп и ОРЗ и пневмонии, что составило  от общей заболеваемости 93 %, в связи с повышенной заболеваемости новой коронавирусной инфекцией</w:t>
      </w:r>
    </w:p>
    <w:p w:rsidR="00630798" w:rsidRPr="0023160C" w:rsidRDefault="00630798" w:rsidP="0023160C">
      <w:pPr>
        <w:pStyle w:val="a5"/>
        <w:ind w:firstLine="709"/>
        <w:jc w:val="both"/>
        <w:rPr>
          <w:sz w:val="24"/>
          <w:szCs w:val="24"/>
        </w:rPr>
      </w:pPr>
      <w:r w:rsidRPr="0023160C">
        <w:rPr>
          <w:sz w:val="24"/>
          <w:szCs w:val="24"/>
        </w:rPr>
        <w:t>При анализе эпид</w:t>
      </w:r>
      <w:r w:rsidRPr="0023160C">
        <w:rPr>
          <w:sz w:val="24"/>
          <w:szCs w:val="24"/>
          <w:lang w:val="ru-RU"/>
        </w:rPr>
        <w:t xml:space="preserve">емиологической </w:t>
      </w:r>
      <w:r w:rsidRPr="0023160C">
        <w:rPr>
          <w:sz w:val="24"/>
          <w:szCs w:val="24"/>
        </w:rPr>
        <w:t>. ситуации без учета ОРЗ и гриппа, показатель инфекционной  заболеваемости в 20</w:t>
      </w:r>
      <w:r w:rsidRPr="0023160C">
        <w:rPr>
          <w:sz w:val="24"/>
          <w:szCs w:val="24"/>
          <w:lang w:val="ru-RU"/>
        </w:rPr>
        <w:t>20</w:t>
      </w:r>
      <w:r w:rsidRPr="0023160C">
        <w:rPr>
          <w:sz w:val="24"/>
          <w:szCs w:val="24"/>
        </w:rPr>
        <w:t xml:space="preserve"> году</w:t>
      </w:r>
      <w:r w:rsidRPr="0023160C">
        <w:rPr>
          <w:sz w:val="24"/>
          <w:szCs w:val="24"/>
          <w:lang w:val="ru-RU"/>
        </w:rPr>
        <w:t xml:space="preserve"> увеличился  на 26.5% ( в 2019году данный показатель снизился</w:t>
      </w:r>
      <w:r w:rsidRPr="0023160C">
        <w:rPr>
          <w:sz w:val="24"/>
          <w:szCs w:val="24"/>
        </w:rPr>
        <w:t xml:space="preserve"> в сравнении с 201</w:t>
      </w:r>
      <w:r w:rsidRPr="0023160C">
        <w:rPr>
          <w:sz w:val="24"/>
          <w:szCs w:val="24"/>
          <w:lang w:val="ru-RU"/>
        </w:rPr>
        <w:t>8</w:t>
      </w:r>
      <w:r w:rsidRPr="0023160C">
        <w:rPr>
          <w:sz w:val="24"/>
          <w:szCs w:val="24"/>
        </w:rPr>
        <w:t xml:space="preserve"> годом на </w:t>
      </w:r>
      <w:r w:rsidRPr="0023160C">
        <w:rPr>
          <w:sz w:val="24"/>
          <w:szCs w:val="24"/>
          <w:lang w:val="ru-RU"/>
        </w:rPr>
        <w:t>10,9</w:t>
      </w:r>
      <w:r w:rsidRPr="0023160C">
        <w:rPr>
          <w:sz w:val="24"/>
          <w:szCs w:val="24"/>
        </w:rPr>
        <w:t xml:space="preserve"> %.</w:t>
      </w:r>
      <w:r w:rsidRPr="0023160C">
        <w:rPr>
          <w:sz w:val="24"/>
          <w:szCs w:val="24"/>
          <w:lang w:val="ru-RU"/>
        </w:rPr>
        <w:t>)</w:t>
      </w:r>
      <w:r w:rsidRPr="0023160C">
        <w:rPr>
          <w:sz w:val="24"/>
          <w:szCs w:val="24"/>
        </w:rPr>
        <w:t xml:space="preserve"> </w:t>
      </w:r>
    </w:p>
    <w:p w:rsidR="00630798" w:rsidRPr="0023160C" w:rsidRDefault="00630798" w:rsidP="0023160C">
      <w:pPr>
        <w:pStyle w:val="a5"/>
        <w:ind w:firstLine="709"/>
        <w:jc w:val="right"/>
        <w:rPr>
          <w:sz w:val="22"/>
          <w:szCs w:val="22"/>
        </w:rPr>
      </w:pPr>
      <w:r w:rsidRPr="0023160C">
        <w:rPr>
          <w:sz w:val="22"/>
          <w:szCs w:val="22"/>
        </w:rPr>
        <w:t>Таблица № 1</w:t>
      </w:r>
    </w:p>
    <w:p w:rsidR="00630798" w:rsidRPr="0023160C" w:rsidRDefault="00630798" w:rsidP="0023160C">
      <w:pPr>
        <w:pStyle w:val="a5"/>
        <w:ind w:firstLine="709"/>
        <w:jc w:val="both"/>
        <w:rPr>
          <w:b/>
          <w:sz w:val="22"/>
          <w:szCs w:val="22"/>
        </w:rPr>
      </w:pPr>
      <w:r w:rsidRPr="0023160C">
        <w:rPr>
          <w:b/>
          <w:sz w:val="22"/>
          <w:szCs w:val="22"/>
        </w:rPr>
        <w:t>Структура инфекционной заболеваемости по г. Пыть-Ях за 201</w:t>
      </w:r>
      <w:r w:rsidRPr="0023160C">
        <w:rPr>
          <w:b/>
          <w:sz w:val="22"/>
          <w:szCs w:val="22"/>
          <w:lang w:val="ru-RU"/>
        </w:rPr>
        <w:t>8</w:t>
      </w:r>
      <w:r w:rsidRPr="0023160C">
        <w:rPr>
          <w:b/>
          <w:sz w:val="22"/>
          <w:szCs w:val="22"/>
        </w:rPr>
        <w:t>-20</w:t>
      </w:r>
      <w:r w:rsidRPr="0023160C">
        <w:rPr>
          <w:b/>
          <w:sz w:val="22"/>
          <w:szCs w:val="22"/>
          <w:lang w:val="ru-RU"/>
        </w:rPr>
        <w:t>20</w:t>
      </w:r>
      <w:r w:rsidRPr="0023160C">
        <w:rPr>
          <w:b/>
          <w:sz w:val="22"/>
          <w:szCs w:val="22"/>
        </w:rPr>
        <w:t xml:space="preserve"> годы</w:t>
      </w:r>
    </w:p>
    <w:p w:rsidR="00630798" w:rsidRPr="0023160C" w:rsidRDefault="00630798" w:rsidP="0023160C">
      <w:pPr>
        <w:pStyle w:val="a5"/>
        <w:jc w:val="both"/>
        <w:rPr>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1"/>
        <w:gridCol w:w="850"/>
        <w:gridCol w:w="1134"/>
        <w:gridCol w:w="851"/>
        <w:gridCol w:w="1134"/>
        <w:gridCol w:w="850"/>
        <w:gridCol w:w="1134"/>
      </w:tblGrid>
      <w:tr w:rsidR="00630798" w:rsidRPr="0023160C" w:rsidTr="00630798">
        <w:tc>
          <w:tcPr>
            <w:tcW w:w="2901" w:type="dxa"/>
          </w:tcPr>
          <w:p w:rsidR="00630798" w:rsidRPr="0023160C" w:rsidRDefault="00630798" w:rsidP="0023160C">
            <w:pPr>
              <w:pStyle w:val="a5"/>
              <w:jc w:val="both"/>
              <w:rPr>
                <w:sz w:val="22"/>
                <w:szCs w:val="22"/>
                <w:lang w:val="ru-RU" w:eastAsia="ru-RU"/>
              </w:rPr>
            </w:pPr>
          </w:p>
        </w:tc>
        <w:tc>
          <w:tcPr>
            <w:tcW w:w="1984" w:type="dxa"/>
            <w:gridSpan w:val="2"/>
            <w:vAlign w:val="center"/>
          </w:tcPr>
          <w:p w:rsidR="00630798" w:rsidRPr="0023160C" w:rsidRDefault="00630798" w:rsidP="0023160C">
            <w:pPr>
              <w:pStyle w:val="a5"/>
              <w:rPr>
                <w:sz w:val="22"/>
                <w:szCs w:val="22"/>
                <w:lang w:val="ru-RU" w:eastAsia="ru-RU"/>
              </w:rPr>
            </w:pPr>
            <w:r w:rsidRPr="0023160C">
              <w:rPr>
                <w:sz w:val="22"/>
                <w:szCs w:val="22"/>
                <w:lang w:val="ru-RU" w:eastAsia="ru-RU"/>
              </w:rPr>
              <w:t>2018</w:t>
            </w:r>
          </w:p>
        </w:tc>
        <w:tc>
          <w:tcPr>
            <w:tcW w:w="1985" w:type="dxa"/>
            <w:gridSpan w:val="2"/>
            <w:vAlign w:val="center"/>
          </w:tcPr>
          <w:p w:rsidR="00630798" w:rsidRPr="0023160C" w:rsidRDefault="00630798" w:rsidP="0023160C">
            <w:pPr>
              <w:pStyle w:val="a5"/>
              <w:rPr>
                <w:sz w:val="22"/>
                <w:szCs w:val="22"/>
                <w:lang w:val="ru-RU" w:eastAsia="ru-RU"/>
              </w:rPr>
            </w:pPr>
            <w:r w:rsidRPr="0023160C">
              <w:rPr>
                <w:sz w:val="22"/>
                <w:szCs w:val="22"/>
                <w:lang w:val="ru-RU" w:eastAsia="ru-RU"/>
              </w:rPr>
              <w:t>2019</w:t>
            </w:r>
          </w:p>
        </w:tc>
        <w:tc>
          <w:tcPr>
            <w:tcW w:w="1984" w:type="dxa"/>
            <w:gridSpan w:val="2"/>
            <w:vAlign w:val="center"/>
          </w:tcPr>
          <w:p w:rsidR="00630798" w:rsidRPr="0023160C" w:rsidRDefault="00630798" w:rsidP="0023160C">
            <w:pPr>
              <w:pStyle w:val="a5"/>
              <w:rPr>
                <w:sz w:val="22"/>
                <w:szCs w:val="22"/>
                <w:lang w:val="ru-RU" w:eastAsia="ru-RU"/>
              </w:rPr>
            </w:pPr>
            <w:r w:rsidRPr="0023160C">
              <w:rPr>
                <w:sz w:val="22"/>
                <w:szCs w:val="22"/>
                <w:lang w:val="ru-RU" w:eastAsia="ru-RU"/>
              </w:rPr>
              <w:t>2020</w:t>
            </w:r>
          </w:p>
        </w:tc>
      </w:tr>
      <w:tr w:rsidR="00630798" w:rsidRPr="0023160C" w:rsidTr="00630798">
        <w:tc>
          <w:tcPr>
            <w:tcW w:w="2901" w:type="dxa"/>
            <w:vAlign w:val="center"/>
          </w:tcPr>
          <w:p w:rsidR="00630798" w:rsidRPr="0023160C" w:rsidRDefault="00630798" w:rsidP="0023160C">
            <w:pPr>
              <w:spacing w:before="20" w:after="0" w:line="240" w:lineRule="auto"/>
              <w:jc w:val="center"/>
              <w:rPr>
                <w:rFonts w:ascii="Times New Roman" w:hAnsi="Times New Roman" w:cs="Times New Roman"/>
              </w:rPr>
            </w:pPr>
          </w:p>
        </w:tc>
        <w:tc>
          <w:tcPr>
            <w:tcW w:w="850" w:type="dxa"/>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Абс</w:t>
            </w:r>
          </w:p>
        </w:tc>
        <w:tc>
          <w:tcPr>
            <w:tcW w:w="1134" w:type="dxa"/>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Пок.</w:t>
            </w:r>
          </w:p>
        </w:tc>
        <w:tc>
          <w:tcPr>
            <w:tcW w:w="851" w:type="dxa"/>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Абс</w:t>
            </w:r>
          </w:p>
        </w:tc>
        <w:tc>
          <w:tcPr>
            <w:tcW w:w="1134" w:type="dxa"/>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Пок.</w:t>
            </w:r>
          </w:p>
        </w:tc>
        <w:tc>
          <w:tcPr>
            <w:tcW w:w="850" w:type="dxa"/>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Абс</w:t>
            </w:r>
          </w:p>
        </w:tc>
        <w:tc>
          <w:tcPr>
            <w:tcW w:w="1134" w:type="dxa"/>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Пок.</w:t>
            </w:r>
          </w:p>
        </w:tc>
      </w:tr>
      <w:tr w:rsidR="00630798" w:rsidRPr="0023160C" w:rsidTr="00630798">
        <w:tc>
          <w:tcPr>
            <w:tcW w:w="2901" w:type="dxa"/>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Все заболевания в том числе:</w:t>
            </w:r>
          </w:p>
        </w:tc>
        <w:tc>
          <w:tcPr>
            <w:tcW w:w="850"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9016</w:t>
            </w:r>
          </w:p>
        </w:tc>
        <w:tc>
          <w:tcPr>
            <w:tcW w:w="113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21123,7</w:t>
            </w:r>
          </w:p>
        </w:tc>
        <w:tc>
          <w:tcPr>
            <w:tcW w:w="851"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12724</w:t>
            </w:r>
          </w:p>
        </w:tc>
        <w:tc>
          <w:tcPr>
            <w:tcW w:w="113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30866,3</w:t>
            </w:r>
          </w:p>
        </w:tc>
        <w:tc>
          <w:tcPr>
            <w:tcW w:w="850" w:type="dxa"/>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20468</w:t>
            </w:r>
          </w:p>
        </w:tc>
        <w:tc>
          <w:tcPr>
            <w:tcW w:w="1134" w:type="dxa"/>
          </w:tcPr>
          <w:p w:rsidR="00630798" w:rsidRPr="0023160C" w:rsidRDefault="00630798" w:rsidP="0023160C">
            <w:pPr>
              <w:spacing w:after="0" w:line="240" w:lineRule="auto"/>
              <w:rPr>
                <w:rFonts w:ascii="Times New Roman" w:hAnsi="Times New Roman" w:cs="Times New Roman"/>
                <w:color w:val="000000"/>
              </w:rPr>
            </w:pPr>
            <w:r w:rsidRPr="0023160C">
              <w:rPr>
                <w:rFonts w:ascii="Times New Roman" w:hAnsi="Times New Roman" w:cs="Times New Roman"/>
                <w:color w:val="000000"/>
              </w:rPr>
              <w:t>51370,34</w:t>
            </w:r>
          </w:p>
          <w:p w:rsidR="00630798" w:rsidRPr="0023160C" w:rsidRDefault="00630798" w:rsidP="0023160C">
            <w:pPr>
              <w:spacing w:after="0" w:line="240" w:lineRule="auto"/>
              <w:rPr>
                <w:rFonts w:ascii="Times New Roman" w:hAnsi="Times New Roman" w:cs="Times New Roman"/>
              </w:rPr>
            </w:pPr>
          </w:p>
        </w:tc>
      </w:tr>
      <w:tr w:rsidR="00630798" w:rsidRPr="0023160C" w:rsidTr="00630798">
        <w:tc>
          <w:tcPr>
            <w:tcW w:w="2901" w:type="dxa"/>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Кишечные инфекции, в т.ч.</w:t>
            </w:r>
          </w:p>
        </w:tc>
        <w:tc>
          <w:tcPr>
            <w:tcW w:w="850"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316</w:t>
            </w:r>
          </w:p>
        </w:tc>
        <w:tc>
          <w:tcPr>
            <w:tcW w:w="113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749,1</w:t>
            </w:r>
          </w:p>
        </w:tc>
        <w:tc>
          <w:tcPr>
            <w:tcW w:w="851"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228</w:t>
            </w:r>
          </w:p>
        </w:tc>
        <w:tc>
          <w:tcPr>
            <w:tcW w:w="113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553,1</w:t>
            </w:r>
          </w:p>
        </w:tc>
        <w:tc>
          <w:tcPr>
            <w:tcW w:w="850" w:type="dxa"/>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141</w:t>
            </w:r>
          </w:p>
        </w:tc>
        <w:tc>
          <w:tcPr>
            <w:tcW w:w="1134" w:type="dxa"/>
          </w:tcPr>
          <w:p w:rsidR="00630798" w:rsidRPr="0023160C" w:rsidRDefault="00630798" w:rsidP="0023160C">
            <w:pPr>
              <w:spacing w:after="0" w:line="240" w:lineRule="auto"/>
              <w:rPr>
                <w:rFonts w:ascii="Times New Roman" w:hAnsi="Times New Roman" w:cs="Times New Roman"/>
              </w:rPr>
            </w:pPr>
            <w:r w:rsidRPr="0023160C">
              <w:rPr>
                <w:rFonts w:ascii="Times New Roman" w:hAnsi="Times New Roman" w:cs="Times New Roman"/>
              </w:rPr>
              <w:t>353,88</w:t>
            </w:r>
          </w:p>
        </w:tc>
      </w:tr>
      <w:tr w:rsidR="00630798" w:rsidRPr="0023160C" w:rsidTr="00630798">
        <w:tc>
          <w:tcPr>
            <w:tcW w:w="2901" w:type="dxa"/>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ОКИ ротавирусной этиологии</w:t>
            </w:r>
          </w:p>
        </w:tc>
        <w:tc>
          <w:tcPr>
            <w:tcW w:w="850"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62</w:t>
            </w:r>
          </w:p>
        </w:tc>
        <w:tc>
          <w:tcPr>
            <w:tcW w:w="113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147,0</w:t>
            </w:r>
          </w:p>
        </w:tc>
        <w:tc>
          <w:tcPr>
            <w:tcW w:w="851"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30</w:t>
            </w:r>
          </w:p>
        </w:tc>
        <w:tc>
          <w:tcPr>
            <w:tcW w:w="113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72,8</w:t>
            </w:r>
          </w:p>
        </w:tc>
        <w:tc>
          <w:tcPr>
            <w:tcW w:w="850" w:type="dxa"/>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21</w:t>
            </w:r>
          </w:p>
        </w:tc>
        <w:tc>
          <w:tcPr>
            <w:tcW w:w="1134" w:type="dxa"/>
          </w:tcPr>
          <w:p w:rsidR="00630798" w:rsidRPr="0023160C" w:rsidRDefault="00630798" w:rsidP="0023160C">
            <w:pPr>
              <w:spacing w:after="0" w:line="240" w:lineRule="auto"/>
              <w:rPr>
                <w:rFonts w:ascii="Times New Roman" w:hAnsi="Times New Roman" w:cs="Times New Roman"/>
              </w:rPr>
            </w:pPr>
            <w:r w:rsidRPr="0023160C">
              <w:rPr>
                <w:rFonts w:ascii="Times New Roman" w:hAnsi="Times New Roman" w:cs="Times New Roman"/>
              </w:rPr>
              <w:t>52,71</w:t>
            </w:r>
          </w:p>
        </w:tc>
      </w:tr>
      <w:tr w:rsidR="00630798" w:rsidRPr="0023160C" w:rsidTr="00630798">
        <w:tc>
          <w:tcPr>
            <w:tcW w:w="8854" w:type="dxa"/>
            <w:gridSpan w:val="7"/>
            <w:vAlign w:val="center"/>
          </w:tcPr>
          <w:p w:rsidR="00630798" w:rsidRPr="0023160C" w:rsidRDefault="00630798" w:rsidP="0023160C">
            <w:pPr>
              <w:spacing w:after="0" w:line="240" w:lineRule="auto"/>
              <w:jc w:val="right"/>
              <w:rPr>
                <w:rFonts w:ascii="Times New Roman" w:hAnsi="Times New Roman" w:cs="Times New Roman"/>
              </w:rPr>
            </w:pPr>
            <w:r w:rsidRPr="0023160C">
              <w:rPr>
                <w:rFonts w:ascii="Times New Roman" w:hAnsi="Times New Roman" w:cs="Times New Roman"/>
              </w:rPr>
              <w:t>Продолжение таблицы № 1</w:t>
            </w:r>
          </w:p>
        </w:tc>
      </w:tr>
      <w:tr w:rsidR="00630798" w:rsidRPr="0023160C" w:rsidTr="00630798">
        <w:tc>
          <w:tcPr>
            <w:tcW w:w="2901" w:type="dxa"/>
            <w:vAlign w:val="center"/>
          </w:tcPr>
          <w:p w:rsidR="00630798" w:rsidRPr="0023160C" w:rsidRDefault="00630798" w:rsidP="0023160C">
            <w:pPr>
              <w:spacing w:before="20" w:after="0" w:line="240" w:lineRule="auto"/>
              <w:jc w:val="center"/>
              <w:rPr>
                <w:rFonts w:ascii="Times New Roman" w:hAnsi="Times New Roman" w:cs="Times New Roman"/>
              </w:rPr>
            </w:pPr>
          </w:p>
        </w:tc>
        <w:tc>
          <w:tcPr>
            <w:tcW w:w="1984" w:type="dxa"/>
            <w:gridSpan w:val="2"/>
          </w:tcPr>
          <w:p w:rsidR="00630798" w:rsidRPr="0023160C" w:rsidRDefault="00630798" w:rsidP="0023160C">
            <w:pPr>
              <w:spacing w:after="0" w:line="240" w:lineRule="auto"/>
              <w:rPr>
                <w:rFonts w:ascii="Times New Roman" w:hAnsi="Times New Roman" w:cs="Times New Roman"/>
              </w:rPr>
            </w:pPr>
            <w:r w:rsidRPr="0023160C">
              <w:rPr>
                <w:rFonts w:ascii="Times New Roman" w:hAnsi="Times New Roman" w:cs="Times New Roman"/>
              </w:rPr>
              <w:t>2018</w:t>
            </w:r>
          </w:p>
        </w:tc>
        <w:tc>
          <w:tcPr>
            <w:tcW w:w="1985" w:type="dxa"/>
            <w:gridSpan w:val="2"/>
          </w:tcPr>
          <w:p w:rsidR="00630798" w:rsidRPr="0023160C" w:rsidRDefault="00630798" w:rsidP="0023160C">
            <w:pPr>
              <w:spacing w:after="0" w:line="240" w:lineRule="auto"/>
              <w:rPr>
                <w:rFonts w:ascii="Times New Roman" w:hAnsi="Times New Roman" w:cs="Times New Roman"/>
              </w:rPr>
            </w:pPr>
            <w:r w:rsidRPr="0023160C">
              <w:rPr>
                <w:rFonts w:ascii="Times New Roman" w:hAnsi="Times New Roman" w:cs="Times New Roman"/>
              </w:rPr>
              <w:t>2019</w:t>
            </w:r>
          </w:p>
        </w:tc>
        <w:tc>
          <w:tcPr>
            <w:tcW w:w="1984" w:type="dxa"/>
            <w:gridSpan w:val="2"/>
          </w:tcPr>
          <w:p w:rsidR="00630798" w:rsidRPr="0023160C" w:rsidRDefault="00630798" w:rsidP="0023160C">
            <w:pPr>
              <w:spacing w:after="0" w:line="240" w:lineRule="auto"/>
              <w:rPr>
                <w:rFonts w:ascii="Times New Roman" w:hAnsi="Times New Roman" w:cs="Times New Roman"/>
              </w:rPr>
            </w:pPr>
            <w:r w:rsidRPr="0023160C">
              <w:rPr>
                <w:rFonts w:ascii="Times New Roman" w:hAnsi="Times New Roman" w:cs="Times New Roman"/>
              </w:rPr>
              <w:t>2020</w:t>
            </w:r>
          </w:p>
        </w:tc>
      </w:tr>
      <w:tr w:rsidR="00630798" w:rsidRPr="0023160C" w:rsidTr="00630798">
        <w:tc>
          <w:tcPr>
            <w:tcW w:w="2901" w:type="dxa"/>
            <w:vAlign w:val="center"/>
          </w:tcPr>
          <w:p w:rsidR="00630798" w:rsidRPr="0023160C" w:rsidRDefault="00630798" w:rsidP="0023160C">
            <w:pPr>
              <w:spacing w:before="20" w:after="0" w:line="240" w:lineRule="auto"/>
              <w:jc w:val="center"/>
              <w:rPr>
                <w:rFonts w:ascii="Times New Roman" w:hAnsi="Times New Roman" w:cs="Times New Roman"/>
              </w:rPr>
            </w:pPr>
          </w:p>
        </w:tc>
        <w:tc>
          <w:tcPr>
            <w:tcW w:w="850" w:type="dxa"/>
            <w:shd w:val="clear" w:color="auto" w:fill="auto"/>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Абс</w:t>
            </w:r>
          </w:p>
        </w:tc>
        <w:tc>
          <w:tcPr>
            <w:tcW w:w="1134" w:type="dxa"/>
            <w:shd w:val="clear" w:color="auto" w:fill="auto"/>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Пок.</w:t>
            </w:r>
          </w:p>
        </w:tc>
        <w:tc>
          <w:tcPr>
            <w:tcW w:w="851" w:type="dxa"/>
            <w:shd w:val="clear" w:color="auto" w:fill="auto"/>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Абс</w:t>
            </w:r>
          </w:p>
        </w:tc>
        <w:tc>
          <w:tcPr>
            <w:tcW w:w="1134" w:type="dxa"/>
            <w:shd w:val="clear" w:color="auto" w:fill="auto"/>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Пок.</w:t>
            </w:r>
          </w:p>
        </w:tc>
        <w:tc>
          <w:tcPr>
            <w:tcW w:w="850" w:type="dxa"/>
            <w:tcBorders>
              <w:bottom w:val="single" w:sz="4" w:space="0" w:color="auto"/>
            </w:tcBorders>
            <w:shd w:val="clear" w:color="auto" w:fill="auto"/>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Абс</w:t>
            </w:r>
          </w:p>
        </w:tc>
        <w:tc>
          <w:tcPr>
            <w:tcW w:w="1134" w:type="dxa"/>
            <w:tcBorders>
              <w:bottom w:val="single" w:sz="4" w:space="0" w:color="auto"/>
            </w:tcBorders>
            <w:shd w:val="clear" w:color="auto" w:fill="auto"/>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Пок.</w:t>
            </w:r>
          </w:p>
        </w:tc>
      </w:tr>
      <w:tr w:rsidR="00630798" w:rsidRPr="0023160C" w:rsidTr="00630798">
        <w:tc>
          <w:tcPr>
            <w:tcW w:w="2901" w:type="dxa"/>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ОКИ норовирусной этиологии</w:t>
            </w:r>
          </w:p>
        </w:tc>
        <w:tc>
          <w:tcPr>
            <w:tcW w:w="850"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20</w:t>
            </w:r>
          </w:p>
        </w:tc>
        <w:tc>
          <w:tcPr>
            <w:tcW w:w="113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46,9</w:t>
            </w:r>
          </w:p>
        </w:tc>
        <w:tc>
          <w:tcPr>
            <w:tcW w:w="851"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15</w:t>
            </w:r>
          </w:p>
        </w:tc>
        <w:tc>
          <w:tcPr>
            <w:tcW w:w="113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36,4</w:t>
            </w:r>
          </w:p>
        </w:tc>
        <w:tc>
          <w:tcPr>
            <w:tcW w:w="850" w:type="dxa"/>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7</w:t>
            </w:r>
          </w:p>
        </w:tc>
        <w:tc>
          <w:tcPr>
            <w:tcW w:w="1134" w:type="dxa"/>
          </w:tcPr>
          <w:p w:rsidR="00630798" w:rsidRPr="0023160C" w:rsidRDefault="00630798" w:rsidP="0023160C">
            <w:pPr>
              <w:spacing w:after="0" w:line="240" w:lineRule="auto"/>
              <w:rPr>
                <w:rFonts w:ascii="Times New Roman" w:hAnsi="Times New Roman" w:cs="Times New Roman"/>
              </w:rPr>
            </w:pPr>
            <w:r w:rsidRPr="0023160C">
              <w:rPr>
                <w:rFonts w:ascii="Times New Roman" w:hAnsi="Times New Roman" w:cs="Times New Roman"/>
              </w:rPr>
              <w:t>17,57</w:t>
            </w:r>
          </w:p>
        </w:tc>
      </w:tr>
      <w:tr w:rsidR="00630798" w:rsidRPr="0023160C" w:rsidTr="00630798">
        <w:tc>
          <w:tcPr>
            <w:tcW w:w="2901" w:type="dxa"/>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ОВГ, ХВГ, носители</w:t>
            </w:r>
          </w:p>
        </w:tc>
        <w:tc>
          <w:tcPr>
            <w:tcW w:w="850"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105</w:t>
            </w:r>
          </w:p>
        </w:tc>
        <w:tc>
          <w:tcPr>
            <w:tcW w:w="113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248,9</w:t>
            </w:r>
          </w:p>
        </w:tc>
        <w:tc>
          <w:tcPr>
            <w:tcW w:w="851"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74</w:t>
            </w:r>
          </w:p>
        </w:tc>
        <w:tc>
          <w:tcPr>
            <w:tcW w:w="113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179,5</w:t>
            </w:r>
          </w:p>
        </w:tc>
        <w:tc>
          <w:tcPr>
            <w:tcW w:w="850" w:type="dxa"/>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19</w:t>
            </w:r>
          </w:p>
        </w:tc>
        <w:tc>
          <w:tcPr>
            <w:tcW w:w="1134" w:type="dxa"/>
          </w:tcPr>
          <w:p w:rsidR="00630798" w:rsidRPr="0023160C" w:rsidRDefault="00630798" w:rsidP="0023160C">
            <w:pPr>
              <w:spacing w:after="0" w:line="240" w:lineRule="auto"/>
              <w:rPr>
                <w:rFonts w:ascii="Times New Roman" w:hAnsi="Times New Roman" w:cs="Times New Roman"/>
              </w:rPr>
            </w:pPr>
            <w:r w:rsidRPr="0023160C">
              <w:rPr>
                <w:rFonts w:ascii="Times New Roman" w:hAnsi="Times New Roman" w:cs="Times New Roman"/>
                <w:color w:val="000000"/>
              </w:rPr>
              <w:t>47,7</w:t>
            </w:r>
          </w:p>
        </w:tc>
      </w:tr>
      <w:tr w:rsidR="00630798" w:rsidRPr="0023160C" w:rsidTr="00630798">
        <w:tc>
          <w:tcPr>
            <w:tcW w:w="2901" w:type="dxa"/>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Грипп и ОРЗ</w:t>
            </w:r>
          </w:p>
        </w:tc>
        <w:tc>
          <w:tcPr>
            <w:tcW w:w="850"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7154</w:t>
            </w:r>
          </w:p>
        </w:tc>
        <w:tc>
          <w:tcPr>
            <w:tcW w:w="113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16959,4</w:t>
            </w:r>
          </w:p>
        </w:tc>
        <w:tc>
          <w:tcPr>
            <w:tcW w:w="851"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7154</w:t>
            </w:r>
          </w:p>
        </w:tc>
        <w:tc>
          <w:tcPr>
            <w:tcW w:w="113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26931,6</w:t>
            </w:r>
          </w:p>
        </w:tc>
        <w:tc>
          <w:tcPr>
            <w:tcW w:w="850" w:type="dxa"/>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18469</w:t>
            </w:r>
          </w:p>
        </w:tc>
        <w:tc>
          <w:tcPr>
            <w:tcW w:w="1134" w:type="dxa"/>
          </w:tcPr>
          <w:p w:rsidR="00630798" w:rsidRPr="0023160C" w:rsidRDefault="00630798" w:rsidP="0023160C">
            <w:pPr>
              <w:spacing w:after="0" w:line="240" w:lineRule="auto"/>
              <w:rPr>
                <w:rFonts w:ascii="Times New Roman" w:hAnsi="Times New Roman" w:cs="Times New Roman"/>
              </w:rPr>
            </w:pPr>
            <w:r w:rsidRPr="0023160C">
              <w:rPr>
                <w:rFonts w:ascii="Times New Roman" w:hAnsi="Times New Roman" w:cs="Times New Roman"/>
              </w:rPr>
              <w:t>46353,3</w:t>
            </w:r>
          </w:p>
        </w:tc>
      </w:tr>
      <w:tr w:rsidR="00630798" w:rsidRPr="0023160C" w:rsidTr="00630798">
        <w:tc>
          <w:tcPr>
            <w:tcW w:w="2901" w:type="dxa"/>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Пневмония внебольничная</w:t>
            </w:r>
          </w:p>
        </w:tc>
        <w:tc>
          <w:tcPr>
            <w:tcW w:w="850"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162</w:t>
            </w:r>
          </w:p>
        </w:tc>
        <w:tc>
          <w:tcPr>
            <w:tcW w:w="113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384,0</w:t>
            </w:r>
          </w:p>
        </w:tc>
        <w:tc>
          <w:tcPr>
            <w:tcW w:w="851"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111</w:t>
            </w:r>
          </w:p>
        </w:tc>
        <w:tc>
          <w:tcPr>
            <w:tcW w:w="113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269,3</w:t>
            </w:r>
          </w:p>
        </w:tc>
        <w:tc>
          <w:tcPr>
            <w:tcW w:w="850" w:type="dxa"/>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554</w:t>
            </w:r>
          </w:p>
        </w:tc>
        <w:tc>
          <w:tcPr>
            <w:tcW w:w="1134" w:type="dxa"/>
          </w:tcPr>
          <w:p w:rsidR="00630798" w:rsidRPr="0023160C" w:rsidRDefault="00630798" w:rsidP="0023160C">
            <w:pPr>
              <w:spacing w:after="0" w:line="240" w:lineRule="auto"/>
              <w:rPr>
                <w:rFonts w:ascii="Times New Roman" w:hAnsi="Times New Roman" w:cs="Times New Roman"/>
              </w:rPr>
            </w:pPr>
            <w:r w:rsidRPr="0023160C">
              <w:rPr>
                <w:rFonts w:ascii="Times New Roman" w:hAnsi="Times New Roman" w:cs="Times New Roman"/>
              </w:rPr>
              <w:t>1390,4</w:t>
            </w:r>
          </w:p>
        </w:tc>
      </w:tr>
      <w:tr w:rsidR="00630798" w:rsidRPr="0023160C" w:rsidTr="00630798">
        <w:tc>
          <w:tcPr>
            <w:tcW w:w="2901" w:type="dxa"/>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Капельные инфекции</w:t>
            </w:r>
          </w:p>
        </w:tc>
        <w:tc>
          <w:tcPr>
            <w:tcW w:w="850"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358</w:t>
            </w:r>
          </w:p>
        </w:tc>
        <w:tc>
          <w:tcPr>
            <w:tcW w:w="113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848,7</w:t>
            </w:r>
          </w:p>
        </w:tc>
        <w:tc>
          <w:tcPr>
            <w:tcW w:w="851"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290</w:t>
            </w:r>
          </w:p>
        </w:tc>
        <w:tc>
          <w:tcPr>
            <w:tcW w:w="113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703,5</w:t>
            </w:r>
          </w:p>
        </w:tc>
        <w:tc>
          <w:tcPr>
            <w:tcW w:w="850"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371</w:t>
            </w:r>
          </w:p>
        </w:tc>
        <w:tc>
          <w:tcPr>
            <w:tcW w:w="1134" w:type="dxa"/>
          </w:tcPr>
          <w:p w:rsidR="00630798" w:rsidRPr="0023160C" w:rsidRDefault="00630798" w:rsidP="0023160C">
            <w:pPr>
              <w:spacing w:after="0" w:line="240" w:lineRule="auto"/>
              <w:rPr>
                <w:rFonts w:ascii="Times New Roman" w:hAnsi="Times New Roman" w:cs="Times New Roman"/>
              </w:rPr>
            </w:pPr>
            <w:r w:rsidRPr="0023160C">
              <w:rPr>
                <w:rFonts w:ascii="Times New Roman" w:hAnsi="Times New Roman" w:cs="Times New Roman"/>
              </w:rPr>
              <w:t>931,1</w:t>
            </w:r>
          </w:p>
        </w:tc>
      </w:tr>
      <w:tr w:rsidR="00630798" w:rsidRPr="0023160C" w:rsidTr="00630798">
        <w:tc>
          <w:tcPr>
            <w:tcW w:w="2901" w:type="dxa"/>
            <w:shd w:val="clear" w:color="auto" w:fill="auto"/>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Социально-обусл. инф .</w:t>
            </w:r>
          </w:p>
        </w:tc>
        <w:tc>
          <w:tcPr>
            <w:tcW w:w="850"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16</w:t>
            </w:r>
          </w:p>
        </w:tc>
        <w:tc>
          <w:tcPr>
            <w:tcW w:w="1134"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37,1</w:t>
            </w:r>
          </w:p>
        </w:tc>
        <w:tc>
          <w:tcPr>
            <w:tcW w:w="851"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33</w:t>
            </w:r>
          </w:p>
        </w:tc>
        <w:tc>
          <w:tcPr>
            <w:tcW w:w="1134"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80,0</w:t>
            </w:r>
          </w:p>
        </w:tc>
        <w:tc>
          <w:tcPr>
            <w:tcW w:w="850" w:type="dxa"/>
            <w:tcBorders>
              <w:top w:val="single" w:sz="4" w:space="0" w:color="auto"/>
              <w:bottom w:val="single" w:sz="4" w:space="0" w:color="auto"/>
            </w:tcBorders>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21</w:t>
            </w:r>
          </w:p>
        </w:tc>
        <w:tc>
          <w:tcPr>
            <w:tcW w:w="1134" w:type="dxa"/>
            <w:tcBorders>
              <w:top w:val="single" w:sz="4" w:space="0" w:color="auto"/>
              <w:left w:val="nil"/>
              <w:bottom w:val="single" w:sz="4" w:space="0" w:color="auto"/>
              <w:right w:val="single" w:sz="4" w:space="0" w:color="auto"/>
            </w:tcBorders>
            <w:shd w:val="clear" w:color="auto" w:fill="auto"/>
            <w:vAlign w:val="bottom"/>
          </w:tcPr>
          <w:p w:rsidR="00630798" w:rsidRPr="0023160C" w:rsidRDefault="00630798" w:rsidP="0023160C">
            <w:pPr>
              <w:spacing w:after="0" w:line="240" w:lineRule="auto"/>
              <w:jc w:val="right"/>
              <w:rPr>
                <w:rFonts w:ascii="Times New Roman" w:hAnsi="Times New Roman" w:cs="Times New Roman"/>
                <w:color w:val="000000"/>
              </w:rPr>
            </w:pPr>
            <w:r w:rsidRPr="0023160C">
              <w:rPr>
                <w:rFonts w:ascii="Times New Roman" w:hAnsi="Times New Roman" w:cs="Times New Roman"/>
                <w:color w:val="000000"/>
              </w:rPr>
              <w:t>52,7</w:t>
            </w:r>
          </w:p>
        </w:tc>
      </w:tr>
      <w:tr w:rsidR="00630798" w:rsidRPr="0023160C" w:rsidTr="00630798">
        <w:tc>
          <w:tcPr>
            <w:tcW w:w="2901" w:type="dxa"/>
            <w:shd w:val="clear" w:color="auto" w:fill="auto"/>
            <w:vAlign w:val="center"/>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ВИЧ-инфекции</w:t>
            </w:r>
          </w:p>
        </w:tc>
        <w:tc>
          <w:tcPr>
            <w:tcW w:w="850"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35</w:t>
            </w:r>
          </w:p>
        </w:tc>
        <w:tc>
          <w:tcPr>
            <w:tcW w:w="1134"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83,0</w:t>
            </w:r>
          </w:p>
        </w:tc>
        <w:tc>
          <w:tcPr>
            <w:tcW w:w="851"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32</w:t>
            </w:r>
          </w:p>
        </w:tc>
        <w:tc>
          <w:tcPr>
            <w:tcW w:w="1134"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77,6</w:t>
            </w:r>
          </w:p>
        </w:tc>
        <w:tc>
          <w:tcPr>
            <w:tcW w:w="850" w:type="dxa"/>
            <w:tcBorders>
              <w:top w:val="single" w:sz="4" w:space="0" w:color="auto"/>
              <w:bottom w:val="single" w:sz="4" w:space="0" w:color="auto"/>
            </w:tcBorders>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16</w:t>
            </w:r>
          </w:p>
        </w:tc>
        <w:tc>
          <w:tcPr>
            <w:tcW w:w="1134" w:type="dxa"/>
            <w:tcBorders>
              <w:top w:val="single" w:sz="4" w:space="0" w:color="auto"/>
              <w:left w:val="nil"/>
              <w:bottom w:val="single" w:sz="4" w:space="0" w:color="auto"/>
              <w:right w:val="single" w:sz="4" w:space="0" w:color="auto"/>
            </w:tcBorders>
            <w:shd w:val="clear" w:color="auto" w:fill="auto"/>
            <w:vAlign w:val="bottom"/>
          </w:tcPr>
          <w:p w:rsidR="00630798" w:rsidRPr="0023160C" w:rsidRDefault="00630798" w:rsidP="0023160C">
            <w:pPr>
              <w:spacing w:after="0" w:line="240" w:lineRule="auto"/>
              <w:jc w:val="right"/>
              <w:rPr>
                <w:rFonts w:ascii="Times New Roman" w:hAnsi="Times New Roman" w:cs="Times New Roman"/>
                <w:color w:val="000000"/>
              </w:rPr>
            </w:pPr>
            <w:r w:rsidRPr="0023160C">
              <w:rPr>
                <w:rFonts w:ascii="Times New Roman" w:hAnsi="Times New Roman" w:cs="Times New Roman"/>
                <w:color w:val="000000"/>
              </w:rPr>
              <w:t>40,2</w:t>
            </w:r>
          </w:p>
        </w:tc>
      </w:tr>
      <w:tr w:rsidR="00630798" w:rsidRPr="0023160C" w:rsidTr="00630798">
        <w:tc>
          <w:tcPr>
            <w:tcW w:w="2901"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Кожные заболеван.</w:t>
            </w:r>
          </w:p>
        </w:tc>
        <w:tc>
          <w:tcPr>
            <w:tcW w:w="850"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44</w:t>
            </w:r>
          </w:p>
        </w:tc>
        <w:tc>
          <w:tcPr>
            <w:tcW w:w="1134"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104,3</w:t>
            </w:r>
          </w:p>
        </w:tc>
        <w:tc>
          <w:tcPr>
            <w:tcW w:w="851"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42</w:t>
            </w:r>
          </w:p>
        </w:tc>
        <w:tc>
          <w:tcPr>
            <w:tcW w:w="1134"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101,9</w:t>
            </w:r>
          </w:p>
        </w:tc>
        <w:tc>
          <w:tcPr>
            <w:tcW w:w="850" w:type="dxa"/>
            <w:tcBorders>
              <w:top w:val="single" w:sz="4" w:space="0" w:color="auto"/>
              <w:bottom w:val="single" w:sz="4" w:space="0" w:color="auto"/>
            </w:tcBorders>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28</w:t>
            </w:r>
          </w:p>
        </w:tc>
        <w:tc>
          <w:tcPr>
            <w:tcW w:w="1134" w:type="dxa"/>
            <w:tcBorders>
              <w:top w:val="single" w:sz="4" w:space="0" w:color="auto"/>
              <w:left w:val="nil"/>
              <w:bottom w:val="single" w:sz="4" w:space="0" w:color="auto"/>
              <w:right w:val="single" w:sz="4" w:space="0" w:color="auto"/>
            </w:tcBorders>
            <w:shd w:val="clear" w:color="auto" w:fill="auto"/>
            <w:vAlign w:val="bottom"/>
          </w:tcPr>
          <w:p w:rsidR="00630798" w:rsidRPr="0023160C" w:rsidRDefault="00630798" w:rsidP="0023160C">
            <w:pPr>
              <w:spacing w:after="0" w:line="240" w:lineRule="auto"/>
              <w:jc w:val="right"/>
              <w:rPr>
                <w:rFonts w:ascii="Times New Roman" w:hAnsi="Times New Roman" w:cs="Times New Roman"/>
                <w:color w:val="000000"/>
              </w:rPr>
            </w:pPr>
            <w:r w:rsidRPr="0023160C">
              <w:rPr>
                <w:rFonts w:ascii="Times New Roman" w:hAnsi="Times New Roman" w:cs="Times New Roman"/>
                <w:color w:val="000000"/>
              </w:rPr>
              <w:t>70,3</w:t>
            </w:r>
          </w:p>
        </w:tc>
      </w:tr>
      <w:tr w:rsidR="00630798" w:rsidRPr="0023160C" w:rsidTr="00630798">
        <w:tc>
          <w:tcPr>
            <w:tcW w:w="2901"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ВБИ  (ГСИ)</w:t>
            </w:r>
          </w:p>
        </w:tc>
        <w:tc>
          <w:tcPr>
            <w:tcW w:w="850"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w:t>
            </w:r>
          </w:p>
        </w:tc>
        <w:tc>
          <w:tcPr>
            <w:tcW w:w="1134"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2,3</w:t>
            </w:r>
          </w:p>
        </w:tc>
        <w:tc>
          <w:tcPr>
            <w:tcW w:w="851"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2</w:t>
            </w:r>
          </w:p>
        </w:tc>
        <w:tc>
          <w:tcPr>
            <w:tcW w:w="1134"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4,9</w:t>
            </w:r>
          </w:p>
        </w:tc>
        <w:tc>
          <w:tcPr>
            <w:tcW w:w="850" w:type="dxa"/>
            <w:tcBorders>
              <w:top w:val="single" w:sz="4" w:space="0" w:color="auto"/>
              <w:bottom w:val="single" w:sz="4" w:space="0" w:color="auto"/>
            </w:tcBorders>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3</w:t>
            </w:r>
          </w:p>
        </w:tc>
        <w:tc>
          <w:tcPr>
            <w:tcW w:w="1134" w:type="dxa"/>
            <w:tcBorders>
              <w:top w:val="single" w:sz="4" w:space="0" w:color="auto"/>
              <w:left w:val="nil"/>
              <w:bottom w:val="single" w:sz="4" w:space="0" w:color="auto"/>
              <w:right w:val="single" w:sz="4" w:space="0" w:color="auto"/>
            </w:tcBorders>
            <w:shd w:val="clear" w:color="auto" w:fill="auto"/>
            <w:vAlign w:val="bottom"/>
          </w:tcPr>
          <w:p w:rsidR="00630798" w:rsidRPr="0023160C" w:rsidRDefault="00630798" w:rsidP="0023160C">
            <w:pPr>
              <w:spacing w:after="0" w:line="240" w:lineRule="auto"/>
              <w:jc w:val="right"/>
              <w:rPr>
                <w:rFonts w:ascii="Times New Roman" w:hAnsi="Times New Roman" w:cs="Times New Roman"/>
                <w:color w:val="000000"/>
              </w:rPr>
            </w:pPr>
            <w:r w:rsidRPr="0023160C">
              <w:rPr>
                <w:rFonts w:ascii="Times New Roman" w:hAnsi="Times New Roman" w:cs="Times New Roman"/>
                <w:color w:val="000000"/>
              </w:rPr>
              <w:t>7,5</w:t>
            </w:r>
          </w:p>
        </w:tc>
      </w:tr>
      <w:tr w:rsidR="00630798" w:rsidRPr="0023160C" w:rsidTr="00630798">
        <w:tc>
          <w:tcPr>
            <w:tcW w:w="2901"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Укусы животными</w:t>
            </w:r>
          </w:p>
        </w:tc>
        <w:tc>
          <w:tcPr>
            <w:tcW w:w="850"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73</w:t>
            </w:r>
          </w:p>
        </w:tc>
        <w:tc>
          <w:tcPr>
            <w:tcW w:w="1134"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173,1</w:t>
            </w:r>
          </w:p>
        </w:tc>
        <w:tc>
          <w:tcPr>
            <w:tcW w:w="851"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89</w:t>
            </w:r>
          </w:p>
        </w:tc>
        <w:tc>
          <w:tcPr>
            <w:tcW w:w="1134"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215,9</w:t>
            </w:r>
          </w:p>
        </w:tc>
        <w:tc>
          <w:tcPr>
            <w:tcW w:w="850" w:type="dxa"/>
            <w:tcBorders>
              <w:top w:val="single" w:sz="4" w:space="0" w:color="auto"/>
              <w:bottom w:val="single" w:sz="4" w:space="0" w:color="auto"/>
            </w:tcBorders>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100</w:t>
            </w:r>
          </w:p>
        </w:tc>
        <w:tc>
          <w:tcPr>
            <w:tcW w:w="1134" w:type="dxa"/>
            <w:tcBorders>
              <w:top w:val="single" w:sz="4" w:space="0" w:color="auto"/>
              <w:left w:val="nil"/>
              <w:bottom w:val="single" w:sz="4" w:space="0" w:color="auto"/>
              <w:right w:val="single" w:sz="4" w:space="0" w:color="auto"/>
            </w:tcBorders>
            <w:shd w:val="clear" w:color="auto" w:fill="auto"/>
            <w:vAlign w:val="bottom"/>
          </w:tcPr>
          <w:p w:rsidR="00630798" w:rsidRPr="0023160C" w:rsidRDefault="00630798" w:rsidP="0023160C">
            <w:pPr>
              <w:spacing w:after="0" w:line="240" w:lineRule="auto"/>
              <w:jc w:val="right"/>
              <w:rPr>
                <w:rFonts w:ascii="Times New Roman" w:hAnsi="Times New Roman" w:cs="Times New Roman"/>
                <w:color w:val="000000"/>
              </w:rPr>
            </w:pPr>
            <w:r w:rsidRPr="0023160C">
              <w:rPr>
                <w:rFonts w:ascii="Times New Roman" w:hAnsi="Times New Roman" w:cs="Times New Roman"/>
                <w:color w:val="000000"/>
              </w:rPr>
              <w:t>251,0</w:t>
            </w:r>
          </w:p>
        </w:tc>
      </w:tr>
      <w:tr w:rsidR="00630798" w:rsidRPr="0023160C" w:rsidTr="00630798">
        <w:tc>
          <w:tcPr>
            <w:tcW w:w="2901"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Природно-очаговые</w:t>
            </w:r>
          </w:p>
        </w:tc>
        <w:tc>
          <w:tcPr>
            <w:tcW w:w="850"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0</w:t>
            </w:r>
          </w:p>
        </w:tc>
        <w:tc>
          <w:tcPr>
            <w:tcW w:w="1134"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0</w:t>
            </w:r>
          </w:p>
        </w:tc>
        <w:tc>
          <w:tcPr>
            <w:tcW w:w="851"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7</w:t>
            </w:r>
          </w:p>
        </w:tc>
        <w:tc>
          <w:tcPr>
            <w:tcW w:w="1134"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17,0</w:t>
            </w:r>
          </w:p>
        </w:tc>
        <w:tc>
          <w:tcPr>
            <w:tcW w:w="850" w:type="dxa"/>
            <w:tcBorders>
              <w:top w:val="single" w:sz="4" w:space="0" w:color="auto"/>
              <w:bottom w:val="single" w:sz="4" w:space="0" w:color="auto"/>
            </w:tcBorders>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w:t>
            </w:r>
          </w:p>
        </w:tc>
        <w:tc>
          <w:tcPr>
            <w:tcW w:w="1134" w:type="dxa"/>
            <w:tcBorders>
              <w:top w:val="single" w:sz="4" w:space="0" w:color="auto"/>
              <w:left w:val="nil"/>
              <w:bottom w:val="single" w:sz="4" w:space="0" w:color="auto"/>
              <w:right w:val="single" w:sz="4" w:space="0" w:color="auto"/>
            </w:tcBorders>
            <w:shd w:val="clear" w:color="auto" w:fill="auto"/>
            <w:vAlign w:val="bottom"/>
          </w:tcPr>
          <w:p w:rsidR="00630798" w:rsidRPr="0023160C" w:rsidRDefault="00630798" w:rsidP="0023160C">
            <w:pPr>
              <w:spacing w:after="0" w:line="240" w:lineRule="auto"/>
              <w:jc w:val="right"/>
              <w:rPr>
                <w:rFonts w:ascii="Times New Roman" w:hAnsi="Times New Roman" w:cs="Times New Roman"/>
                <w:color w:val="000000"/>
              </w:rPr>
            </w:pPr>
            <w:r w:rsidRPr="0023160C">
              <w:rPr>
                <w:rFonts w:ascii="Times New Roman" w:hAnsi="Times New Roman" w:cs="Times New Roman"/>
                <w:color w:val="000000"/>
              </w:rPr>
              <w:t>2,5</w:t>
            </w:r>
          </w:p>
        </w:tc>
      </w:tr>
      <w:tr w:rsidR="00630798" w:rsidRPr="0023160C" w:rsidTr="00630798">
        <w:tc>
          <w:tcPr>
            <w:tcW w:w="2901"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Паразитарные заболевания</w:t>
            </w:r>
          </w:p>
        </w:tc>
        <w:tc>
          <w:tcPr>
            <w:tcW w:w="850"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341</w:t>
            </w:r>
          </w:p>
        </w:tc>
        <w:tc>
          <w:tcPr>
            <w:tcW w:w="1134"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808,4</w:t>
            </w:r>
          </w:p>
        </w:tc>
        <w:tc>
          <w:tcPr>
            <w:tcW w:w="851"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230</w:t>
            </w:r>
          </w:p>
        </w:tc>
        <w:tc>
          <w:tcPr>
            <w:tcW w:w="1134"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557,9</w:t>
            </w:r>
          </w:p>
        </w:tc>
        <w:tc>
          <w:tcPr>
            <w:tcW w:w="850" w:type="dxa"/>
            <w:tcBorders>
              <w:top w:val="single" w:sz="4" w:space="0" w:color="auto"/>
              <w:bottom w:val="single" w:sz="4" w:space="0" w:color="auto"/>
            </w:tcBorders>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167</w:t>
            </w:r>
          </w:p>
        </w:tc>
        <w:tc>
          <w:tcPr>
            <w:tcW w:w="1134" w:type="dxa"/>
            <w:tcBorders>
              <w:top w:val="single" w:sz="4" w:space="0" w:color="auto"/>
              <w:left w:val="nil"/>
              <w:bottom w:val="single" w:sz="4" w:space="0" w:color="auto"/>
              <w:right w:val="single" w:sz="4" w:space="0" w:color="auto"/>
            </w:tcBorders>
            <w:shd w:val="clear" w:color="auto" w:fill="auto"/>
            <w:vAlign w:val="bottom"/>
          </w:tcPr>
          <w:p w:rsidR="00630798" w:rsidRPr="0023160C" w:rsidRDefault="00630798" w:rsidP="0023160C">
            <w:pPr>
              <w:spacing w:after="0" w:line="240" w:lineRule="auto"/>
              <w:jc w:val="right"/>
              <w:rPr>
                <w:rFonts w:ascii="Times New Roman" w:hAnsi="Times New Roman" w:cs="Times New Roman"/>
                <w:color w:val="000000"/>
              </w:rPr>
            </w:pPr>
            <w:r w:rsidRPr="0023160C">
              <w:rPr>
                <w:rFonts w:ascii="Times New Roman" w:hAnsi="Times New Roman" w:cs="Times New Roman"/>
                <w:color w:val="000000"/>
              </w:rPr>
              <w:t>419,1</w:t>
            </w:r>
          </w:p>
        </w:tc>
      </w:tr>
    </w:tbl>
    <w:p w:rsidR="00630798" w:rsidRPr="0023160C" w:rsidRDefault="00630798" w:rsidP="0023160C">
      <w:pPr>
        <w:pStyle w:val="a5"/>
        <w:jc w:val="both"/>
        <w:rPr>
          <w:sz w:val="24"/>
          <w:szCs w:val="24"/>
          <w:highlight w:val="yellow"/>
        </w:rPr>
      </w:pPr>
    </w:p>
    <w:p w:rsidR="00630798" w:rsidRPr="0023160C" w:rsidRDefault="00630798" w:rsidP="0023160C">
      <w:pPr>
        <w:pStyle w:val="a5"/>
        <w:ind w:firstLine="709"/>
        <w:jc w:val="both"/>
        <w:rPr>
          <w:sz w:val="24"/>
          <w:szCs w:val="24"/>
        </w:rPr>
      </w:pPr>
      <w:r w:rsidRPr="0023160C">
        <w:rPr>
          <w:sz w:val="24"/>
          <w:szCs w:val="24"/>
        </w:rPr>
        <w:t>По территории г. Пыть – Ях</w:t>
      </w:r>
      <w:r w:rsidRPr="0023160C">
        <w:rPr>
          <w:sz w:val="24"/>
          <w:szCs w:val="24"/>
          <w:lang w:val="ru-RU"/>
        </w:rPr>
        <w:t xml:space="preserve"> в 2020г в динамике </w:t>
      </w:r>
      <w:r w:rsidRPr="0023160C">
        <w:rPr>
          <w:sz w:val="24"/>
          <w:szCs w:val="24"/>
        </w:rPr>
        <w:t xml:space="preserve"> отмечен рост в следующих группах инфекционных заболеваний (без учета гриппа и ОРВИ)</w:t>
      </w:r>
      <w:r w:rsidRPr="0023160C">
        <w:rPr>
          <w:sz w:val="24"/>
          <w:szCs w:val="24"/>
          <w:lang w:val="ru-RU"/>
        </w:rPr>
        <w:t>:</w:t>
      </w:r>
      <w:r w:rsidRPr="0023160C">
        <w:rPr>
          <w:sz w:val="24"/>
          <w:szCs w:val="24"/>
        </w:rPr>
        <w:t xml:space="preserve"> </w:t>
      </w:r>
    </w:p>
    <w:p w:rsidR="00630798" w:rsidRPr="0023160C" w:rsidRDefault="00630798" w:rsidP="0023160C">
      <w:pPr>
        <w:pStyle w:val="a5"/>
        <w:ind w:firstLine="567"/>
        <w:jc w:val="both"/>
        <w:rPr>
          <w:sz w:val="24"/>
          <w:szCs w:val="24"/>
        </w:rPr>
      </w:pPr>
      <w:r w:rsidRPr="0023160C">
        <w:rPr>
          <w:sz w:val="24"/>
          <w:szCs w:val="24"/>
          <w:lang w:val="ru-RU"/>
        </w:rPr>
        <w:t>-ВБИ – на 53,6%  по сравнению с 2019годом ,  на 113,0% в 2019году по сравнению с 2018г;</w:t>
      </w:r>
    </w:p>
    <w:p w:rsidR="00630798" w:rsidRPr="0023160C" w:rsidRDefault="00630798" w:rsidP="0023160C">
      <w:pPr>
        <w:pStyle w:val="a5"/>
        <w:ind w:firstLine="567"/>
        <w:jc w:val="both"/>
        <w:rPr>
          <w:sz w:val="24"/>
          <w:szCs w:val="24"/>
        </w:rPr>
      </w:pPr>
      <w:r w:rsidRPr="0023160C">
        <w:rPr>
          <w:sz w:val="24"/>
          <w:szCs w:val="24"/>
          <w:lang w:val="ru-RU"/>
        </w:rPr>
        <w:t>- укусы животными-на 16,2% по сравнению с 2019годом ,  на 24,7</w:t>
      </w:r>
      <w:r w:rsidRPr="0023160C">
        <w:rPr>
          <w:sz w:val="24"/>
          <w:szCs w:val="24"/>
        </w:rPr>
        <w:t>%</w:t>
      </w:r>
      <w:r w:rsidRPr="0023160C">
        <w:rPr>
          <w:sz w:val="24"/>
          <w:szCs w:val="24"/>
          <w:lang w:val="ru-RU"/>
        </w:rPr>
        <w:t>в 2019году по сравнению с 2018г</w:t>
      </w:r>
      <w:r w:rsidRPr="0023160C">
        <w:rPr>
          <w:sz w:val="24"/>
          <w:szCs w:val="24"/>
        </w:rPr>
        <w:t>.</w:t>
      </w:r>
    </w:p>
    <w:p w:rsidR="00630798" w:rsidRPr="0023160C" w:rsidRDefault="00630798" w:rsidP="0023160C">
      <w:pPr>
        <w:pStyle w:val="a5"/>
        <w:ind w:firstLine="567"/>
        <w:jc w:val="both"/>
        <w:rPr>
          <w:sz w:val="24"/>
          <w:szCs w:val="24"/>
          <w:lang w:val="ru-RU"/>
        </w:rPr>
      </w:pPr>
      <w:r w:rsidRPr="0023160C">
        <w:rPr>
          <w:sz w:val="24"/>
          <w:szCs w:val="24"/>
          <w:lang w:val="ru-RU"/>
        </w:rPr>
        <w:t xml:space="preserve">-капельных инфекций  на32% по сравнению  с 2019г; </w:t>
      </w:r>
    </w:p>
    <w:p w:rsidR="00630798" w:rsidRPr="0023160C" w:rsidRDefault="00630798" w:rsidP="0023160C">
      <w:pPr>
        <w:pStyle w:val="a5"/>
        <w:ind w:firstLine="567"/>
        <w:jc w:val="both"/>
        <w:rPr>
          <w:sz w:val="24"/>
          <w:szCs w:val="24"/>
          <w:lang w:val="ru-RU"/>
        </w:rPr>
      </w:pPr>
      <w:r w:rsidRPr="0023160C">
        <w:rPr>
          <w:sz w:val="24"/>
          <w:szCs w:val="24"/>
          <w:lang w:val="ru-RU"/>
        </w:rPr>
        <w:t xml:space="preserve">-пневмоний  внебольничных на 416,3% по сравнению  с 2019г. </w:t>
      </w:r>
    </w:p>
    <w:p w:rsidR="00630798" w:rsidRPr="0023160C" w:rsidRDefault="00630798" w:rsidP="0023160C">
      <w:pPr>
        <w:pStyle w:val="a5"/>
        <w:ind w:firstLine="567"/>
        <w:jc w:val="both"/>
        <w:rPr>
          <w:sz w:val="24"/>
          <w:szCs w:val="24"/>
        </w:rPr>
      </w:pPr>
      <w:r w:rsidRPr="0023160C">
        <w:rPr>
          <w:sz w:val="24"/>
          <w:szCs w:val="24"/>
          <w:lang w:val="ru-RU"/>
        </w:rPr>
        <w:t xml:space="preserve"> За 2020год </w:t>
      </w:r>
      <w:r w:rsidRPr="0023160C">
        <w:rPr>
          <w:sz w:val="24"/>
          <w:szCs w:val="24"/>
        </w:rPr>
        <w:t>отмечается превышение среднеокружных показателей  по следующим нозоформам: вирусные гепатиты –</w:t>
      </w:r>
      <w:r w:rsidRPr="0023160C">
        <w:rPr>
          <w:sz w:val="24"/>
          <w:szCs w:val="24"/>
          <w:lang w:val="ru-RU"/>
        </w:rPr>
        <w:t xml:space="preserve">на </w:t>
      </w:r>
      <w:r w:rsidRPr="0023160C">
        <w:rPr>
          <w:sz w:val="24"/>
          <w:szCs w:val="24"/>
        </w:rPr>
        <w:t>-29,4</w:t>
      </w:r>
      <w:r w:rsidRPr="0023160C">
        <w:rPr>
          <w:sz w:val="24"/>
          <w:szCs w:val="24"/>
          <w:lang w:val="ru-RU"/>
        </w:rPr>
        <w:t>5%</w:t>
      </w:r>
      <w:r w:rsidRPr="0023160C">
        <w:rPr>
          <w:sz w:val="24"/>
          <w:szCs w:val="24"/>
        </w:rPr>
        <w:t>, острый вирусный гепатит С</w:t>
      </w:r>
      <w:r w:rsidRPr="0023160C">
        <w:rPr>
          <w:sz w:val="24"/>
          <w:szCs w:val="24"/>
          <w:lang w:val="ru-RU"/>
        </w:rPr>
        <w:t xml:space="preserve">-на </w:t>
      </w:r>
      <w:r w:rsidRPr="0023160C">
        <w:rPr>
          <w:sz w:val="24"/>
          <w:szCs w:val="24"/>
        </w:rPr>
        <w:t>0,71</w:t>
      </w:r>
      <w:r w:rsidRPr="0023160C">
        <w:rPr>
          <w:sz w:val="24"/>
          <w:szCs w:val="24"/>
          <w:lang w:val="ru-RU"/>
        </w:rPr>
        <w:t>%</w:t>
      </w:r>
      <w:r w:rsidRPr="0023160C">
        <w:rPr>
          <w:sz w:val="24"/>
          <w:szCs w:val="24"/>
        </w:rPr>
        <w:t>; хронические вирусные гепатиты</w:t>
      </w:r>
      <w:r w:rsidRPr="0023160C">
        <w:rPr>
          <w:sz w:val="24"/>
          <w:szCs w:val="24"/>
          <w:lang w:val="ru-RU"/>
        </w:rPr>
        <w:t>-на 76%;</w:t>
      </w:r>
      <w:r w:rsidRPr="0023160C">
        <w:rPr>
          <w:sz w:val="24"/>
          <w:szCs w:val="24"/>
        </w:rPr>
        <w:t>хронический вирусный гепатит В на 149%, хронический вирусный гепатит С</w:t>
      </w:r>
      <w:r w:rsidRPr="0023160C">
        <w:rPr>
          <w:sz w:val="24"/>
          <w:szCs w:val="24"/>
          <w:lang w:val="ru-RU"/>
        </w:rPr>
        <w:t xml:space="preserve"> </w:t>
      </w:r>
      <w:r w:rsidRPr="0023160C">
        <w:rPr>
          <w:sz w:val="24"/>
          <w:szCs w:val="24"/>
        </w:rPr>
        <w:t>на 44,4%;</w:t>
      </w:r>
      <w:r w:rsidRPr="0023160C">
        <w:rPr>
          <w:sz w:val="24"/>
          <w:szCs w:val="24"/>
          <w:lang w:val="ru-RU"/>
        </w:rPr>
        <w:t xml:space="preserve"> </w:t>
      </w:r>
      <w:r w:rsidRPr="0023160C">
        <w:rPr>
          <w:sz w:val="24"/>
          <w:szCs w:val="24"/>
        </w:rPr>
        <w:t>дизентери</w:t>
      </w:r>
      <w:r w:rsidRPr="0023160C">
        <w:rPr>
          <w:sz w:val="24"/>
          <w:szCs w:val="24"/>
          <w:lang w:val="ru-RU"/>
        </w:rPr>
        <w:t>я</w:t>
      </w:r>
      <w:r w:rsidRPr="0023160C">
        <w:rPr>
          <w:sz w:val="24"/>
          <w:szCs w:val="24"/>
        </w:rPr>
        <w:t xml:space="preserve"> Зоне</w:t>
      </w:r>
      <w:r w:rsidRPr="0023160C">
        <w:rPr>
          <w:sz w:val="24"/>
          <w:szCs w:val="24"/>
          <w:lang w:val="ru-RU"/>
        </w:rPr>
        <w:t xml:space="preserve"> на 495%( 1 случай ребенок до 17 лет); </w:t>
      </w:r>
      <w:r w:rsidRPr="0023160C">
        <w:rPr>
          <w:sz w:val="24"/>
          <w:szCs w:val="24"/>
          <w:shd w:val="clear" w:color="auto" w:fill="FFFFFF"/>
        </w:rPr>
        <w:t>укусы, ослюнения, оцарапывания животными на 72%</w:t>
      </w:r>
      <w:r w:rsidRPr="0023160C">
        <w:rPr>
          <w:sz w:val="24"/>
          <w:szCs w:val="24"/>
          <w:shd w:val="clear" w:color="auto" w:fill="FFFFFF"/>
          <w:lang w:val="ru-RU"/>
        </w:rPr>
        <w:t>;</w:t>
      </w:r>
      <w:r w:rsidRPr="0023160C">
        <w:rPr>
          <w:sz w:val="24"/>
          <w:szCs w:val="24"/>
        </w:rPr>
        <w:t xml:space="preserve"> клещевого боррелиоза среди взрослого населения</w:t>
      </w:r>
      <w:r w:rsidRPr="0023160C">
        <w:rPr>
          <w:sz w:val="24"/>
          <w:szCs w:val="24"/>
          <w:lang w:val="ru-RU"/>
        </w:rPr>
        <w:t xml:space="preserve"> </w:t>
      </w:r>
      <w:r w:rsidRPr="0023160C">
        <w:rPr>
          <w:sz w:val="24"/>
          <w:szCs w:val="24"/>
        </w:rPr>
        <w:t xml:space="preserve"> на 410%</w:t>
      </w:r>
      <w:r w:rsidRPr="0023160C">
        <w:rPr>
          <w:sz w:val="24"/>
          <w:szCs w:val="24"/>
          <w:lang w:val="ru-RU"/>
        </w:rPr>
        <w:t xml:space="preserve"> ( 1 случай);</w:t>
      </w:r>
      <w:r w:rsidRPr="0023160C">
        <w:rPr>
          <w:color w:val="000000"/>
          <w:sz w:val="24"/>
          <w:szCs w:val="24"/>
        </w:rPr>
        <w:t xml:space="preserve"> укушенны</w:t>
      </w:r>
      <w:r w:rsidRPr="0023160C">
        <w:rPr>
          <w:color w:val="000000"/>
          <w:sz w:val="24"/>
          <w:szCs w:val="24"/>
          <w:lang w:val="ru-RU"/>
        </w:rPr>
        <w:t>е</w:t>
      </w:r>
      <w:r w:rsidRPr="0023160C">
        <w:rPr>
          <w:color w:val="000000"/>
          <w:sz w:val="24"/>
          <w:szCs w:val="24"/>
        </w:rPr>
        <w:t xml:space="preserve"> клещами по г. Пыть-Ях выше среднеокружного показателя на 461% </w:t>
      </w:r>
      <w:r w:rsidRPr="0023160C">
        <w:rPr>
          <w:color w:val="000000"/>
          <w:sz w:val="24"/>
          <w:szCs w:val="24"/>
          <w:lang w:val="ru-RU"/>
        </w:rPr>
        <w:t xml:space="preserve">; </w:t>
      </w:r>
      <w:r w:rsidRPr="0023160C">
        <w:rPr>
          <w:sz w:val="24"/>
          <w:szCs w:val="24"/>
        </w:rPr>
        <w:t>гонококков</w:t>
      </w:r>
      <w:r w:rsidRPr="0023160C">
        <w:rPr>
          <w:sz w:val="24"/>
          <w:szCs w:val="24"/>
          <w:lang w:val="ru-RU"/>
        </w:rPr>
        <w:t>ая</w:t>
      </w:r>
      <w:r w:rsidRPr="0023160C">
        <w:rPr>
          <w:sz w:val="24"/>
          <w:szCs w:val="24"/>
        </w:rPr>
        <w:t xml:space="preserve"> инфекци</w:t>
      </w:r>
      <w:r w:rsidRPr="0023160C">
        <w:rPr>
          <w:sz w:val="24"/>
          <w:szCs w:val="24"/>
          <w:lang w:val="ru-RU"/>
        </w:rPr>
        <w:t>я на</w:t>
      </w:r>
      <w:r w:rsidRPr="0023160C">
        <w:rPr>
          <w:sz w:val="24"/>
          <w:szCs w:val="24"/>
        </w:rPr>
        <w:t>131%</w:t>
      </w:r>
      <w:r w:rsidRPr="0023160C">
        <w:rPr>
          <w:sz w:val="24"/>
          <w:szCs w:val="24"/>
          <w:lang w:val="ru-RU"/>
        </w:rPr>
        <w:t xml:space="preserve"> ;</w:t>
      </w:r>
      <w:r w:rsidRPr="0023160C">
        <w:rPr>
          <w:sz w:val="24"/>
          <w:szCs w:val="24"/>
        </w:rPr>
        <w:t xml:space="preserve"> сифилис  на 20%</w:t>
      </w:r>
      <w:r w:rsidRPr="0023160C">
        <w:rPr>
          <w:sz w:val="24"/>
          <w:szCs w:val="24"/>
          <w:lang w:val="ru-RU"/>
        </w:rPr>
        <w:t>;</w:t>
      </w:r>
      <w:r w:rsidRPr="0023160C">
        <w:rPr>
          <w:sz w:val="24"/>
          <w:szCs w:val="24"/>
        </w:rPr>
        <w:t xml:space="preserve"> туберкулез на </w:t>
      </w:r>
      <w:r w:rsidRPr="0023160C">
        <w:rPr>
          <w:sz w:val="24"/>
          <w:szCs w:val="24"/>
          <w:lang w:val="ru-RU"/>
        </w:rPr>
        <w:t>50,0</w:t>
      </w:r>
      <w:r w:rsidRPr="0023160C">
        <w:rPr>
          <w:sz w:val="24"/>
          <w:szCs w:val="24"/>
        </w:rPr>
        <w:t xml:space="preserve">% </w:t>
      </w:r>
      <w:r w:rsidRPr="0023160C">
        <w:rPr>
          <w:sz w:val="24"/>
          <w:szCs w:val="24"/>
          <w:lang w:val="ru-RU"/>
        </w:rPr>
        <w:t>;</w:t>
      </w:r>
      <w:r w:rsidRPr="0023160C">
        <w:rPr>
          <w:noProof/>
          <w:sz w:val="24"/>
          <w:szCs w:val="24"/>
        </w:rPr>
        <w:t>описторхоз</w:t>
      </w:r>
      <w:r w:rsidRPr="0023160C">
        <w:rPr>
          <w:noProof/>
          <w:sz w:val="24"/>
          <w:szCs w:val="24"/>
          <w:lang w:val="ru-RU"/>
        </w:rPr>
        <w:t xml:space="preserve"> </w:t>
      </w:r>
      <w:r w:rsidRPr="0023160C">
        <w:rPr>
          <w:noProof/>
          <w:sz w:val="24"/>
          <w:szCs w:val="24"/>
        </w:rPr>
        <w:t>на  19,6%</w:t>
      </w:r>
      <w:r w:rsidRPr="0023160C">
        <w:rPr>
          <w:noProof/>
          <w:sz w:val="24"/>
          <w:szCs w:val="24"/>
          <w:lang w:val="ru-RU"/>
        </w:rPr>
        <w:t>;</w:t>
      </w:r>
      <w:r w:rsidRPr="0023160C">
        <w:rPr>
          <w:sz w:val="24"/>
          <w:szCs w:val="24"/>
        </w:rPr>
        <w:t xml:space="preserve"> энтеробиоз на</w:t>
      </w:r>
      <w:r w:rsidRPr="0023160C">
        <w:rPr>
          <w:sz w:val="24"/>
          <w:szCs w:val="24"/>
          <w:lang w:val="ru-RU"/>
        </w:rPr>
        <w:t xml:space="preserve"> </w:t>
      </w:r>
      <w:r w:rsidRPr="0023160C">
        <w:rPr>
          <w:sz w:val="24"/>
          <w:szCs w:val="24"/>
        </w:rPr>
        <w:t>44,4%</w:t>
      </w:r>
      <w:r w:rsidRPr="0023160C">
        <w:rPr>
          <w:sz w:val="24"/>
          <w:szCs w:val="24"/>
          <w:lang w:val="ru-RU"/>
        </w:rPr>
        <w:t>;</w:t>
      </w:r>
      <w:r w:rsidRPr="0023160C">
        <w:rPr>
          <w:sz w:val="24"/>
          <w:szCs w:val="24"/>
        </w:rPr>
        <w:t xml:space="preserve"> суммарн</w:t>
      </w:r>
      <w:r w:rsidRPr="0023160C">
        <w:rPr>
          <w:sz w:val="24"/>
          <w:szCs w:val="24"/>
          <w:lang w:val="ru-RU"/>
        </w:rPr>
        <w:t>ая</w:t>
      </w:r>
      <w:r w:rsidRPr="0023160C">
        <w:rPr>
          <w:sz w:val="24"/>
          <w:szCs w:val="24"/>
        </w:rPr>
        <w:t xml:space="preserve"> </w:t>
      </w:r>
      <w:r w:rsidRPr="0023160C">
        <w:rPr>
          <w:sz w:val="24"/>
          <w:szCs w:val="24"/>
        </w:rPr>
        <w:lastRenderedPageBreak/>
        <w:t>заболеваемости ОРЗ и гриппом на 40%</w:t>
      </w:r>
      <w:r w:rsidRPr="0023160C">
        <w:rPr>
          <w:sz w:val="24"/>
          <w:szCs w:val="24"/>
          <w:lang w:val="ru-RU"/>
        </w:rPr>
        <w:t>;</w:t>
      </w:r>
      <w:r w:rsidRPr="0023160C">
        <w:rPr>
          <w:sz w:val="24"/>
          <w:szCs w:val="24"/>
        </w:rPr>
        <w:t>педикулез</w:t>
      </w:r>
      <w:r w:rsidRPr="0023160C">
        <w:rPr>
          <w:sz w:val="24"/>
          <w:szCs w:val="24"/>
          <w:lang w:val="ru-RU"/>
        </w:rPr>
        <w:t xml:space="preserve"> </w:t>
      </w:r>
      <w:r w:rsidRPr="0023160C">
        <w:rPr>
          <w:sz w:val="24"/>
          <w:szCs w:val="24"/>
        </w:rPr>
        <w:t>на 124,9%</w:t>
      </w:r>
      <w:r w:rsidRPr="0023160C">
        <w:rPr>
          <w:sz w:val="24"/>
          <w:szCs w:val="24"/>
          <w:lang w:val="ru-RU"/>
        </w:rPr>
        <w:t xml:space="preserve">; </w:t>
      </w:r>
      <w:r w:rsidRPr="0023160C">
        <w:rPr>
          <w:sz w:val="24"/>
          <w:szCs w:val="24"/>
        </w:rPr>
        <w:t>заболеваемости  ОРЗ  на  40,5%</w:t>
      </w:r>
      <w:r w:rsidRPr="0023160C">
        <w:rPr>
          <w:sz w:val="24"/>
          <w:szCs w:val="24"/>
          <w:lang w:val="ru-RU"/>
        </w:rPr>
        <w:t>.</w:t>
      </w:r>
      <w:r w:rsidRPr="0023160C">
        <w:rPr>
          <w:sz w:val="24"/>
          <w:szCs w:val="24"/>
        </w:rPr>
        <w:t xml:space="preserve"> </w:t>
      </w:r>
      <w:r w:rsidRPr="0023160C">
        <w:rPr>
          <w:sz w:val="24"/>
          <w:szCs w:val="24"/>
          <w:lang w:val="ru-RU"/>
        </w:rPr>
        <w:t xml:space="preserve">В </w:t>
      </w:r>
      <w:r w:rsidRPr="0023160C">
        <w:rPr>
          <w:sz w:val="24"/>
          <w:szCs w:val="24"/>
        </w:rPr>
        <w:t>201</w:t>
      </w:r>
      <w:r w:rsidRPr="0023160C">
        <w:rPr>
          <w:sz w:val="24"/>
          <w:szCs w:val="24"/>
          <w:lang w:val="ru-RU"/>
        </w:rPr>
        <w:t>9</w:t>
      </w:r>
      <w:r w:rsidRPr="0023160C">
        <w:rPr>
          <w:sz w:val="24"/>
          <w:szCs w:val="24"/>
        </w:rPr>
        <w:t xml:space="preserve"> год</w:t>
      </w:r>
      <w:r w:rsidRPr="0023160C">
        <w:rPr>
          <w:sz w:val="24"/>
          <w:szCs w:val="24"/>
          <w:lang w:val="ru-RU"/>
        </w:rPr>
        <w:t>у</w:t>
      </w:r>
      <w:r w:rsidRPr="0023160C">
        <w:rPr>
          <w:sz w:val="24"/>
          <w:szCs w:val="24"/>
        </w:rPr>
        <w:t xml:space="preserve"> отмеча</w:t>
      </w:r>
      <w:r w:rsidRPr="0023160C">
        <w:rPr>
          <w:sz w:val="24"/>
          <w:szCs w:val="24"/>
          <w:lang w:val="ru-RU"/>
        </w:rPr>
        <w:t>лось</w:t>
      </w:r>
      <w:r w:rsidRPr="0023160C">
        <w:rPr>
          <w:sz w:val="24"/>
          <w:szCs w:val="24"/>
        </w:rPr>
        <w:t xml:space="preserve"> превышение среднеокружных показателей  по следующим нозоформам: </w:t>
      </w:r>
      <w:bookmarkStart w:id="32" w:name="_Hlk62809303"/>
      <w:r w:rsidRPr="0023160C">
        <w:rPr>
          <w:sz w:val="24"/>
          <w:szCs w:val="24"/>
        </w:rPr>
        <w:t xml:space="preserve">вирусные гепатиты – </w:t>
      </w:r>
      <w:r w:rsidRPr="0023160C">
        <w:rPr>
          <w:sz w:val="24"/>
          <w:szCs w:val="24"/>
          <w:lang w:val="ru-RU"/>
        </w:rPr>
        <w:t>в 2,4 раза</w:t>
      </w:r>
      <w:r w:rsidRPr="0023160C">
        <w:rPr>
          <w:sz w:val="24"/>
          <w:szCs w:val="24"/>
        </w:rPr>
        <w:t xml:space="preserve">,  скарлатина- </w:t>
      </w:r>
      <w:r w:rsidRPr="0023160C">
        <w:rPr>
          <w:sz w:val="24"/>
          <w:szCs w:val="24"/>
          <w:lang w:val="ru-RU"/>
        </w:rPr>
        <w:t>в 3,4 раза</w:t>
      </w:r>
      <w:r w:rsidRPr="0023160C">
        <w:rPr>
          <w:sz w:val="24"/>
          <w:szCs w:val="24"/>
        </w:rPr>
        <w:t xml:space="preserve">, укусы клещами – </w:t>
      </w:r>
      <w:r w:rsidRPr="0023160C">
        <w:rPr>
          <w:sz w:val="24"/>
          <w:szCs w:val="24"/>
          <w:lang w:val="ru-RU"/>
        </w:rPr>
        <w:t>в 4,7 раз</w:t>
      </w:r>
      <w:r w:rsidRPr="0023160C">
        <w:rPr>
          <w:sz w:val="24"/>
          <w:szCs w:val="24"/>
        </w:rPr>
        <w:t xml:space="preserve">, педикулез – </w:t>
      </w:r>
      <w:r w:rsidRPr="0023160C">
        <w:rPr>
          <w:sz w:val="24"/>
          <w:szCs w:val="24"/>
          <w:lang w:val="ru-RU"/>
        </w:rPr>
        <w:t>в 1,6 раз</w:t>
      </w:r>
      <w:r w:rsidRPr="0023160C">
        <w:rPr>
          <w:sz w:val="24"/>
          <w:szCs w:val="24"/>
        </w:rPr>
        <w:t xml:space="preserve">, </w:t>
      </w:r>
      <w:r w:rsidRPr="0023160C">
        <w:rPr>
          <w:sz w:val="24"/>
          <w:szCs w:val="24"/>
          <w:lang w:val="ru-RU"/>
        </w:rPr>
        <w:t xml:space="preserve">КВЭ – в 5,8 раз, болезнь Лайма – в 3,7 раза, инфекционный мононуклеоз – в 1,2 раза, туберкулез – в 1,5 раз, сифилис – в 2,4 раза, гонококковая инфекция – в 1,3 раза, токсокароз – в 7,7 раз, </w:t>
      </w:r>
      <w:r w:rsidRPr="0023160C">
        <w:rPr>
          <w:sz w:val="24"/>
          <w:szCs w:val="24"/>
        </w:rPr>
        <w:t xml:space="preserve">описторхоз – </w:t>
      </w:r>
      <w:r w:rsidRPr="0023160C">
        <w:rPr>
          <w:sz w:val="24"/>
          <w:szCs w:val="24"/>
          <w:lang w:val="ru-RU"/>
        </w:rPr>
        <w:t>в 1,5 раза</w:t>
      </w:r>
      <w:r w:rsidRPr="0023160C">
        <w:rPr>
          <w:sz w:val="24"/>
          <w:szCs w:val="24"/>
        </w:rPr>
        <w:t xml:space="preserve">.  </w:t>
      </w:r>
    </w:p>
    <w:bookmarkEnd w:id="32"/>
    <w:p w:rsidR="00630798" w:rsidRPr="0023160C" w:rsidRDefault="00630798" w:rsidP="0023160C">
      <w:pPr>
        <w:pStyle w:val="24"/>
        <w:spacing w:after="0" w:line="240" w:lineRule="auto"/>
        <w:ind w:left="0" w:firstLine="567"/>
        <w:rPr>
          <w:sz w:val="24"/>
          <w:szCs w:val="24"/>
        </w:rPr>
      </w:pPr>
      <w:r w:rsidRPr="0023160C">
        <w:rPr>
          <w:sz w:val="24"/>
          <w:szCs w:val="24"/>
        </w:rPr>
        <w:t>В структуре инфекционной и паразитарной заболеваемости в 2020г доминирующее положение занимает по прежнему грипп и ОРЗ и составляет 90,3% ( в 2019г  87,6 %) от общего числа заболевших. Второе место в структуре инфекционной заболеваемости принадлежит  внебольничным пневмониями составляет 2,7%  ( в 2019г воздушно- капельным инфекциям –2,3 %), третье место – воздушно- капельным инфекциям и составляет 1,81% ( в 2019году гельминтозам – 1,8 %), четвертое место – паразитарные заболевания -0,82% ( в 2019г ОКИ – 1,7 %), пятое место- ОКИ -0,7%. Наиболее поражаемой группой населения являются дети до 17 лет. В 2020г  заболеваемость среди детей до  17лет составила 54% от общей инфекционной и паразитарной заболеваемости, заболеваемость в возрастной группе 18лет и старше составила 46% от общей заболеваемости. (рис.3).</w:t>
      </w:r>
    </w:p>
    <w:p w:rsidR="00630798" w:rsidRPr="00582568" w:rsidRDefault="00630798" w:rsidP="00630798">
      <w:pPr>
        <w:jc w:val="center"/>
        <w:rPr>
          <w:bCs/>
          <w:highlight w:val="yellow"/>
        </w:rPr>
      </w:pPr>
      <w:r w:rsidRPr="007F442D">
        <w:rPr>
          <w:bCs/>
          <w:noProof/>
          <w:lang w:eastAsia="ru-RU"/>
        </w:rPr>
        <w:drawing>
          <wp:inline distT="0" distB="0" distL="0" distR="0">
            <wp:extent cx="5686425" cy="3571875"/>
            <wp:effectExtent l="0" t="0" r="0" b="0"/>
            <wp:docPr id="27" name="Диаграмма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30798" w:rsidRPr="0023160C" w:rsidRDefault="00630798" w:rsidP="00630798">
      <w:pPr>
        <w:rPr>
          <w:rFonts w:ascii="Times New Roman" w:hAnsi="Times New Roman" w:cs="Times New Roman"/>
        </w:rPr>
      </w:pPr>
      <w:r w:rsidRPr="0023160C">
        <w:rPr>
          <w:rFonts w:ascii="Times New Roman" w:hAnsi="Times New Roman" w:cs="Times New Roman"/>
          <w:bCs/>
        </w:rPr>
        <w:t>Рис. № 2.</w:t>
      </w:r>
      <w:r w:rsidRPr="0023160C">
        <w:rPr>
          <w:rFonts w:ascii="Times New Roman" w:hAnsi="Times New Roman" w:cs="Times New Roman"/>
        </w:rPr>
        <w:t xml:space="preserve"> Структура общей инфекционной заболеваемости в г. Пыть - Ях в 2020 году</w:t>
      </w:r>
    </w:p>
    <w:p w:rsidR="00630798" w:rsidRPr="0023160C" w:rsidRDefault="00630798" w:rsidP="0023160C">
      <w:pPr>
        <w:pStyle w:val="a5"/>
        <w:ind w:firstLine="709"/>
        <w:jc w:val="both"/>
        <w:rPr>
          <w:sz w:val="24"/>
          <w:szCs w:val="24"/>
        </w:rPr>
      </w:pPr>
      <w:r w:rsidRPr="0023160C">
        <w:rPr>
          <w:sz w:val="24"/>
          <w:szCs w:val="24"/>
        </w:rPr>
        <w:t>В 201</w:t>
      </w:r>
      <w:r w:rsidRPr="0023160C">
        <w:rPr>
          <w:sz w:val="24"/>
          <w:szCs w:val="24"/>
          <w:lang w:val="ru-RU"/>
        </w:rPr>
        <w:t>9</w:t>
      </w:r>
      <w:r w:rsidRPr="0023160C">
        <w:rPr>
          <w:sz w:val="24"/>
          <w:szCs w:val="24"/>
        </w:rPr>
        <w:t xml:space="preserve"> году заболеваемость среди детей составила </w:t>
      </w:r>
      <w:r w:rsidRPr="0023160C">
        <w:rPr>
          <w:sz w:val="24"/>
          <w:szCs w:val="24"/>
          <w:lang w:val="ru-RU"/>
        </w:rPr>
        <w:t>86,0</w:t>
      </w:r>
      <w:r w:rsidRPr="0023160C">
        <w:rPr>
          <w:sz w:val="24"/>
          <w:szCs w:val="24"/>
        </w:rPr>
        <w:t xml:space="preserve"> % от всех заболевших (в 201</w:t>
      </w:r>
      <w:r w:rsidRPr="0023160C">
        <w:rPr>
          <w:sz w:val="24"/>
          <w:szCs w:val="24"/>
          <w:lang w:val="ru-RU"/>
        </w:rPr>
        <w:t>8</w:t>
      </w:r>
      <w:r w:rsidRPr="0023160C">
        <w:rPr>
          <w:sz w:val="24"/>
          <w:szCs w:val="24"/>
        </w:rPr>
        <w:t xml:space="preserve"> г. – 7</w:t>
      </w:r>
      <w:r w:rsidRPr="0023160C">
        <w:rPr>
          <w:sz w:val="24"/>
          <w:szCs w:val="24"/>
          <w:lang w:val="ru-RU"/>
        </w:rPr>
        <w:t>1</w:t>
      </w:r>
      <w:r w:rsidRPr="0023160C">
        <w:rPr>
          <w:sz w:val="24"/>
          <w:szCs w:val="24"/>
        </w:rPr>
        <w:t xml:space="preserve">,3 %).В возрастной структуре инфекционной заболеваемости  на взрослое население (18 лет и старше) </w:t>
      </w:r>
      <w:r w:rsidRPr="0023160C">
        <w:rPr>
          <w:sz w:val="24"/>
          <w:szCs w:val="24"/>
          <w:lang w:val="ru-RU"/>
        </w:rPr>
        <w:t xml:space="preserve">в 2019г </w:t>
      </w:r>
      <w:r w:rsidRPr="0023160C">
        <w:rPr>
          <w:sz w:val="24"/>
          <w:szCs w:val="24"/>
        </w:rPr>
        <w:t>приходи</w:t>
      </w:r>
      <w:r w:rsidRPr="0023160C">
        <w:rPr>
          <w:sz w:val="24"/>
          <w:szCs w:val="24"/>
          <w:lang w:val="ru-RU"/>
        </w:rPr>
        <w:t>лось</w:t>
      </w:r>
      <w:r w:rsidRPr="0023160C">
        <w:rPr>
          <w:sz w:val="24"/>
          <w:szCs w:val="24"/>
        </w:rPr>
        <w:t xml:space="preserve"> </w:t>
      </w:r>
      <w:r w:rsidRPr="0023160C">
        <w:rPr>
          <w:sz w:val="24"/>
          <w:szCs w:val="24"/>
          <w:lang w:val="ru-RU"/>
        </w:rPr>
        <w:t>14,0</w:t>
      </w:r>
      <w:r w:rsidRPr="0023160C">
        <w:rPr>
          <w:sz w:val="24"/>
          <w:szCs w:val="24"/>
        </w:rPr>
        <w:t xml:space="preserve"> % </w:t>
      </w:r>
    </w:p>
    <w:p w:rsidR="00630798" w:rsidRPr="0023160C" w:rsidRDefault="00630798" w:rsidP="0023160C">
      <w:pPr>
        <w:pStyle w:val="a5"/>
        <w:ind w:firstLine="709"/>
        <w:jc w:val="both"/>
        <w:rPr>
          <w:sz w:val="24"/>
          <w:szCs w:val="24"/>
        </w:rPr>
      </w:pPr>
      <w:r w:rsidRPr="0023160C">
        <w:rPr>
          <w:sz w:val="24"/>
          <w:szCs w:val="24"/>
        </w:rPr>
        <w:t>Доля подростков в возрасте 15-17 лет</w:t>
      </w:r>
      <w:r w:rsidRPr="0023160C">
        <w:rPr>
          <w:sz w:val="24"/>
          <w:szCs w:val="24"/>
          <w:lang w:val="ru-RU"/>
        </w:rPr>
        <w:t xml:space="preserve"> в 2020г</w:t>
      </w:r>
      <w:r w:rsidRPr="0023160C">
        <w:rPr>
          <w:sz w:val="24"/>
          <w:szCs w:val="24"/>
        </w:rPr>
        <w:t xml:space="preserve"> составляет – </w:t>
      </w:r>
      <w:r w:rsidRPr="0023160C">
        <w:rPr>
          <w:sz w:val="24"/>
          <w:szCs w:val="24"/>
          <w:lang w:val="ru-RU"/>
        </w:rPr>
        <w:t>4,1</w:t>
      </w:r>
      <w:r w:rsidRPr="0023160C">
        <w:rPr>
          <w:sz w:val="24"/>
          <w:szCs w:val="24"/>
        </w:rPr>
        <w:t xml:space="preserve">  %.</w:t>
      </w:r>
      <w:r w:rsidRPr="0023160C">
        <w:rPr>
          <w:sz w:val="24"/>
          <w:szCs w:val="24"/>
          <w:lang w:val="ru-RU"/>
        </w:rPr>
        <w:t>( 2019г-5,1%)</w:t>
      </w:r>
      <w:r w:rsidRPr="0023160C">
        <w:rPr>
          <w:sz w:val="24"/>
          <w:szCs w:val="24"/>
        </w:rPr>
        <w:t>, уд. вес детей в возрасте от 0 до 14 лет составляет</w:t>
      </w:r>
      <w:r w:rsidRPr="0023160C">
        <w:rPr>
          <w:sz w:val="24"/>
          <w:szCs w:val="24"/>
          <w:lang w:val="ru-RU"/>
        </w:rPr>
        <w:t xml:space="preserve"> -49,9% ( в 2019г</w:t>
      </w:r>
      <w:r w:rsidRPr="0023160C">
        <w:rPr>
          <w:sz w:val="24"/>
          <w:szCs w:val="24"/>
        </w:rPr>
        <w:t xml:space="preserve"> </w:t>
      </w:r>
      <w:r w:rsidRPr="0023160C">
        <w:rPr>
          <w:sz w:val="24"/>
          <w:szCs w:val="24"/>
          <w:lang w:val="ru-RU"/>
        </w:rPr>
        <w:t>80,9</w:t>
      </w:r>
      <w:r w:rsidRPr="0023160C">
        <w:rPr>
          <w:sz w:val="24"/>
          <w:szCs w:val="24"/>
        </w:rPr>
        <w:t xml:space="preserve"> %</w:t>
      </w:r>
      <w:r w:rsidRPr="0023160C">
        <w:rPr>
          <w:sz w:val="24"/>
          <w:szCs w:val="24"/>
          <w:lang w:val="ru-RU"/>
        </w:rPr>
        <w:t>)</w:t>
      </w:r>
      <w:r w:rsidRPr="0023160C">
        <w:rPr>
          <w:sz w:val="24"/>
          <w:szCs w:val="24"/>
        </w:rPr>
        <w:t>, при этом:</w:t>
      </w:r>
    </w:p>
    <w:p w:rsidR="00630798" w:rsidRPr="0023160C" w:rsidRDefault="00630798" w:rsidP="0023160C">
      <w:pPr>
        <w:spacing w:after="0" w:line="240" w:lineRule="auto"/>
        <w:ind w:firstLine="567"/>
        <w:rPr>
          <w:rFonts w:ascii="Times New Roman" w:hAnsi="Times New Roman" w:cs="Times New Roman"/>
          <w:szCs w:val="24"/>
        </w:rPr>
      </w:pPr>
      <w:r w:rsidRPr="0023160C">
        <w:rPr>
          <w:rFonts w:ascii="Times New Roman" w:hAnsi="Times New Roman" w:cs="Times New Roman"/>
          <w:szCs w:val="24"/>
        </w:rPr>
        <w:t>- дети до 1 года –4,5% ( 2019г- 8,5  %);</w:t>
      </w:r>
    </w:p>
    <w:p w:rsidR="00630798" w:rsidRPr="0023160C" w:rsidRDefault="00630798" w:rsidP="0023160C">
      <w:pPr>
        <w:spacing w:after="0" w:line="240" w:lineRule="auto"/>
        <w:ind w:firstLine="567"/>
        <w:rPr>
          <w:rFonts w:ascii="Times New Roman" w:hAnsi="Times New Roman" w:cs="Times New Roman"/>
          <w:szCs w:val="24"/>
        </w:rPr>
      </w:pPr>
      <w:r w:rsidRPr="0023160C">
        <w:rPr>
          <w:rFonts w:ascii="Times New Roman" w:hAnsi="Times New Roman" w:cs="Times New Roman"/>
          <w:szCs w:val="24"/>
        </w:rPr>
        <w:t>- дети в возрасте 1-2-х лет – 7.5% ( 2019г-15,7 %);</w:t>
      </w:r>
    </w:p>
    <w:p w:rsidR="00630798" w:rsidRPr="0023160C" w:rsidRDefault="00630798" w:rsidP="0023160C">
      <w:pPr>
        <w:spacing w:after="0" w:line="240" w:lineRule="auto"/>
        <w:ind w:firstLine="567"/>
        <w:rPr>
          <w:rFonts w:ascii="Times New Roman" w:hAnsi="Times New Roman" w:cs="Times New Roman"/>
          <w:szCs w:val="24"/>
        </w:rPr>
      </w:pPr>
      <w:r w:rsidRPr="0023160C">
        <w:rPr>
          <w:rFonts w:ascii="Times New Roman" w:hAnsi="Times New Roman" w:cs="Times New Roman"/>
          <w:szCs w:val="24"/>
        </w:rPr>
        <w:t>- дети 3-6 лет – 20,3% ( 2019г-36,0 %);</w:t>
      </w:r>
    </w:p>
    <w:p w:rsidR="00630798" w:rsidRDefault="00630798" w:rsidP="0023160C">
      <w:pPr>
        <w:spacing w:after="0" w:line="240" w:lineRule="auto"/>
        <w:ind w:firstLine="567"/>
        <w:rPr>
          <w:rFonts w:ascii="Times New Roman" w:hAnsi="Times New Roman" w:cs="Times New Roman"/>
          <w:szCs w:val="24"/>
        </w:rPr>
      </w:pPr>
      <w:r w:rsidRPr="0023160C">
        <w:rPr>
          <w:rFonts w:ascii="Times New Roman" w:hAnsi="Times New Roman" w:cs="Times New Roman"/>
          <w:szCs w:val="24"/>
        </w:rPr>
        <w:t xml:space="preserve">- дети 7-14 лет – 29,6% ( 2019г-20,7 %) </w:t>
      </w:r>
    </w:p>
    <w:p w:rsidR="0023160C" w:rsidRDefault="0023160C" w:rsidP="0023160C">
      <w:pPr>
        <w:spacing w:after="0" w:line="240" w:lineRule="auto"/>
        <w:ind w:firstLine="567"/>
        <w:rPr>
          <w:rFonts w:ascii="Times New Roman" w:hAnsi="Times New Roman" w:cs="Times New Roman"/>
          <w:szCs w:val="24"/>
        </w:rPr>
      </w:pPr>
    </w:p>
    <w:p w:rsidR="0023160C" w:rsidRDefault="0023160C" w:rsidP="0023160C">
      <w:pPr>
        <w:spacing w:after="0" w:line="240" w:lineRule="auto"/>
        <w:ind w:firstLine="567"/>
        <w:rPr>
          <w:rFonts w:ascii="Times New Roman" w:hAnsi="Times New Roman" w:cs="Times New Roman"/>
          <w:szCs w:val="24"/>
        </w:rPr>
      </w:pPr>
    </w:p>
    <w:p w:rsidR="0023160C" w:rsidRDefault="0023160C" w:rsidP="0023160C">
      <w:pPr>
        <w:spacing w:after="0" w:line="240" w:lineRule="auto"/>
        <w:ind w:firstLine="567"/>
        <w:rPr>
          <w:rFonts w:ascii="Times New Roman" w:hAnsi="Times New Roman" w:cs="Times New Roman"/>
          <w:szCs w:val="24"/>
        </w:rPr>
      </w:pPr>
    </w:p>
    <w:p w:rsidR="0023160C" w:rsidRDefault="0023160C" w:rsidP="0023160C">
      <w:pPr>
        <w:spacing w:after="0" w:line="240" w:lineRule="auto"/>
        <w:ind w:firstLine="567"/>
        <w:rPr>
          <w:rFonts w:ascii="Times New Roman" w:hAnsi="Times New Roman" w:cs="Times New Roman"/>
          <w:szCs w:val="24"/>
        </w:rPr>
      </w:pPr>
    </w:p>
    <w:p w:rsidR="0023160C" w:rsidRDefault="0023160C" w:rsidP="0023160C">
      <w:pPr>
        <w:spacing w:after="0" w:line="240" w:lineRule="auto"/>
        <w:ind w:firstLine="567"/>
        <w:rPr>
          <w:rFonts w:ascii="Times New Roman" w:hAnsi="Times New Roman" w:cs="Times New Roman"/>
          <w:szCs w:val="24"/>
        </w:rPr>
      </w:pPr>
    </w:p>
    <w:p w:rsidR="0023160C" w:rsidRDefault="0023160C" w:rsidP="0023160C">
      <w:pPr>
        <w:spacing w:after="0" w:line="240" w:lineRule="auto"/>
        <w:ind w:firstLine="567"/>
        <w:rPr>
          <w:rFonts w:ascii="Times New Roman" w:hAnsi="Times New Roman" w:cs="Times New Roman"/>
          <w:szCs w:val="24"/>
        </w:rPr>
      </w:pPr>
    </w:p>
    <w:p w:rsidR="0023160C" w:rsidRPr="0023160C" w:rsidRDefault="0023160C" w:rsidP="0023160C">
      <w:pPr>
        <w:spacing w:after="0" w:line="240" w:lineRule="auto"/>
        <w:ind w:firstLine="567"/>
        <w:rPr>
          <w:rFonts w:ascii="Times New Roman" w:hAnsi="Times New Roman" w:cs="Times New Roman"/>
          <w:szCs w:val="24"/>
        </w:rPr>
      </w:pPr>
    </w:p>
    <w:p w:rsidR="00630798" w:rsidRPr="00582568" w:rsidRDefault="00630798" w:rsidP="00630798">
      <w:pPr>
        <w:jc w:val="both"/>
        <w:rPr>
          <w:noProof/>
          <w:szCs w:val="24"/>
          <w:highlight w:val="yellow"/>
        </w:rPr>
      </w:pPr>
      <w:r w:rsidRPr="00582568">
        <w:rPr>
          <w:noProof/>
          <w:highlight w:val="yellow"/>
          <w:lang w:eastAsia="ru-RU"/>
        </w:rPr>
        <w:lastRenderedPageBreak/>
        <w:drawing>
          <wp:anchor distT="0" distB="0" distL="114300" distR="114300" simplePos="0" relativeHeight="251668480" behindDoc="0" locked="0" layoutInCell="1" allowOverlap="1">
            <wp:simplePos x="0" y="0"/>
            <wp:positionH relativeFrom="column">
              <wp:posOffset>0</wp:posOffset>
            </wp:positionH>
            <wp:positionV relativeFrom="paragraph">
              <wp:posOffset>144780</wp:posOffset>
            </wp:positionV>
            <wp:extent cx="5598795" cy="2569210"/>
            <wp:effectExtent l="5080" t="1905" r="0" b="635"/>
            <wp:wrapNone/>
            <wp:docPr id="34" name="Диаграмма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p w:rsidR="00630798" w:rsidRPr="00582568" w:rsidRDefault="00630798" w:rsidP="00630798">
      <w:pPr>
        <w:ind w:left="-120" w:firstLine="840"/>
        <w:jc w:val="both"/>
        <w:rPr>
          <w:noProof/>
          <w:szCs w:val="24"/>
          <w:highlight w:val="yellow"/>
        </w:rPr>
      </w:pPr>
    </w:p>
    <w:p w:rsidR="00630798" w:rsidRPr="00582568" w:rsidRDefault="00630798" w:rsidP="00630798">
      <w:pPr>
        <w:ind w:left="-120" w:firstLine="840"/>
        <w:jc w:val="both"/>
        <w:rPr>
          <w:noProof/>
          <w:szCs w:val="24"/>
          <w:highlight w:val="yellow"/>
        </w:rPr>
      </w:pPr>
    </w:p>
    <w:p w:rsidR="00630798" w:rsidRPr="00582568" w:rsidRDefault="00630798" w:rsidP="00630798">
      <w:pPr>
        <w:ind w:left="-120" w:firstLine="840"/>
        <w:jc w:val="both"/>
        <w:rPr>
          <w:noProof/>
          <w:szCs w:val="24"/>
          <w:highlight w:val="yellow"/>
        </w:rPr>
      </w:pPr>
    </w:p>
    <w:p w:rsidR="00630798" w:rsidRPr="00582568" w:rsidRDefault="00630798" w:rsidP="00630798">
      <w:pPr>
        <w:ind w:left="-120" w:firstLine="840"/>
        <w:jc w:val="both"/>
        <w:rPr>
          <w:noProof/>
          <w:szCs w:val="24"/>
          <w:highlight w:val="yellow"/>
        </w:rPr>
      </w:pPr>
    </w:p>
    <w:p w:rsidR="00630798" w:rsidRPr="00582568" w:rsidRDefault="00630798" w:rsidP="00630798">
      <w:pPr>
        <w:ind w:left="-120" w:firstLine="840"/>
        <w:jc w:val="both"/>
        <w:rPr>
          <w:noProof/>
          <w:szCs w:val="24"/>
          <w:highlight w:val="yellow"/>
        </w:rPr>
      </w:pPr>
    </w:p>
    <w:p w:rsidR="00630798" w:rsidRPr="00582568" w:rsidRDefault="00630798" w:rsidP="00630798">
      <w:pPr>
        <w:ind w:left="-120" w:firstLine="840"/>
        <w:jc w:val="both"/>
        <w:rPr>
          <w:noProof/>
          <w:szCs w:val="24"/>
          <w:highlight w:val="yellow"/>
        </w:rPr>
      </w:pPr>
    </w:p>
    <w:p w:rsidR="00630798" w:rsidRPr="00582568" w:rsidRDefault="00630798" w:rsidP="00630798">
      <w:pPr>
        <w:ind w:left="-120" w:firstLine="840"/>
        <w:jc w:val="both"/>
        <w:rPr>
          <w:noProof/>
          <w:szCs w:val="24"/>
          <w:highlight w:val="yellow"/>
        </w:rPr>
      </w:pPr>
    </w:p>
    <w:p w:rsidR="00630798" w:rsidRPr="00582568" w:rsidRDefault="00630798" w:rsidP="00630798">
      <w:pPr>
        <w:ind w:left="-120" w:firstLine="840"/>
        <w:jc w:val="both"/>
        <w:rPr>
          <w:noProof/>
          <w:szCs w:val="24"/>
          <w:highlight w:val="yellow"/>
        </w:rPr>
      </w:pPr>
    </w:p>
    <w:p w:rsidR="00630798" w:rsidRPr="00582568" w:rsidRDefault="00630798" w:rsidP="00630798">
      <w:pPr>
        <w:ind w:left="-120" w:firstLine="840"/>
        <w:jc w:val="both"/>
        <w:rPr>
          <w:noProof/>
          <w:szCs w:val="24"/>
          <w:highlight w:val="yellow"/>
        </w:rPr>
      </w:pPr>
    </w:p>
    <w:p w:rsidR="00630798" w:rsidRPr="00570D82" w:rsidRDefault="00630798" w:rsidP="00630798">
      <w:pPr>
        <w:jc w:val="center"/>
      </w:pPr>
      <w:r w:rsidRPr="00570D82">
        <w:rPr>
          <w:bCs/>
        </w:rPr>
        <w:t xml:space="preserve">Рис. № 3. </w:t>
      </w:r>
      <w:r w:rsidRPr="00570D82">
        <w:t>Возрастная структура общей инфекционной заболеваемости в г. Пыть - Ях в 2020 году</w:t>
      </w:r>
    </w:p>
    <w:p w:rsidR="00630798" w:rsidRPr="0023160C" w:rsidRDefault="00630798" w:rsidP="0023160C">
      <w:pPr>
        <w:spacing w:after="0" w:line="240" w:lineRule="auto"/>
        <w:ind w:firstLine="964"/>
        <w:jc w:val="both"/>
        <w:rPr>
          <w:rFonts w:ascii="Times New Roman" w:hAnsi="Times New Roman" w:cs="Times New Roman"/>
          <w:szCs w:val="24"/>
        </w:rPr>
      </w:pPr>
      <w:r w:rsidRPr="0023160C">
        <w:rPr>
          <w:rFonts w:ascii="Times New Roman" w:hAnsi="Times New Roman" w:cs="Times New Roman"/>
          <w:szCs w:val="24"/>
        </w:rPr>
        <w:t xml:space="preserve">В   структуре детской  заболеваемости удельный  вес   детей 0-14 лет составляет 49,9% ( в 2019г-94,0 %). Среди них наиболее поражаемой группой является дети от 3-до 6 лет- 20,3( в 2019г-44,4 %), из них на  детей посещающих ДДУ приходится 95,3%от численности детей в возрасте 3-6 лет ( в 2019г-95,9 % , 2018 на организованных детей приходилось 92,6 %). </w:t>
      </w:r>
    </w:p>
    <w:p w:rsidR="00630798" w:rsidRPr="0023160C" w:rsidRDefault="00630798" w:rsidP="0023160C">
      <w:pPr>
        <w:spacing w:after="0" w:line="240" w:lineRule="auto"/>
        <w:ind w:firstLine="964"/>
        <w:jc w:val="both"/>
        <w:rPr>
          <w:rFonts w:ascii="Times New Roman" w:hAnsi="Times New Roman" w:cs="Times New Roman"/>
          <w:szCs w:val="24"/>
        </w:rPr>
      </w:pPr>
      <w:r w:rsidRPr="0023160C">
        <w:rPr>
          <w:rFonts w:ascii="Times New Roman" w:hAnsi="Times New Roman" w:cs="Times New Roman"/>
          <w:szCs w:val="24"/>
        </w:rPr>
        <w:t xml:space="preserve">По интенсивным показателям  в 2020 году зарегистрирована самая высокая заболеваемость детей   до 1 года, на втором месте дети 3-6 лет В структуре заболеваемость организованных детей 3-6 лет, посещающих детские сады составила 95% в 2020году, тогда как неорганизованных детей-5%.(рис.4). </w:t>
      </w:r>
    </w:p>
    <w:p w:rsidR="00630798" w:rsidRPr="00582568" w:rsidRDefault="00630798" w:rsidP="00630798">
      <w:pPr>
        <w:ind w:firstLine="964"/>
        <w:jc w:val="both"/>
        <w:rPr>
          <w:szCs w:val="24"/>
          <w:highlight w:val="yellow"/>
        </w:rPr>
      </w:pPr>
      <w:r w:rsidRPr="00582568">
        <w:rPr>
          <w:noProof/>
          <w:highlight w:val="yellow"/>
          <w:lang w:eastAsia="ru-RU"/>
        </w:rPr>
        <w:drawing>
          <wp:anchor distT="0" distB="0" distL="114300" distR="114300" simplePos="0" relativeHeight="251669504" behindDoc="0" locked="0" layoutInCell="1" allowOverlap="1">
            <wp:simplePos x="0" y="0"/>
            <wp:positionH relativeFrom="column">
              <wp:posOffset>0</wp:posOffset>
            </wp:positionH>
            <wp:positionV relativeFrom="paragraph">
              <wp:posOffset>129540</wp:posOffset>
            </wp:positionV>
            <wp:extent cx="5693410" cy="2647315"/>
            <wp:effectExtent l="5080" t="0" r="0" b="1905"/>
            <wp:wrapNone/>
            <wp:docPr id="33" name="Диаграмма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p w:rsidR="00630798" w:rsidRPr="00582568" w:rsidRDefault="00630798" w:rsidP="00630798">
      <w:pPr>
        <w:ind w:firstLine="964"/>
        <w:jc w:val="both"/>
        <w:rPr>
          <w:szCs w:val="24"/>
          <w:highlight w:val="yellow"/>
        </w:rPr>
      </w:pPr>
    </w:p>
    <w:p w:rsidR="00630798" w:rsidRPr="00582568" w:rsidRDefault="00630798" w:rsidP="00630798">
      <w:pPr>
        <w:ind w:firstLine="964"/>
        <w:jc w:val="both"/>
        <w:rPr>
          <w:szCs w:val="24"/>
          <w:highlight w:val="yellow"/>
        </w:rPr>
      </w:pPr>
    </w:p>
    <w:p w:rsidR="00630798" w:rsidRPr="00582568" w:rsidRDefault="00630798" w:rsidP="00630798">
      <w:pPr>
        <w:ind w:firstLine="964"/>
        <w:jc w:val="both"/>
        <w:rPr>
          <w:szCs w:val="24"/>
          <w:highlight w:val="yellow"/>
        </w:rPr>
      </w:pPr>
    </w:p>
    <w:p w:rsidR="00630798" w:rsidRPr="00582568" w:rsidRDefault="00630798" w:rsidP="00630798">
      <w:pPr>
        <w:ind w:firstLine="964"/>
        <w:jc w:val="both"/>
        <w:rPr>
          <w:szCs w:val="24"/>
          <w:highlight w:val="yellow"/>
        </w:rPr>
      </w:pPr>
    </w:p>
    <w:p w:rsidR="00630798" w:rsidRPr="00582568" w:rsidRDefault="00630798" w:rsidP="00630798">
      <w:pPr>
        <w:ind w:firstLine="964"/>
        <w:jc w:val="both"/>
        <w:rPr>
          <w:szCs w:val="24"/>
          <w:highlight w:val="yellow"/>
        </w:rPr>
      </w:pPr>
    </w:p>
    <w:p w:rsidR="00630798" w:rsidRPr="00582568" w:rsidRDefault="00630798" w:rsidP="00630798">
      <w:pPr>
        <w:ind w:firstLine="964"/>
        <w:jc w:val="both"/>
        <w:rPr>
          <w:szCs w:val="24"/>
          <w:highlight w:val="yellow"/>
        </w:rPr>
      </w:pPr>
    </w:p>
    <w:p w:rsidR="00630798" w:rsidRPr="00582568" w:rsidRDefault="00630798" w:rsidP="00630798">
      <w:pPr>
        <w:ind w:firstLine="964"/>
        <w:jc w:val="both"/>
        <w:rPr>
          <w:szCs w:val="24"/>
          <w:highlight w:val="yellow"/>
        </w:rPr>
      </w:pPr>
    </w:p>
    <w:p w:rsidR="00630798" w:rsidRPr="00582568" w:rsidRDefault="00630798" w:rsidP="00630798">
      <w:pPr>
        <w:ind w:firstLine="964"/>
        <w:jc w:val="both"/>
        <w:rPr>
          <w:szCs w:val="24"/>
          <w:highlight w:val="yellow"/>
        </w:rPr>
      </w:pPr>
    </w:p>
    <w:p w:rsidR="00630798" w:rsidRPr="00582568" w:rsidRDefault="00630798" w:rsidP="00630798">
      <w:pPr>
        <w:ind w:firstLine="964"/>
        <w:jc w:val="both"/>
        <w:rPr>
          <w:szCs w:val="24"/>
          <w:highlight w:val="yellow"/>
        </w:rPr>
      </w:pPr>
    </w:p>
    <w:p w:rsidR="00630798" w:rsidRPr="00991063" w:rsidRDefault="00630798" w:rsidP="00630798">
      <w:pPr>
        <w:pStyle w:val="af5"/>
        <w:spacing w:before="100" w:beforeAutospacing="1" w:after="100" w:afterAutospacing="1"/>
        <w:rPr>
          <w:rFonts w:ascii="Times New Roman" w:hAnsi="Times New Roman" w:cs="Times New Roman"/>
          <w:b w:val="0"/>
          <w:bCs w:val="0"/>
          <w:sz w:val="22"/>
          <w:szCs w:val="22"/>
        </w:rPr>
      </w:pPr>
      <w:r w:rsidRPr="00991063">
        <w:rPr>
          <w:rFonts w:ascii="Times New Roman" w:hAnsi="Times New Roman" w:cs="Times New Roman"/>
          <w:b w:val="0"/>
          <w:sz w:val="22"/>
          <w:szCs w:val="22"/>
        </w:rPr>
        <w:t>Рис. № 4.</w:t>
      </w:r>
      <w:r w:rsidRPr="00991063">
        <w:rPr>
          <w:rFonts w:ascii="Times New Roman" w:hAnsi="Times New Roman" w:cs="Times New Roman"/>
          <w:b w:val="0"/>
          <w:bCs w:val="0"/>
          <w:noProof/>
          <w:sz w:val="22"/>
          <w:szCs w:val="22"/>
        </w:rPr>
        <w:t xml:space="preserve"> Инфекционная заболеваемость в различных возрастных групп</w:t>
      </w:r>
      <w:r w:rsidRPr="00991063">
        <w:rPr>
          <w:rFonts w:ascii="Times New Roman" w:hAnsi="Times New Roman" w:cs="Times New Roman"/>
          <w:b w:val="0"/>
          <w:bCs w:val="0"/>
          <w:sz w:val="22"/>
          <w:szCs w:val="22"/>
        </w:rPr>
        <w:t>ах (на 100 тыс. контингента) за 2020 год.</w:t>
      </w:r>
    </w:p>
    <w:p w:rsidR="00630798" w:rsidRPr="0023160C" w:rsidRDefault="00630798" w:rsidP="0023160C">
      <w:pPr>
        <w:pStyle w:val="ad"/>
        <w:spacing w:line="240" w:lineRule="auto"/>
        <w:ind w:left="0" w:firstLine="567"/>
        <w:jc w:val="both"/>
        <w:rPr>
          <w:rFonts w:ascii="Times New Roman" w:hAnsi="Times New Roman"/>
          <w:b/>
        </w:rPr>
      </w:pPr>
      <w:r w:rsidRPr="0023160C">
        <w:rPr>
          <w:rFonts w:ascii="Times New Roman" w:hAnsi="Times New Roman"/>
          <w:b/>
        </w:rPr>
        <w:t>1.3.1. Инфекционные заболевания, управляемые средствами специфической профилактики</w:t>
      </w:r>
    </w:p>
    <w:p w:rsidR="00630798" w:rsidRPr="001F7DE4" w:rsidRDefault="00630798" w:rsidP="00630798">
      <w:pPr>
        <w:pStyle w:val="a5"/>
        <w:ind w:firstLine="709"/>
        <w:jc w:val="both"/>
        <w:rPr>
          <w:sz w:val="24"/>
        </w:rPr>
      </w:pPr>
      <w:r w:rsidRPr="001F7DE4">
        <w:rPr>
          <w:sz w:val="24"/>
        </w:rPr>
        <w:t xml:space="preserve">В группе инфекций, </w:t>
      </w:r>
      <w:r w:rsidRPr="001F7DE4">
        <w:rPr>
          <w:sz w:val="24"/>
          <w:lang w:val="ru-RU"/>
        </w:rPr>
        <w:t>управляемых</w:t>
      </w:r>
      <w:r w:rsidRPr="001F7DE4">
        <w:rPr>
          <w:sz w:val="24"/>
        </w:rPr>
        <w:t xml:space="preserve"> средствами иммунопрофилактики  (таблица № 2) в </w:t>
      </w:r>
      <w:r w:rsidRPr="001F7DE4">
        <w:rPr>
          <w:sz w:val="24"/>
          <w:lang w:val="ru-RU"/>
        </w:rPr>
        <w:t xml:space="preserve">2020 году не зарегистрировано ни одного случая заболевания, в </w:t>
      </w:r>
      <w:r w:rsidRPr="001F7DE4">
        <w:rPr>
          <w:sz w:val="24"/>
        </w:rPr>
        <w:t>201</w:t>
      </w:r>
      <w:r w:rsidRPr="001F7DE4">
        <w:rPr>
          <w:sz w:val="24"/>
          <w:lang w:val="ru-RU"/>
        </w:rPr>
        <w:t>9</w:t>
      </w:r>
      <w:r w:rsidRPr="001F7DE4">
        <w:rPr>
          <w:sz w:val="24"/>
        </w:rPr>
        <w:t xml:space="preserve"> г. зарегистрировано </w:t>
      </w:r>
      <w:r w:rsidRPr="001F7DE4">
        <w:rPr>
          <w:sz w:val="24"/>
          <w:lang w:val="ru-RU"/>
        </w:rPr>
        <w:t>3</w:t>
      </w:r>
      <w:r w:rsidRPr="001F7DE4">
        <w:rPr>
          <w:sz w:val="24"/>
        </w:rPr>
        <w:t xml:space="preserve"> случая заболеваемости коклюшем, </w:t>
      </w:r>
      <w:r w:rsidRPr="001F7DE4">
        <w:rPr>
          <w:sz w:val="24"/>
          <w:szCs w:val="24"/>
        </w:rPr>
        <w:t xml:space="preserve">вызванный </w:t>
      </w:r>
      <w:r w:rsidRPr="001F7DE4">
        <w:rPr>
          <w:sz w:val="24"/>
          <w:szCs w:val="24"/>
          <w:lang w:val="en-US"/>
        </w:rPr>
        <w:t>Bordetella</w:t>
      </w:r>
      <w:r w:rsidRPr="001F7DE4">
        <w:rPr>
          <w:sz w:val="24"/>
          <w:szCs w:val="24"/>
        </w:rPr>
        <w:t xml:space="preserve"> </w:t>
      </w:r>
      <w:r w:rsidRPr="001F7DE4">
        <w:rPr>
          <w:sz w:val="24"/>
          <w:szCs w:val="24"/>
          <w:lang w:val="en-US"/>
        </w:rPr>
        <w:t>pertussis</w:t>
      </w:r>
      <w:r w:rsidRPr="001F7DE4">
        <w:rPr>
          <w:sz w:val="24"/>
        </w:rPr>
        <w:t>.</w:t>
      </w:r>
    </w:p>
    <w:p w:rsidR="00630798" w:rsidRPr="001F7DE4" w:rsidRDefault="00630798" w:rsidP="00630798">
      <w:pPr>
        <w:pStyle w:val="a5"/>
        <w:ind w:firstLine="709"/>
        <w:jc w:val="both"/>
        <w:rPr>
          <w:sz w:val="24"/>
          <w:lang w:val="ru-RU"/>
        </w:rPr>
      </w:pPr>
      <w:r w:rsidRPr="001F7DE4">
        <w:rPr>
          <w:sz w:val="24"/>
          <w:szCs w:val="24"/>
        </w:rPr>
        <w:t>В 201</w:t>
      </w:r>
      <w:r w:rsidRPr="001F7DE4">
        <w:rPr>
          <w:sz w:val="24"/>
          <w:szCs w:val="24"/>
          <w:lang w:val="ru-RU"/>
        </w:rPr>
        <w:t>8</w:t>
      </w:r>
      <w:r w:rsidRPr="001F7DE4">
        <w:rPr>
          <w:sz w:val="24"/>
          <w:szCs w:val="24"/>
        </w:rPr>
        <w:t xml:space="preserve"> г. </w:t>
      </w:r>
      <w:r w:rsidRPr="001F7DE4">
        <w:rPr>
          <w:sz w:val="24"/>
        </w:rPr>
        <w:t xml:space="preserve">зарегистрировано 2 случая заболеваемости коклюшем, </w:t>
      </w:r>
      <w:r w:rsidRPr="001F7DE4">
        <w:rPr>
          <w:sz w:val="24"/>
          <w:szCs w:val="24"/>
        </w:rPr>
        <w:t xml:space="preserve">вызванный </w:t>
      </w:r>
      <w:r w:rsidRPr="001F7DE4">
        <w:rPr>
          <w:sz w:val="24"/>
          <w:szCs w:val="24"/>
          <w:lang w:val="en-US"/>
        </w:rPr>
        <w:t>Bordetella</w:t>
      </w:r>
      <w:r w:rsidRPr="001F7DE4">
        <w:rPr>
          <w:sz w:val="24"/>
          <w:szCs w:val="24"/>
        </w:rPr>
        <w:t xml:space="preserve"> </w:t>
      </w:r>
      <w:r w:rsidRPr="001F7DE4">
        <w:rPr>
          <w:sz w:val="24"/>
          <w:szCs w:val="24"/>
          <w:lang w:val="en-US"/>
        </w:rPr>
        <w:t>pertussis</w:t>
      </w:r>
      <w:r w:rsidRPr="001F7DE4">
        <w:rPr>
          <w:sz w:val="24"/>
        </w:rPr>
        <w:t>.</w:t>
      </w:r>
    </w:p>
    <w:p w:rsidR="00630798" w:rsidRDefault="00630798" w:rsidP="00630798">
      <w:pPr>
        <w:pStyle w:val="a5"/>
        <w:ind w:firstLine="709"/>
        <w:jc w:val="both"/>
        <w:rPr>
          <w:sz w:val="24"/>
        </w:rPr>
      </w:pPr>
      <w:r w:rsidRPr="001F7DE4">
        <w:rPr>
          <w:sz w:val="24"/>
          <w:szCs w:val="24"/>
          <w:lang w:val="ru-RU"/>
        </w:rPr>
        <w:t xml:space="preserve">Для дальнейшего поддержания заболеваемости коклюшем на спорадическом уровне, в целях локализации эпидемического подъема необходимо обеспечить охваты профилактическими прививками детей декретированных возрастов на уровнях, не ниже </w:t>
      </w:r>
      <w:r w:rsidRPr="001F7DE4">
        <w:rPr>
          <w:sz w:val="24"/>
          <w:szCs w:val="24"/>
          <w:lang w:val="ru-RU"/>
        </w:rPr>
        <w:lastRenderedPageBreak/>
        <w:t>нормативных в городе и улучшить работу лечебно – профилактических учреждений по вопросам диагностики коклюшной инфекции.</w:t>
      </w:r>
      <w:r w:rsidRPr="00272E94">
        <w:rPr>
          <w:sz w:val="24"/>
        </w:rPr>
        <w:t xml:space="preserve"> </w:t>
      </w:r>
    </w:p>
    <w:p w:rsidR="00630798" w:rsidRPr="00272E94" w:rsidRDefault="00630798" w:rsidP="0023160C">
      <w:pPr>
        <w:pStyle w:val="a5"/>
        <w:ind w:firstLine="709"/>
        <w:jc w:val="both"/>
        <w:rPr>
          <w:sz w:val="24"/>
          <w:szCs w:val="24"/>
        </w:rPr>
      </w:pPr>
      <w:r w:rsidRPr="001F7DE4">
        <w:rPr>
          <w:sz w:val="24"/>
        </w:rPr>
        <w:t xml:space="preserve">Эпидемиологический процесс по краснухе имеет стойкую тенденцию к снижению. </w:t>
      </w:r>
      <w:r w:rsidRPr="001F7DE4">
        <w:rPr>
          <w:sz w:val="24"/>
          <w:szCs w:val="24"/>
        </w:rPr>
        <w:t xml:space="preserve"> В 201</w:t>
      </w:r>
      <w:r w:rsidRPr="001F7DE4">
        <w:rPr>
          <w:sz w:val="24"/>
          <w:szCs w:val="24"/>
          <w:lang w:val="ru-RU"/>
        </w:rPr>
        <w:t>9</w:t>
      </w:r>
      <w:r w:rsidRPr="001F7DE4">
        <w:rPr>
          <w:sz w:val="24"/>
          <w:szCs w:val="24"/>
        </w:rPr>
        <w:t>- 20</w:t>
      </w:r>
      <w:r w:rsidRPr="001F7DE4">
        <w:rPr>
          <w:sz w:val="24"/>
          <w:szCs w:val="24"/>
          <w:lang w:val="ru-RU"/>
        </w:rPr>
        <w:t>20</w:t>
      </w:r>
      <w:r w:rsidRPr="001F7DE4">
        <w:rPr>
          <w:sz w:val="24"/>
          <w:szCs w:val="24"/>
        </w:rPr>
        <w:t xml:space="preserve"> гг. случаев заболеваемости </w:t>
      </w:r>
      <w:r w:rsidR="0023160C">
        <w:rPr>
          <w:sz w:val="24"/>
          <w:szCs w:val="24"/>
        </w:rPr>
        <w:t xml:space="preserve"> краснухой не зарегистрировано.</w:t>
      </w:r>
    </w:p>
    <w:p w:rsidR="00630798" w:rsidRDefault="00630798" w:rsidP="00630798">
      <w:pPr>
        <w:pStyle w:val="a5"/>
        <w:ind w:firstLine="709"/>
        <w:jc w:val="right"/>
        <w:rPr>
          <w:sz w:val="22"/>
          <w:szCs w:val="22"/>
        </w:rPr>
      </w:pPr>
    </w:p>
    <w:p w:rsidR="00630798" w:rsidRPr="001F7DE4" w:rsidRDefault="00630798" w:rsidP="00630798">
      <w:pPr>
        <w:pStyle w:val="a5"/>
        <w:ind w:firstLine="709"/>
        <w:jc w:val="right"/>
        <w:rPr>
          <w:sz w:val="22"/>
          <w:szCs w:val="22"/>
          <w:lang w:val="ru-RU"/>
        </w:rPr>
      </w:pPr>
      <w:r w:rsidRPr="001F7DE4">
        <w:rPr>
          <w:sz w:val="22"/>
          <w:szCs w:val="22"/>
        </w:rPr>
        <w:t>Таблица № 2</w:t>
      </w:r>
    </w:p>
    <w:p w:rsidR="00630798" w:rsidRDefault="00630798" w:rsidP="00630798">
      <w:pPr>
        <w:pStyle w:val="a5"/>
        <w:ind w:firstLine="709"/>
        <w:rPr>
          <w:b/>
          <w:sz w:val="22"/>
          <w:szCs w:val="22"/>
        </w:rPr>
      </w:pPr>
      <w:r w:rsidRPr="001F7DE4">
        <w:rPr>
          <w:b/>
          <w:sz w:val="22"/>
          <w:szCs w:val="22"/>
        </w:rPr>
        <w:t>Инфекционные заболевания, регулируемые средствами иммунопрофилактики за период  201</w:t>
      </w:r>
      <w:r w:rsidRPr="001F7DE4">
        <w:rPr>
          <w:b/>
          <w:sz w:val="22"/>
          <w:szCs w:val="22"/>
          <w:lang w:val="ru-RU"/>
        </w:rPr>
        <w:t>8</w:t>
      </w:r>
      <w:r w:rsidRPr="001F7DE4">
        <w:rPr>
          <w:b/>
          <w:sz w:val="22"/>
          <w:szCs w:val="22"/>
        </w:rPr>
        <w:t>-20</w:t>
      </w:r>
      <w:r w:rsidRPr="001F7DE4">
        <w:rPr>
          <w:b/>
          <w:sz w:val="22"/>
          <w:szCs w:val="22"/>
          <w:lang w:val="ru-RU"/>
        </w:rPr>
        <w:t>20</w:t>
      </w:r>
      <w:r w:rsidRPr="001F7DE4">
        <w:rPr>
          <w:b/>
          <w:sz w:val="22"/>
          <w:szCs w:val="22"/>
        </w:rPr>
        <w:t xml:space="preserve"> гг.</w:t>
      </w:r>
    </w:p>
    <w:p w:rsidR="00630798" w:rsidRPr="001F7DE4" w:rsidRDefault="00630798" w:rsidP="00630798">
      <w:pPr>
        <w:pStyle w:val="a5"/>
        <w:ind w:firstLine="709"/>
        <w:rPr>
          <w:b/>
          <w:sz w:val="22"/>
          <w:szCs w:val="22"/>
        </w:rPr>
      </w:pPr>
    </w:p>
    <w:tbl>
      <w:tblPr>
        <w:tblW w:w="7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51"/>
        <w:gridCol w:w="17"/>
        <w:gridCol w:w="834"/>
        <w:gridCol w:w="17"/>
        <w:gridCol w:w="975"/>
        <w:gridCol w:w="17"/>
        <w:gridCol w:w="975"/>
        <w:gridCol w:w="17"/>
        <w:gridCol w:w="975"/>
        <w:gridCol w:w="17"/>
        <w:gridCol w:w="976"/>
        <w:gridCol w:w="17"/>
        <w:gridCol w:w="1117"/>
        <w:gridCol w:w="20"/>
      </w:tblGrid>
      <w:tr w:rsidR="00630798" w:rsidRPr="0023160C" w:rsidTr="00630798">
        <w:trPr>
          <w:cantSplit/>
          <w:jc w:val="center"/>
        </w:trPr>
        <w:tc>
          <w:tcPr>
            <w:tcW w:w="1568" w:type="dxa"/>
            <w:gridSpan w:val="2"/>
            <w:vMerge w:val="restart"/>
          </w:tcPr>
          <w:p w:rsidR="00630798" w:rsidRPr="0023160C" w:rsidRDefault="00630798" w:rsidP="00630798">
            <w:pPr>
              <w:spacing w:before="20" w:after="20"/>
              <w:jc w:val="center"/>
              <w:rPr>
                <w:rFonts w:ascii="Times New Roman" w:hAnsi="Times New Roman" w:cs="Times New Roman"/>
              </w:rPr>
            </w:pPr>
          </w:p>
        </w:tc>
        <w:tc>
          <w:tcPr>
            <w:tcW w:w="1843" w:type="dxa"/>
            <w:gridSpan w:val="4"/>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2017</w:t>
            </w:r>
          </w:p>
        </w:tc>
        <w:tc>
          <w:tcPr>
            <w:tcW w:w="1984" w:type="dxa"/>
            <w:gridSpan w:val="4"/>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2018</w:t>
            </w:r>
          </w:p>
        </w:tc>
        <w:tc>
          <w:tcPr>
            <w:tcW w:w="2130" w:type="dxa"/>
            <w:gridSpan w:val="4"/>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2020</w:t>
            </w:r>
          </w:p>
        </w:tc>
      </w:tr>
      <w:tr w:rsidR="00630798" w:rsidRPr="0023160C" w:rsidTr="00630798">
        <w:trPr>
          <w:cantSplit/>
          <w:jc w:val="center"/>
        </w:trPr>
        <w:tc>
          <w:tcPr>
            <w:tcW w:w="1568" w:type="dxa"/>
            <w:gridSpan w:val="2"/>
            <w:vMerge/>
          </w:tcPr>
          <w:p w:rsidR="00630798" w:rsidRPr="0023160C" w:rsidRDefault="00630798" w:rsidP="00630798">
            <w:pPr>
              <w:spacing w:before="20" w:after="20"/>
              <w:jc w:val="center"/>
              <w:rPr>
                <w:rFonts w:ascii="Times New Roman" w:hAnsi="Times New Roman" w:cs="Times New Roman"/>
              </w:rPr>
            </w:pPr>
          </w:p>
        </w:tc>
        <w:tc>
          <w:tcPr>
            <w:tcW w:w="851"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Абс.</w:t>
            </w:r>
          </w:p>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число</w:t>
            </w:r>
          </w:p>
        </w:tc>
        <w:tc>
          <w:tcPr>
            <w:tcW w:w="992"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Показ.</w:t>
            </w:r>
          </w:p>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100тыс.</w:t>
            </w:r>
          </w:p>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насел</w:t>
            </w:r>
          </w:p>
        </w:tc>
        <w:tc>
          <w:tcPr>
            <w:tcW w:w="992"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Абс.</w:t>
            </w:r>
          </w:p>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число</w:t>
            </w:r>
          </w:p>
        </w:tc>
        <w:tc>
          <w:tcPr>
            <w:tcW w:w="992"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Показ.</w:t>
            </w:r>
          </w:p>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100тыс.</w:t>
            </w:r>
          </w:p>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насел</w:t>
            </w:r>
          </w:p>
        </w:tc>
        <w:tc>
          <w:tcPr>
            <w:tcW w:w="993"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Абс.</w:t>
            </w:r>
          </w:p>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число</w:t>
            </w:r>
          </w:p>
        </w:tc>
        <w:tc>
          <w:tcPr>
            <w:tcW w:w="1137"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Показ.</w:t>
            </w:r>
          </w:p>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100 тыс.</w:t>
            </w:r>
          </w:p>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насел</w:t>
            </w:r>
          </w:p>
        </w:tc>
      </w:tr>
      <w:tr w:rsidR="00630798" w:rsidRPr="0023160C" w:rsidTr="00630798">
        <w:trPr>
          <w:gridAfter w:val="1"/>
          <w:wAfter w:w="20" w:type="dxa"/>
          <w:cantSplit/>
          <w:jc w:val="center"/>
        </w:trPr>
        <w:tc>
          <w:tcPr>
            <w:tcW w:w="1551" w:type="dxa"/>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Дифтерия</w:t>
            </w:r>
          </w:p>
        </w:tc>
        <w:tc>
          <w:tcPr>
            <w:tcW w:w="851"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c>
          <w:tcPr>
            <w:tcW w:w="992"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c>
          <w:tcPr>
            <w:tcW w:w="992"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c>
          <w:tcPr>
            <w:tcW w:w="992"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c>
          <w:tcPr>
            <w:tcW w:w="993"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c>
          <w:tcPr>
            <w:tcW w:w="1134"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r>
      <w:tr w:rsidR="00630798" w:rsidRPr="0023160C" w:rsidTr="00630798">
        <w:trPr>
          <w:gridAfter w:val="1"/>
          <w:wAfter w:w="20" w:type="dxa"/>
          <w:cantSplit/>
          <w:jc w:val="center"/>
        </w:trPr>
        <w:tc>
          <w:tcPr>
            <w:tcW w:w="1551" w:type="dxa"/>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Коклюш</w:t>
            </w:r>
          </w:p>
        </w:tc>
        <w:tc>
          <w:tcPr>
            <w:tcW w:w="851"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2</w:t>
            </w:r>
          </w:p>
        </w:tc>
        <w:tc>
          <w:tcPr>
            <w:tcW w:w="992"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4,7</w:t>
            </w:r>
          </w:p>
        </w:tc>
        <w:tc>
          <w:tcPr>
            <w:tcW w:w="992"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3</w:t>
            </w:r>
          </w:p>
        </w:tc>
        <w:tc>
          <w:tcPr>
            <w:tcW w:w="992"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7,3</w:t>
            </w:r>
          </w:p>
        </w:tc>
        <w:tc>
          <w:tcPr>
            <w:tcW w:w="993"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c>
          <w:tcPr>
            <w:tcW w:w="1134"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r>
      <w:tr w:rsidR="00630798" w:rsidRPr="0023160C" w:rsidTr="00630798">
        <w:trPr>
          <w:gridAfter w:val="1"/>
          <w:wAfter w:w="20" w:type="dxa"/>
          <w:cantSplit/>
          <w:jc w:val="center"/>
        </w:trPr>
        <w:tc>
          <w:tcPr>
            <w:tcW w:w="1551" w:type="dxa"/>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Эпид. паротит</w:t>
            </w:r>
          </w:p>
        </w:tc>
        <w:tc>
          <w:tcPr>
            <w:tcW w:w="851"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c>
          <w:tcPr>
            <w:tcW w:w="992"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c>
          <w:tcPr>
            <w:tcW w:w="992"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c>
          <w:tcPr>
            <w:tcW w:w="992"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c>
          <w:tcPr>
            <w:tcW w:w="993"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c>
          <w:tcPr>
            <w:tcW w:w="1134"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r>
      <w:tr w:rsidR="00630798" w:rsidRPr="0023160C" w:rsidTr="00630798">
        <w:trPr>
          <w:gridAfter w:val="1"/>
          <w:wAfter w:w="20" w:type="dxa"/>
          <w:cantSplit/>
          <w:jc w:val="center"/>
        </w:trPr>
        <w:tc>
          <w:tcPr>
            <w:tcW w:w="1551" w:type="dxa"/>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Корь</w:t>
            </w:r>
          </w:p>
        </w:tc>
        <w:tc>
          <w:tcPr>
            <w:tcW w:w="851"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c>
          <w:tcPr>
            <w:tcW w:w="992"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c>
          <w:tcPr>
            <w:tcW w:w="992"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c>
          <w:tcPr>
            <w:tcW w:w="992"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c>
          <w:tcPr>
            <w:tcW w:w="993"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c>
          <w:tcPr>
            <w:tcW w:w="1134"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r>
      <w:tr w:rsidR="00630798" w:rsidRPr="0023160C" w:rsidTr="00630798">
        <w:trPr>
          <w:gridAfter w:val="1"/>
          <w:wAfter w:w="20" w:type="dxa"/>
          <w:cantSplit/>
          <w:jc w:val="center"/>
        </w:trPr>
        <w:tc>
          <w:tcPr>
            <w:tcW w:w="1551" w:type="dxa"/>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Краснуха</w:t>
            </w:r>
          </w:p>
        </w:tc>
        <w:tc>
          <w:tcPr>
            <w:tcW w:w="851"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c>
          <w:tcPr>
            <w:tcW w:w="992"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c>
          <w:tcPr>
            <w:tcW w:w="992"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c>
          <w:tcPr>
            <w:tcW w:w="992"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c>
          <w:tcPr>
            <w:tcW w:w="993"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c>
          <w:tcPr>
            <w:tcW w:w="1134" w:type="dxa"/>
            <w:gridSpan w:val="2"/>
          </w:tcPr>
          <w:p w:rsidR="00630798" w:rsidRPr="0023160C" w:rsidRDefault="00630798" w:rsidP="00630798">
            <w:pPr>
              <w:spacing w:before="20" w:after="20"/>
              <w:jc w:val="center"/>
              <w:rPr>
                <w:rFonts w:ascii="Times New Roman" w:hAnsi="Times New Roman" w:cs="Times New Roman"/>
              </w:rPr>
            </w:pPr>
            <w:r w:rsidRPr="0023160C">
              <w:rPr>
                <w:rFonts w:ascii="Times New Roman" w:hAnsi="Times New Roman" w:cs="Times New Roman"/>
              </w:rPr>
              <w:t>-</w:t>
            </w:r>
          </w:p>
        </w:tc>
      </w:tr>
    </w:tbl>
    <w:p w:rsidR="00630798" w:rsidRDefault="00630798" w:rsidP="00630798">
      <w:pPr>
        <w:pStyle w:val="a5"/>
        <w:ind w:firstLine="709"/>
        <w:jc w:val="both"/>
        <w:rPr>
          <w:sz w:val="24"/>
        </w:rPr>
      </w:pPr>
    </w:p>
    <w:p w:rsidR="00630798" w:rsidRPr="001F7DE4" w:rsidRDefault="00630798" w:rsidP="0023160C">
      <w:pPr>
        <w:pStyle w:val="a5"/>
        <w:ind w:firstLine="567"/>
        <w:jc w:val="both"/>
        <w:rPr>
          <w:sz w:val="24"/>
          <w:lang w:val="ru-RU"/>
        </w:rPr>
      </w:pPr>
      <w:r w:rsidRPr="001F7DE4">
        <w:rPr>
          <w:sz w:val="24"/>
        </w:rPr>
        <w:t>После введения в 2000 году дополнительной ревакцинации против эпид.паротита школьников, наблюдается снижение показателей заболеваемости в этой возрастной группе. В период с 201</w:t>
      </w:r>
      <w:r w:rsidRPr="001F7DE4">
        <w:rPr>
          <w:sz w:val="24"/>
          <w:lang w:val="ru-RU"/>
        </w:rPr>
        <w:t>8</w:t>
      </w:r>
      <w:r w:rsidRPr="001F7DE4">
        <w:rPr>
          <w:sz w:val="24"/>
        </w:rPr>
        <w:t xml:space="preserve"> по 20</w:t>
      </w:r>
      <w:r w:rsidRPr="001F7DE4">
        <w:rPr>
          <w:sz w:val="24"/>
          <w:lang w:val="ru-RU"/>
        </w:rPr>
        <w:t>20</w:t>
      </w:r>
      <w:r w:rsidRPr="001F7DE4">
        <w:rPr>
          <w:sz w:val="24"/>
        </w:rPr>
        <w:t xml:space="preserve"> гг. заболеваемости эпид.паротитом не зарегистрировано.</w:t>
      </w:r>
      <w:r w:rsidRPr="001F7DE4">
        <w:rPr>
          <w:sz w:val="24"/>
          <w:lang w:val="ru-RU"/>
        </w:rPr>
        <w:t xml:space="preserve"> Улучшение эпидемиологической обстановки по данной инфекции обусловлено своевременной иммунизацией детей в декретированные сроки.</w:t>
      </w:r>
    </w:p>
    <w:p w:rsidR="00630798" w:rsidRPr="001F7DE4" w:rsidRDefault="00630798" w:rsidP="0023160C">
      <w:pPr>
        <w:pStyle w:val="a5"/>
        <w:ind w:firstLine="567"/>
        <w:jc w:val="both"/>
        <w:rPr>
          <w:sz w:val="24"/>
          <w:szCs w:val="24"/>
          <w:lang w:val="ru-RU"/>
        </w:rPr>
      </w:pPr>
      <w:r w:rsidRPr="001F7DE4">
        <w:rPr>
          <w:sz w:val="24"/>
          <w:szCs w:val="24"/>
        </w:rPr>
        <w:t>На протяжении ряда лет в городе не регистрируется  заболеваемость дифтерией и корью. Одной из причин стабилизацией эпид. процесса является  высокий процент иммунизации в отношении указанных управляемых инфекций.</w:t>
      </w:r>
    </w:p>
    <w:p w:rsidR="00630798" w:rsidRPr="001F7DE4" w:rsidRDefault="00630798" w:rsidP="0023160C">
      <w:pPr>
        <w:pStyle w:val="a5"/>
        <w:ind w:firstLine="567"/>
        <w:jc w:val="both"/>
        <w:rPr>
          <w:sz w:val="24"/>
          <w:szCs w:val="24"/>
          <w:lang w:val="ru-RU"/>
        </w:rPr>
      </w:pPr>
      <w:r w:rsidRPr="001F7DE4">
        <w:rPr>
          <w:sz w:val="24"/>
          <w:szCs w:val="24"/>
          <w:lang w:val="ru-RU"/>
        </w:rPr>
        <w:t>Основной задачей по сохранению благополучия эпидемиологической ситуации заболеваемости дифтерий на целевом уровне (не выше 1 случая в год) является достижение и поддержание высокого охвата прививками детского и взрослого населения г. Пыть – Ях. Немаловажную роль играет организация своевременного бактериологического обследования больных ангинами и паратонзиллярными абсцессами в целях раннего  выявления дифтерии.</w:t>
      </w:r>
    </w:p>
    <w:p w:rsidR="00630798" w:rsidRPr="00582568" w:rsidRDefault="00630798" w:rsidP="00630798">
      <w:pPr>
        <w:pStyle w:val="a5"/>
        <w:ind w:firstLine="709"/>
        <w:jc w:val="right"/>
        <w:rPr>
          <w:sz w:val="22"/>
          <w:szCs w:val="22"/>
          <w:lang w:val="ru-RU"/>
        </w:rPr>
      </w:pPr>
      <w:r w:rsidRPr="00582568">
        <w:rPr>
          <w:sz w:val="22"/>
          <w:szCs w:val="22"/>
          <w:lang w:val="ru-RU"/>
        </w:rPr>
        <w:t>Таблица № 3</w:t>
      </w:r>
    </w:p>
    <w:p w:rsidR="00630798" w:rsidRPr="0023160C" w:rsidRDefault="00630798" w:rsidP="00630798">
      <w:pPr>
        <w:jc w:val="center"/>
        <w:rPr>
          <w:rFonts w:ascii="Times New Roman" w:hAnsi="Times New Roman" w:cs="Times New Roman"/>
          <w:b/>
        </w:rPr>
      </w:pPr>
      <w:r w:rsidRPr="0023160C">
        <w:rPr>
          <w:rFonts w:ascii="Times New Roman" w:hAnsi="Times New Roman" w:cs="Times New Roman"/>
          <w:b/>
        </w:rPr>
        <w:t>Бактериологическое обследование в целях наблюдения за распространением токсигенных и нетоксигенных коринебактерий дифтерии в 2018 г.</w:t>
      </w:r>
    </w:p>
    <w:tbl>
      <w:tblPr>
        <w:tblW w:w="9840" w:type="dxa"/>
        <w:tblCellSpacing w:w="5" w:type="nil"/>
        <w:tblInd w:w="-165" w:type="dxa"/>
        <w:tblLayout w:type="fixed"/>
        <w:tblCellMar>
          <w:left w:w="75" w:type="dxa"/>
          <w:right w:w="75" w:type="dxa"/>
        </w:tblCellMar>
        <w:tblLook w:val="0000" w:firstRow="0" w:lastRow="0" w:firstColumn="0" w:lastColumn="0" w:noHBand="0" w:noVBand="0"/>
      </w:tblPr>
      <w:tblGrid>
        <w:gridCol w:w="3784"/>
        <w:gridCol w:w="1376"/>
        <w:gridCol w:w="960"/>
        <w:gridCol w:w="840"/>
        <w:gridCol w:w="960"/>
        <w:gridCol w:w="960"/>
        <w:gridCol w:w="960"/>
      </w:tblGrid>
      <w:tr w:rsidR="00630798" w:rsidRPr="00582568" w:rsidTr="00630798">
        <w:trPr>
          <w:trHeight w:val="600"/>
          <w:tblCellSpacing w:w="5" w:type="nil"/>
        </w:trPr>
        <w:tc>
          <w:tcPr>
            <w:tcW w:w="3784" w:type="dxa"/>
            <w:vMerge w:val="restart"/>
            <w:tcBorders>
              <w:top w:val="single" w:sz="4" w:space="0" w:color="auto"/>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r w:rsidRPr="00582568">
              <w:rPr>
                <w:rFonts w:ascii="Times New Roman" w:hAnsi="Times New Roman" w:cs="Times New Roman"/>
                <w:sz w:val="22"/>
                <w:szCs w:val="22"/>
              </w:rPr>
              <w:t xml:space="preserve">           Контингент            </w:t>
            </w:r>
          </w:p>
        </w:tc>
        <w:tc>
          <w:tcPr>
            <w:tcW w:w="1376" w:type="dxa"/>
            <w:vMerge w:val="restart"/>
            <w:tcBorders>
              <w:top w:val="single" w:sz="4" w:space="0" w:color="auto"/>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r w:rsidRPr="00582568">
              <w:rPr>
                <w:rFonts w:ascii="Times New Roman" w:hAnsi="Times New Roman" w:cs="Times New Roman"/>
                <w:sz w:val="22"/>
                <w:szCs w:val="22"/>
              </w:rPr>
              <w:t>Всего</w:t>
            </w:r>
            <w:r w:rsidRPr="00582568">
              <w:rPr>
                <w:rFonts w:ascii="Times New Roman" w:hAnsi="Times New Roman" w:cs="Times New Roman"/>
                <w:sz w:val="22"/>
                <w:szCs w:val="22"/>
              </w:rPr>
              <w:br/>
              <w:t xml:space="preserve">зарегистрировано </w:t>
            </w:r>
          </w:p>
        </w:tc>
        <w:tc>
          <w:tcPr>
            <w:tcW w:w="960" w:type="dxa"/>
            <w:vMerge w:val="restart"/>
            <w:tcBorders>
              <w:top w:val="single" w:sz="4" w:space="0" w:color="auto"/>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r w:rsidRPr="00582568">
              <w:rPr>
                <w:rFonts w:ascii="Times New Roman" w:hAnsi="Times New Roman" w:cs="Times New Roman"/>
                <w:sz w:val="22"/>
                <w:szCs w:val="22"/>
              </w:rPr>
              <w:t>Из них</w:t>
            </w:r>
            <w:r w:rsidRPr="00582568">
              <w:rPr>
                <w:rFonts w:ascii="Times New Roman" w:hAnsi="Times New Roman" w:cs="Times New Roman"/>
                <w:sz w:val="22"/>
                <w:szCs w:val="22"/>
              </w:rPr>
              <w:br/>
              <w:t>обсле-</w:t>
            </w:r>
            <w:r w:rsidRPr="00582568">
              <w:rPr>
                <w:rFonts w:ascii="Times New Roman" w:hAnsi="Times New Roman" w:cs="Times New Roman"/>
                <w:sz w:val="22"/>
                <w:szCs w:val="22"/>
              </w:rPr>
              <w:br/>
              <w:t>довано</w:t>
            </w:r>
          </w:p>
        </w:tc>
        <w:tc>
          <w:tcPr>
            <w:tcW w:w="3720" w:type="dxa"/>
            <w:gridSpan w:val="4"/>
            <w:tcBorders>
              <w:top w:val="single" w:sz="4" w:space="0" w:color="auto"/>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r w:rsidRPr="00582568">
              <w:rPr>
                <w:rFonts w:ascii="Times New Roman" w:hAnsi="Times New Roman" w:cs="Times New Roman"/>
                <w:sz w:val="22"/>
                <w:szCs w:val="22"/>
              </w:rPr>
              <w:t xml:space="preserve">   В том числе выявлено   </w:t>
            </w:r>
            <w:r w:rsidRPr="00582568">
              <w:rPr>
                <w:rFonts w:ascii="Times New Roman" w:hAnsi="Times New Roman" w:cs="Times New Roman"/>
                <w:sz w:val="22"/>
                <w:szCs w:val="22"/>
              </w:rPr>
              <w:br/>
              <w:t xml:space="preserve"> коринебактерий дифтерии  </w:t>
            </w:r>
          </w:p>
        </w:tc>
      </w:tr>
      <w:tr w:rsidR="00630798" w:rsidRPr="00582568" w:rsidTr="00630798">
        <w:trPr>
          <w:trHeight w:val="400"/>
          <w:tblCellSpacing w:w="5" w:type="nil"/>
        </w:trPr>
        <w:tc>
          <w:tcPr>
            <w:tcW w:w="3784" w:type="dxa"/>
            <w:vMerge/>
            <w:tcBorders>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p>
        </w:tc>
        <w:tc>
          <w:tcPr>
            <w:tcW w:w="1376" w:type="dxa"/>
            <w:vMerge/>
            <w:tcBorders>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p>
        </w:tc>
        <w:tc>
          <w:tcPr>
            <w:tcW w:w="960" w:type="dxa"/>
            <w:vMerge/>
            <w:tcBorders>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p>
        </w:tc>
        <w:tc>
          <w:tcPr>
            <w:tcW w:w="1800" w:type="dxa"/>
            <w:gridSpan w:val="2"/>
            <w:tcBorders>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r w:rsidRPr="00582568">
              <w:rPr>
                <w:rFonts w:ascii="Times New Roman" w:hAnsi="Times New Roman" w:cs="Times New Roman"/>
                <w:sz w:val="22"/>
                <w:szCs w:val="22"/>
              </w:rPr>
              <w:t xml:space="preserve">токсигенных </w:t>
            </w:r>
          </w:p>
        </w:tc>
        <w:tc>
          <w:tcPr>
            <w:tcW w:w="1920" w:type="dxa"/>
            <w:gridSpan w:val="2"/>
            <w:tcBorders>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r w:rsidRPr="00582568">
              <w:rPr>
                <w:rFonts w:ascii="Times New Roman" w:hAnsi="Times New Roman" w:cs="Times New Roman"/>
                <w:sz w:val="22"/>
                <w:szCs w:val="22"/>
              </w:rPr>
              <w:t>нетоксигенных</w:t>
            </w:r>
          </w:p>
        </w:tc>
      </w:tr>
      <w:tr w:rsidR="00630798" w:rsidRPr="00582568" w:rsidTr="00630798">
        <w:trPr>
          <w:trHeight w:val="400"/>
          <w:tblCellSpacing w:w="5" w:type="nil"/>
        </w:trPr>
        <w:tc>
          <w:tcPr>
            <w:tcW w:w="3784" w:type="dxa"/>
            <w:vMerge/>
            <w:tcBorders>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p>
        </w:tc>
        <w:tc>
          <w:tcPr>
            <w:tcW w:w="1376" w:type="dxa"/>
            <w:vMerge/>
            <w:tcBorders>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p>
        </w:tc>
        <w:tc>
          <w:tcPr>
            <w:tcW w:w="960" w:type="dxa"/>
            <w:vMerge/>
            <w:tcBorders>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p>
        </w:tc>
        <w:tc>
          <w:tcPr>
            <w:tcW w:w="840" w:type="dxa"/>
            <w:tcBorders>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r w:rsidRPr="00582568">
              <w:rPr>
                <w:rFonts w:ascii="Times New Roman" w:hAnsi="Times New Roman" w:cs="Times New Roman"/>
                <w:sz w:val="22"/>
                <w:szCs w:val="22"/>
              </w:rPr>
              <w:t>всего</w:t>
            </w:r>
          </w:p>
        </w:tc>
        <w:tc>
          <w:tcPr>
            <w:tcW w:w="960" w:type="dxa"/>
            <w:tcBorders>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r w:rsidRPr="00582568">
              <w:rPr>
                <w:rFonts w:ascii="Times New Roman" w:hAnsi="Times New Roman" w:cs="Times New Roman"/>
                <w:sz w:val="22"/>
                <w:szCs w:val="22"/>
              </w:rPr>
              <w:t>в т.ч.</w:t>
            </w:r>
            <w:r w:rsidRPr="00582568">
              <w:rPr>
                <w:rFonts w:ascii="Times New Roman" w:hAnsi="Times New Roman" w:cs="Times New Roman"/>
                <w:sz w:val="22"/>
                <w:szCs w:val="22"/>
              </w:rPr>
              <w:br/>
              <w:t>гравис</w:t>
            </w:r>
          </w:p>
        </w:tc>
        <w:tc>
          <w:tcPr>
            <w:tcW w:w="960" w:type="dxa"/>
            <w:tcBorders>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r w:rsidRPr="00582568">
              <w:rPr>
                <w:rFonts w:ascii="Times New Roman" w:hAnsi="Times New Roman" w:cs="Times New Roman"/>
                <w:sz w:val="22"/>
                <w:szCs w:val="22"/>
              </w:rPr>
              <w:t xml:space="preserve">всего </w:t>
            </w:r>
          </w:p>
        </w:tc>
        <w:tc>
          <w:tcPr>
            <w:tcW w:w="960" w:type="dxa"/>
            <w:tcBorders>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r w:rsidRPr="00582568">
              <w:rPr>
                <w:rFonts w:ascii="Times New Roman" w:hAnsi="Times New Roman" w:cs="Times New Roman"/>
                <w:sz w:val="22"/>
                <w:szCs w:val="22"/>
              </w:rPr>
              <w:t>в т.ч.</w:t>
            </w:r>
            <w:r w:rsidRPr="00582568">
              <w:rPr>
                <w:rFonts w:ascii="Times New Roman" w:hAnsi="Times New Roman" w:cs="Times New Roman"/>
                <w:sz w:val="22"/>
                <w:szCs w:val="22"/>
              </w:rPr>
              <w:br/>
              <w:t>гравис</w:t>
            </w:r>
          </w:p>
        </w:tc>
      </w:tr>
      <w:tr w:rsidR="00630798" w:rsidRPr="00582568" w:rsidTr="00630798">
        <w:trPr>
          <w:tblCellSpacing w:w="5" w:type="nil"/>
        </w:trPr>
        <w:tc>
          <w:tcPr>
            <w:tcW w:w="3784" w:type="dxa"/>
            <w:tcBorders>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r w:rsidRPr="00582568">
              <w:rPr>
                <w:rFonts w:ascii="Times New Roman" w:hAnsi="Times New Roman" w:cs="Times New Roman"/>
                <w:sz w:val="22"/>
                <w:szCs w:val="22"/>
              </w:rPr>
              <w:t xml:space="preserve">1. С диагностической целью       </w:t>
            </w:r>
          </w:p>
        </w:tc>
        <w:tc>
          <w:tcPr>
            <w:tcW w:w="1376"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426</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381493</w:t>
            </w:r>
          </w:p>
        </w:tc>
        <w:tc>
          <w:tcPr>
            <w:tcW w:w="84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r>
      <w:tr w:rsidR="00630798" w:rsidRPr="00582568" w:rsidTr="00630798">
        <w:trPr>
          <w:tblCellSpacing w:w="5" w:type="nil"/>
        </w:trPr>
        <w:tc>
          <w:tcPr>
            <w:tcW w:w="3784" w:type="dxa"/>
            <w:tcBorders>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r w:rsidRPr="00582568">
              <w:rPr>
                <w:rFonts w:ascii="Times New Roman" w:hAnsi="Times New Roman" w:cs="Times New Roman"/>
                <w:sz w:val="22"/>
                <w:szCs w:val="22"/>
              </w:rPr>
              <w:t xml:space="preserve">Больные дифтерией                </w:t>
            </w:r>
          </w:p>
        </w:tc>
        <w:tc>
          <w:tcPr>
            <w:tcW w:w="1376"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84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r>
      <w:tr w:rsidR="00630798" w:rsidRPr="00582568" w:rsidTr="00630798">
        <w:trPr>
          <w:trHeight w:val="600"/>
          <w:tblCellSpacing w:w="5" w:type="nil"/>
        </w:trPr>
        <w:tc>
          <w:tcPr>
            <w:tcW w:w="3784" w:type="dxa"/>
            <w:tcBorders>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r w:rsidRPr="00582568">
              <w:rPr>
                <w:rFonts w:ascii="Times New Roman" w:hAnsi="Times New Roman" w:cs="Times New Roman"/>
                <w:sz w:val="22"/>
                <w:szCs w:val="22"/>
              </w:rPr>
              <w:t>Лица с подозрением на дифтерийную</w:t>
            </w:r>
            <w:r w:rsidRPr="00582568">
              <w:rPr>
                <w:rFonts w:ascii="Times New Roman" w:hAnsi="Times New Roman" w:cs="Times New Roman"/>
                <w:sz w:val="22"/>
                <w:szCs w:val="22"/>
              </w:rPr>
              <w:br/>
              <w:t xml:space="preserve">этиологию заболевания            </w:t>
            </w:r>
            <w:r w:rsidRPr="00582568">
              <w:rPr>
                <w:rFonts w:ascii="Times New Roman" w:hAnsi="Times New Roman" w:cs="Times New Roman"/>
                <w:sz w:val="22"/>
                <w:szCs w:val="22"/>
              </w:rPr>
              <w:br/>
              <w:t xml:space="preserve">в том числе больные с диагнозом: </w:t>
            </w:r>
          </w:p>
        </w:tc>
        <w:tc>
          <w:tcPr>
            <w:tcW w:w="1376"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426</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381</w:t>
            </w:r>
          </w:p>
        </w:tc>
        <w:tc>
          <w:tcPr>
            <w:tcW w:w="84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r>
      <w:tr w:rsidR="00630798" w:rsidRPr="00582568" w:rsidTr="00630798">
        <w:trPr>
          <w:trHeight w:val="400"/>
          <w:tblCellSpacing w:w="5" w:type="nil"/>
        </w:trPr>
        <w:tc>
          <w:tcPr>
            <w:tcW w:w="3784" w:type="dxa"/>
            <w:tcBorders>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r w:rsidRPr="00582568">
              <w:rPr>
                <w:rFonts w:ascii="Times New Roman" w:hAnsi="Times New Roman" w:cs="Times New Roman"/>
                <w:sz w:val="22"/>
                <w:szCs w:val="22"/>
              </w:rPr>
              <w:t xml:space="preserve">а) заглоточный                   </w:t>
            </w:r>
            <w:r w:rsidRPr="00582568">
              <w:rPr>
                <w:rFonts w:ascii="Times New Roman" w:hAnsi="Times New Roman" w:cs="Times New Roman"/>
                <w:sz w:val="22"/>
                <w:szCs w:val="22"/>
              </w:rPr>
              <w:br/>
              <w:t xml:space="preserve">(паратонзиллярный) абсцесс       </w:t>
            </w:r>
          </w:p>
        </w:tc>
        <w:tc>
          <w:tcPr>
            <w:tcW w:w="1376"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84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r>
      <w:tr w:rsidR="00630798" w:rsidRPr="00582568" w:rsidTr="00630798">
        <w:trPr>
          <w:trHeight w:val="400"/>
          <w:tblCellSpacing w:w="5" w:type="nil"/>
        </w:trPr>
        <w:tc>
          <w:tcPr>
            <w:tcW w:w="3784" w:type="dxa"/>
            <w:tcBorders>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r w:rsidRPr="00582568">
              <w:rPr>
                <w:rFonts w:ascii="Times New Roman" w:hAnsi="Times New Roman" w:cs="Times New Roman"/>
                <w:sz w:val="22"/>
                <w:szCs w:val="22"/>
              </w:rPr>
              <w:t xml:space="preserve">б) ангина с патологическим       </w:t>
            </w:r>
            <w:r w:rsidRPr="00582568">
              <w:rPr>
                <w:rFonts w:ascii="Times New Roman" w:hAnsi="Times New Roman" w:cs="Times New Roman"/>
                <w:sz w:val="22"/>
                <w:szCs w:val="22"/>
              </w:rPr>
              <w:br/>
              <w:t xml:space="preserve">выпотом на миндалинах            </w:t>
            </w:r>
          </w:p>
        </w:tc>
        <w:tc>
          <w:tcPr>
            <w:tcW w:w="1376"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262</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262</w:t>
            </w:r>
          </w:p>
        </w:tc>
        <w:tc>
          <w:tcPr>
            <w:tcW w:w="84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r>
      <w:tr w:rsidR="00630798" w:rsidRPr="00582568" w:rsidTr="00630798">
        <w:trPr>
          <w:trHeight w:val="600"/>
          <w:tblCellSpacing w:w="5" w:type="nil"/>
        </w:trPr>
        <w:tc>
          <w:tcPr>
            <w:tcW w:w="3784" w:type="dxa"/>
            <w:tcBorders>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r w:rsidRPr="00582568">
              <w:rPr>
                <w:rFonts w:ascii="Times New Roman" w:hAnsi="Times New Roman" w:cs="Times New Roman"/>
                <w:sz w:val="22"/>
                <w:szCs w:val="22"/>
              </w:rPr>
              <w:t xml:space="preserve">в) ларингит, ларинготрахеит,     </w:t>
            </w:r>
            <w:r w:rsidRPr="00582568">
              <w:rPr>
                <w:rFonts w:ascii="Times New Roman" w:hAnsi="Times New Roman" w:cs="Times New Roman"/>
                <w:sz w:val="22"/>
                <w:szCs w:val="22"/>
              </w:rPr>
              <w:br/>
              <w:t xml:space="preserve">стенозирующий ларинготрахеит,    </w:t>
            </w:r>
            <w:r w:rsidRPr="00582568">
              <w:rPr>
                <w:rFonts w:ascii="Times New Roman" w:hAnsi="Times New Roman" w:cs="Times New Roman"/>
                <w:sz w:val="22"/>
                <w:szCs w:val="22"/>
              </w:rPr>
              <w:br/>
              <w:t xml:space="preserve">круп                             </w:t>
            </w:r>
          </w:p>
        </w:tc>
        <w:tc>
          <w:tcPr>
            <w:tcW w:w="1376"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150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105</w:t>
            </w:r>
          </w:p>
        </w:tc>
        <w:tc>
          <w:tcPr>
            <w:tcW w:w="84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r>
      <w:tr w:rsidR="00630798" w:rsidRPr="00582568" w:rsidTr="00630798">
        <w:trPr>
          <w:trHeight w:val="400"/>
          <w:tblCellSpacing w:w="5" w:type="nil"/>
        </w:trPr>
        <w:tc>
          <w:tcPr>
            <w:tcW w:w="3784" w:type="dxa"/>
            <w:tcBorders>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r w:rsidRPr="00582568">
              <w:rPr>
                <w:rFonts w:ascii="Times New Roman" w:hAnsi="Times New Roman" w:cs="Times New Roman"/>
                <w:sz w:val="22"/>
                <w:szCs w:val="22"/>
              </w:rPr>
              <w:lastRenderedPageBreak/>
              <w:t xml:space="preserve">Больные инфекционным             </w:t>
            </w:r>
            <w:r w:rsidRPr="00582568">
              <w:rPr>
                <w:rFonts w:ascii="Times New Roman" w:hAnsi="Times New Roman" w:cs="Times New Roman"/>
                <w:sz w:val="22"/>
                <w:szCs w:val="22"/>
              </w:rPr>
              <w:br/>
              <w:t xml:space="preserve">мононуклеозом                    </w:t>
            </w:r>
          </w:p>
        </w:tc>
        <w:tc>
          <w:tcPr>
            <w:tcW w:w="1376"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14</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14</w:t>
            </w:r>
          </w:p>
        </w:tc>
        <w:tc>
          <w:tcPr>
            <w:tcW w:w="84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r>
      <w:tr w:rsidR="00630798" w:rsidRPr="00582568" w:rsidTr="00630798">
        <w:trPr>
          <w:tblCellSpacing w:w="5" w:type="nil"/>
        </w:trPr>
        <w:tc>
          <w:tcPr>
            <w:tcW w:w="3784" w:type="dxa"/>
            <w:tcBorders>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r w:rsidRPr="00582568">
              <w:rPr>
                <w:rFonts w:ascii="Times New Roman" w:hAnsi="Times New Roman" w:cs="Times New Roman"/>
                <w:sz w:val="22"/>
                <w:szCs w:val="22"/>
              </w:rPr>
              <w:t xml:space="preserve">2. По эпидемическим показаниям   </w:t>
            </w:r>
          </w:p>
        </w:tc>
        <w:tc>
          <w:tcPr>
            <w:tcW w:w="1376"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84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r>
      <w:tr w:rsidR="00630798" w:rsidRPr="00582568" w:rsidTr="00630798">
        <w:trPr>
          <w:trHeight w:val="400"/>
          <w:tblCellSpacing w:w="5" w:type="nil"/>
        </w:trPr>
        <w:tc>
          <w:tcPr>
            <w:tcW w:w="3784" w:type="dxa"/>
            <w:tcBorders>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r w:rsidRPr="00582568">
              <w:rPr>
                <w:rFonts w:ascii="Times New Roman" w:hAnsi="Times New Roman" w:cs="Times New Roman"/>
                <w:sz w:val="22"/>
                <w:szCs w:val="22"/>
              </w:rPr>
              <w:t xml:space="preserve">Все лица, бывшие в общении с     </w:t>
            </w:r>
            <w:r w:rsidRPr="00582568">
              <w:rPr>
                <w:rFonts w:ascii="Times New Roman" w:hAnsi="Times New Roman" w:cs="Times New Roman"/>
                <w:sz w:val="22"/>
                <w:szCs w:val="22"/>
              </w:rPr>
              <w:br/>
              <w:t xml:space="preserve">источником инфекции              </w:t>
            </w:r>
          </w:p>
        </w:tc>
        <w:tc>
          <w:tcPr>
            <w:tcW w:w="1376"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84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r>
      <w:tr w:rsidR="00630798" w:rsidRPr="00582568" w:rsidTr="00630798">
        <w:trPr>
          <w:tblCellSpacing w:w="5" w:type="nil"/>
        </w:trPr>
        <w:tc>
          <w:tcPr>
            <w:tcW w:w="3784" w:type="dxa"/>
            <w:tcBorders>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r w:rsidRPr="00582568">
              <w:rPr>
                <w:rFonts w:ascii="Times New Roman" w:hAnsi="Times New Roman" w:cs="Times New Roman"/>
                <w:sz w:val="22"/>
                <w:szCs w:val="22"/>
              </w:rPr>
              <w:t xml:space="preserve">3. С профилактической целью      </w:t>
            </w:r>
          </w:p>
        </w:tc>
        <w:tc>
          <w:tcPr>
            <w:tcW w:w="1376"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84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r>
      <w:tr w:rsidR="00630798" w:rsidRPr="00582568" w:rsidTr="00630798">
        <w:trPr>
          <w:tblCellSpacing w:w="5" w:type="nil"/>
        </w:trPr>
        <w:tc>
          <w:tcPr>
            <w:tcW w:w="3784" w:type="dxa"/>
            <w:tcBorders>
              <w:left w:val="single" w:sz="4" w:space="0" w:color="auto"/>
              <w:bottom w:val="single" w:sz="4" w:space="0" w:color="auto"/>
              <w:right w:val="single" w:sz="4" w:space="0" w:color="auto"/>
            </w:tcBorders>
          </w:tcPr>
          <w:p w:rsidR="00630798" w:rsidRPr="00582568" w:rsidRDefault="00630798" w:rsidP="00630798">
            <w:pPr>
              <w:pStyle w:val="ConsPlusCell"/>
              <w:rPr>
                <w:rFonts w:ascii="Times New Roman" w:hAnsi="Times New Roman" w:cs="Times New Roman"/>
                <w:sz w:val="22"/>
                <w:szCs w:val="22"/>
              </w:rPr>
            </w:pPr>
            <w:r w:rsidRPr="00582568">
              <w:rPr>
                <w:rFonts w:ascii="Times New Roman" w:hAnsi="Times New Roman" w:cs="Times New Roman"/>
                <w:sz w:val="22"/>
                <w:szCs w:val="22"/>
              </w:rPr>
              <w:t xml:space="preserve">Всего                            </w:t>
            </w:r>
          </w:p>
        </w:tc>
        <w:tc>
          <w:tcPr>
            <w:tcW w:w="1376"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426</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381</w:t>
            </w:r>
          </w:p>
        </w:tc>
        <w:tc>
          <w:tcPr>
            <w:tcW w:w="84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c>
          <w:tcPr>
            <w:tcW w:w="960" w:type="dxa"/>
            <w:tcBorders>
              <w:left w:val="single" w:sz="4" w:space="0" w:color="auto"/>
              <w:bottom w:val="single" w:sz="4" w:space="0" w:color="auto"/>
              <w:right w:val="single" w:sz="4" w:space="0" w:color="auto"/>
            </w:tcBorders>
            <w:vAlign w:val="center"/>
          </w:tcPr>
          <w:p w:rsidR="00630798" w:rsidRPr="00582568" w:rsidRDefault="00630798" w:rsidP="00630798">
            <w:pPr>
              <w:pStyle w:val="ConsPlusCell"/>
              <w:jc w:val="center"/>
              <w:rPr>
                <w:rFonts w:ascii="Times New Roman" w:hAnsi="Times New Roman" w:cs="Times New Roman"/>
                <w:sz w:val="22"/>
                <w:szCs w:val="22"/>
              </w:rPr>
            </w:pPr>
            <w:r w:rsidRPr="00582568">
              <w:rPr>
                <w:rFonts w:ascii="Times New Roman" w:hAnsi="Times New Roman" w:cs="Times New Roman"/>
                <w:sz w:val="22"/>
                <w:szCs w:val="22"/>
              </w:rPr>
              <w:t>0</w:t>
            </w:r>
          </w:p>
        </w:tc>
      </w:tr>
    </w:tbl>
    <w:p w:rsidR="00630798" w:rsidRPr="0023160C" w:rsidRDefault="00630798" w:rsidP="0023160C">
      <w:pPr>
        <w:pBdr>
          <w:bottom w:val="single" w:sz="6" w:space="0" w:color="auto"/>
        </w:pBdr>
        <w:spacing w:after="0" w:line="240" w:lineRule="auto"/>
        <w:rPr>
          <w:rFonts w:ascii="Times New Roman" w:hAnsi="Times New Roman" w:cs="Times New Roman"/>
          <w:sz w:val="5"/>
          <w:szCs w:val="5"/>
          <w:highlight w:val="yellow"/>
        </w:rPr>
      </w:pPr>
    </w:p>
    <w:p w:rsidR="00630798" w:rsidRPr="0023160C" w:rsidRDefault="00630798" w:rsidP="0023160C">
      <w:pPr>
        <w:pStyle w:val="a5"/>
        <w:jc w:val="right"/>
        <w:rPr>
          <w:sz w:val="22"/>
          <w:szCs w:val="22"/>
          <w:lang w:val="ru-RU"/>
        </w:rPr>
      </w:pPr>
      <w:r w:rsidRPr="0023160C">
        <w:rPr>
          <w:sz w:val="22"/>
          <w:szCs w:val="22"/>
        </w:rPr>
        <w:t xml:space="preserve">Таблица № </w:t>
      </w:r>
      <w:r w:rsidRPr="0023160C">
        <w:rPr>
          <w:sz w:val="22"/>
          <w:szCs w:val="22"/>
          <w:lang w:val="ru-RU"/>
        </w:rPr>
        <w:t>4</w:t>
      </w:r>
    </w:p>
    <w:p w:rsidR="00630798" w:rsidRPr="0023160C" w:rsidRDefault="00630798" w:rsidP="0023160C">
      <w:pPr>
        <w:pStyle w:val="a5"/>
        <w:jc w:val="right"/>
        <w:rPr>
          <w:sz w:val="22"/>
          <w:szCs w:val="22"/>
          <w:lang w:val="ru-RU"/>
        </w:rPr>
      </w:pPr>
    </w:p>
    <w:p w:rsidR="00630798" w:rsidRPr="0023160C" w:rsidRDefault="00630798" w:rsidP="0023160C">
      <w:pPr>
        <w:spacing w:after="0" w:line="240" w:lineRule="auto"/>
        <w:ind w:firstLine="709"/>
        <w:jc w:val="center"/>
        <w:rPr>
          <w:rFonts w:ascii="Times New Roman" w:hAnsi="Times New Roman" w:cs="Times New Roman"/>
          <w:b/>
        </w:rPr>
      </w:pPr>
      <w:r w:rsidRPr="0023160C">
        <w:rPr>
          <w:rFonts w:ascii="Times New Roman" w:hAnsi="Times New Roman" w:cs="Times New Roman"/>
          <w:b/>
        </w:rPr>
        <w:t>Динамика  охвата профилактическими прививками детского населения в 2018-2020 гг. (в % от подлежащих)</w:t>
      </w:r>
    </w:p>
    <w:tbl>
      <w:tblPr>
        <w:tblW w:w="93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14"/>
        <w:gridCol w:w="2306"/>
        <w:gridCol w:w="1596"/>
        <w:gridCol w:w="2482"/>
      </w:tblGrid>
      <w:tr w:rsidR="00630798" w:rsidRPr="0023160C" w:rsidTr="00630798">
        <w:trPr>
          <w:trHeight w:val="373"/>
        </w:trPr>
        <w:tc>
          <w:tcPr>
            <w:tcW w:w="301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Наименование</w:t>
            </w:r>
          </w:p>
        </w:tc>
        <w:tc>
          <w:tcPr>
            <w:tcW w:w="2306"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2018 (%)</w:t>
            </w:r>
          </w:p>
        </w:tc>
        <w:tc>
          <w:tcPr>
            <w:tcW w:w="1596"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2019 (%)</w:t>
            </w:r>
          </w:p>
        </w:tc>
        <w:tc>
          <w:tcPr>
            <w:tcW w:w="2482"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2020 (%)</w:t>
            </w:r>
          </w:p>
        </w:tc>
      </w:tr>
      <w:tr w:rsidR="00630798" w:rsidRPr="0023160C" w:rsidTr="00630798">
        <w:trPr>
          <w:trHeight w:val="290"/>
        </w:trPr>
        <w:tc>
          <w:tcPr>
            <w:tcW w:w="301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 xml:space="preserve">Дифтерия </w:t>
            </w:r>
            <w:r w:rsidRPr="0023160C">
              <w:rPr>
                <w:rFonts w:ascii="Times New Roman" w:hAnsi="Times New Roman" w:cs="Times New Roman"/>
                <w:lang w:val="en-US"/>
              </w:rPr>
              <w:t>V</w:t>
            </w:r>
            <w:r w:rsidRPr="0023160C">
              <w:rPr>
                <w:rFonts w:ascii="Times New Roman" w:hAnsi="Times New Roman" w:cs="Times New Roman"/>
              </w:rPr>
              <w:t xml:space="preserve"> 12 мес.</w:t>
            </w:r>
          </w:p>
        </w:tc>
        <w:tc>
          <w:tcPr>
            <w:tcW w:w="2306"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98,5</w:t>
            </w:r>
          </w:p>
        </w:tc>
        <w:tc>
          <w:tcPr>
            <w:tcW w:w="1596"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100,0</w:t>
            </w:r>
          </w:p>
        </w:tc>
        <w:tc>
          <w:tcPr>
            <w:tcW w:w="2482"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98,5</w:t>
            </w:r>
          </w:p>
        </w:tc>
      </w:tr>
      <w:tr w:rsidR="00630798" w:rsidRPr="0023160C" w:rsidTr="00630798">
        <w:trPr>
          <w:trHeight w:val="306"/>
        </w:trPr>
        <w:tc>
          <w:tcPr>
            <w:tcW w:w="301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lang w:val="en-US"/>
              </w:rPr>
              <w:t>R</w:t>
            </w:r>
            <w:r w:rsidRPr="0023160C">
              <w:rPr>
                <w:rFonts w:ascii="Times New Roman" w:hAnsi="Times New Roman" w:cs="Times New Roman"/>
              </w:rPr>
              <w:t>1 24 мес.</w:t>
            </w:r>
          </w:p>
        </w:tc>
        <w:tc>
          <w:tcPr>
            <w:tcW w:w="2306"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98,9</w:t>
            </w:r>
          </w:p>
        </w:tc>
        <w:tc>
          <w:tcPr>
            <w:tcW w:w="1596"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99,2</w:t>
            </w:r>
          </w:p>
        </w:tc>
        <w:tc>
          <w:tcPr>
            <w:tcW w:w="2482"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100</w:t>
            </w:r>
          </w:p>
        </w:tc>
      </w:tr>
      <w:tr w:rsidR="00630798" w:rsidRPr="0023160C" w:rsidTr="00630798">
        <w:trPr>
          <w:trHeight w:val="290"/>
        </w:trPr>
        <w:tc>
          <w:tcPr>
            <w:tcW w:w="301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lang w:val="en-US"/>
              </w:rPr>
              <w:t>R</w:t>
            </w:r>
            <w:r w:rsidRPr="0023160C">
              <w:rPr>
                <w:rFonts w:ascii="Times New Roman" w:hAnsi="Times New Roman" w:cs="Times New Roman"/>
              </w:rPr>
              <w:t>2 6 лет.(7лет)</w:t>
            </w:r>
          </w:p>
        </w:tc>
        <w:tc>
          <w:tcPr>
            <w:tcW w:w="2306"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99,7</w:t>
            </w:r>
          </w:p>
        </w:tc>
        <w:tc>
          <w:tcPr>
            <w:tcW w:w="1596"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99,6</w:t>
            </w:r>
          </w:p>
        </w:tc>
        <w:tc>
          <w:tcPr>
            <w:tcW w:w="2482"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99,5</w:t>
            </w:r>
          </w:p>
        </w:tc>
      </w:tr>
      <w:tr w:rsidR="00630798" w:rsidRPr="0023160C" w:rsidTr="00630798">
        <w:trPr>
          <w:trHeight w:val="306"/>
        </w:trPr>
        <w:tc>
          <w:tcPr>
            <w:tcW w:w="301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 xml:space="preserve">Коклюш </w:t>
            </w:r>
            <w:r w:rsidRPr="0023160C">
              <w:rPr>
                <w:rFonts w:ascii="Times New Roman" w:hAnsi="Times New Roman" w:cs="Times New Roman"/>
                <w:lang w:val="en-US"/>
              </w:rPr>
              <w:t>V</w:t>
            </w:r>
            <w:r w:rsidRPr="0023160C">
              <w:rPr>
                <w:rFonts w:ascii="Times New Roman" w:hAnsi="Times New Roman" w:cs="Times New Roman"/>
              </w:rPr>
              <w:t xml:space="preserve"> 12 мес.</w:t>
            </w:r>
          </w:p>
        </w:tc>
        <w:tc>
          <w:tcPr>
            <w:tcW w:w="2306"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98,5</w:t>
            </w:r>
          </w:p>
        </w:tc>
        <w:tc>
          <w:tcPr>
            <w:tcW w:w="1596"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100,0</w:t>
            </w:r>
          </w:p>
        </w:tc>
        <w:tc>
          <w:tcPr>
            <w:tcW w:w="2482"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98,5</w:t>
            </w:r>
          </w:p>
        </w:tc>
      </w:tr>
      <w:tr w:rsidR="00630798" w:rsidRPr="0023160C" w:rsidTr="00630798">
        <w:trPr>
          <w:trHeight w:val="306"/>
        </w:trPr>
        <w:tc>
          <w:tcPr>
            <w:tcW w:w="301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lang w:val="en-US"/>
              </w:rPr>
              <w:t>R</w:t>
            </w:r>
            <w:r w:rsidRPr="0023160C">
              <w:rPr>
                <w:rFonts w:ascii="Times New Roman" w:hAnsi="Times New Roman" w:cs="Times New Roman"/>
              </w:rPr>
              <w:t xml:space="preserve"> 24 мес.</w:t>
            </w:r>
          </w:p>
        </w:tc>
        <w:tc>
          <w:tcPr>
            <w:tcW w:w="2306"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98,9</w:t>
            </w:r>
          </w:p>
        </w:tc>
        <w:tc>
          <w:tcPr>
            <w:tcW w:w="1596"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99,2</w:t>
            </w:r>
          </w:p>
        </w:tc>
        <w:tc>
          <w:tcPr>
            <w:tcW w:w="2482"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100</w:t>
            </w:r>
          </w:p>
        </w:tc>
      </w:tr>
      <w:tr w:rsidR="00630798" w:rsidRPr="0023160C" w:rsidTr="00630798">
        <w:trPr>
          <w:trHeight w:val="306"/>
        </w:trPr>
        <w:tc>
          <w:tcPr>
            <w:tcW w:w="301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 xml:space="preserve">Корь </w:t>
            </w:r>
            <w:r w:rsidRPr="0023160C">
              <w:rPr>
                <w:rFonts w:ascii="Times New Roman" w:hAnsi="Times New Roman" w:cs="Times New Roman"/>
                <w:lang w:val="en-US"/>
              </w:rPr>
              <w:t>V</w:t>
            </w:r>
            <w:r w:rsidRPr="0023160C">
              <w:rPr>
                <w:rFonts w:ascii="Times New Roman" w:hAnsi="Times New Roman" w:cs="Times New Roman"/>
              </w:rPr>
              <w:t xml:space="preserve"> 24 мес.</w:t>
            </w:r>
          </w:p>
        </w:tc>
        <w:tc>
          <w:tcPr>
            <w:tcW w:w="2306"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99,0</w:t>
            </w:r>
          </w:p>
        </w:tc>
        <w:tc>
          <w:tcPr>
            <w:tcW w:w="1596"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99,2</w:t>
            </w:r>
          </w:p>
        </w:tc>
        <w:tc>
          <w:tcPr>
            <w:tcW w:w="2482"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100</w:t>
            </w:r>
          </w:p>
        </w:tc>
      </w:tr>
      <w:tr w:rsidR="00630798" w:rsidRPr="0023160C" w:rsidTr="00630798">
        <w:trPr>
          <w:trHeight w:val="306"/>
        </w:trPr>
        <w:tc>
          <w:tcPr>
            <w:tcW w:w="301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lang w:val="en-US"/>
              </w:rPr>
              <w:t>R</w:t>
            </w:r>
            <w:r w:rsidRPr="0023160C">
              <w:rPr>
                <w:rFonts w:ascii="Times New Roman" w:hAnsi="Times New Roman" w:cs="Times New Roman"/>
              </w:rPr>
              <w:t xml:space="preserve"> 6 лет.</w:t>
            </w:r>
          </w:p>
        </w:tc>
        <w:tc>
          <w:tcPr>
            <w:tcW w:w="2306"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99,7</w:t>
            </w:r>
          </w:p>
        </w:tc>
        <w:tc>
          <w:tcPr>
            <w:tcW w:w="1596" w:type="dxa"/>
            <w:shd w:val="clear" w:color="auto" w:fill="auto"/>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99,6</w:t>
            </w:r>
          </w:p>
        </w:tc>
        <w:tc>
          <w:tcPr>
            <w:tcW w:w="2482"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99,7</w:t>
            </w:r>
          </w:p>
        </w:tc>
      </w:tr>
      <w:tr w:rsidR="00630798" w:rsidRPr="0023160C" w:rsidTr="00630798">
        <w:trPr>
          <w:trHeight w:val="290"/>
        </w:trPr>
        <w:tc>
          <w:tcPr>
            <w:tcW w:w="301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 xml:space="preserve">Эпид. паротит </w:t>
            </w:r>
            <w:r w:rsidRPr="0023160C">
              <w:rPr>
                <w:rFonts w:ascii="Times New Roman" w:hAnsi="Times New Roman" w:cs="Times New Roman"/>
                <w:lang w:val="en-US"/>
              </w:rPr>
              <w:t>V</w:t>
            </w:r>
            <w:r w:rsidRPr="0023160C">
              <w:rPr>
                <w:rFonts w:ascii="Times New Roman" w:hAnsi="Times New Roman" w:cs="Times New Roman"/>
              </w:rPr>
              <w:t xml:space="preserve"> 24 мес.</w:t>
            </w:r>
          </w:p>
        </w:tc>
        <w:tc>
          <w:tcPr>
            <w:tcW w:w="2306"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99,0</w:t>
            </w:r>
          </w:p>
        </w:tc>
        <w:tc>
          <w:tcPr>
            <w:tcW w:w="1596"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99,2</w:t>
            </w:r>
          </w:p>
        </w:tc>
        <w:tc>
          <w:tcPr>
            <w:tcW w:w="2482"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100</w:t>
            </w:r>
          </w:p>
        </w:tc>
      </w:tr>
      <w:tr w:rsidR="00630798" w:rsidRPr="0023160C" w:rsidTr="00630798">
        <w:trPr>
          <w:trHeight w:val="306"/>
        </w:trPr>
        <w:tc>
          <w:tcPr>
            <w:tcW w:w="301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lang w:val="en-US"/>
              </w:rPr>
              <w:t>R</w:t>
            </w:r>
            <w:r w:rsidRPr="0023160C">
              <w:rPr>
                <w:rFonts w:ascii="Times New Roman" w:hAnsi="Times New Roman" w:cs="Times New Roman"/>
              </w:rPr>
              <w:t xml:space="preserve"> 6 лет</w:t>
            </w:r>
          </w:p>
        </w:tc>
        <w:tc>
          <w:tcPr>
            <w:tcW w:w="2306"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99,7</w:t>
            </w:r>
          </w:p>
        </w:tc>
        <w:tc>
          <w:tcPr>
            <w:tcW w:w="1596"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99,6</w:t>
            </w:r>
          </w:p>
        </w:tc>
        <w:tc>
          <w:tcPr>
            <w:tcW w:w="2482"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100</w:t>
            </w:r>
          </w:p>
        </w:tc>
      </w:tr>
      <w:tr w:rsidR="00630798" w:rsidRPr="0023160C" w:rsidTr="00630798">
        <w:trPr>
          <w:trHeight w:val="306"/>
        </w:trPr>
        <w:tc>
          <w:tcPr>
            <w:tcW w:w="3014"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 xml:space="preserve">Краснуха </w:t>
            </w:r>
            <w:r w:rsidRPr="0023160C">
              <w:rPr>
                <w:rFonts w:ascii="Times New Roman" w:hAnsi="Times New Roman" w:cs="Times New Roman"/>
                <w:lang w:val="en-US"/>
              </w:rPr>
              <w:t>V 24 мес.</w:t>
            </w:r>
          </w:p>
        </w:tc>
        <w:tc>
          <w:tcPr>
            <w:tcW w:w="2306"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99,0</w:t>
            </w:r>
          </w:p>
        </w:tc>
        <w:tc>
          <w:tcPr>
            <w:tcW w:w="1596"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99,6</w:t>
            </w:r>
          </w:p>
        </w:tc>
        <w:tc>
          <w:tcPr>
            <w:tcW w:w="2482" w:type="dxa"/>
          </w:tcPr>
          <w:p w:rsidR="00630798" w:rsidRPr="0023160C" w:rsidRDefault="00630798" w:rsidP="0023160C">
            <w:pPr>
              <w:spacing w:before="20" w:after="0" w:line="240" w:lineRule="auto"/>
              <w:jc w:val="center"/>
              <w:rPr>
                <w:rFonts w:ascii="Times New Roman" w:hAnsi="Times New Roman" w:cs="Times New Roman"/>
              </w:rPr>
            </w:pPr>
            <w:r w:rsidRPr="0023160C">
              <w:rPr>
                <w:rFonts w:ascii="Times New Roman" w:hAnsi="Times New Roman" w:cs="Times New Roman"/>
              </w:rPr>
              <w:t>100</w:t>
            </w:r>
          </w:p>
        </w:tc>
      </w:tr>
    </w:tbl>
    <w:p w:rsidR="00630798" w:rsidRPr="0023160C" w:rsidRDefault="00630798" w:rsidP="0023160C">
      <w:pPr>
        <w:pStyle w:val="ConsNonformat"/>
        <w:widowControl/>
        <w:ind w:firstLine="426"/>
        <w:jc w:val="both"/>
        <w:rPr>
          <w:rFonts w:ascii="Times New Roman" w:hAnsi="Times New Roman"/>
          <w:sz w:val="24"/>
          <w:szCs w:val="24"/>
        </w:rPr>
      </w:pPr>
      <w:r w:rsidRPr="0023160C">
        <w:rPr>
          <w:rFonts w:ascii="Times New Roman" w:hAnsi="Times New Roman"/>
          <w:sz w:val="22"/>
          <w:szCs w:val="22"/>
        </w:rPr>
        <w:tab/>
      </w:r>
      <w:r w:rsidRPr="0023160C">
        <w:rPr>
          <w:rFonts w:ascii="Times New Roman" w:hAnsi="Times New Roman"/>
          <w:sz w:val="24"/>
          <w:szCs w:val="24"/>
        </w:rPr>
        <w:t>В 2018-2020 годах в городе Пыть-Ях серологического мониторинга за управляемыми инфекциями не проводилось.</w:t>
      </w:r>
    </w:p>
    <w:p w:rsidR="00630798" w:rsidRPr="0023160C" w:rsidRDefault="00630798" w:rsidP="0023160C">
      <w:pPr>
        <w:pStyle w:val="ConsNonformat"/>
        <w:widowControl/>
        <w:ind w:firstLine="426"/>
        <w:jc w:val="both"/>
        <w:rPr>
          <w:rFonts w:ascii="Times New Roman" w:hAnsi="Times New Roman"/>
          <w:sz w:val="24"/>
          <w:szCs w:val="24"/>
        </w:rPr>
      </w:pPr>
      <w:r w:rsidRPr="0023160C">
        <w:rPr>
          <w:rFonts w:ascii="Times New Roman" w:hAnsi="Times New Roman"/>
          <w:sz w:val="24"/>
          <w:szCs w:val="24"/>
        </w:rPr>
        <w:t>В 2019 г. по территории г. Пыть-Ях проводился серологический мониторинг за полиомиелитом. Отобрано 150 проб.</w:t>
      </w:r>
    </w:p>
    <w:p w:rsidR="00630798" w:rsidRPr="0023160C" w:rsidRDefault="00630798" w:rsidP="0023160C">
      <w:pPr>
        <w:pStyle w:val="ConsNonformat"/>
        <w:widowControl/>
        <w:ind w:firstLine="426"/>
        <w:jc w:val="both"/>
        <w:rPr>
          <w:rFonts w:ascii="Times New Roman" w:hAnsi="Times New Roman"/>
          <w:sz w:val="24"/>
          <w:szCs w:val="24"/>
        </w:rPr>
      </w:pPr>
      <w:r w:rsidRPr="0023160C">
        <w:rPr>
          <w:rFonts w:ascii="Times New Roman" w:hAnsi="Times New Roman"/>
          <w:sz w:val="24"/>
          <w:szCs w:val="24"/>
        </w:rPr>
        <w:t xml:space="preserve"> В 2020г- ГЛПС обобрано  100 проб.</w:t>
      </w:r>
    </w:p>
    <w:p w:rsidR="0023160C" w:rsidRDefault="0023160C" w:rsidP="00630798">
      <w:pPr>
        <w:pStyle w:val="a5"/>
        <w:ind w:firstLine="709"/>
        <w:rPr>
          <w:b/>
          <w:sz w:val="24"/>
          <w:szCs w:val="24"/>
          <w:lang w:val="ru-RU"/>
        </w:rPr>
      </w:pPr>
    </w:p>
    <w:p w:rsidR="00630798" w:rsidRPr="00582568" w:rsidRDefault="00630798" w:rsidP="00E43F17">
      <w:pPr>
        <w:pStyle w:val="a5"/>
        <w:ind w:firstLine="709"/>
        <w:jc w:val="left"/>
        <w:rPr>
          <w:b/>
          <w:sz w:val="24"/>
          <w:szCs w:val="24"/>
        </w:rPr>
      </w:pPr>
      <w:r w:rsidRPr="00582568">
        <w:rPr>
          <w:b/>
          <w:sz w:val="24"/>
          <w:szCs w:val="24"/>
        </w:rPr>
        <w:t>Менингококковая инфекция</w:t>
      </w:r>
    </w:p>
    <w:p w:rsidR="00630798" w:rsidRPr="0023160C" w:rsidRDefault="00630798" w:rsidP="0023160C">
      <w:pPr>
        <w:pStyle w:val="a5"/>
        <w:ind w:firstLine="709"/>
        <w:jc w:val="both"/>
        <w:rPr>
          <w:sz w:val="24"/>
          <w:szCs w:val="24"/>
        </w:rPr>
      </w:pPr>
      <w:r w:rsidRPr="0023160C">
        <w:rPr>
          <w:sz w:val="24"/>
          <w:szCs w:val="24"/>
        </w:rPr>
        <w:t>В 201</w:t>
      </w:r>
      <w:r w:rsidRPr="0023160C">
        <w:rPr>
          <w:sz w:val="24"/>
          <w:szCs w:val="24"/>
          <w:lang w:val="ru-RU"/>
        </w:rPr>
        <w:t>8</w:t>
      </w:r>
      <w:r w:rsidRPr="0023160C">
        <w:rPr>
          <w:sz w:val="24"/>
          <w:szCs w:val="24"/>
        </w:rPr>
        <w:t>- 20</w:t>
      </w:r>
      <w:r w:rsidRPr="0023160C">
        <w:rPr>
          <w:sz w:val="24"/>
          <w:szCs w:val="24"/>
          <w:lang w:val="ru-RU"/>
        </w:rPr>
        <w:t>20</w:t>
      </w:r>
      <w:r w:rsidRPr="0023160C">
        <w:rPr>
          <w:sz w:val="24"/>
          <w:szCs w:val="24"/>
        </w:rPr>
        <w:t xml:space="preserve"> году в г. Пыть – Ях случаев заболеваемости менингококковой инфекцией не зарегистрировано.   </w:t>
      </w:r>
    </w:p>
    <w:p w:rsidR="00630798" w:rsidRPr="0023160C" w:rsidRDefault="00630798" w:rsidP="0023160C">
      <w:pPr>
        <w:spacing w:after="0" w:line="240" w:lineRule="auto"/>
        <w:ind w:firstLine="708"/>
        <w:jc w:val="both"/>
        <w:rPr>
          <w:rFonts w:ascii="Times New Roman" w:hAnsi="Times New Roman" w:cs="Times New Roman"/>
          <w:szCs w:val="24"/>
        </w:rPr>
      </w:pPr>
      <w:r w:rsidRPr="0023160C">
        <w:rPr>
          <w:rFonts w:ascii="Times New Roman" w:hAnsi="Times New Roman" w:cs="Times New Roman"/>
          <w:szCs w:val="24"/>
        </w:rPr>
        <w:t>В 2020году проводилась вакцинация  против менингококковой инфекции вакцинировано 95чел-100%  подлежащих. В 2019 году проводились профилактические прививки против менингококковой инфекции лицам призывного возраста. Привит 91 человек.</w:t>
      </w:r>
    </w:p>
    <w:p w:rsidR="00630798" w:rsidRPr="0023160C" w:rsidRDefault="00630798" w:rsidP="0023160C">
      <w:pPr>
        <w:spacing w:after="0" w:line="240" w:lineRule="auto"/>
        <w:ind w:firstLine="708"/>
        <w:jc w:val="both"/>
        <w:rPr>
          <w:rFonts w:ascii="Times New Roman" w:hAnsi="Times New Roman" w:cs="Times New Roman"/>
          <w:szCs w:val="24"/>
        </w:rPr>
      </w:pPr>
      <w:r w:rsidRPr="0023160C">
        <w:rPr>
          <w:rFonts w:ascii="Times New Roman" w:hAnsi="Times New Roman" w:cs="Times New Roman"/>
          <w:szCs w:val="24"/>
        </w:rPr>
        <w:t>Основными задачами по предупреждению и снижению заболеваемости менингококковой инфекции являются:</w:t>
      </w:r>
    </w:p>
    <w:p w:rsidR="00630798" w:rsidRPr="0023160C" w:rsidRDefault="00630798" w:rsidP="0023160C">
      <w:pPr>
        <w:spacing w:after="0" w:line="240" w:lineRule="auto"/>
        <w:ind w:firstLine="708"/>
        <w:jc w:val="both"/>
        <w:rPr>
          <w:rFonts w:ascii="Times New Roman" w:hAnsi="Times New Roman" w:cs="Times New Roman"/>
          <w:szCs w:val="24"/>
        </w:rPr>
      </w:pPr>
      <w:r w:rsidRPr="0023160C">
        <w:rPr>
          <w:rFonts w:ascii="Times New Roman" w:hAnsi="Times New Roman" w:cs="Times New Roman"/>
          <w:szCs w:val="24"/>
        </w:rPr>
        <w:t>- своевременное и полное проведение комплекса противоэпидемических мероприятий в очагах менингококковой инфекции, в т.ч. своевременное проведение вакцинопрофилактики среди контактных лиц;</w:t>
      </w:r>
    </w:p>
    <w:p w:rsidR="00630798" w:rsidRPr="0023160C" w:rsidRDefault="00630798" w:rsidP="0023160C">
      <w:pPr>
        <w:spacing w:after="0" w:line="240" w:lineRule="auto"/>
        <w:ind w:firstLine="708"/>
        <w:jc w:val="both"/>
        <w:rPr>
          <w:rFonts w:ascii="Times New Roman" w:hAnsi="Times New Roman" w:cs="Times New Roman"/>
          <w:szCs w:val="24"/>
        </w:rPr>
      </w:pPr>
      <w:r w:rsidRPr="0023160C">
        <w:rPr>
          <w:rFonts w:ascii="Times New Roman" w:hAnsi="Times New Roman" w:cs="Times New Roman"/>
          <w:szCs w:val="24"/>
        </w:rPr>
        <w:t>- проведение иммунизации «групп риска».</w:t>
      </w:r>
    </w:p>
    <w:p w:rsidR="00630798" w:rsidRPr="00582568" w:rsidRDefault="00630798" w:rsidP="00630798">
      <w:pPr>
        <w:pStyle w:val="ConsNonformat"/>
        <w:widowControl/>
        <w:ind w:firstLine="708"/>
        <w:jc w:val="both"/>
        <w:rPr>
          <w:rFonts w:ascii="Times New Roman" w:hAnsi="Times New Roman"/>
          <w:sz w:val="24"/>
          <w:szCs w:val="24"/>
          <w:highlight w:val="yellow"/>
        </w:rPr>
      </w:pPr>
    </w:p>
    <w:p w:rsidR="00630798" w:rsidRDefault="0023160C" w:rsidP="00E43F17">
      <w:pPr>
        <w:pStyle w:val="ConsNonformat"/>
        <w:widowControl/>
        <w:ind w:firstLine="708"/>
        <w:rPr>
          <w:rFonts w:ascii="Times New Roman" w:hAnsi="Times New Roman"/>
          <w:b/>
          <w:sz w:val="26"/>
          <w:szCs w:val="26"/>
        </w:rPr>
      </w:pPr>
      <w:r>
        <w:rPr>
          <w:rFonts w:ascii="Times New Roman" w:hAnsi="Times New Roman"/>
          <w:b/>
          <w:sz w:val="26"/>
          <w:szCs w:val="26"/>
        </w:rPr>
        <w:t>1.3.2. Полиомиелит</w:t>
      </w:r>
    </w:p>
    <w:p w:rsidR="0023160C" w:rsidRPr="0023160C" w:rsidRDefault="0023160C" w:rsidP="0023160C">
      <w:pPr>
        <w:pStyle w:val="ConsNonformat"/>
        <w:widowControl/>
        <w:ind w:firstLine="708"/>
        <w:jc w:val="center"/>
        <w:rPr>
          <w:rFonts w:ascii="Times New Roman" w:hAnsi="Times New Roman"/>
          <w:b/>
          <w:sz w:val="26"/>
          <w:szCs w:val="26"/>
        </w:rPr>
      </w:pPr>
    </w:p>
    <w:p w:rsidR="00630798" w:rsidRPr="002653A2" w:rsidRDefault="00630798" w:rsidP="0023160C">
      <w:pPr>
        <w:pStyle w:val="ConsNonformat"/>
        <w:widowControl/>
        <w:ind w:firstLine="709"/>
        <w:jc w:val="both"/>
        <w:rPr>
          <w:rFonts w:ascii="Times New Roman" w:hAnsi="Times New Roman"/>
          <w:sz w:val="24"/>
          <w:szCs w:val="24"/>
        </w:rPr>
      </w:pPr>
      <w:r w:rsidRPr="002653A2">
        <w:rPr>
          <w:rFonts w:ascii="Times New Roman" w:hAnsi="Times New Roman"/>
          <w:sz w:val="24"/>
          <w:szCs w:val="24"/>
        </w:rPr>
        <w:t>На территории г. Пыть – Ях функционирует система реализации Национального плана действий по поддержанию свободного от полиомиелита статуса Российской Федерации.</w:t>
      </w:r>
    </w:p>
    <w:p w:rsidR="00630798" w:rsidRPr="002653A2" w:rsidRDefault="00630798" w:rsidP="0023160C">
      <w:pPr>
        <w:pStyle w:val="ConsNonformat"/>
        <w:widowControl/>
        <w:ind w:firstLine="709"/>
        <w:jc w:val="both"/>
        <w:rPr>
          <w:rFonts w:ascii="Times New Roman" w:hAnsi="Times New Roman"/>
          <w:sz w:val="24"/>
          <w:szCs w:val="24"/>
        </w:rPr>
      </w:pPr>
      <w:r w:rsidRPr="002653A2">
        <w:rPr>
          <w:rFonts w:ascii="Times New Roman" w:hAnsi="Times New Roman"/>
          <w:sz w:val="24"/>
          <w:szCs w:val="24"/>
        </w:rPr>
        <w:t>В 201</w:t>
      </w:r>
      <w:r>
        <w:rPr>
          <w:rFonts w:ascii="Times New Roman" w:hAnsi="Times New Roman"/>
          <w:sz w:val="24"/>
          <w:szCs w:val="24"/>
        </w:rPr>
        <w:t>8</w:t>
      </w:r>
      <w:r w:rsidRPr="002653A2">
        <w:rPr>
          <w:rFonts w:ascii="Times New Roman" w:hAnsi="Times New Roman"/>
          <w:sz w:val="24"/>
          <w:szCs w:val="24"/>
        </w:rPr>
        <w:t>- 20</w:t>
      </w:r>
      <w:r>
        <w:rPr>
          <w:rFonts w:ascii="Times New Roman" w:hAnsi="Times New Roman"/>
          <w:sz w:val="24"/>
          <w:szCs w:val="24"/>
        </w:rPr>
        <w:t>20</w:t>
      </w:r>
      <w:r w:rsidRPr="002653A2">
        <w:rPr>
          <w:rFonts w:ascii="Times New Roman" w:hAnsi="Times New Roman"/>
          <w:sz w:val="24"/>
          <w:szCs w:val="24"/>
        </w:rPr>
        <w:t xml:space="preserve"> гг. заболевания острыми вялыми параличами на территории г. Пыть – Ях не зарегистрировано. </w:t>
      </w:r>
    </w:p>
    <w:p w:rsidR="00630798" w:rsidRPr="00582568" w:rsidRDefault="00630798" w:rsidP="00630798">
      <w:pPr>
        <w:pStyle w:val="a5"/>
        <w:jc w:val="right"/>
        <w:rPr>
          <w:sz w:val="22"/>
          <w:szCs w:val="22"/>
          <w:highlight w:val="yellow"/>
          <w:lang w:val="ru-RU"/>
        </w:rPr>
      </w:pPr>
    </w:p>
    <w:p w:rsidR="00630798" w:rsidRPr="002653A2" w:rsidRDefault="00630798" w:rsidP="00630798">
      <w:pPr>
        <w:pStyle w:val="a5"/>
        <w:jc w:val="right"/>
        <w:rPr>
          <w:sz w:val="22"/>
          <w:szCs w:val="22"/>
          <w:lang w:val="ru-RU"/>
        </w:rPr>
      </w:pPr>
      <w:r w:rsidRPr="002653A2">
        <w:rPr>
          <w:sz w:val="22"/>
          <w:szCs w:val="22"/>
        </w:rPr>
        <w:t xml:space="preserve">Таблица № </w:t>
      </w:r>
      <w:r w:rsidRPr="002653A2">
        <w:rPr>
          <w:sz w:val="22"/>
          <w:szCs w:val="22"/>
          <w:lang w:val="ru-RU"/>
        </w:rPr>
        <w:t>6</w:t>
      </w:r>
    </w:p>
    <w:p w:rsidR="00630798" w:rsidRPr="002653A2" w:rsidRDefault="00630798" w:rsidP="00630798">
      <w:pPr>
        <w:pStyle w:val="a5"/>
        <w:jc w:val="right"/>
        <w:rPr>
          <w:sz w:val="22"/>
          <w:szCs w:val="22"/>
        </w:rPr>
      </w:pPr>
    </w:p>
    <w:p w:rsidR="00630798" w:rsidRPr="00E43F17" w:rsidRDefault="00630798" w:rsidP="00630798">
      <w:pPr>
        <w:ind w:firstLine="709"/>
        <w:jc w:val="center"/>
        <w:rPr>
          <w:rFonts w:ascii="Times New Roman" w:hAnsi="Times New Roman" w:cs="Times New Roman"/>
          <w:b/>
          <w:sz w:val="24"/>
          <w:szCs w:val="24"/>
        </w:rPr>
      </w:pPr>
      <w:r w:rsidRPr="00E43F17">
        <w:rPr>
          <w:rFonts w:ascii="Times New Roman" w:hAnsi="Times New Roman" w:cs="Times New Roman"/>
          <w:b/>
          <w:sz w:val="24"/>
          <w:szCs w:val="24"/>
        </w:rPr>
        <w:t>Динамика  охвата профилактическими прививками против полиомиелита детского населения ХМАО – Югры в 2018-2020 гг. (в % от подлежащих)</w:t>
      </w:r>
    </w:p>
    <w:tbl>
      <w:tblPr>
        <w:tblW w:w="96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90"/>
        <w:gridCol w:w="2364"/>
        <w:gridCol w:w="1637"/>
        <w:gridCol w:w="2545"/>
      </w:tblGrid>
      <w:tr w:rsidR="00630798" w:rsidRPr="00E43F17" w:rsidTr="00630798">
        <w:trPr>
          <w:trHeight w:val="610"/>
        </w:trPr>
        <w:tc>
          <w:tcPr>
            <w:tcW w:w="3090"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lastRenderedPageBreak/>
              <w:t>Наименование</w:t>
            </w:r>
          </w:p>
        </w:tc>
        <w:tc>
          <w:tcPr>
            <w:tcW w:w="2364"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2018</w:t>
            </w:r>
          </w:p>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1637"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2019</w:t>
            </w:r>
          </w:p>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2545"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2020</w:t>
            </w:r>
          </w:p>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r>
      <w:tr w:rsidR="00630798" w:rsidRPr="00E43F17" w:rsidTr="00630798">
        <w:trPr>
          <w:trHeight w:val="314"/>
        </w:trPr>
        <w:tc>
          <w:tcPr>
            <w:tcW w:w="3090"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 xml:space="preserve">Полиомиелит </w:t>
            </w:r>
            <w:r w:rsidRPr="00E43F17">
              <w:rPr>
                <w:rFonts w:ascii="Times New Roman" w:hAnsi="Times New Roman" w:cs="Times New Roman"/>
                <w:lang w:val="en-US"/>
              </w:rPr>
              <w:t>V</w:t>
            </w:r>
            <w:r w:rsidRPr="00E43F17">
              <w:rPr>
                <w:rFonts w:ascii="Times New Roman" w:hAnsi="Times New Roman" w:cs="Times New Roman"/>
              </w:rPr>
              <w:t xml:space="preserve"> 12 мес.</w:t>
            </w:r>
          </w:p>
        </w:tc>
        <w:tc>
          <w:tcPr>
            <w:tcW w:w="2364"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97,2</w:t>
            </w:r>
          </w:p>
        </w:tc>
        <w:tc>
          <w:tcPr>
            <w:tcW w:w="1637"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100,0</w:t>
            </w:r>
          </w:p>
        </w:tc>
        <w:tc>
          <w:tcPr>
            <w:tcW w:w="2545"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98,5</w:t>
            </w:r>
          </w:p>
        </w:tc>
      </w:tr>
      <w:tr w:rsidR="00630798" w:rsidRPr="00E43F17" w:rsidTr="00630798">
        <w:trPr>
          <w:trHeight w:val="297"/>
        </w:trPr>
        <w:tc>
          <w:tcPr>
            <w:tcW w:w="3090"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lang w:val="en-US"/>
              </w:rPr>
              <w:t>R</w:t>
            </w:r>
            <w:r w:rsidRPr="00E43F17">
              <w:rPr>
                <w:rFonts w:ascii="Times New Roman" w:hAnsi="Times New Roman" w:cs="Times New Roman"/>
              </w:rPr>
              <w:t>1 24 мес.</w:t>
            </w:r>
          </w:p>
        </w:tc>
        <w:tc>
          <w:tcPr>
            <w:tcW w:w="2364"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98,5</w:t>
            </w:r>
          </w:p>
        </w:tc>
        <w:tc>
          <w:tcPr>
            <w:tcW w:w="1637"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99,2</w:t>
            </w:r>
          </w:p>
        </w:tc>
        <w:tc>
          <w:tcPr>
            <w:tcW w:w="2545"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100</w:t>
            </w:r>
          </w:p>
        </w:tc>
      </w:tr>
      <w:tr w:rsidR="00630798" w:rsidRPr="00E43F17" w:rsidTr="00630798">
        <w:trPr>
          <w:trHeight w:val="314"/>
        </w:trPr>
        <w:tc>
          <w:tcPr>
            <w:tcW w:w="3090"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lang w:val="en-US"/>
              </w:rPr>
              <w:t>R</w:t>
            </w:r>
            <w:r w:rsidRPr="00E43F17">
              <w:rPr>
                <w:rFonts w:ascii="Times New Roman" w:hAnsi="Times New Roman" w:cs="Times New Roman"/>
              </w:rPr>
              <w:t>2 36 мес.</w:t>
            </w:r>
          </w:p>
        </w:tc>
        <w:tc>
          <w:tcPr>
            <w:tcW w:w="2364"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99,4</w:t>
            </w:r>
          </w:p>
        </w:tc>
        <w:tc>
          <w:tcPr>
            <w:tcW w:w="1637"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99,0</w:t>
            </w:r>
          </w:p>
        </w:tc>
        <w:tc>
          <w:tcPr>
            <w:tcW w:w="2545"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99,1</w:t>
            </w:r>
          </w:p>
        </w:tc>
      </w:tr>
      <w:tr w:rsidR="00630798" w:rsidRPr="00E43F17" w:rsidTr="00630798">
        <w:trPr>
          <w:trHeight w:val="314"/>
        </w:trPr>
        <w:tc>
          <w:tcPr>
            <w:tcW w:w="3090" w:type="dxa"/>
          </w:tcPr>
          <w:p w:rsidR="00630798" w:rsidRPr="00E43F17" w:rsidRDefault="00630798" w:rsidP="00E43F17">
            <w:pPr>
              <w:spacing w:after="0" w:line="240" w:lineRule="auto"/>
              <w:jc w:val="center"/>
              <w:rPr>
                <w:rFonts w:ascii="Times New Roman" w:hAnsi="Times New Roman" w:cs="Times New Roman"/>
                <w:lang w:val="en-US"/>
              </w:rPr>
            </w:pPr>
            <w:r w:rsidRPr="00E43F17">
              <w:rPr>
                <w:rFonts w:ascii="Times New Roman" w:hAnsi="Times New Roman" w:cs="Times New Roman"/>
                <w:lang w:val="en-US"/>
              </w:rPr>
              <w:t>R</w:t>
            </w:r>
            <w:r w:rsidRPr="00E43F17">
              <w:rPr>
                <w:rFonts w:ascii="Times New Roman" w:hAnsi="Times New Roman" w:cs="Times New Roman"/>
              </w:rPr>
              <w:t>3 14 лет</w:t>
            </w:r>
          </w:p>
        </w:tc>
        <w:tc>
          <w:tcPr>
            <w:tcW w:w="2364"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100,0</w:t>
            </w:r>
          </w:p>
        </w:tc>
        <w:tc>
          <w:tcPr>
            <w:tcW w:w="1637"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99,6</w:t>
            </w:r>
          </w:p>
        </w:tc>
        <w:tc>
          <w:tcPr>
            <w:tcW w:w="2545"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99,8</w:t>
            </w:r>
          </w:p>
        </w:tc>
      </w:tr>
    </w:tbl>
    <w:p w:rsidR="00630798" w:rsidRPr="00E43F17" w:rsidRDefault="00630798" w:rsidP="00630798">
      <w:pPr>
        <w:jc w:val="both"/>
        <w:rPr>
          <w:rFonts w:ascii="Times New Roman" w:hAnsi="Times New Roman" w:cs="Times New Roman"/>
          <w:sz w:val="24"/>
          <w:szCs w:val="24"/>
        </w:rPr>
      </w:pPr>
      <w:r w:rsidRPr="00E43F17">
        <w:rPr>
          <w:rFonts w:ascii="Times New Roman" w:hAnsi="Times New Roman" w:cs="Times New Roman"/>
          <w:sz w:val="24"/>
          <w:szCs w:val="24"/>
        </w:rPr>
        <w:tab/>
        <w:t>Основными критериями оценки качества и эффективности плановой иммунизации против полиомиелита детей являются своевременность и полнота охвата иммунизацией в соответствии с Национальным календарем профилактических прививок.</w:t>
      </w:r>
    </w:p>
    <w:p w:rsidR="00630798" w:rsidRPr="00E43F17" w:rsidRDefault="00630798" w:rsidP="00630798">
      <w:pPr>
        <w:jc w:val="right"/>
        <w:rPr>
          <w:rFonts w:ascii="Times New Roman" w:hAnsi="Times New Roman" w:cs="Times New Roman"/>
          <w:sz w:val="24"/>
          <w:szCs w:val="24"/>
        </w:rPr>
      </w:pPr>
      <w:r w:rsidRPr="00E43F17">
        <w:rPr>
          <w:rFonts w:ascii="Times New Roman" w:hAnsi="Times New Roman" w:cs="Times New Roman"/>
          <w:sz w:val="24"/>
          <w:szCs w:val="24"/>
        </w:rPr>
        <w:t>Таблица № 7</w:t>
      </w:r>
    </w:p>
    <w:p w:rsidR="00630798" w:rsidRPr="00E43F17" w:rsidRDefault="00630798" w:rsidP="00630798">
      <w:pPr>
        <w:jc w:val="center"/>
        <w:rPr>
          <w:rFonts w:ascii="Times New Roman" w:hAnsi="Times New Roman" w:cs="Times New Roman"/>
          <w:b/>
          <w:sz w:val="24"/>
          <w:szCs w:val="24"/>
        </w:rPr>
      </w:pPr>
      <w:r w:rsidRPr="00E43F17">
        <w:rPr>
          <w:rFonts w:ascii="Times New Roman" w:hAnsi="Times New Roman" w:cs="Times New Roman"/>
          <w:b/>
          <w:sz w:val="24"/>
          <w:szCs w:val="24"/>
        </w:rPr>
        <w:t>Сведения о количестве детей, не имеющих прививок против полиомиелита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276"/>
        <w:gridCol w:w="992"/>
        <w:gridCol w:w="567"/>
        <w:gridCol w:w="567"/>
        <w:gridCol w:w="850"/>
        <w:gridCol w:w="709"/>
        <w:gridCol w:w="567"/>
        <w:gridCol w:w="1276"/>
        <w:gridCol w:w="1276"/>
      </w:tblGrid>
      <w:tr w:rsidR="00630798" w:rsidRPr="00E43F17" w:rsidTr="00630798">
        <w:tc>
          <w:tcPr>
            <w:tcW w:w="1526" w:type="dxa"/>
            <w:vMerge w:val="restart"/>
          </w:tcPr>
          <w:p w:rsidR="00630798" w:rsidRPr="00E43F17" w:rsidRDefault="00630798" w:rsidP="00630798">
            <w:pPr>
              <w:autoSpaceDE w:val="0"/>
              <w:autoSpaceDN w:val="0"/>
              <w:rPr>
                <w:rFonts w:ascii="Times New Roman" w:hAnsi="Times New Roman" w:cs="Times New Roman"/>
                <w:sz w:val="20"/>
                <w:szCs w:val="20"/>
              </w:rPr>
            </w:pPr>
            <w:r w:rsidRPr="00E43F17">
              <w:rPr>
                <w:rFonts w:ascii="Times New Roman" w:hAnsi="Times New Roman" w:cs="Times New Roman"/>
                <w:sz w:val="20"/>
                <w:szCs w:val="20"/>
              </w:rPr>
              <w:t>количество ЛПУ, где проводилась «подчистка»</w:t>
            </w:r>
          </w:p>
        </w:tc>
        <w:tc>
          <w:tcPr>
            <w:tcW w:w="1276" w:type="dxa"/>
            <w:vMerge w:val="restart"/>
          </w:tcPr>
          <w:p w:rsidR="00630798" w:rsidRPr="00E43F17" w:rsidRDefault="00630798" w:rsidP="00630798">
            <w:pPr>
              <w:autoSpaceDE w:val="0"/>
              <w:autoSpaceDN w:val="0"/>
              <w:rPr>
                <w:rFonts w:ascii="Times New Roman" w:hAnsi="Times New Roman" w:cs="Times New Roman"/>
                <w:sz w:val="20"/>
                <w:szCs w:val="20"/>
              </w:rPr>
            </w:pPr>
            <w:r w:rsidRPr="00E43F17">
              <w:rPr>
                <w:rFonts w:ascii="Times New Roman" w:hAnsi="Times New Roman" w:cs="Times New Roman"/>
                <w:sz w:val="20"/>
                <w:szCs w:val="20"/>
              </w:rPr>
              <w:t>количество врачебных участков, где проводилась «подчистка»</w:t>
            </w:r>
          </w:p>
        </w:tc>
        <w:tc>
          <w:tcPr>
            <w:tcW w:w="2126" w:type="dxa"/>
            <w:gridSpan w:val="3"/>
          </w:tcPr>
          <w:p w:rsidR="00630798" w:rsidRPr="00E43F17" w:rsidRDefault="00630798" w:rsidP="00630798">
            <w:pPr>
              <w:autoSpaceDE w:val="0"/>
              <w:autoSpaceDN w:val="0"/>
              <w:rPr>
                <w:rFonts w:ascii="Times New Roman" w:hAnsi="Times New Roman" w:cs="Times New Roman"/>
                <w:sz w:val="20"/>
                <w:szCs w:val="20"/>
              </w:rPr>
            </w:pPr>
            <w:r w:rsidRPr="00E43F17">
              <w:rPr>
                <w:rFonts w:ascii="Times New Roman" w:hAnsi="Times New Roman" w:cs="Times New Roman"/>
                <w:sz w:val="20"/>
                <w:szCs w:val="20"/>
              </w:rPr>
              <w:t>данные по 1 туру</w:t>
            </w:r>
          </w:p>
        </w:tc>
        <w:tc>
          <w:tcPr>
            <w:tcW w:w="2126" w:type="dxa"/>
            <w:gridSpan w:val="3"/>
          </w:tcPr>
          <w:p w:rsidR="00630798" w:rsidRPr="00E43F17" w:rsidRDefault="00630798" w:rsidP="00630798">
            <w:pPr>
              <w:autoSpaceDE w:val="0"/>
              <w:autoSpaceDN w:val="0"/>
              <w:rPr>
                <w:rFonts w:ascii="Times New Roman" w:hAnsi="Times New Roman" w:cs="Times New Roman"/>
                <w:sz w:val="20"/>
                <w:szCs w:val="20"/>
              </w:rPr>
            </w:pPr>
            <w:r w:rsidRPr="00E43F17">
              <w:rPr>
                <w:rFonts w:ascii="Times New Roman" w:hAnsi="Times New Roman" w:cs="Times New Roman"/>
                <w:sz w:val="20"/>
                <w:szCs w:val="20"/>
              </w:rPr>
              <w:t>данные по 2 туру</w:t>
            </w:r>
          </w:p>
        </w:tc>
        <w:tc>
          <w:tcPr>
            <w:tcW w:w="2552" w:type="dxa"/>
            <w:gridSpan w:val="2"/>
          </w:tcPr>
          <w:p w:rsidR="00630798" w:rsidRPr="00E43F17" w:rsidRDefault="00630798" w:rsidP="00630798">
            <w:pPr>
              <w:autoSpaceDE w:val="0"/>
              <w:autoSpaceDN w:val="0"/>
              <w:rPr>
                <w:rFonts w:ascii="Times New Roman" w:hAnsi="Times New Roman" w:cs="Times New Roman"/>
                <w:sz w:val="20"/>
                <w:szCs w:val="20"/>
              </w:rPr>
            </w:pPr>
            <w:r w:rsidRPr="00E43F17">
              <w:rPr>
                <w:rFonts w:ascii="Times New Roman" w:hAnsi="Times New Roman" w:cs="Times New Roman"/>
                <w:sz w:val="20"/>
                <w:szCs w:val="20"/>
              </w:rPr>
              <w:t>*Количество детей, не имеющих ни одной прививки против полиомиелита в целом по субъекту (чел)</w:t>
            </w:r>
          </w:p>
        </w:tc>
      </w:tr>
      <w:tr w:rsidR="00630798" w:rsidRPr="00E43F17" w:rsidTr="00630798">
        <w:trPr>
          <w:cantSplit/>
          <w:trHeight w:val="1335"/>
        </w:trPr>
        <w:tc>
          <w:tcPr>
            <w:tcW w:w="1526" w:type="dxa"/>
            <w:vMerge/>
          </w:tcPr>
          <w:p w:rsidR="00630798" w:rsidRPr="00E43F17" w:rsidRDefault="00630798" w:rsidP="00630798">
            <w:pPr>
              <w:autoSpaceDE w:val="0"/>
              <w:autoSpaceDN w:val="0"/>
              <w:rPr>
                <w:rFonts w:ascii="Times New Roman" w:hAnsi="Times New Roman" w:cs="Times New Roman"/>
                <w:sz w:val="20"/>
                <w:szCs w:val="20"/>
              </w:rPr>
            </w:pPr>
          </w:p>
        </w:tc>
        <w:tc>
          <w:tcPr>
            <w:tcW w:w="1276" w:type="dxa"/>
            <w:vMerge/>
          </w:tcPr>
          <w:p w:rsidR="00630798" w:rsidRPr="00E43F17" w:rsidRDefault="00630798" w:rsidP="00630798">
            <w:pPr>
              <w:autoSpaceDE w:val="0"/>
              <w:autoSpaceDN w:val="0"/>
              <w:rPr>
                <w:rFonts w:ascii="Times New Roman" w:hAnsi="Times New Roman" w:cs="Times New Roman"/>
                <w:sz w:val="20"/>
                <w:szCs w:val="20"/>
              </w:rPr>
            </w:pPr>
          </w:p>
        </w:tc>
        <w:tc>
          <w:tcPr>
            <w:tcW w:w="992" w:type="dxa"/>
            <w:textDirection w:val="btLr"/>
          </w:tcPr>
          <w:p w:rsidR="00630798" w:rsidRPr="00E43F17" w:rsidRDefault="00630798" w:rsidP="00630798">
            <w:pPr>
              <w:autoSpaceDE w:val="0"/>
              <w:autoSpaceDN w:val="0"/>
              <w:ind w:left="113" w:right="113"/>
              <w:rPr>
                <w:rFonts w:ascii="Times New Roman" w:hAnsi="Times New Roman" w:cs="Times New Roman"/>
                <w:sz w:val="20"/>
                <w:szCs w:val="20"/>
              </w:rPr>
            </w:pPr>
            <w:r w:rsidRPr="00E43F17">
              <w:rPr>
                <w:rFonts w:ascii="Times New Roman" w:hAnsi="Times New Roman" w:cs="Times New Roman"/>
                <w:sz w:val="20"/>
                <w:szCs w:val="20"/>
              </w:rPr>
              <w:t>подлежит прививкам (чел.)</w:t>
            </w:r>
          </w:p>
        </w:tc>
        <w:tc>
          <w:tcPr>
            <w:tcW w:w="567" w:type="dxa"/>
            <w:textDirection w:val="btLr"/>
          </w:tcPr>
          <w:p w:rsidR="00630798" w:rsidRPr="00E43F17" w:rsidRDefault="00630798" w:rsidP="00630798">
            <w:pPr>
              <w:autoSpaceDE w:val="0"/>
              <w:autoSpaceDN w:val="0"/>
              <w:ind w:left="113" w:right="113"/>
              <w:rPr>
                <w:rFonts w:ascii="Times New Roman" w:hAnsi="Times New Roman" w:cs="Times New Roman"/>
                <w:sz w:val="20"/>
                <w:szCs w:val="20"/>
              </w:rPr>
            </w:pPr>
            <w:r w:rsidRPr="00E43F17">
              <w:rPr>
                <w:rFonts w:ascii="Times New Roman" w:hAnsi="Times New Roman" w:cs="Times New Roman"/>
                <w:sz w:val="20"/>
                <w:szCs w:val="20"/>
              </w:rPr>
              <w:t>привито (чел)</w:t>
            </w:r>
          </w:p>
        </w:tc>
        <w:tc>
          <w:tcPr>
            <w:tcW w:w="567" w:type="dxa"/>
            <w:textDirection w:val="btLr"/>
          </w:tcPr>
          <w:p w:rsidR="00630798" w:rsidRPr="00E43F17" w:rsidRDefault="00630798" w:rsidP="00630798">
            <w:pPr>
              <w:autoSpaceDE w:val="0"/>
              <w:autoSpaceDN w:val="0"/>
              <w:ind w:left="113" w:right="113"/>
              <w:rPr>
                <w:rFonts w:ascii="Times New Roman" w:hAnsi="Times New Roman" w:cs="Times New Roman"/>
                <w:sz w:val="20"/>
                <w:szCs w:val="20"/>
              </w:rPr>
            </w:pPr>
            <w:r w:rsidRPr="00E43F17">
              <w:rPr>
                <w:rFonts w:ascii="Times New Roman" w:hAnsi="Times New Roman" w:cs="Times New Roman"/>
                <w:sz w:val="20"/>
                <w:szCs w:val="20"/>
              </w:rPr>
              <w:t>%</w:t>
            </w:r>
          </w:p>
        </w:tc>
        <w:tc>
          <w:tcPr>
            <w:tcW w:w="850" w:type="dxa"/>
            <w:textDirection w:val="btLr"/>
          </w:tcPr>
          <w:p w:rsidR="00630798" w:rsidRPr="00E43F17" w:rsidRDefault="00630798" w:rsidP="00630798">
            <w:pPr>
              <w:autoSpaceDE w:val="0"/>
              <w:autoSpaceDN w:val="0"/>
              <w:ind w:left="113" w:right="113"/>
              <w:rPr>
                <w:rFonts w:ascii="Times New Roman" w:hAnsi="Times New Roman" w:cs="Times New Roman"/>
                <w:sz w:val="20"/>
                <w:szCs w:val="20"/>
              </w:rPr>
            </w:pPr>
            <w:r w:rsidRPr="00E43F17">
              <w:rPr>
                <w:rFonts w:ascii="Times New Roman" w:hAnsi="Times New Roman" w:cs="Times New Roman"/>
                <w:sz w:val="20"/>
                <w:szCs w:val="20"/>
              </w:rPr>
              <w:t>подлежит прививкам (чел.)</w:t>
            </w:r>
          </w:p>
        </w:tc>
        <w:tc>
          <w:tcPr>
            <w:tcW w:w="709" w:type="dxa"/>
            <w:textDirection w:val="btLr"/>
          </w:tcPr>
          <w:p w:rsidR="00630798" w:rsidRPr="00E43F17" w:rsidRDefault="00630798" w:rsidP="00630798">
            <w:pPr>
              <w:autoSpaceDE w:val="0"/>
              <w:autoSpaceDN w:val="0"/>
              <w:ind w:left="113" w:right="113"/>
              <w:rPr>
                <w:rFonts w:ascii="Times New Roman" w:hAnsi="Times New Roman" w:cs="Times New Roman"/>
                <w:sz w:val="20"/>
                <w:szCs w:val="20"/>
              </w:rPr>
            </w:pPr>
            <w:r w:rsidRPr="00E43F17">
              <w:rPr>
                <w:rFonts w:ascii="Times New Roman" w:hAnsi="Times New Roman" w:cs="Times New Roman"/>
                <w:sz w:val="20"/>
                <w:szCs w:val="20"/>
              </w:rPr>
              <w:t>привито (чел)</w:t>
            </w:r>
          </w:p>
        </w:tc>
        <w:tc>
          <w:tcPr>
            <w:tcW w:w="567" w:type="dxa"/>
            <w:textDirection w:val="btLr"/>
          </w:tcPr>
          <w:p w:rsidR="00630798" w:rsidRPr="00E43F17" w:rsidRDefault="00630798" w:rsidP="00630798">
            <w:pPr>
              <w:autoSpaceDE w:val="0"/>
              <w:autoSpaceDN w:val="0"/>
              <w:ind w:left="113" w:right="113"/>
              <w:rPr>
                <w:rFonts w:ascii="Times New Roman" w:hAnsi="Times New Roman" w:cs="Times New Roman"/>
                <w:sz w:val="20"/>
                <w:szCs w:val="20"/>
              </w:rPr>
            </w:pPr>
            <w:r w:rsidRPr="00E43F17">
              <w:rPr>
                <w:rFonts w:ascii="Times New Roman" w:hAnsi="Times New Roman" w:cs="Times New Roman"/>
                <w:sz w:val="20"/>
                <w:szCs w:val="20"/>
              </w:rPr>
              <w:t>%</w:t>
            </w:r>
          </w:p>
        </w:tc>
        <w:tc>
          <w:tcPr>
            <w:tcW w:w="1276" w:type="dxa"/>
          </w:tcPr>
          <w:p w:rsidR="00630798" w:rsidRPr="00E43F17" w:rsidRDefault="00630798" w:rsidP="00630798">
            <w:pPr>
              <w:autoSpaceDE w:val="0"/>
              <w:autoSpaceDN w:val="0"/>
              <w:rPr>
                <w:rFonts w:ascii="Times New Roman" w:hAnsi="Times New Roman" w:cs="Times New Roman"/>
                <w:sz w:val="20"/>
                <w:szCs w:val="20"/>
              </w:rPr>
            </w:pPr>
            <w:r w:rsidRPr="00E43F17">
              <w:rPr>
                <w:rFonts w:ascii="Times New Roman" w:hAnsi="Times New Roman" w:cs="Times New Roman"/>
                <w:sz w:val="20"/>
                <w:szCs w:val="20"/>
              </w:rPr>
              <w:t>в т.ч. детей 3 мес – 5л 11 мес 29 дн</w:t>
            </w:r>
          </w:p>
        </w:tc>
        <w:tc>
          <w:tcPr>
            <w:tcW w:w="1276" w:type="dxa"/>
          </w:tcPr>
          <w:p w:rsidR="00630798" w:rsidRPr="00E43F17" w:rsidRDefault="00630798" w:rsidP="00630798">
            <w:pPr>
              <w:autoSpaceDE w:val="0"/>
              <w:autoSpaceDN w:val="0"/>
              <w:rPr>
                <w:rFonts w:ascii="Times New Roman" w:hAnsi="Times New Roman" w:cs="Times New Roman"/>
                <w:sz w:val="20"/>
                <w:szCs w:val="20"/>
              </w:rPr>
            </w:pPr>
            <w:r w:rsidRPr="00E43F17">
              <w:rPr>
                <w:rFonts w:ascii="Times New Roman" w:hAnsi="Times New Roman" w:cs="Times New Roman"/>
                <w:sz w:val="20"/>
                <w:szCs w:val="20"/>
              </w:rPr>
              <w:t>в т.ч. детей 6л – 17л 11 мес 29 дн</w:t>
            </w:r>
          </w:p>
        </w:tc>
      </w:tr>
      <w:tr w:rsidR="00630798" w:rsidRPr="00E43F17" w:rsidTr="00630798">
        <w:trPr>
          <w:trHeight w:val="468"/>
        </w:trPr>
        <w:tc>
          <w:tcPr>
            <w:tcW w:w="1526" w:type="dxa"/>
            <w:vAlign w:val="center"/>
          </w:tcPr>
          <w:p w:rsidR="00630798" w:rsidRPr="00E43F17" w:rsidRDefault="00630798" w:rsidP="00630798">
            <w:pPr>
              <w:autoSpaceDE w:val="0"/>
              <w:autoSpaceDN w:val="0"/>
              <w:jc w:val="center"/>
              <w:rPr>
                <w:rFonts w:ascii="Times New Roman" w:hAnsi="Times New Roman" w:cs="Times New Roman"/>
              </w:rPr>
            </w:pPr>
            <w:r w:rsidRPr="00E43F17">
              <w:rPr>
                <w:rFonts w:ascii="Times New Roman" w:hAnsi="Times New Roman" w:cs="Times New Roman"/>
              </w:rPr>
              <w:t>1</w:t>
            </w:r>
          </w:p>
        </w:tc>
        <w:tc>
          <w:tcPr>
            <w:tcW w:w="1276" w:type="dxa"/>
            <w:vAlign w:val="center"/>
          </w:tcPr>
          <w:p w:rsidR="00630798" w:rsidRPr="00E43F17" w:rsidRDefault="00630798" w:rsidP="00630798">
            <w:pPr>
              <w:autoSpaceDE w:val="0"/>
              <w:autoSpaceDN w:val="0"/>
              <w:jc w:val="center"/>
              <w:rPr>
                <w:rFonts w:ascii="Times New Roman" w:hAnsi="Times New Roman" w:cs="Times New Roman"/>
              </w:rPr>
            </w:pPr>
            <w:r w:rsidRPr="00E43F17">
              <w:rPr>
                <w:rFonts w:ascii="Times New Roman" w:hAnsi="Times New Roman" w:cs="Times New Roman"/>
              </w:rPr>
              <w:t>12</w:t>
            </w:r>
          </w:p>
        </w:tc>
        <w:tc>
          <w:tcPr>
            <w:tcW w:w="992" w:type="dxa"/>
            <w:vAlign w:val="center"/>
          </w:tcPr>
          <w:p w:rsidR="00630798" w:rsidRPr="00E43F17" w:rsidRDefault="00630798" w:rsidP="00630798">
            <w:pPr>
              <w:autoSpaceDE w:val="0"/>
              <w:autoSpaceDN w:val="0"/>
              <w:jc w:val="center"/>
              <w:rPr>
                <w:rFonts w:ascii="Times New Roman" w:hAnsi="Times New Roman" w:cs="Times New Roman"/>
              </w:rPr>
            </w:pPr>
            <w:r w:rsidRPr="00E43F17">
              <w:rPr>
                <w:rFonts w:ascii="Times New Roman" w:hAnsi="Times New Roman" w:cs="Times New Roman"/>
              </w:rPr>
              <w:t>12</w:t>
            </w:r>
          </w:p>
        </w:tc>
        <w:tc>
          <w:tcPr>
            <w:tcW w:w="567" w:type="dxa"/>
            <w:vAlign w:val="center"/>
          </w:tcPr>
          <w:p w:rsidR="00630798" w:rsidRPr="00E43F17" w:rsidRDefault="00630798" w:rsidP="00630798">
            <w:pPr>
              <w:autoSpaceDE w:val="0"/>
              <w:autoSpaceDN w:val="0"/>
              <w:jc w:val="center"/>
              <w:rPr>
                <w:rFonts w:ascii="Times New Roman" w:hAnsi="Times New Roman" w:cs="Times New Roman"/>
              </w:rPr>
            </w:pPr>
            <w:r w:rsidRPr="00E43F17">
              <w:rPr>
                <w:rFonts w:ascii="Times New Roman" w:hAnsi="Times New Roman" w:cs="Times New Roman"/>
              </w:rPr>
              <w:t>12</w:t>
            </w:r>
          </w:p>
        </w:tc>
        <w:tc>
          <w:tcPr>
            <w:tcW w:w="567" w:type="dxa"/>
            <w:vAlign w:val="center"/>
          </w:tcPr>
          <w:p w:rsidR="00630798" w:rsidRPr="00E43F17" w:rsidRDefault="00630798" w:rsidP="00630798">
            <w:pPr>
              <w:autoSpaceDE w:val="0"/>
              <w:autoSpaceDN w:val="0"/>
              <w:jc w:val="center"/>
              <w:rPr>
                <w:rFonts w:ascii="Times New Roman" w:hAnsi="Times New Roman" w:cs="Times New Roman"/>
              </w:rPr>
            </w:pPr>
            <w:r w:rsidRPr="00E43F17">
              <w:rPr>
                <w:rFonts w:ascii="Times New Roman" w:hAnsi="Times New Roman" w:cs="Times New Roman"/>
              </w:rPr>
              <w:t>100</w:t>
            </w:r>
          </w:p>
        </w:tc>
        <w:tc>
          <w:tcPr>
            <w:tcW w:w="850" w:type="dxa"/>
            <w:vAlign w:val="center"/>
          </w:tcPr>
          <w:p w:rsidR="00630798" w:rsidRPr="00E43F17" w:rsidRDefault="00630798" w:rsidP="00630798">
            <w:pPr>
              <w:autoSpaceDE w:val="0"/>
              <w:autoSpaceDN w:val="0"/>
              <w:jc w:val="center"/>
              <w:rPr>
                <w:rFonts w:ascii="Times New Roman" w:hAnsi="Times New Roman" w:cs="Times New Roman"/>
              </w:rPr>
            </w:pPr>
            <w:r w:rsidRPr="00E43F17">
              <w:rPr>
                <w:rFonts w:ascii="Times New Roman" w:hAnsi="Times New Roman" w:cs="Times New Roman"/>
              </w:rPr>
              <w:t>12</w:t>
            </w:r>
          </w:p>
        </w:tc>
        <w:tc>
          <w:tcPr>
            <w:tcW w:w="709" w:type="dxa"/>
            <w:vAlign w:val="center"/>
          </w:tcPr>
          <w:p w:rsidR="00630798" w:rsidRPr="00E43F17" w:rsidRDefault="00630798" w:rsidP="00630798">
            <w:pPr>
              <w:autoSpaceDE w:val="0"/>
              <w:autoSpaceDN w:val="0"/>
              <w:jc w:val="center"/>
              <w:rPr>
                <w:rFonts w:ascii="Times New Roman" w:hAnsi="Times New Roman" w:cs="Times New Roman"/>
              </w:rPr>
            </w:pPr>
            <w:r w:rsidRPr="00E43F17">
              <w:rPr>
                <w:rFonts w:ascii="Times New Roman" w:hAnsi="Times New Roman" w:cs="Times New Roman"/>
              </w:rPr>
              <w:t>12</w:t>
            </w:r>
          </w:p>
        </w:tc>
        <w:tc>
          <w:tcPr>
            <w:tcW w:w="567" w:type="dxa"/>
            <w:vAlign w:val="center"/>
          </w:tcPr>
          <w:p w:rsidR="00630798" w:rsidRPr="00E43F17" w:rsidRDefault="00630798" w:rsidP="00630798">
            <w:pPr>
              <w:autoSpaceDE w:val="0"/>
              <w:autoSpaceDN w:val="0"/>
              <w:jc w:val="center"/>
              <w:rPr>
                <w:rFonts w:ascii="Times New Roman" w:hAnsi="Times New Roman" w:cs="Times New Roman"/>
              </w:rPr>
            </w:pPr>
            <w:r w:rsidRPr="00E43F17">
              <w:rPr>
                <w:rFonts w:ascii="Times New Roman" w:hAnsi="Times New Roman" w:cs="Times New Roman"/>
              </w:rPr>
              <w:t>100</w:t>
            </w:r>
          </w:p>
        </w:tc>
        <w:tc>
          <w:tcPr>
            <w:tcW w:w="1276" w:type="dxa"/>
            <w:vAlign w:val="center"/>
          </w:tcPr>
          <w:p w:rsidR="00630798" w:rsidRPr="00E43F17" w:rsidRDefault="00630798" w:rsidP="00630798">
            <w:pPr>
              <w:autoSpaceDE w:val="0"/>
              <w:autoSpaceDN w:val="0"/>
              <w:jc w:val="center"/>
              <w:rPr>
                <w:rFonts w:ascii="Times New Roman" w:hAnsi="Times New Roman" w:cs="Times New Roman"/>
              </w:rPr>
            </w:pPr>
            <w:r w:rsidRPr="00E43F17">
              <w:rPr>
                <w:rFonts w:ascii="Times New Roman" w:hAnsi="Times New Roman" w:cs="Times New Roman"/>
              </w:rPr>
              <w:t>27</w:t>
            </w:r>
          </w:p>
        </w:tc>
        <w:tc>
          <w:tcPr>
            <w:tcW w:w="1276" w:type="dxa"/>
            <w:vAlign w:val="center"/>
          </w:tcPr>
          <w:p w:rsidR="00630798" w:rsidRPr="00E43F17" w:rsidRDefault="00630798" w:rsidP="00630798">
            <w:pPr>
              <w:autoSpaceDE w:val="0"/>
              <w:autoSpaceDN w:val="0"/>
              <w:jc w:val="center"/>
              <w:rPr>
                <w:rFonts w:ascii="Times New Roman" w:hAnsi="Times New Roman" w:cs="Times New Roman"/>
              </w:rPr>
            </w:pPr>
            <w:r w:rsidRPr="00E43F17">
              <w:rPr>
                <w:rFonts w:ascii="Times New Roman" w:hAnsi="Times New Roman" w:cs="Times New Roman"/>
              </w:rPr>
              <w:t>21</w:t>
            </w:r>
          </w:p>
        </w:tc>
      </w:tr>
    </w:tbl>
    <w:p w:rsidR="00630798" w:rsidRPr="00E43F17" w:rsidRDefault="00630798" w:rsidP="00E43F17">
      <w:pPr>
        <w:ind w:firstLine="567"/>
        <w:jc w:val="both"/>
        <w:rPr>
          <w:rFonts w:ascii="Times New Roman" w:hAnsi="Times New Roman" w:cs="Times New Roman"/>
          <w:sz w:val="24"/>
          <w:szCs w:val="24"/>
        </w:rPr>
      </w:pPr>
      <w:r w:rsidRPr="00E43F17">
        <w:rPr>
          <w:rFonts w:ascii="Times New Roman" w:hAnsi="Times New Roman" w:cs="Times New Roman"/>
          <w:sz w:val="24"/>
          <w:szCs w:val="24"/>
        </w:rPr>
        <w:t xml:space="preserve">В 2020году в БУ «ПОКБ» проводилась подчищающая иммунизация против полиомиелита. Имеются непривитые дети против полиомиелита в связи с отказом родителей.   В 2019 году подчищающая иммунизация против полиомиелита не проводилась. </w:t>
      </w:r>
    </w:p>
    <w:p w:rsidR="00630798" w:rsidRPr="00E43F17" w:rsidRDefault="00630798" w:rsidP="00E43F17">
      <w:pPr>
        <w:spacing w:after="0" w:line="240" w:lineRule="auto"/>
        <w:rPr>
          <w:rFonts w:ascii="Times New Roman" w:hAnsi="Times New Roman" w:cs="Times New Roman"/>
          <w:b/>
          <w:sz w:val="24"/>
          <w:szCs w:val="24"/>
          <w:highlight w:val="yellow"/>
        </w:rPr>
      </w:pPr>
      <w:r w:rsidRPr="00E43F17">
        <w:rPr>
          <w:rFonts w:ascii="Times New Roman" w:hAnsi="Times New Roman" w:cs="Times New Roman"/>
          <w:b/>
          <w:sz w:val="24"/>
          <w:szCs w:val="24"/>
        </w:rPr>
        <w:t>1.3.3. Энтеровирусная инфекция</w:t>
      </w:r>
    </w:p>
    <w:p w:rsidR="00630798" w:rsidRPr="00E43F17" w:rsidRDefault="00630798" w:rsidP="00E43F17">
      <w:pPr>
        <w:spacing w:after="0" w:line="240" w:lineRule="auto"/>
        <w:jc w:val="center"/>
        <w:rPr>
          <w:rFonts w:ascii="Times New Roman" w:hAnsi="Times New Roman" w:cs="Times New Roman"/>
          <w:b/>
          <w:sz w:val="26"/>
          <w:szCs w:val="26"/>
          <w:highlight w:val="yellow"/>
        </w:rPr>
      </w:pPr>
    </w:p>
    <w:p w:rsidR="00630798" w:rsidRPr="00E43F17" w:rsidRDefault="00630798" w:rsidP="00E43F17">
      <w:pPr>
        <w:spacing w:after="0" w:line="240" w:lineRule="auto"/>
        <w:jc w:val="both"/>
        <w:rPr>
          <w:rFonts w:ascii="Times New Roman" w:hAnsi="Times New Roman" w:cs="Times New Roman"/>
          <w:sz w:val="24"/>
          <w:szCs w:val="24"/>
        </w:rPr>
      </w:pPr>
      <w:r w:rsidRPr="00E43F17">
        <w:rPr>
          <w:rFonts w:ascii="Times New Roman" w:hAnsi="Times New Roman" w:cs="Times New Roman"/>
          <w:sz w:val="24"/>
          <w:szCs w:val="24"/>
        </w:rPr>
        <w:tab/>
        <w:t>В связи с высокой контагиозностью вируса, разнообразием таксономических видов и серотипов неполиомиелитных энтеровирусов человека, вызывающих полиморфизм клинических проявлений, высокой восприимчивостью людей и отсутствием средств специфической профилактики, длительностью вирусоносительства, возможностью тяжелых последствий заболевания и возникновением вспышечной заболеваемости, возможностью вирусов длительно сохранятся в объектах окружающей среды, проблема снижения и профилактики заболеваемости населения энтеровирусной инфекцией остается актуальной каждый год.</w:t>
      </w:r>
    </w:p>
    <w:p w:rsidR="00630798" w:rsidRPr="00E43F17" w:rsidRDefault="00630798" w:rsidP="00E43F17">
      <w:pPr>
        <w:spacing w:after="0" w:line="240" w:lineRule="auto"/>
        <w:ind w:firstLine="708"/>
        <w:jc w:val="both"/>
        <w:rPr>
          <w:rFonts w:ascii="Times New Roman" w:hAnsi="Times New Roman" w:cs="Times New Roman"/>
          <w:sz w:val="24"/>
          <w:szCs w:val="24"/>
        </w:rPr>
      </w:pPr>
      <w:r w:rsidRPr="00E43F17">
        <w:rPr>
          <w:rFonts w:ascii="Times New Roman" w:hAnsi="Times New Roman" w:cs="Times New Roman"/>
          <w:sz w:val="24"/>
          <w:szCs w:val="24"/>
        </w:rPr>
        <w:t>На те</w:t>
      </w:r>
      <w:r w:rsidR="00E43F17">
        <w:rPr>
          <w:rFonts w:ascii="Times New Roman" w:hAnsi="Times New Roman" w:cs="Times New Roman"/>
          <w:sz w:val="24"/>
          <w:szCs w:val="24"/>
        </w:rPr>
        <w:t xml:space="preserve">рритории г. Пыть-Ях в 2020году </w:t>
      </w:r>
      <w:r w:rsidRPr="00E43F17">
        <w:rPr>
          <w:rFonts w:ascii="Times New Roman" w:hAnsi="Times New Roman" w:cs="Times New Roman"/>
          <w:sz w:val="24"/>
          <w:szCs w:val="24"/>
        </w:rPr>
        <w:t>зарегистрирован 1 случай энтеровирусной инфекции. показатель заболеваемости составил 2,5</w:t>
      </w:r>
      <w:r w:rsidR="00E43F17">
        <w:rPr>
          <w:rFonts w:ascii="Times New Roman" w:hAnsi="Times New Roman" w:cs="Times New Roman"/>
          <w:sz w:val="24"/>
          <w:szCs w:val="24"/>
        </w:rPr>
        <w:t xml:space="preserve"> (</w:t>
      </w:r>
      <w:r w:rsidRPr="00E43F17">
        <w:rPr>
          <w:rFonts w:ascii="Times New Roman" w:hAnsi="Times New Roman" w:cs="Times New Roman"/>
          <w:sz w:val="24"/>
          <w:szCs w:val="24"/>
        </w:rPr>
        <w:t>на уровне окружных показателей), регистрируется снижение заболеваемости на 95%, причиной снижения, в основном послужила низкая миграция населения в летний период за границу, на море. Случаев энтеровирусного менингита не зарегистрировано.</w:t>
      </w:r>
    </w:p>
    <w:p w:rsidR="00630798" w:rsidRPr="00E43F17" w:rsidRDefault="00630798" w:rsidP="00E43F17">
      <w:pPr>
        <w:spacing w:after="0" w:line="240" w:lineRule="auto"/>
        <w:ind w:firstLine="708"/>
        <w:jc w:val="both"/>
        <w:rPr>
          <w:rFonts w:ascii="Times New Roman" w:hAnsi="Times New Roman" w:cs="Times New Roman"/>
          <w:sz w:val="24"/>
          <w:szCs w:val="24"/>
        </w:rPr>
      </w:pPr>
      <w:r w:rsidRPr="00E43F17">
        <w:rPr>
          <w:rFonts w:ascii="Times New Roman" w:hAnsi="Times New Roman" w:cs="Times New Roman"/>
          <w:sz w:val="24"/>
          <w:szCs w:val="24"/>
        </w:rPr>
        <w:t xml:space="preserve">В 2019 году зарегистрирован рост заболеваемости энтеровирусной инфекцией по сравнению с 2018 годом, показатель заболеваемости составил 53,4. 100 % заболевших – дети до 17 лет. </w:t>
      </w:r>
      <w:bookmarkStart w:id="33" w:name="_Hlk62911702"/>
      <w:r w:rsidRPr="00E43F17">
        <w:rPr>
          <w:rFonts w:ascii="Times New Roman" w:hAnsi="Times New Roman" w:cs="Times New Roman"/>
          <w:sz w:val="24"/>
          <w:szCs w:val="24"/>
        </w:rPr>
        <w:t>Случаев энтеровирусного менингита не зарегистрировано.</w:t>
      </w:r>
    </w:p>
    <w:bookmarkEnd w:id="33"/>
    <w:p w:rsidR="00630798" w:rsidRPr="00E43F17" w:rsidRDefault="00630798" w:rsidP="00E43F17">
      <w:pPr>
        <w:spacing w:after="0" w:line="240" w:lineRule="auto"/>
        <w:jc w:val="both"/>
        <w:rPr>
          <w:rFonts w:ascii="Times New Roman" w:hAnsi="Times New Roman" w:cs="Times New Roman"/>
          <w:sz w:val="24"/>
          <w:szCs w:val="24"/>
        </w:rPr>
      </w:pPr>
      <w:r w:rsidRPr="00E43F17">
        <w:rPr>
          <w:rFonts w:ascii="Times New Roman" w:hAnsi="Times New Roman" w:cs="Times New Roman"/>
          <w:sz w:val="24"/>
          <w:szCs w:val="24"/>
        </w:rPr>
        <w:t xml:space="preserve"> </w:t>
      </w:r>
      <w:r w:rsidR="00E43F17">
        <w:rPr>
          <w:rFonts w:ascii="Times New Roman" w:hAnsi="Times New Roman" w:cs="Times New Roman"/>
          <w:sz w:val="24"/>
          <w:szCs w:val="24"/>
        </w:rPr>
        <w:tab/>
      </w:r>
      <w:r w:rsidRPr="00E43F17">
        <w:rPr>
          <w:rFonts w:ascii="Times New Roman" w:hAnsi="Times New Roman" w:cs="Times New Roman"/>
          <w:sz w:val="24"/>
          <w:szCs w:val="24"/>
        </w:rPr>
        <w:t>В 2018</w:t>
      </w:r>
      <w:r w:rsidR="00E43F17">
        <w:rPr>
          <w:rFonts w:ascii="Times New Roman" w:hAnsi="Times New Roman" w:cs="Times New Roman"/>
          <w:sz w:val="24"/>
          <w:szCs w:val="24"/>
        </w:rPr>
        <w:t xml:space="preserve"> году </w:t>
      </w:r>
      <w:r w:rsidRPr="00E43F17">
        <w:rPr>
          <w:rFonts w:ascii="Times New Roman" w:hAnsi="Times New Roman" w:cs="Times New Roman"/>
          <w:sz w:val="24"/>
          <w:szCs w:val="24"/>
        </w:rPr>
        <w:t>было зарегистрировано 6 случаев ЭВИ, 1 из которых – энтеровирусный менингит. Показатель заболеваемости составил 14,1. В 2018 году наблюдается снижение заболеваемо</w:t>
      </w:r>
      <w:r w:rsidR="00E43F17">
        <w:rPr>
          <w:rFonts w:ascii="Times New Roman" w:hAnsi="Times New Roman" w:cs="Times New Roman"/>
          <w:sz w:val="24"/>
          <w:szCs w:val="24"/>
        </w:rPr>
        <w:t xml:space="preserve">сти энтеровирусными инфекциями </w:t>
      </w:r>
      <w:r w:rsidRPr="00E43F17">
        <w:rPr>
          <w:rFonts w:ascii="Times New Roman" w:hAnsi="Times New Roman" w:cs="Times New Roman"/>
          <w:sz w:val="24"/>
          <w:szCs w:val="24"/>
        </w:rPr>
        <w:t>по сравнению с 2017 годом (В 2017 году случаи энтеровирусной инфекции зарегистрированы среди: детей посещают ДДУ-  8, 2 школьника, 4 – не организованные дети. Зарегистрировано 3 случая ЭВ менингита).</w:t>
      </w:r>
    </w:p>
    <w:p w:rsidR="00630798" w:rsidRPr="00E43F17" w:rsidRDefault="00630798" w:rsidP="00E43F17">
      <w:pPr>
        <w:spacing w:after="0" w:line="240" w:lineRule="auto"/>
        <w:jc w:val="right"/>
        <w:rPr>
          <w:rFonts w:ascii="Times New Roman" w:hAnsi="Times New Roman" w:cs="Times New Roman"/>
          <w:highlight w:val="yellow"/>
        </w:rPr>
      </w:pPr>
    </w:p>
    <w:p w:rsidR="00630798" w:rsidRPr="00E43F17" w:rsidRDefault="00630798" w:rsidP="00E43F17">
      <w:pPr>
        <w:spacing w:after="0" w:line="240" w:lineRule="auto"/>
        <w:jc w:val="right"/>
        <w:rPr>
          <w:rFonts w:ascii="Times New Roman" w:hAnsi="Times New Roman" w:cs="Times New Roman"/>
        </w:rPr>
      </w:pPr>
      <w:r w:rsidRPr="00E43F17">
        <w:rPr>
          <w:rFonts w:ascii="Times New Roman" w:hAnsi="Times New Roman" w:cs="Times New Roman"/>
        </w:rPr>
        <w:t>Таблица № 8</w:t>
      </w:r>
    </w:p>
    <w:p w:rsidR="00630798" w:rsidRPr="00E43F17" w:rsidRDefault="00630798" w:rsidP="00E43F17">
      <w:pPr>
        <w:spacing w:after="0" w:line="240" w:lineRule="auto"/>
        <w:jc w:val="center"/>
        <w:rPr>
          <w:rFonts w:ascii="Times New Roman" w:hAnsi="Times New Roman" w:cs="Times New Roman"/>
          <w:b/>
        </w:rPr>
      </w:pPr>
      <w:r w:rsidRPr="00E43F17">
        <w:rPr>
          <w:rFonts w:ascii="Times New Roman" w:hAnsi="Times New Roman" w:cs="Times New Roman"/>
          <w:b/>
        </w:rPr>
        <w:lastRenderedPageBreak/>
        <w:t>Заболеваемость энтеровирусной инфекцией</w:t>
      </w:r>
    </w:p>
    <w:p w:rsidR="00630798" w:rsidRPr="00E43F17" w:rsidRDefault="00630798" w:rsidP="00E43F17">
      <w:pPr>
        <w:spacing w:after="0" w:line="24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979"/>
        <w:gridCol w:w="1119"/>
        <w:gridCol w:w="1620"/>
        <w:gridCol w:w="959"/>
        <w:gridCol w:w="1082"/>
        <w:gridCol w:w="986"/>
        <w:gridCol w:w="1620"/>
      </w:tblGrid>
      <w:tr w:rsidR="00630798" w:rsidRPr="00E43F17" w:rsidTr="00630798">
        <w:tc>
          <w:tcPr>
            <w:tcW w:w="1060" w:type="dxa"/>
            <w:vMerge w:val="restart"/>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год</w:t>
            </w:r>
          </w:p>
        </w:tc>
        <w:tc>
          <w:tcPr>
            <w:tcW w:w="2215" w:type="dxa"/>
            <w:gridSpan w:val="2"/>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ЭВИ (неполио) всего</w:t>
            </w:r>
          </w:p>
        </w:tc>
        <w:tc>
          <w:tcPr>
            <w:tcW w:w="1620" w:type="dxa"/>
            <w:vMerge w:val="restart"/>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Рост/снижение (в разах)</w:t>
            </w:r>
          </w:p>
        </w:tc>
        <w:tc>
          <w:tcPr>
            <w:tcW w:w="3198" w:type="dxa"/>
            <w:gridSpan w:val="3"/>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В том числе ЭВ менингит</w:t>
            </w:r>
          </w:p>
        </w:tc>
        <w:tc>
          <w:tcPr>
            <w:tcW w:w="1620" w:type="dxa"/>
            <w:vMerge w:val="restart"/>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Рост/снижение (в разах)</w:t>
            </w:r>
          </w:p>
        </w:tc>
      </w:tr>
      <w:tr w:rsidR="00630798" w:rsidRPr="00E43F17" w:rsidTr="00630798">
        <w:tc>
          <w:tcPr>
            <w:tcW w:w="1060" w:type="dxa"/>
            <w:vMerge/>
            <w:shd w:val="clear" w:color="auto" w:fill="auto"/>
          </w:tcPr>
          <w:p w:rsidR="00630798" w:rsidRPr="00E43F17" w:rsidRDefault="00630798" w:rsidP="00E43F17">
            <w:pPr>
              <w:spacing w:after="0" w:line="240" w:lineRule="auto"/>
              <w:jc w:val="center"/>
              <w:rPr>
                <w:rFonts w:ascii="Times New Roman" w:hAnsi="Times New Roman" w:cs="Times New Roman"/>
              </w:rPr>
            </w:pPr>
          </w:p>
        </w:tc>
        <w:tc>
          <w:tcPr>
            <w:tcW w:w="1062"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Абс.</w:t>
            </w:r>
          </w:p>
        </w:tc>
        <w:tc>
          <w:tcPr>
            <w:tcW w:w="1153"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На 100 тыс.нас.</w:t>
            </w:r>
          </w:p>
        </w:tc>
        <w:tc>
          <w:tcPr>
            <w:tcW w:w="1620" w:type="dxa"/>
            <w:vMerge/>
            <w:shd w:val="clear" w:color="auto" w:fill="auto"/>
          </w:tcPr>
          <w:p w:rsidR="00630798" w:rsidRPr="00E43F17" w:rsidRDefault="00630798" w:rsidP="00E43F17">
            <w:pPr>
              <w:spacing w:after="0" w:line="240" w:lineRule="auto"/>
              <w:jc w:val="center"/>
              <w:rPr>
                <w:rFonts w:ascii="Times New Roman" w:hAnsi="Times New Roman" w:cs="Times New Roman"/>
              </w:rPr>
            </w:pPr>
          </w:p>
        </w:tc>
        <w:tc>
          <w:tcPr>
            <w:tcW w:w="1038"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Абс.</w:t>
            </w:r>
          </w:p>
        </w:tc>
        <w:tc>
          <w:tcPr>
            <w:tcW w:w="1107"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На 100 тыс.нас.</w:t>
            </w:r>
          </w:p>
        </w:tc>
        <w:tc>
          <w:tcPr>
            <w:tcW w:w="1053"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 от всего</w:t>
            </w:r>
          </w:p>
        </w:tc>
        <w:tc>
          <w:tcPr>
            <w:tcW w:w="1620" w:type="dxa"/>
            <w:vMerge/>
            <w:shd w:val="clear" w:color="auto" w:fill="auto"/>
          </w:tcPr>
          <w:p w:rsidR="00630798" w:rsidRPr="00E43F17" w:rsidRDefault="00630798" w:rsidP="00E43F17">
            <w:pPr>
              <w:spacing w:after="0" w:line="240" w:lineRule="auto"/>
              <w:jc w:val="center"/>
              <w:rPr>
                <w:rFonts w:ascii="Times New Roman" w:hAnsi="Times New Roman" w:cs="Times New Roman"/>
              </w:rPr>
            </w:pPr>
          </w:p>
        </w:tc>
      </w:tr>
      <w:tr w:rsidR="00630798" w:rsidRPr="00E43F17" w:rsidTr="00630798">
        <w:tc>
          <w:tcPr>
            <w:tcW w:w="1060"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2018</w:t>
            </w:r>
          </w:p>
        </w:tc>
        <w:tc>
          <w:tcPr>
            <w:tcW w:w="1062"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6</w:t>
            </w:r>
          </w:p>
        </w:tc>
        <w:tc>
          <w:tcPr>
            <w:tcW w:w="1153"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14,1</w:t>
            </w:r>
          </w:p>
        </w:tc>
        <w:tc>
          <w:tcPr>
            <w:tcW w:w="1620"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-2,45</w:t>
            </w:r>
          </w:p>
        </w:tc>
        <w:tc>
          <w:tcPr>
            <w:tcW w:w="1038"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w:t>
            </w:r>
          </w:p>
        </w:tc>
        <w:tc>
          <w:tcPr>
            <w:tcW w:w="1107"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2,3</w:t>
            </w:r>
          </w:p>
        </w:tc>
        <w:tc>
          <w:tcPr>
            <w:tcW w:w="1053"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16,7</w:t>
            </w:r>
          </w:p>
        </w:tc>
        <w:tc>
          <w:tcPr>
            <w:tcW w:w="1620"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-3,00</w:t>
            </w:r>
          </w:p>
        </w:tc>
      </w:tr>
      <w:tr w:rsidR="00630798" w:rsidRPr="00E43F17" w:rsidTr="00630798">
        <w:tc>
          <w:tcPr>
            <w:tcW w:w="1060"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2019</w:t>
            </w:r>
          </w:p>
        </w:tc>
        <w:tc>
          <w:tcPr>
            <w:tcW w:w="1062"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22</w:t>
            </w:r>
          </w:p>
        </w:tc>
        <w:tc>
          <w:tcPr>
            <w:tcW w:w="1153"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53,4</w:t>
            </w:r>
          </w:p>
        </w:tc>
        <w:tc>
          <w:tcPr>
            <w:tcW w:w="1620"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3,8</w:t>
            </w:r>
          </w:p>
        </w:tc>
        <w:tc>
          <w:tcPr>
            <w:tcW w:w="1038"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0</w:t>
            </w:r>
          </w:p>
        </w:tc>
        <w:tc>
          <w:tcPr>
            <w:tcW w:w="1107"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0</w:t>
            </w:r>
          </w:p>
        </w:tc>
        <w:tc>
          <w:tcPr>
            <w:tcW w:w="1053"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0</w:t>
            </w:r>
          </w:p>
        </w:tc>
        <w:tc>
          <w:tcPr>
            <w:tcW w:w="1620"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снижение</w:t>
            </w:r>
          </w:p>
        </w:tc>
      </w:tr>
      <w:tr w:rsidR="00630798" w:rsidRPr="00E43F17" w:rsidTr="00630798">
        <w:tc>
          <w:tcPr>
            <w:tcW w:w="1060"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2020</w:t>
            </w:r>
          </w:p>
        </w:tc>
        <w:tc>
          <w:tcPr>
            <w:tcW w:w="1062"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w:t>
            </w:r>
          </w:p>
        </w:tc>
        <w:tc>
          <w:tcPr>
            <w:tcW w:w="1153"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2.5</w:t>
            </w:r>
          </w:p>
        </w:tc>
        <w:tc>
          <w:tcPr>
            <w:tcW w:w="1620"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-95,3</w:t>
            </w:r>
          </w:p>
        </w:tc>
        <w:tc>
          <w:tcPr>
            <w:tcW w:w="1038"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0</w:t>
            </w:r>
          </w:p>
        </w:tc>
        <w:tc>
          <w:tcPr>
            <w:tcW w:w="1107"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0</w:t>
            </w:r>
          </w:p>
        </w:tc>
        <w:tc>
          <w:tcPr>
            <w:tcW w:w="1053"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0</w:t>
            </w:r>
          </w:p>
        </w:tc>
        <w:tc>
          <w:tcPr>
            <w:tcW w:w="1620" w:type="dxa"/>
            <w:shd w:val="clear" w:color="auto" w:fill="auto"/>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снижение</w:t>
            </w:r>
          </w:p>
        </w:tc>
      </w:tr>
    </w:tbl>
    <w:p w:rsidR="00630798" w:rsidRPr="00E43F17" w:rsidRDefault="00630798" w:rsidP="00E43F17">
      <w:pPr>
        <w:spacing w:after="0" w:line="240" w:lineRule="auto"/>
        <w:jc w:val="center"/>
        <w:rPr>
          <w:rFonts w:ascii="Times New Roman" w:hAnsi="Times New Roman" w:cs="Times New Roman"/>
          <w:sz w:val="24"/>
          <w:szCs w:val="24"/>
        </w:rPr>
      </w:pPr>
    </w:p>
    <w:p w:rsidR="00630798" w:rsidRPr="00E43F17" w:rsidRDefault="00630798" w:rsidP="00E43F17">
      <w:pPr>
        <w:spacing w:after="0" w:line="240" w:lineRule="auto"/>
        <w:jc w:val="both"/>
        <w:rPr>
          <w:rFonts w:ascii="Times New Roman" w:hAnsi="Times New Roman" w:cs="Times New Roman"/>
          <w:sz w:val="24"/>
          <w:szCs w:val="24"/>
        </w:rPr>
      </w:pPr>
      <w:r w:rsidRPr="00E43F17">
        <w:rPr>
          <w:rFonts w:ascii="Times New Roman" w:hAnsi="Times New Roman" w:cs="Times New Roman"/>
          <w:sz w:val="24"/>
          <w:szCs w:val="24"/>
        </w:rPr>
        <w:tab/>
        <w:t>В рамках осуществления мониторинга за ПОЛИО/ОВП и энтеровирусной (неполио) инфекцией, в 2019 году было отобрано и исследовано  6 проб сточной воды, 3 пробы воды в рекреационных зонах. Положительных находок не обнаружено.</w:t>
      </w:r>
    </w:p>
    <w:p w:rsidR="00630798" w:rsidRPr="00E43F17" w:rsidRDefault="00630798" w:rsidP="00E43F17">
      <w:pPr>
        <w:spacing w:after="0" w:line="240" w:lineRule="auto"/>
        <w:jc w:val="both"/>
        <w:rPr>
          <w:rFonts w:ascii="Times New Roman" w:hAnsi="Times New Roman" w:cs="Times New Roman"/>
          <w:sz w:val="24"/>
          <w:szCs w:val="24"/>
        </w:rPr>
      </w:pPr>
      <w:r w:rsidRPr="00E43F17">
        <w:rPr>
          <w:rFonts w:ascii="Times New Roman" w:hAnsi="Times New Roman" w:cs="Times New Roman"/>
          <w:sz w:val="24"/>
          <w:szCs w:val="24"/>
        </w:rPr>
        <w:tab/>
      </w:r>
    </w:p>
    <w:p w:rsidR="00630798" w:rsidRPr="00E43F17" w:rsidRDefault="00630798" w:rsidP="00E43F17">
      <w:pPr>
        <w:spacing w:after="0" w:line="240" w:lineRule="auto"/>
        <w:jc w:val="both"/>
        <w:rPr>
          <w:rFonts w:ascii="Times New Roman" w:hAnsi="Times New Roman" w:cs="Times New Roman"/>
          <w:sz w:val="24"/>
          <w:szCs w:val="24"/>
        </w:rPr>
      </w:pPr>
      <w:r w:rsidRPr="00E43F17">
        <w:rPr>
          <w:rFonts w:ascii="Times New Roman" w:hAnsi="Times New Roman" w:cs="Times New Roman"/>
          <w:sz w:val="24"/>
          <w:szCs w:val="24"/>
        </w:rPr>
        <w:t>Задачи:</w:t>
      </w:r>
    </w:p>
    <w:p w:rsidR="00630798" w:rsidRPr="00E43F17" w:rsidRDefault="00630798" w:rsidP="00E43F17">
      <w:pPr>
        <w:spacing w:after="0" w:line="240" w:lineRule="auto"/>
        <w:jc w:val="both"/>
        <w:rPr>
          <w:rFonts w:ascii="Times New Roman" w:hAnsi="Times New Roman" w:cs="Times New Roman"/>
          <w:sz w:val="24"/>
          <w:szCs w:val="24"/>
        </w:rPr>
      </w:pPr>
      <w:r w:rsidRPr="00E43F17">
        <w:rPr>
          <w:rFonts w:ascii="Times New Roman" w:hAnsi="Times New Roman" w:cs="Times New Roman"/>
          <w:sz w:val="24"/>
          <w:szCs w:val="24"/>
        </w:rPr>
        <w:t>- улучшение качества диагностики энтеровирусной (неполио) инфекции;</w:t>
      </w:r>
    </w:p>
    <w:p w:rsidR="00630798" w:rsidRPr="00E43F17" w:rsidRDefault="00630798" w:rsidP="00E43F17">
      <w:pPr>
        <w:spacing w:after="0" w:line="240" w:lineRule="auto"/>
        <w:jc w:val="both"/>
        <w:rPr>
          <w:rFonts w:ascii="Times New Roman" w:hAnsi="Times New Roman" w:cs="Times New Roman"/>
          <w:sz w:val="24"/>
          <w:szCs w:val="24"/>
        </w:rPr>
      </w:pPr>
      <w:r w:rsidRPr="00E43F17">
        <w:rPr>
          <w:rFonts w:ascii="Times New Roman" w:hAnsi="Times New Roman" w:cs="Times New Roman"/>
          <w:sz w:val="24"/>
          <w:szCs w:val="24"/>
        </w:rPr>
        <w:t>- осуществление планомерного вирусологического мониторинга водных объектов окружающей среды города.</w:t>
      </w:r>
    </w:p>
    <w:p w:rsidR="00630798" w:rsidRPr="00E43F17" w:rsidRDefault="00630798" w:rsidP="00E43F17">
      <w:pPr>
        <w:spacing w:after="0" w:line="240" w:lineRule="auto"/>
        <w:jc w:val="both"/>
        <w:rPr>
          <w:rFonts w:ascii="Times New Roman" w:hAnsi="Times New Roman" w:cs="Times New Roman"/>
          <w:highlight w:val="yellow"/>
        </w:rPr>
      </w:pPr>
    </w:p>
    <w:p w:rsidR="00630798" w:rsidRPr="00E43F17" w:rsidRDefault="00630798" w:rsidP="00E43F17">
      <w:pPr>
        <w:pStyle w:val="8"/>
        <w:jc w:val="left"/>
        <w:rPr>
          <w:rFonts w:ascii="Times New Roman" w:hAnsi="Times New Roman"/>
          <w:b/>
          <w:i w:val="0"/>
        </w:rPr>
      </w:pPr>
      <w:r w:rsidRPr="00E43F17">
        <w:rPr>
          <w:rFonts w:ascii="Times New Roman" w:hAnsi="Times New Roman"/>
          <w:b/>
          <w:i w:val="0"/>
        </w:rPr>
        <w:t>1.3.4. Безопасность иммунопрофилактики</w:t>
      </w:r>
    </w:p>
    <w:p w:rsidR="00630798" w:rsidRPr="00E43F17" w:rsidRDefault="00630798" w:rsidP="00E43F17">
      <w:pPr>
        <w:spacing w:after="0" w:line="240" w:lineRule="auto"/>
        <w:rPr>
          <w:rFonts w:ascii="Times New Roman" w:hAnsi="Times New Roman" w:cs="Times New Roman"/>
          <w:highlight w:val="yellow"/>
        </w:rPr>
      </w:pPr>
    </w:p>
    <w:p w:rsidR="00630798" w:rsidRPr="00E43F17" w:rsidRDefault="00630798" w:rsidP="00E43F17">
      <w:pPr>
        <w:shd w:val="clear" w:color="auto" w:fill="FFFFFF"/>
        <w:spacing w:after="0" w:line="240" w:lineRule="auto"/>
        <w:ind w:firstLine="567"/>
        <w:rPr>
          <w:rFonts w:ascii="Times New Roman" w:hAnsi="Times New Roman" w:cs="Times New Roman"/>
          <w:sz w:val="24"/>
          <w:szCs w:val="24"/>
        </w:rPr>
      </w:pPr>
      <w:r w:rsidRPr="00E43F17">
        <w:rPr>
          <w:rFonts w:ascii="Times New Roman" w:hAnsi="Times New Roman" w:cs="Times New Roman"/>
          <w:sz w:val="24"/>
          <w:szCs w:val="24"/>
        </w:rPr>
        <w:t xml:space="preserve">В 2018 - 2020 годах случаев поствакцинальных осложнений не зарегистрировано. </w:t>
      </w:r>
      <w:r w:rsidRPr="00E43F17">
        <w:rPr>
          <w:rFonts w:ascii="Times New Roman" w:hAnsi="Times New Roman" w:cs="Times New Roman"/>
          <w:sz w:val="24"/>
          <w:szCs w:val="24"/>
        </w:rPr>
        <w:br/>
        <w:t xml:space="preserve">Предложения: </w:t>
      </w:r>
    </w:p>
    <w:p w:rsidR="00630798" w:rsidRPr="00E43F17" w:rsidRDefault="00630798" w:rsidP="00E43F17">
      <w:pPr>
        <w:spacing w:after="0" w:line="240" w:lineRule="auto"/>
        <w:ind w:firstLine="567"/>
        <w:rPr>
          <w:rFonts w:ascii="Times New Roman" w:hAnsi="Times New Roman" w:cs="Times New Roman"/>
          <w:sz w:val="24"/>
          <w:szCs w:val="24"/>
        </w:rPr>
      </w:pPr>
      <w:r w:rsidRPr="00E43F17">
        <w:rPr>
          <w:rFonts w:ascii="Times New Roman" w:hAnsi="Times New Roman" w:cs="Times New Roman"/>
          <w:sz w:val="24"/>
          <w:szCs w:val="24"/>
        </w:rPr>
        <w:t xml:space="preserve">С целью обеспечения безопасности прививаемых и качества вакцинации, в плане повышения доверия общества к прививкам необходимо: </w:t>
      </w:r>
    </w:p>
    <w:p w:rsidR="00630798" w:rsidRPr="00E43F17" w:rsidRDefault="00630798" w:rsidP="006A23B3">
      <w:pPr>
        <w:numPr>
          <w:ilvl w:val="0"/>
          <w:numId w:val="12"/>
        </w:numPr>
        <w:spacing w:after="0" w:line="240" w:lineRule="auto"/>
        <w:ind w:left="0" w:firstLine="567"/>
        <w:jc w:val="both"/>
        <w:rPr>
          <w:rFonts w:ascii="Times New Roman" w:hAnsi="Times New Roman" w:cs="Times New Roman"/>
          <w:sz w:val="24"/>
          <w:szCs w:val="24"/>
        </w:rPr>
      </w:pPr>
      <w:r w:rsidRPr="00E43F17">
        <w:rPr>
          <w:rFonts w:ascii="Times New Roman" w:hAnsi="Times New Roman" w:cs="Times New Roman"/>
          <w:sz w:val="24"/>
          <w:szCs w:val="24"/>
        </w:rPr>
        <w:t>Продолжить мониторинг ПВО и расследование каждого случая, подозрительного на ПВО с установлением причин возникновения осложнений.</w:t>
      </w:r>
    </w:p>
    <w:p w:rsidR="00630798" w:rsidRPr="00E43F17" w:rsidRDefault="00630798" w:rsidP="006A23B3">
      <w:pPr>
        <w:numPr>
          <w:ilvl w:val="0"/>
          <w:numId w:val="12"/>
        </w:numPr>
        <w:spacing w:after="0" w:line="240" w:lineRule="auto"/>
        <w:ind w:left="0" w:firstLine="567"/>
        <w:jc w:val="both"/>
        <w:rPr>
          <w:rFonts w:ascii="Times New Roman" w:hAnsi="Times New Roman" w:cs="Times New Roman"/>
          <w:sz w:val="24"/>
          <w:szCs w:val="24"/>
        </w:rPr>
      </w:pPr>
      <w:r w:rsidRPr="00E43F17">
        <w:rPr>
          <w:rFonts w:ascii="Times New Roman" w:hAnsi="Times New Roman" w:cs="Times New Roman"/>
          <w:sz w:val="24"/>
          <w:szCs w:val="24"/>
        </w:rPr>
        <w:t xml:space="preserve">Осуществлять активный эпиднадзор за всеми учреждениями, которые могут регистрировать диагнозы ПВО и ПВР с целью выявления скрытых осложнений. </w:t>
      </w:r>
    </w:p>
    <w:p w:rsidR="00630798" w:rsidRPr="00E43F17" w:rsidRDefault="00630798" w:rsidP="00E43F17">
      <w:pPr>
        <w:pStyle w:val="a5"/>
        <w:ind w:firstLine="709"/>
        <w:rPr>
          <w:b/>
          <w:sz w:val="26"/>
          <w:szCs w:val="26"/>
        </w:rPr>
      </w:pPr>
    </w:p>
    <w:p w:rsidR="00630798" w:rsidRPr="00E43F17" w:rsidRDefault="00630798" w:rsidP="00E43F17">
      <w:pPr>
        <w:pStyle w:val="a5"/>
        <w:ind w:firstLine="709"/>
        <w:jc w:val="left"/>
        <w:rPr>
          <w:b/>
          <w:sz w:val="24"/>
          <w:szCs w:val="24"/>
          <w:lang w:val="ru-RU"/>
        </w:rPr>
      </w:pPr>
      <w:r w:rsidRPr="00E43F17">
        <w:rPr>
          <w:b/>
          <w:sz w:val="24"/>
          <w:szCs w:val="24"/>
        </w:rPr>
        <w:t>1.3.5. Грипп и ОРВИ</w:t>
      </w:r>
    </w:p>
    <w:p w:rsidR="00630798" w:rsidRPr="00E43F17" w:rsidRDefault="00630798" w:rsidP="00E43F17">
      <w:pPr>
        <w:spacing w:after="0" w:line="240" w:lineRule="auto"/>
        <w:ind w:firstLine="709"/>
        <w:jc w:val="both"/>
        <w:rPr>
          <w:rFonts w:ascii="Times New Roman" w:hAnsi="Times New Roman" w:cs="Times New Roman"/>
          <w:szCs w:val="24"/>
          <w:highlight w:val="yellow"/>
        </w:rPr>
      </w:pPr>
    </w:p>
    <w:p w:rsidR="00630798" w:rsidRPr="00E43F17" w:rsidRDefault="00630798" w:rsidP="00E43F17">
      <w:pPr>
        <w:spacing w:after="0" w:line="240" w:lineRule="auto"/>
        <w:ind w:firstLine="709"/>
        <w:jc w:val="both"/>
        <w:rPr>
          <w:rFonts w:ascii="Times New Roman" w:hAnsi="Times New Roman" w:cs="Times New Roman"/>
          <w:szCs w:val="24"/>
        </w:rPr>
      </w:pPr>
      <w:r w:rsidRPr="00E43F17">
        <w:rPr>
          <w:rFonts w:ascii="Times New Roman" w:hAnsi="Times New Roman" w:cs="Times New Roman"/>
          <w:szCs w:val="24"/>
        </w:rPr>
        <w:t>Острые респираторные вирусные инфекции (ОРВИ) и грипп, оставаясь одной из самых актуальных проблем здравоохранения, составляют в общей структуре инфекционных заболеваний  в 2020году -90,3% , в 2019г-87,3 %.</w:t>
      </w:r>
    </w:p>
    <w:p w:rsidR="00630798" w:rsidRPr="00E43F17" w:rsidRDefault="00630798" w:rsidP="00E43F17">
      <w:pPr>
        <w:spacing w:after="0" w:line="240" w:lineRule="auto"/>
        <w:ind w:firstLine="709"/>
        <w:jc w:val="right"/>
        <w:rPr>
          <w:rFonts w:ascii="Times New Roman" w:hAnsi="Times New Roman" w:cs="Times New Roman"/>
        </w:rPr>
      </w:pPr>
      <w:r w:rsidRPr="00E43F17">
        <w:rPr>
          <w:rFonts w:ascii="Times New Roman" w:hAnsi="Times New Roman" w:cs="Times New Roman"/>
        </w:rPr>
        <w:t>Таблица № 9</w:t>
      </w:r>
    </w:p>
    <w:p w:rsidR="00630798" w:rsidRPr="00E43F17" w:rsidRDefault="00630798" w:rsidP="00E43F17">
      <w:pPr>
        <w:spacing w:after="0" w:line="240" w:lineRule="auto"/>
        <w:jc w:val="center"/>
        <w:rPr>
          <w:rFonts w:ascii="Times New Roman" w:hAnsi="Times New Roman" w:cs="Times New Roman"/>
          <w:b/>
        </w:rPr>
      </w:pPr>
      <w:r w:rsidRPr="00E43F17">
        <w:rPr>
          <w:rFonts w:ascii="Times New Roman" w:hAnsi="Times New Roman" w:cs="Times New Roman"/>
          <w:b/>
        </w:rPr>
        <w:t>Заболеваемость ОРВИ и гриппом</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7"/>
        <w:gridCol w:w="816"/>
        <w:gridCol w:w="832"/>
        <w:gridCol w:w="671"/>
        <w:gridCol w:w="693"/>
        <w:gridCol w:w="931"/>
        <w:gridCol w:w="830"/>
        <w:gridCol w:w="579"/>
        <w:gridCol w:w="810"/>
        <w:gridCol w:w="850"/>
        <w:gridCol w:w="993"/>
        <w:gridCol w:w="629"/>
        <w:gridCol w:w="851"/>
      </w:tblGrid>
      <w:tr w:rsidR="00630798" w:rsidRPr="00E43F17" w:rsidTr="00630798">
        <w:trPr>
          <w:cantSplit/>
          <w:jc w:val="center"/>
        </w:trPr>
        <w:tc>
          <w:tcPr>
            <w:tcW w:w="707" w:type="dxa"/>
            <w:vMerge w:val="restart"/>
          </w:tcPr>
          <w:p w:rsidR="00630798" w:rsidRPr="00E43F17" w:rsidRDefault="00630798" w:rsidP="00E43F17">
            <w:pPr>
              <w:spacing w:after="0" w:line="240" w:lineRule="auto"/>
              <w:jc w:val="center"/>
              <w:rPr>
                <w:rFonts w:ascii="Times New Roman" w:hAnsi="Times New Roman" w:cs="Times New Roman"/>
                <w:highlight w:val="yellow"/>
              </w:rPr>
            </w:pPr>
          </w:p>
        </w:tc>
        <w:tc>
          <w:tcPr>
            <w:tcW w:w="3012" w:type="dxa"/>
            <w:gridSpan w:val="4"/>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2018 год</w:t>
            </w:r>
          </w:p>
        </w:tc>
        <w:tc>
          <w:tcPr>
            <w:tcW w:w="3150" w:type="dxa"/>
            <w:gridSpan w:val="4"/>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2019год</w:t>
            </w:r>
          </w:p>
        </w:tc>
        <w:tc>
          <w:tcPr>
            <w:tcW w:w="3323" w:type="dxa"/>
            <w:gridSpan w:val="4"/>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2020год</w:t>
            </w:r>
          </w:p>
        </w:tc>
      </w:tr>
      <w:tr w:rsidR="00630798" w:rsidRPr="00E43F17" w:rsidTr="00630798">
        <w:trPr>
          <w:cantSplit/>
          <w:trHeight w:val="363"/>
          <w:jc w:val="center"/>
        </w:trPr>
        <w:tc>
          <w:tcPr>
            <w:tcW w:w="707" w:type="dxa"/>
            <w:vMerge/>
          </w:tcPr>
          <w:p w:rsidR="00630798" w:rsidRPr="00E43F17" w:rsidRDefault="00630798" w:rsidP="00E43F17">
            <w:pPr>
              <w:spacing w:after="0" w:line="240" w:lineRule="auto"/>
              <w:jc w:val="center"/>
              <w:rPr>
                <w:rFonts w:ascii="Times New Roman" w:hAnsi="Times New Roman" w:cs="Times New Roman"/>
                <w:highlight w:val="yellow"/>
              </w:rPr>
            </w:pPr>
          </w:p>
        </w:tc>
        <w:tc>
          <w:tcPr>
            <w:tcW w:w="1648" w:type="dxa"/>
            <w:gridSpan w:val="2"/>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ОРЗ</w:t>
            </w:r>
          </w:p>
        </w:tc>
        <w:tc>
          <w:tcPr>
            <w:tcW w:w="1364" w:type="dxa"/>
            <w:gridSpan w:val="2"/>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Грипп</w:t>
            </w:r>
          </w:p>
        </w:tc>
        <w:tc>
          <w:tcPr>
            <w:tcW w:w="1761" w:type="dxa"/>
            <w:gridSpan w:val="2"/>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ОРЗ</w:t>
            </w:r>
          </w:p>
          <w:p w:rsidR="00630798" w:rsidRPr="00E43F17" w:rsidRDefault="00630798" w:rsidP="00E43F17">
            <w:pPr>
              <w:spacing w:after="0" w:line="240" w:lineRule="auto"/>
              <w:jc w:val="center"/>
              <w:rPr>
                <w:rFonts w:ascii="Times New Roman" w:hAnsi="Times New Roman" w:cs="Times New Roman"/>
              </w:rPr>
            </w:pPr>
          </w:p>
        </w:tc>
        <w:tc>
          <w:tcPr>
            <w:tcW w:w="1389" w:type="dxa"/>
            <w:gridSpan w:val="2"/>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грипп</w:t>
            </w:r>
          </w:p>
        </w:tc>
        <w:tc>
          <w:tcPr>
            <w:tcW w:w="1843" w:type="dxa"/>
            <w:gridSpan w:val="2"/>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ОРЗ</w:t>
            </w:r>
          </w:p>
          <w:p w:rsidR="00630798" w:rsidRPr="00E43F17" w:rsidRDefault="00630798" w:rsidP="00E43F17">
            <w:pPr>
              <w:spacing w:after="0" w:line="240" w:lineRule="auto"/>
              <w:jc w:val="center"/>
              <w:rPr>
                <w:rFonts w:ascii="Times New Roman" w:hAnsi="Times New Roman" w:cs="Times New Roman"/>
              </w:rPr>
            </w:pPr>
          </w:p>
        </w:tc>
        <w:tc>
          <w:tcPr>
            <w:tcW w:w="1480" w:type="dxa"/>
            <w:gridSpan w:val="2"/>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грипп</w:t>
            </w:r>
          </w:p>
        </w:tc>
      </w:tr>
      <w:tr w:rsidR="00630798" w:rsidRPr="00E43F17" w:rsidTr="00630798">
        <w:trPr>
          <w:cantSplit/>
          <w:jc w:val="center"/>
        </w:trPr>
        <w:tc>
          <w:tcPr>
            <w:tcW w:w="707" w:type="dxa"/>
            <w:vMerge/>
          </w:tcPr>
          <w:p w:rsidR="00630798" w:rsidRPr="00E43F17" w:rsidRDefault="00630798" w:rsidP="00E43F17">
            <w:pPr>
              <w:spacing w:after="0" w:line="240" w:lineRule="auto"/>
              <w:jc w:val="center"/>
              <w:rPr>
                <w:rFonts w:ascii="Times New Roman" w:hAnsi="Times New Roman" w:cs="Times New Roman"/>
                <w:highlight w:val="yellow"/>
              </w:rPr>
            </w:pPr>
          </w:p>
        </w:tc>
        <w:tc>
          <w:tcPr>
            <w:tcW w:w="81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Абс.</w:t>
            </w:r>
          </w:p>
        </w:tc>
        <w:tc>
          <w:tcPr>
            <w:tcW w:w="83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Пок-ль</w:t>
            </w:r>
          </w:p>
        </w:tc>
        <w:tc>
          <w:tcPr>
            <w:tcW w:w="671"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Абс</w:t>
            </w:r>
          </w:p>
        </w:tc>
        <w:tc>
          <w:tcPr>
            <w:tcW w:w="693"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Пок-ль</w:t>
            </w:r>
          </w:p>
        </w:tc>
        <w:tc>
          <w:tcPr>
            <w:tcW w:w="931"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Абс</w:t>
            </w:r>
          </w:p>
        </w:tc>
        <w:tc>
          <w:tcPr>
            <w:tcW w:w="830"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Пок-ль</w:t>
            </w:r>
          </w:p>
        </w:tc>
        <w:tc>
          <w:tcPr>
            <w:tcW w:w="57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Абс</w:t>
            </w:r>
          </w:p>
        </w:tc>
        <w:tc>
          <w:tcPr>
            <w:tcW w:w="810"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Пок-ль</w:t>
            </w:r>
          </w:p>
        </w:tc>
        <w:tc>
          <w:tcPr>
            <w:tcW w:w="850"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Абс</w:t>
            </w:r>
          </w:p>
        </w:tc>
        <w:tc>
          <w:tcPr>
            <w:tcW w:w="993"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Пок-ль</w:t>
            </w:r>
          </w:p>
        </w:tc>
        <w:tc>
          <w:tcPr>
            <w:tcW w:w="62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Абс</w:t>
            </w:r>
          </w:p>
        </w:tc>
        <w:tc>
          <w:tcPr>
            <w:tcW w:w="851"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Пок-ль</w:t>
            </w:r>
          </w:p>
        </w:tc>
      </w:tr>
      <w:tr w:rsidR="00630798" w:rsidRPr="00E43F17" w:rsidTr="00630798">
        <w:trPr>
          <w:cantSplit/>
          <w:jc w:val="center"/>
        </w:trPr>
        <w:tc>
          <w:tcPr>
            <w:tcW w:w="707" w:type="dxa"/>
            <w:vMerge/>
          </w:tcPr>
          <w:p w:rsidR="00630798" w:rsidRPr="00E43F17" w:rsidRDefault="00630798" w:rsidP="00E43F17">
            <w:pPr>
              <w:spacing w:after="0" w:line="240" w:lineRule="auto"/>
              <w:jc w:val="center"/>
              <w:rPr>
                <w:rFonts w:ascii="Times New Roman" w:hAnsi="Times New Roman" w:cs="Times New Roman"/>
                <w:highlight w:val="yellow"/>
              </w:rPr>
            </w:pPr>
          </w:p>
        </w:tc>
        <w:tc>
          <w:tcPr>
            <w:tcW w:w="81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w:t>
            </w:r>
          </w:p>
        </w:tc>
        <w:tc>
          <w:tcPr>
            <w:tcW w:w="83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w:t>
            </w:r>
          </w:p>
        </w:tc>
        <w:tc>
          <w:tcPr>
            <w:tcW w:w="671"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3</w:t>
            </w:r>
          </w:p>
        </w:tc>
        <w:tc>
          <w:tcPr>
            <w:tcW w:w="693"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4</w:t>
            </w:r>
          </w:p>
        </w:tc>
        <w:tc>
          <w:tcPr>
            <w:tcW w:w="931"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5</w:t>
            </w:r>
          </w:p>
        </w:tc>
        <w:tc>
          <w:tcPr>
            <w:tcW w:w="830"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6</w:t>
            </w:r>
          </w:p>
        </w:tc>
        <w:tc>
          <w:tcPr>
            <w:tcW w:w="57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7</w:t>
            </w:r>
          </w:p>
        </w:tc>
        <w:tc>
          <w:tcPr>
            <w:tcW w:w="810"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8</w:t>
            </w:r>
          </w:p>
        </w:tc>
        <w:tc>
          <w:tcPr>
            <w:tcW w:w="850"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9</w:t>
            </w:r>
          </w:p>
        </w:tc>
        <w:tc>
          <w:tcPr>
            <w:tcW w:w="993"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10</w:t>
            </w:r>
          </w:p>
        </w:tc>
        <w:tc>
          <w:tcPr>
            <w:tcW w:w="62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11</w:t>
            </w:r>
          </w:p>
        </w:tc>
        <w:tc>
          <w:tcPr>
            <w:tcW w:w="851"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12</w:t>
            </w:r>
          </w:p>
        </w:tc>
      </w:tr>
      <w:tr w:rsidR="00630798" w:rsidRPr="00E43F17" w:rsidTr="00630798">
        <w:trPr>
          <w:cantSplit/>
          <w:jc w:val="center"/>
        </w:trPr>
        <w:tc>
          <w:tcPr>
            <w:tcW w:w="707"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город</w:t>
            </w:r>
          </w:p>
        </w:tc>
        <w:tc>
          <w:tcPr>
            <w:tcW w:w="81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7135</w:t>
            </w:r>
          </w:p>
        </w:tc>
        <w:tc>
          <w:tcPr>
            <w:tcW w:w="83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16914,4</w:t>
            </w:r>
          </w:p>
        </w:tc>
        <w:tc>
          <w:tcPr>
            <w:tcW w:w="671"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19</w:t>
            </w:r>
          </w:p>
        </w:tc>
        <w:tc>
          <w:tcPr>
            <w:tcW w:w="693"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45,0</w:t>
            </w:r>
          </w:p>
        </w:tc>
        <w:tc>
          <w:tcPr>
            <w:tcW w:w="931"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11092</w:t>
            </w:r>
          </w:p>
        </w:tc>
        <w:tc>
          <w:tcPr>
            <w:tcW w:w="830"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26907,3</w:t>
            </w:r>
          </w:p>
        </w:tc>
        <w:tc>
          <w:tcPr>
            <w:tcW w:w="57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10</w:t>
            </w:r>
          </w:p>
        </w:tc>
        <w:tc>
          <w:tcPr>
            <w:tcW w:w="810"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24,3</w:t>
            </w:r>
          </w:p>
        </w:tc>
        <w:tc>
          <w:tcPr>
            <w:tcW w:w="850" w:type="dxa"/>
          </w:tcPr>
          <w:p w:rsidR="00630798" w:rsidRPr="00E43F17" w:rsidRDefault="00630798" w:rsidP="00E43F17">
            <w:pPr>
              <w:spacing w:after="0" w:line="240" w:lineRule="auto"/>
              <w:rPr>
                <w:rFonts w:ascii="Times New Roman" w:hAnsi="Times New Roman" w:cs="Times New Roman"/>
              </w:rPr>
            </w:pPr>
            <w:r w:rsidRPr="00E43F17">
              <w:rPr>
                <w:rFonts w:ascii="Times New Roman" w:hAnsi="Times New Roman" w:cs="Times New Roman"/>
              </w:rPr>
              <w:t>18454</w:t>
            </w:r>
          </w:p>
        </w:tc>
        <w:tc>
          <w:tcPr>
            <w:tcW w:w="993" w:type="dxa"/>
          </w:tcPr>
          <w:p w:rsidR="00630798" w:rsidRPr="00E43F17" w:rsidRDefault="00630798" w:rsidP="00E43F17">
            <w:pPr>
              <w:spacing w:after="0" w:line="240" w:lineRule="auto"/>
              <w:rPr>
                <w:rFonts w:ascii="Times New Roman" w:hAnsi="Times New Roman" w:cs="Times New Roman"/>
              </w:rPr>
            </w:pPr>
            <w:r w:rsidRPr="00E43F17">
              <w:rPr>
                <w:rFonts w:ascii="Times New Roman" w:hAnsi="Times New Roman" w:cs="Times New Roman"/>
              </w:rPr>
              <w:t>46315,63</w:t>
            </w:r>
          </w:p>
        </w:tc>
        <w:tc>
          <w:tcPr>
            <w:tcW w:w="629" w:type="dxa"/>
          </w:tcPr>
          <w:p w:rsidR="00630798" w:rsidRPr="00E43F17" w:rsidRDefault="00630798" w:rsidP="00E43F17">
            <w:pPr>
              <w:spacing w:after="0" w:line="240" w:lineRule="auto"/>
              <w:rPr>
                <w:rFonts w:ascii="Times New Roman" w:hAnsi="Times New Roman" w:cs="Times New Roman"/>
              </w:rPr>
            </w:pPr>
            <w:r w:rsidRPr="00E43F17">
              <w:rPr>
                <w:rFonts w:ascii="Times New Roman" w:hAnsi="Times New Roman" w:cs="Times New Roman"/>
              </w:rPr>
              <w:t>15</w:t>
            </w:r>
          </w:p>
        </w:tc>
        <w:tc>
          <w:tcPr>
            <w:tcW w:w="851" w:type="dxa"/>
          </w:tcPr>
          <w:p w:rsidR="00630798" w:rsidRPr="00E43F17" w:rsidRDefault="00630798" w:rsidP="00E43F17">
            <w:pPr>
              <w:spacing w:after="0" w:line="240" w:lineRule="auto"/>
              <w:rPr>
                <w:rFonts w:ascii="Times New Roman" w:hAnsi="Times New Roman" w:cs="Times New Roman"/>
              </w:rPr>
            </w:pPr>
            <w:r w:rsidRPr="00E43F17">
              <w:rPr>
                <w:rFonts w:ascii="Times New Roman" w:hAnsi="Times New Roman" w:cs="Times New Roman"/>
              </w:rPr>
              <w:t>37,65</w:t>
            </w:r>
          </w:p>
        </w:tc>
      </w:tr>
      <w:tr w:rsidR="00630798" w:rsidRPr="00E43F17" w:rsidTr="00630798">
        <w:trPr>
          <w:cantSplit/>
          <w:jc w:val="center"/>
        </w:trPr>
        <w:tc>
          <w:tcPr>
            <w:tcW w:w="707"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округ</w:t>
            </w:r>
          </w:p>
        </w:tc>
        <w:tc>
          <w:tcPr>
            <w:tcW w:w="81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495615</w:t>
            </w:r>
          </w:p>
        </w:tc>
        <w:tc>
          <w:tcPr>
            <w:tcW w:w="83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29423,8</w:t>
            </w:r>
          </w:p>
        </w:tc>
        <w:tc>
          <w:tcPr>
            <w:tcW w:w="671"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2189</w:t>
            </w:r>
          </w:p>
        </w:tc>
        <w:tc>
          <w:tcPr>
            <w:tcW w:w="693"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130,0</w:t>
            </w:r>
          </w:p>
        </w:tc>
        <w:tc>
          <w:tcPr>
            <w:tcW w:w="931"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446262</w:t>
            </w:r>
          </w:p>
        </w:tc>
        <w:tc>
          <w:tcPr>
            <w:tcW w:w="830"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26600,7</w:t>
            </w:r>
          </w:p>
        </w:tc>
        <w:tc>
          <w:tcPr>
            <w:tcW w:w="57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2566</w:t>
            </w:r>
          </w:p>
        </w:tc>
        <w:tc>
          <w:tcPr>
            <w:tcW w:w="810"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153,0</w:t>
            </w:r>
          </w:p>
        </w:tc>
        <w:tc>
          <w:tcPr>
            <w:tcW w:w="850"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555058</w:t>
            </w:r>
          </w:p>
        </w:tc>
        <w:tc>
          <w:tcPr>
            <w:tcW w:w="993"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32958,7</w:t>
            </w:r>
          </w:p>
        </w:tc>
        <w:tc>
          <w:tcPr>
            <w:tcW w:w="62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2614</w:t>
            </w:r>
          </w:p>
        </w:tc>
        <w:tc>
          <w:tcPr>
            <w:tcW w:w="851"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155,2</w:t>
            </w:r>
          </w:p>
        </w:tc>
      </w:tr>
    </w:tbl>
    <w:p w:rsidR="00E43F17" w:rsidRDefault="00630798" w:rsidP="00E43F17">
      <w:pPr>
        <w:spacing w:after="0" w:line="240" w:lineRule="auto"/>
        <w:ind w:firstLine="567"/>
        <w:jc w:val="both"/>
        <w:rPr>
          <w:rFonts w:ascii="Times New Roman" w:hAnsi="Times New Roman" w:cs="Times New Roman"/>
          <w:sz w:val="24"/>
          <w:szCs w:val="24"/>
        </w:rPr>
      </w:pPr>
      <w:r w:rsidRPr="00E43F17">
        <w:rPr>
          <w:rFonts w:ascii="Times New Roman" w:hAnsi="Times New Roman" w:cs="Times New Roman"/>
          <w:sz w:val="24"/>
          <w:szCs w:val="24"/>
        </w:rPr>
        <w:t xml:space="preserve">     </w:t>
      </w:r>
    </w:p>
    <w:p w:rsidR="00630798" w:rsidRPr="00E43F17" w:rsidRDefault="00630798" w:rsidP="00E43F17">
      <w:pPr>
        <w:spacing w:after="0" w:line="240" w:lineRule="auto"/>
        <w:ind w:firstLine="567"/>
        <w:jc w:val="both"/>
        <w:rPr>
          <w:rFonts w:ascii="Times New Roman" w:hAnsi="Times New Roman" w:cs="Times New Roman"/>
          <w:sz w:val="24"/>
          <w:szCs w:val="24"/>
        </w:rPr>
      </w:pPr>
      <w:r w:rsidRPr="00E43F17">
        <w:rPr>
          <w:rFonts w:ascii="Times New Roman" w:hAnsi="Times New Roman" w:cs="Times New Roman"/>
          <w:sz w:val="24"/>
          <w:szCs w:val="24"/>
        </w:rPr>
        <w:t xml:space="preserve">В связи с пандемией в 2020г  новой коронавирусной инфекцией  зарегистрирован резкий рост заболеваемости  ОРЗ  по показателям на 100 тыс населения превышает уровень 2019г  на 72%, 2018г на 173%, заболеваемость ОРЗ по г. Пыть-Ях в 2020г превышает окружные показатели на  40,5%, что расценивается как- крайне неблагоприятная эпидемиологическая ситуация. Заболеваемость гриппом в 2020г по территории г Пыть-Ях превышает показатели 2019г  на  54,9 %, но ниже окружных показателей в 4,1 раз. ( табл № 9 ). </w:t>
      </w:r>
    </w:p>
    <w:p w:rsidR="00630798" w:rsidRPr="00E43F17" w:rsidRDefault="00630798" w:rsidP="00E43F17">
      <w:pPr>
        <w:spacing w:after="0" w:line="240" w:lineRule="auto"/>
        <w:rPr>
          <w:rFonts w:ascii="Times New Roman" w:hAnsi="Times New Roman" w:cs="Times New Roman"/>
        </w:rPr>
      </w:pPr>
    </w:p>
    <w:p w:rsidR="00630798" w:rsidRPr="00E43F17" w:rsidRDefault="00630798" w:rsidP="00E43F17">
      <w:pPr>
        <w:spacing w:after="0" w:line="240" w:lineRule="auto"/>
        <w:jc w:val="right"/>
        <w:rPr>
          <w:rFonts w:ascii="Times New Roman" w:hAnsi="Times New Roman" w:cs="Times New Roman"/>
        </w:rPr>
      </w:pPr>
      <w:r w:rsidRPr="00E43F17">
        <w:rPr>
          <w:rFonts w:ascii="Times New Roman" w:hAnsi="Times New Roman" w:cs="Times New Roman"/>
        </w:rPr>
        <w:t>Таблица № 10</w:t>
      </w:r>
    </w:p>
    <w:p w:rsidR="00630798" w:rsidRPr="00E43F17" w:rsidRDefault="00630798" w:rsidP="00E43F17">
      <w:pPr>
        <w:pStyle w:val="4"/>
        <w:rPr>
          <w:rFonts w:ascii="Times New Roman" w:hAnsi="Times New Roman"/>
          <w:b w:val="0"/>
          <w:sz w:val="24"/>
          <w:szCs w:val="24"/>
        </w:rPr>
      </w:pPr>
      <w:r w:rsidRPr="00E43F17">
        <w:rPr>
          <w:rFonts w:ascii="Times New Roman" w:hAnsi="Times New Roman"/>
          <w:b w:val="0"/>
          <w:sz w:val="24"/>
          <w:szCs w:val="24"/>
        </w:rPr>
        <w:lastRenderedPageBreak/>
        <w:t>Суммарная заболеваемость гриппом и ОРЗ</w:t>
      </w:r>
    </w:p>
    <w:tbl>
      <w:tblPr>
        <w:tblW w:w="98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1559"/>
        <w:gridCol w:w="1134"/>
        <w:gridCol w:w="1418"/>
        <w:gridCol w:w="1559"/>
        <w:gridCol w:w="1417"/>
        <w:gridCol w:w="1443"/>
      </w:tblGrid>
      <w:tr w:rsidR="00630798" w:rsidRPr="00E43F17" w:rsidTr="00630798">
        <w:trPr>
          <w:trHeight w:val="313"/>
        </w:trPr>
        <w:tc>
          <w:tcPr>
            <w:tcW w:w="1277"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Год</w:t>
            </w:r>
          </w:p>
        </w:tc>
        <w:tc>
          <w:tcPr>
            <w:tcW w:w="2693" w:type="dxa"/>
            <w:gridSpan w:val="2"/>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2018</w:t>
            </w:r>
          </w:p>
        </w:tc>
        <w:tc>
          <w:tcPr>
            <w:tcW w:w="2977" w:type="dxa"/>
            <w:gridSpan w:val="2"/>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2019</w:t>
            </w:r>
          </w:p>
        </w:tc>
        <w:tc>
          <w:tcPr>
            <w:tcW w:w="2860" w:type="dxa"/>
            <w:gridSpan w:val="2"/>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2020</w:t>
            </w:r>
          </w:p>
        </w:tc>
      </w:tr>
      <w:tr w:rsidR="00630798" w:rsidRPr="00E43F17" w:rsidTr="00630798">
        <w:trPr>
          <w:trHeight w:val="296"/>
        </w:trPr>
        <w:tc>
          <w:tcPr>
            <w:tcW w:w="1277" w:type="dxa"/>
          </w:tcPr>
          <w:p w:rsidR="00630798" w:rsidRPr="00E43F17" w:rsidRDefault="00630798" w:rsidP="00E43F17">
            <w:pPr>
              <w:spacing w:after="0" w:line="240" w:lineRule="auto"/>
              <w:jc w:val="center"/>
              <w:rPr>
                <w:rFonts w:ascii="Times New Roman" w:hAnsi="Times New Roman" w:cs="Times New Roman"/>
              </w:rPr>
            </w:pPr>
          </w:p>
        </w:tc>
        <w:tc>
          <w:tcPr>
            <w:tcW w:w="155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Абс.ч.</w:t>
            </w:r>
          </w:p>
        </w:tc>
        <w:tc>
          <w:tcPr>
            <w:tcW w:w="1134"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Показ.</w:t>
            </w:r>
          </w:p>
        </w:tc>
        <w:tc>
          <w:tcPr>
            <w:tcW w:w="1418"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Абс.ч.</w:t>
            </w:r>
          </w:p>
        </w:tc>
        <w:tc>
          <w:tcPr>
            <w:tcW w:w="155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Показ.</w:t>
            </w:r>
          </w:p>
        </w:tc>
        <w:tc>
          <w:tcPr>
            <w:tcW w:w="1417"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Абс.ч.</w:t>
            </w:r>
          </w:p>
        </w:tc>
        <w:tc>
          <w:tcPr>
            <w:tcW w:w="1443"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Показ.</w:t>
            </w:r>
          </w:p>
        </w:tc>
      </w:tr>
      <w:tr w:rsidR="00630798" w:rsidRPr="00E43F17" w:rsidTr="00630798">
        <w:trPr>
          <w:trHeight w:val="296"/>
        </w:trPr>
        <w:tc>
          <w:tcPr>
            <w:tcW w:w="1277"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Город</w:t>
            </w:r>
          </w:p>
        </w:tc>
        <w:tc>
          <w:tcPr>
            <w:tcW w:w="155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7922</w:t>
            </w:r>
          </w:p>
        </w:tc>
        <w:tc>
          <w:tcPr>
            <w:tcW w:w="1134"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18482,6</w:t>
            </w:r>
          </w:p>
        </w:tc>
        <w:tc>
          <w:tcPr>
            <w:tcW w:w="1418"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11102</w:t>
            </w:r>
          </w:p>
        </w:tc>
        <w:tc>
          <w:tcPr>
            <w:tcW w:w="1559"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26931,6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30798" w:rsidRPr="00E43F17" w:rsidRDefault="00630798" w:rsidP="00E43F17">
            <w:pPr>
              <w:spacing w:after="0" w:line="240" w:lineRule="auto"/>
              <w:jc w:val="center"/>
              <w:rPr>
                <w:rFonts w:ascii="Times New Roman" w:hAnsi="Times New Roman" w:cs="Times New Roman"/>
                <w:color w:val="000000"/>
              </w:rPr>
            </w:pPr>
            <w:r w:rsidRPr="00E43F17">
              <w:rPr>
                <w:rFonts w:ascii="Times New Roman" w:hAnsi="Times New Roman" w:cs="Times New Roman"/>
                <w:color w:val="000000"/>
              </w:rPr>
              <w:t>18469</w:t>
            </w:r>
          </w:p>
        </w:tc>
        <w:tc>
          <w:tcPr>
            <w:tcW w:w="1443" w:type="dxa"/>
            <w:tcBorders>
              <w:top w:val="single" w:sz="4" w:space="0" w:color="auto"/>
              <w:left w:val="nil"/>
              <w:bottom w:val="single" w:sz="4" w:space="0" w:color="auto"/>
              <w:right w:val="single" w:sz="4" w:space="0" w:color="auto"/>
            </w:tcBorders>
            <w:shd w:val="clear" w:color="auto" w:fill="auto"/>
            <w:vAlign w:val="bottom"/>
          </w:tcPr>
          <w:p w:rsidR="00630798" w:rsidRPr="00E43F17" w:rsidRDefault="00630798" w:rsidP="00E43F17">
            <w:pPr>
              <w:spacing w:after="0" w:line="240" w:lineRule="auto"/>
              <w:jc w:val="center"/>
              <w:rPr>
                <w:rFonts w:ascii="Times New Roman" w:hAnsi="Times New Roman" w:cs="Times New Roman"/>
                <w:color w:val="000000"/>
              </w:rPr>
            </w:pPr>
            <w:r w:rsidRPr="00E43F17">
              <w:rPr>
                <w:rFonts w:ascii="Times New Roman" w:hAnsi="Times New Roman" w:cs="Times New Roman"/>
                <w:color w:val="000000"/>
              </w:rPr>
              <w:t>46353,28</w:t>
            </w:r>
          </w:p>
        </w:tc>
      </w:tr>
      <w:tr w:rsidR="00630798" w:rsidRPr="00E43F17" w:rsidTr="00630798">
        <w:trPr>
          <w:trHeight w:val="313"/>
        </w:trPr>
        <w:tc>
          <w:tcPr>
            <w:tcW w:w="1277"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Округ</w:t>
            </w:r>
          </w:p>
        </w:tc>
        <w:tc>
          <w:tcPr>
            <w:tcW w:w="155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464876</w:t>
            </w:r>
          </w:p>
        </w:tc>
        <w:tc>
          <w:tcPr>
            <w:tcW w:w="1134"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29073,8</w:t>
            </w:r>
          </w:p>
        </w:tc>
        <w:tc>
          <w:tcPr>
            <w:tcW w:w="1418"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448828</w:t>
            </w:r>
          </w:p>
        </w:tc>
        <w:tc>
          <w:tcPr>
            <w:tcW w:w="1559"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26753,7</w:t>
            </w:r>
          </w:p>
        </w:tc>
        <w:tc>
          <w:tcPr>
            <w:tcW w:w="1417"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557672</w:t>
            </w:r>
          </w:p>
        </w:tc>
        <w:tc>
          <w:tcPr>
            <w:tcW w:w="1443"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33113,9</w:t>
            </w:r>
          </w:p>
        </w:tc>
      </w:tr>
    </w:tbl>
    <w:p w:rsidR="00E43F17" w:rsidRDefault="00E43F17" w:rsidP="00E43F17">
      <w:pPr>
        <w:spacing w:after="0" w:line="240" w:lineRule="auto"/>
        <w:ind w:firstLine="709"/>
        <w:jc w:val="both"/>
        <w:rPr>
          <w:rFonts w:ascii="Times New Roman" w:hAnsi="Times New Roman" w:cs="Times New Roman"/>
          <w:sz w:val="24"/>
          <w:szCs w:val="24"/>
        </w:rPr>
      </w:pPr>
      <w:bookmarkStart w:id="34" w:name="_Hlk63152433"/>
    </w:p>
    <w:p w:rsidR="00630798" w:rsidRPr="00E43F17" w:rsidRDefault="00630798" w:rsidP="00E43F17">
      <w:pPr>
        <w:spacing w:after="0" w:line="240" w:lineRule="auto"/>
        <w:ind w:firstLine="709"/>
        <w:jc w:val="both"/>
        <w:rPr>
          <w:rFonts w:ascii="Times New Roman" w:hAnsi="Times New Roman" w:cs="Times New Roman"/>
          <w:sz w:val="24"/>
          <w:szCs w:val="24"/>
        </w:rPr>
      </w:pPr>
      <w:r w:rsidRPr="00E43F17">
        <w:rPr>
          <w:rFonts w:ascii="Times New Roman" w:hAnsi="Times New Roman" w:cs="Times New Roman"/>
          <w:sz w:val="24"/>
          <w:szCs w:val="24"/>
        </w:rPr>
        <w:t>В 2020году показатель суммарной заболеваемости ОРЗ и гриппом по г Пыть-Ях , по сравнению с 2019годом увеличился на 72.1%, по сравнению  2018годом- на 150%и это самый высокий показатель за 10 лет, показатель суммарной заболеваемости гриппом и ОРЗ превышает окружные показатели в 2020году на 40%, что расценивается как крайне неблагопроятная эпидемиологическая ситуация</w:t>
      </w:r>
      <w:bookmarkEnd w:id="34"/>
      <w:r w:rsidRPr="00E43F17">
        <w:rPr>
          <w:rFonts w:ascii="Times New Roman" w:hAnsi="Times New Roman" w:cs="Times New Roman"/>
          <w:sz w:val="24"/>
          <w:szCs w:val="24"/>
        </w:rPr>
        <w:t xml:space="preserve">( табл № 10, рис № 5 ). </w:t>
      </w:r>
    </w:p>
    <w:p w:rsidR="00630798" w:rsidRPr="00E43F17" w:rsidRDefault="00630798" w:rsidP="00E43F17">
      <w:pPr>
        <w:pStyle w:val="a5"/>
        <w:jc w:val="both"/>
        <w:rPr>
          <w:sz w:val="24"/>
          <w:szCs w:val="24"/>
        </w:rPr>
      </w:pPr>
      <w:r w:rsidRPr="00E43F17">
        <w:rPr>
          <w:sz w:val="24"/>
          <w:szCs w:val="24"/>
        </w:rPr>
        <w:tab/>
        <w:t xml:space="preserve"> В 2018 г. отобран  71 мазок из ротоглотки и носоглотки, из них положительных 17 (РНК короновируса – 2, РНК вируса гриппа А (</w:t>
      </w:r>
      <w:r w:rsidRPr="00E43F17">
        <w:rPr>
          <w:sz w:val="24"/>
          <w:szCs w:val="24"/>
          <w:lang w:val="en-US"/>
        </w:rPr>
        <w:t>swine</w:t>
      </w:r>
      <w:r w:rsidRPr="00E43F17">
        <w:rPr>
          <w:sz w:val="24"/>
          <w:szCs w:val="24"/>
        </w:rPr>
        <w:t xml:space="preserve">) – 2, РНК вируса гриппа В – 3, РНК РС- вируса – 1, РНК риновируса – </w:t>
      </w:r>
      <w:r w:rsidRPr="00E43F17">
        <w:rPr>
          <w:sz w:val="24"/>
          <w:szCs w:val="24"/>
          <w:lang w:val="ru-RU"/>
        </w:rPr>
        <w:t>8</w:t>
      </w:r>
      <w:r w:rsidRPr="00E43F17">
        <w:rPr>
          <w:sz w:val="24"/>
          <w:szCs w:val="24"/>
        </w:rPr>
        <w:t>, РНК метапневмовируса- 1.)</w:t>
      </w:r>
    </w:p>
    <w:p w:rsidR="00630798" w:rsidRPr="00E43F17" w:rsidRDefault="00630798" w:rsidP="00E43F17">
      <w:pPr>
        <w:pStyle w:val="a5"/>
        <w:ind w:firstLine="709"/>
        <w:jc w:val="both"/>
        <w:rPr>
          <w:sz w:val="24"/>
          <w:szCs w:val="24"/>
          <w:lang w:val="ru-RU"/>
        </w:rPr>
      </w:pPr>
      <w:r w:rsidRPr="00E43F17">
        <w:rPr>
          <w:sz w:val="24"/>
          <w:szCs w:val="24"/>
        </w:rPr>
        <w:t>В 201</w:t>
      </w:r>
      <w:r w:rsidRPr="00E43F17">
        <w:rPr>
          <w:sz w:val="24"/>
          <w:szCs w:val="24"/>
          <w:lang w:val="ru-RU"/>
        </w:rPr>
        <w:t>9</w:t>
      </w:r>
      <w:r w:rsidRPr="00E43F17">
        <w:rPr>
          <w:sz w:val="24"/>
          <w:szCs w:val="24"/>
        </w:rPr>
        <w:t xml:space="preserve"> г. отобран</w:t>
      </w:r>
      <w:r w:rsidRPr="00E43F17">
        <w:rPr>
          <w:sz w:val="24"/>
          <w:szCs w:val="24"/>
          <w:lang w:val="ru-RU"/>
        </w:rPr>
        <w:t>о</w:t>
      </w:r>
      <w:r w:rsidRPr="00E43F17">
        <w:rPr>
          <w:sz w:val="24"/>
          <w:szCs w:val="24"/>
        </w:rPr>
        <w:t xml:space="preserve"> </w:t>
      </w:r>
      <w:r w:rsidRPr="00E43F17">
        <w:rPr>
          <w:sz w:val="24"/>
          <w:szCs w:val="24"/>
          <w:lang w:val="ru-RU"/>
        </w:rPr>
        <w:t xml:space="preserve">для исследования </w:t>
      </w:r>
      <w:r w:rsidRPr="00E43F17">
        <w:rPr>
          <w:sz w:val="24"/>
          <w:szCs w:val="24"/>
        </w:rPr>
        <w:t xml:space="preserve"> </w:t>
      </w:r>
      <w:r w:rsidRPr="00E43F17">
        <w:rPr>
          <w:sz w:val="24"/>
          <w:szCs w:val="24"/>
          <w:lang w:val="ru-RU"/>
        </w:rPr>
        <w:t>80 проб</w:t>
      </w:r>
      <w:r w:rsidRPr="00E43F17">
        <w:rPr>
          <w:sz w:val="24"/>
          <w:szCs w:val="24"/>
        </w:rPr>
        <w:t xml:space="preserve"> мазк</w:t>
      </w:r>
      <w:r w:rsidRPr="00E43F17">
        <w:rPr>
          <w:sz w:val="24"/>
          <w:szCs w:val="24"/>
          <w:lang w:val="ru-RU"/>
        </w:rPr>
        <w:t>ов</w:t>
      </w:r>
      <w:r w:rsidRPr="00E43F17">
        <w:rPr>
          <w:sz w:val="24"/>
          <w:szCs w:val="24"/>
        </w:rPr>
        <w:t xml:space="preserve"> из ротоглотки и носоглотки, из них положительных 1</w:t>
      </w:r>
      <w:r w:rsidRPr="00E43F17">
        <w:rPr>
          <w:sz w:val="24"/>
          <w:szCs w:val="24"/>
          <w:lang w:val="ru-RU"/>
        </w:rPr>
        <w:t>8</w:t>
      </w:r>
      <w:r w:rsidRPr="00E43F17">
        <w:rPr>
          <w:sz w:val="24"/>
          <w:szCs w:val="24"/>
        </w:rPr>
        <w:t xml:space="preserve"> (РНК короновируса – </w:t>
      </w:r>
      <w:r w:rsidRPr="00E43F17">
        <w:rPr>
          <w:sz w:val="24"/>
          <w:szCs w:val="24"/>
          <w:lang w:val="ru-RU"/>
        </w:rPr>
        <w:t>5</w:t>
      </w:r>
      <w:r w:rsidRPr="00E43F17">
        <w:rPr>
          <w:sz w:val="24"/>
          <w:szCs w:val="24"/>
        </w:rPr>
        <w:t xml:space="preserve">, РНК вируса гриппа А </w:t>
      </w:r>
      <w:r w:rsidRPr="00E43F17">
        <w:rPr>
          <w:sz w:val="24"/>
          <w:szCs w:val="24"/>
          <w:lang w:val="en-US"/>
        </w:rPr>
        <w:t>H</w:t>
      </w:r>
      <w:r w:rsidRPr="00E43F17">
        <w:rPr>
          <w:sz w:val="24"/>
          <w:szCs w:val="24"/>
          <w:lang w:val="ru-RU"/>
        </w:rPr>
        <w:t>3</w:t>
      </w:r>
      <w:r w:rsidRPr="00E43F17">
        <w:rPr>
          <w:sz w:val="24"/>
          <w:szCs w:val="24"/>
          <w:lang w:val="en-US"/>
        </w:rPr>
        <w:t>N</w:t>
      </w:r>
      <w:r w:rsidRPr="00E43F17">
        <w:rPr>
          <w:sz w:val="24"/>
          <w:szCs w:val="24"/>
          <w:lang w:val="ru-RU"/>
        </w:rPr>
        <w:t>2</w:t>
      </w:r>
      <w:r w:rsidRPr="00E43F17">
        <w:rPr>
          <w:sz w:val="24"/>
          <w:szCs w:val="24"/>
        </w:rPr>
        <w:t xml:space="preserve"> – </w:t>
      </w:r>
      <w:r w:rsidRPr="00E43F17">
        <w:rPr>
          <w:sz w:val="24"/>
          <w:szCs w:val="24"/>
          <w:lang w:val="ru-RU"/>
        </w:rPr>
        <w:t>1</w:t>
      </w:r>
      <w:r w:rsidRPr="00E43F17">
        <w:rPr>
          <w:sz w:val="24"/>
          <w:szCs w:val="24"/>
        </w:rPr>
        <w:t xml:space="preserve">, РНК РС- вируса – 1, РНК риновируса – </w:t>
      </w:r>
      <w:r w:rsidRPr="00E43F17">
        <w:rPr>
          <w:sz w:val="24"/>
          <w:szCs w:val="24"/>
          <w:lang w:val="ru-RU"/>
        </w:rPr>
        <w:t>8</w:t>
      </w:r>
      <w:r w:rsidRPr="00E43F17">
        <w:rPr>
          <w:sz w:val="24"/>
          <w:szCs w:val="24"/>
        </w:rPr>
        <w:t xml:space="preserve">, РНК </w:t>
      </w:r>
      <w:r w:rsidRPr="00E43F17">
        <w:rPr>
          <w:sz w:val="24"/>
          <w:szCs w:val="24"/>
          <w:lang w:val="ru-RU"/>
        </w:rPr>
        <w:t xml:space="preserve">парагриппа </w:t>
      </w:r>
      <w:r w:rsidRPr="00E43F17">
        <w:rPr>
          <w:sz w:val="24"/>
          <w:szCs w:val="24"/>
        </w:rPr>
        <w:t xml:space="preserve">- </w:t>
      </w:r>
      <w:r w:rsidRPr="00E43F17">
        <w:rPr>
          <w:sz w:val="24"/>
          <w:szCs w:val="24"/>
          <w:lang w:val="ru-RU"/>
        </w:rPr>
        <w:t>2</w:t>
      </w:r>
      <w:r w:rsidRPr="00E43F17">
        <w:rPr>
          <w:sz w:val="24"/>
          <w:szCs w:val="24"/>
        </w:rPr>
        <w:t>.)</w:t>
      </w:r>
      <w:r w:rsidRPr="00E43F17">
        <w:rPr>
          <w:sz w:val="24"/>
          <w:szCs w:val="24"/>
          <w:lang w:val="ru-RU"/>
        </w:rPr>
        <w:t>.</w:t>
      </w:r>
    </w:p>
    <w:p w:rsidR="00630798" w:rsidRPr="00E43F17" w:rsidRDefault="00630798" w:rsidP="00E43F17">
      <w:pPr>
        <w:pStyle w:val="a5"/>
        <w:ind w:firstLine="709"/>
        <w:jc w:val="both"/>
        <w:rPr>
          <w:sz w:val="24"/>
          <w:szCs w:val="24"/>
          <w:u w:val="single"/>
          <w:lang w:val="ru-RU"/>
        </w:rPr>
      </w:pPr>
      <w:r w:rsidRPr="00E43F17">
        <w:rPr>
          <w:sz w:val="24"/>
          <w:szCs w:val="24"/>
          <w:lang w:val="ru-RU"/>
        </w:rPr>
        <w:t>В 2020 году отобрано для исследований проб</w:t>
      </w:r>
      <w:r w:rsidRPr="00E43F17">
        <w:rPr>
          <w:sz w:val="24"/>
          <w:szCs w:val="24"/>
        </w:rPr>
        <w:t xml:space="preserve"> мазк</w:t>
      </w:r>
      <w:r w:rsidRPr="00E43F17">
        <w:rPr>
          <w:sz w:val="24"/>
          <w:szCs w:val="24"/>
          <w:lang w:val="ru-RU"/>
        </w:rPr>
        <w:t>ов</w:t>
      </w:r>
      <w:r w:rsidRPr="00E43F17">
        <w:rPr>
          <w:sz w:val="24"/>
          <w:szCs w:val="24"/>
        </w:rPr>
        <w:t xml:space="preserve"> из ротоглотки и носоглотки</w:t>
      </w:r>
      <w:r w:rsidRPr="00E43F17">
        <w:rPr>
          <w:sz w:val="24"/>
          <w:szCs w:val="24"/>
          <w:lang w:val="ru-RU"/>
        </w:rPr>
        <w:t xml:space="preserve"> 100ед</w:t>
      </w:r>
      <w:r w:rsidRPr="00E43F17">
        <w:rPr>
          <w:sz w:val="24"/>
          <w:szCs w:val="24"/>
        </w:rPr>
        <w:t xml:space="preserve"> из них положительных </w:t>
      </w:r>
      <w:r w:rsidRPr="00E43F17">
        <w:rPr>
          <w:sz w:val="24"/>
          <w:szCs w:val="24"/>
          <w:lang w:val="ru-RU"/>
        </w:rPr>
        <w:t xml:space="preserve">11( </w:t>
      </w:r>
      <w:r w:rsidRPr="00E43F17">
        <w:rPr>
          <w:sz w:val="24"/>
          <w:szCs w:val="24"/>
        </w:rPr>
        <w:t xml:space="preserve">РНК </w:t>
      </w:r>
      <w:r w:rsidRPr="00E43F17">
        <w:rPr>
          <w:sz w:val="24"/>
          <w:szCs w:val="24"/>
          <w:u w:val="single"/>
        </w:rPr>
        <w:t xml:space="preserve">короновируса(РНК короновируса – </w:t>
      </w:r>
      <w:r w:rsidRPr="00E43F17">
        <w:rPr>
          <w:sz w:val="24"/>
          <w:szCs w:val="24"/>
          <w:u w:val="single"/>
          <w:lang w:val="ru-RU"/>
        </w:rPr>
        <w:t>2</w:t>
      </w:r>
      <w:r w:rsidRPr="00E43F17">
        <w:rPr>
          <w:sz w:val="24"/>
          <w:szCs w:val="24"/>
          <w:u w:val="single"/>
        </w:rPr>
        <w:t xml:space="preserve">,  РНК риновируса – </w:t>
      </w:r>
      <w:r w:rsidRPr="00E43F17">
        <w:rPr>
          <w:sz w:val="24"/>
          <w:szCs w:val="24"/>
          <w:u w:val="single"/>
          <w:lang w:val="ru-RU"/>
        </w:rPr>
        <w:t>5</w:t>
      </w:r>
      <w:r w:rsidRPr="00E43F17">
        <w:rPr>
          <w:sz w:val="24"/>
          <w:szCs w:val="24"/>
          <w:u w:val="single"/>
        </w:rPr>
        <w:t>, РНК</w:t>
      </w:r>
      <w:r w:rsidRPr="00E43F17">
        <w:rPr>
          <w:sz w:val="24"/>
          <w:szCs w:val="24"/>
          <w:u w:val="single"/>
          <w:lang w:val="ru-RU"/>
        </w:rPr>
        <w:t xml:space="preserve"> </w:t>
      </w:r>
      <w:r w:rsidRPr="00E43F17">
        <w:rPr>
          <w:sz w:val="24"/>
          <w:szCs w:val="24"/>
          <w:u w:val="single"/>
          <w:lang w:val="en-US"/>
        </w:rPr>
        <w:t>Cov</w:t>
      </w:r>
      <w:r w:rsidRPr="00E43F17">
        <w:rPr>
          <w:sz w:val="24"/>
          <w:szCs w:val="24"/>
          <w:u w:val="single"/>
          <w:lang w:val="ru-RU"/>
        </w:rPr>
        <w:t>-19- 3 ед,</w:t>
      </w:r>
      <w:r w:rsidRPr="00E43F17">
        <w:rPr>
          <w:sz w:val="24"/>
          <w:szCs w:val="24"/>
          <w:u w:val="single"/>
        </w:rPr>
        <w:t xml:space="preserve"> РНК </w:t>
      </w:r>
      <w:r w:rsidRPr="00E43F17">
        <w:rPr>
          <w:sz w:val="24"/>
          <w:szCs w:val="24"/>
          <w:u w:val="single"/>
          <w:lang w:val="ru-RU"/>
        </w:rPr>
        <w:t>РС-4</w:t>
      </w:r>
      <w:r w:rsidRPr="00E43F17">
        <w:rPr>
          <w:sz w:val="24"/>
          <w:szCs w:val="24"/>
          <w:u w:val="single"/>
        </w:rPr>
        <w:t>)</w:t>
      </w:r>
      <w:r w:rsidRPr="00E43F17">
        <w:rPr>
          <w:sz w:val="24"/>
          <w:szCs w:val="24"/>
          <w:u w:val="single"/>
          <w:lang w:val="ru-RU"/>
        </w:rPr>
        <w:t>.</w:t>
      </w:r>
    </w:p>
    <w:p w:rsidR="00630798" w:rsidRPr="00E43F17" w:rsidRDefault="00630798" w:rsidP="00E43F17">
      <w:pPr>
        <w:pStyle w:val="a5"/>
        <w:jc w:val="both"/>
        <w:rPr>
          <w:sz w:val="24"/>
          <w:szCs w:val="24"/>
          <w:lang w:val="ru-RU"/>
        </w:rPr>
      </w:pPr>
      <w:r w:rsidRPr="00E43F17">
        <w:rPr>
          <w:sz w:val="24"/>
          <w:szCs w:val="24"/>
          <w:lang w:val="ru-RU"/>
        </w:rPr>
        <w:tab/>
      </w:r>
      <w:r w:rsidRPr="00E43F17">
        <w:rPr>
          <w:sz w:val="24"/>
          <w:szCs w:val="24"/>
        </w:rPr>
        <w:t>В эпид.сезон 20</w:t>
      </w:r>
      <w:r w:rsidRPr="00E43F17">
        <w:rPr>
          <w:sz w:val="24"/>
          <w:szCs w:val="24"/>
          <w:lang w:val="ru-RU"/>
        </w:rPr>
        <w:t>20</w:t>
      </w:r>
      <w:r w:rsidRPr="00E43F17">
        <w:rPr>
          <w:sz w:val="24"/>
          <w:szCs w:val="24"/>
        </w:rPr>
        <w:t>/20</w:t>
      </w:r>
      <w:r w:rsidRPr="00E43F17">
        <w:rPr>
          <w:sz w:val="24"/>
          <w:szCs w:val="24"/>
          <w:lang w:val="ru-RU"/>
        </w:rPr>
        <w:t>21</w:t>
      </w:r>
      <w:r w:rsidRPr="00E43F17">
        <w:rPr>
          <w:sz w:val="24"/>
          <w:szCs w:val="24"/>
        </w:rPr>
        <w:t xml:space="preserve"> гг. было привито </w:t>
      </w:r>
      <w:r w:rsidRPr="00E43F17">
        <w:rPr>
          <w:sz w:val="24"/>
          <w:szCs w:val="24"/>
          <w:lang w:val="ru-RU"/>
        </w:rPr>
        <w:t xml:space="preserve"> 20719- 52% </w:t>
      </w:r>
      <w:r w:rsidRPr="00E43F17">
        <w:rPr>
          <w:sz w:val="24"/>
          <w:szCs w:val="24"/>
        </w:rPr>
        <w:t xml:space="preserve"> от населения  в целом</w:t>
      </w:r>
      <w:r w:rsidRPr="00E43F17">
        <w:rPr>
          <w:sz w:val="24"/>
          <w:szCs w:val="24"/>
          <w:lang w:val="ru-RU"/>
        </w:rPr>
        <w:t xml:space="preserve">, в том числе дети до 17 лет -7626человек </w:t>
      </w:r>
      <w:r w:rsidRPr="00E43F17">
        <w:rPr>
          <w:sz w:val="24"/>
          <w:szCs w:val="24"/>
        </w:rPr>
        <w:t>(</w:t>
      </w:r>
      <w:r w:rsidRPr="00E43F17">
        <w:rPr>
          <w:sz w:val="24"/>
          <w:szCs w:val="24"/>
          <w:lang w:val="ru-RU"/>
        </w:rPr>
        <w:t>в 2019г-20282</w:t>
      </w:r>
      <w:r w:rsidRPr="00E43F17">
        <w:rPr>
          <w:sz w:val="24"/>
          <w:szCs w:val="24"/>
        </w:rPr>
        <w:t xml:space="preserve"> человек,</w:t>
      </w:r>
      <w:r w:rsidRPr="00E43F17">
        <w:rPr>
          <w:sz w:val="24"/>
          <w:szCs w:val="24"/>
          <w:lang w:val="ru-RU"/>
        </w:rPr>
        <w:t xml:space="preserve"> 48,1</w:t>
      </w:r>
      <w:r w:rsidRPr="00E43F17">
        <w:rPr>
          <w:sz w:val="24"/>
          <w:szCs w:val="24"/>
        </w:rPr>
        <w:t xml:space="preserve"> %  в том числе детей до 17 лет – </w:t>
      </w:r>
      <w:r w:rsidRPr="00E43F17">
        <w:rPr>
          <w:sz w:val="24"/>
          <w:szCs w:val="24"/>
          <w:lang w:val="ru-RU"/>
        </w:rPr>
        <w:t>7103</w:t>
      </w:r>
      <w:r w:rsidRPr="00E43F17">
        <w:rPr>
          <w:sz w:val="24"/>
          <w:szCs w:val="24"/>
        </w:rPr>
        <w:t>). Удельный вес детского населения, привитого от гриппа</w:t>
      </w:r>
      <w:r w:rsidRPr="00E43F17">
        <w:rPr>
          <w:sz w:val="24"/>
          <w:szCs w:val="24"/>
          <w:lang w:val="ru-RU"/>
        </w:rPr>
        <w:t xml:space="preserve"> в 2020г составил 78,3%, что на 7% больше, чем в 2019году.</w:t>
      </w:r>
      <w:r w:rsidRPr="00E43F17">
        <w:rPr>
          <w:sz w:val="24"/>
          <w:szCs w:val="24"/>
        </w:rPr>
        <w:t xml:space="preserve">,  </w:t>
      </w:r>
      <w:r w:rsidRPr="00E43F17">
        <w:rPr>
          <w:sz w:val="24"/>
          <w:szCs w:val="24"/>
          <w:lang w:val="ru-RU"/>
        </w:rPr>
        <w:t>-71,3</w:t>
      </w:r>
      <w:r w:rsidRPr="00E43F17">
        <w:rPr>
          <w:sz w:val="24"/>
          <w:szCs w:val="24"/>
        </w:rPr>
        <w:t xml:space="preserve"> %. </w:t>
      </w:r>
      <w:r w:rsidRPr="00E43F17">
        <w:rPr>
          <w:sz w:val="24"/>
          <w:szCs w:val="24"/>
          <w:lang w:val="ru-RU"/>
        </w:rPr>
        <w:t>В 2020г   из подлежащих 22820 человек было привито от  гриппа 20412человек, что составило 89,5%.</w:t>
      </w:r>
    </w:p>
    <w:p w:rsidR="00630798" w:rsidRPr="00E43F17" w:rsidRDefault="00630798" w:rsidP="00E43F17">
      <w:pPr>
        <w:pStyle w:val="a5"/>
        <w:ind w:firstLine="708"/>
        <w:jc w:val="both"/>
        <w:rPr>
          <w:sz w:val="24"/>
          <w:szCs w:val="24"/>
          <w:lang w:val="ru-RU"/>
        </w:rPr>
      </w:pPr>
      <w:r w:rsidRPr="00E43F17">
        <w:rPr>
          <w:sz w:val="24"/>
          <w:szCs w:val="24"/>
        </w:rPr>
        <w:t>Для проведения иммунизации использовались вакцины, приобретенные за счет федерального (в рамках национального календаря), муниципального бюджетов, а так же за счет средств предприятий и учреждений. Для вакцинации использовались вакцины: «Совигрипп»</w:t>
      </w:r>
      <w:r w:rsidRPr="00E43F17">
        <w:rPr>
          <w:sz w:val="24"/>
          <w:szCs w:val="24"/>
          <w:lang w:val="ru-RU"/>
        </w:rPr>
        <w:t>, «Ультрикс»</w:t>
      </w:r>
      <w:r w:rsidRPr="00E43F17">
        <w:rPr>
          <w:sz w:val="24"/>
          <w:szCs w:val="24"/>
        </w:rPr>
        <w:t xml:space="preserve">, </w:t>
      </w:r>
      <w:r w:rsidRPr="00E43F17">
        <w:rPr>
          <w:sz w:val="24"/>
          <w:szCs w:val="24"/>
          <w:lang w:val="ru-RU"/>
        </w:rPr>
        <w:t>«Ваксигрипп»</w:t>
      </w:r>
      <w:r w:rsidRPr="00E43F17">
        <w:rPr>
          <w:sz w:val="24"/>
          <w:szCs w:val="24"/>
        </w:rPr>
        <w:t xml:space="preserve">. За счет средств предприятий и учреждений вакцинировано </w:t>
      </w:r>
      <w:r w:rsidRPr="00E43F17">
        <w:rPr>
          <w:sz w:val="24"/>
          <w:szCs w:val="24"/>
          <w:lang w:val="ru-RU"/>
        </w:rPr>
        <w:t>203чел ( 2020г-690</w:t>
      </w:r>
      <w:r w:rsidRPr="00E43F17">
        <w:rPr>
          <w:sz w:val="24"/>
          <w:szCs w:val="24"/>
        </w:rPr>
        <w:t xml:space="preserve"> человек</w:t>
      </w:r>
      <w:r w:rsidRPr="00E43F17">
        <w:rPr>
          <w:sz w:val="24"/>
          <w:szCs w:val="24"/>
          <w:lang w:val="ru-RU"/>
        </w:rPr>
        <w:t>)</w:t>
      </w:r>
      <w:r w:rsidRPr="00E43F17">
        <w:rPr>
          <w:sz w:val="24"/>
          <w:szCs w:val="24"/>
        </w:rPr>
        <w:t xml:space="preserve"> вакциной</w:t>
      </w:r>
      <w:r w:rsidRPr="00E43F17">
        <w:rPr>
          <w:sz w:val="24"/>
          <w:szCs w:val="24"/>
          <w:lang w:val="ru-RU"/>
        </w:rPr>
        <w:t xml:space="preserve"> </w:t>
      </w:r>
      <w:r w:rsidRPr="00E43F17">
        <w:rPr>
          <w:sz w:val="24"/>
          <w:szCs w:val="24"/>
        </w:rPr>
        <w:t>«</w:t>
      </w:r>
      <w:r w:rsidRPr="00E43F17">
        <w:rPr>
          <w:sz w:val="24"/>
          <w:szCs w:val="24"/>
          <w:lang w:val="ru-RU"/>
        </w:rPr>
        <w:t>Инфлювак</w:t>
      </w:r>
      <w:r w:rsidRPr="00E43F17">
        <w:rPr>
          <w:sz w:val="24"/>
          <w:szCs w:val="24"/>
        </w:rPr>
        <w:t>»</w:t>
      </w:r>
      <w:r w:rsidRPr="00E43F17">
        <w:rPr>
          <w:sz w:val="24"/>
          <w:szCs w:val="24"/>
          <w:lang w:val="ru-RU"/>
        </w:rPr>
        <w:t xml:space="preserve">,«Гриппол +». </w:t>
      </w:r>
    </w:p>
    <w:p w:rsidR="00630798" w:rsidRPr="00BB3EBD" w:rsidRDefault="00630798" w:rsidP="00630798">
      <w:pPr>
        <w:pStyle w:val="a5"/>
        <w:jc w:val="both"/>
        <w:rPr>
          <w:sz w:val="22"/>
          <w:szCs w:val="22"/>
        </w:rPr>
      </w:pPr>
      <w:r w:rsidRPr="00BB3EBD">
        <w:rPr>
          <w:rFonts w:ascii="Calibri" w:hAnsi="Calibri" w:cs="Calibri"/>
          <w:b/>
          <w:bCs/>
          <w:noProof/>
          <w:sz w:val="22"/>
          <w:szCs w:val="22"/>
          <w:lang w:val="ru-RU" w:eastAsia="ru-RU"/>
        </w:rPr>
        <w:drawing>
          <wp:inline distT="0" distB="0" distL="0" distR="0">
            <wp:extent cx="5781675" cy="2343150"/>
            <wp:effectExtent l="0" t="0" r="0" b="0"/>
            <wp:docPr id="26" name="Диаграмма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30798" w:rsidRPr="00E43F17" w:rsidRDefault="00630798" w:rsidP="00630798">
      <w:pPr>
        <w:tabs>
          <w:tab w:val="left" w:pos="6840"/>
        </w:tabs>
        <w:rPr>
          <w:rFonts w:ascii="Times New Roman" w:hAnsi="Times New Roman" w:cs="Times New Roman"/>
        </w:rPr>
      </w:pPr>
      <w:r w:rsidRPr="00E43F17">
        <w:rPr>
          <w:rFonts w:ascii="Times New Roman" w:hAnsi="Times New Roman" w:cs="Times New Roman"/>
        </w:rPr>
        <w:t>Рис. № 5. Динамика суммарной заболеваемости  гриппом и ОРВИ за 10 лет (с 2011-2020 гг.)</w:t>
      </w:r>
    </w:p>
    <w:p w:rsidR="00630798" w:rsidRPr="00E43F17" w:rsidRDefault="00630798" w:rsidP="00630798">
      <w:pPr>
        <w:suppressAutoHyphens/>
        <w:jc w:val="both"/>
        <w:rPr>
          <w:rFonts w:ascii="Times New Roman" w:hAnsi="Times New Roman" w:cs="Times New Roman"/>
          <w:sz w:val="24"/>
          <w:szCs w:val="24"/>
        </w:rPr>
      </w:pPr>
      <w:r w:rsidRPr="00E43F17">
        <w:rPr>
          <w:rFonts w:ascii="Times New Roman" w:hAnsi="Times New Roman" w:cs="Times New Roman"/>
        </w:rPr>
        <w:tab/>
      </w:r>
      <w:r w:rsidRPr="00E43F17">
        <w:rPr>
          <w:rFonts w:ascii="Times New Roman" w:hAnsi="Times New Roman" w:cs="Times New Roman"/>
          <w:sz w:val="24"/>
          <w:szCs w:val="24"/>
        </w:rPr>
        <w:t>В 2020, 2018г заболеваемость гриппом среди привитых не зарегистрирована  В 2019 г. зарегистрирован 1 случай заболеваемости гриппом среди привитых (0,5 на 10 тыс. привитых).</w:t>
      </w:r>
    </w:p>
    <w:p w:rsidR="00630798" w:rsidRPr="00E43F17" w:rsidRDefault="00630798" w:rsidP="00630798">
      <w:pPr>
        <w:ind w:firstLine="709"/>
        <w:jc w:val="both"/>
        <w:rPr>
          <w:rFonts w:ascii="Times New Roman" w:hAnsi="Times New Roman" w:cs="Times New Roman"/>
          <w:sz w:val="24"/>
          <w:szCs w:val="24"/>
        </w:rPr>
      </w:pPr>
      <w:r w:rsidRPr="00E43F17">
        <w:rPr>
          <w:rFonts w:ascii="Times New Roman" w:hAnsi="Times New Roman" w:cs="Times New Roman"/>
          <w:sz w:val="24"/>
          <w:szCs w:val="24"/>
        </w:rPr>
        <w:t>Расчеты заболеваемости привитых и непривитых показали, что заболеваемость среди привитых против гриппа составила 0,05 случаев на 1000, среди непривитых – 0,4 случая на 1000, т.е. была  в 8 раз ниже, чем среди непривитых.</w:t>
      </w:r>
    </w:p>
    <w:p w:rsidR="00630798" w:rsidRPr="00582568" w:rsidRDefault="00630798" w:rsidP="00630798">
      <w:pPr>
        <w:suppressAutoHyphens/>
        <w:jc w:val="both"/>
        <w:rPr>
          <w:highlight w:val="yellow"/>
        </w:rPr>
      </w:pPr>
    </w:p>
    <w:p w:rsidR="00630798" w:rsidRDefault="00630798" w:rsidP="00630798">
      <w:pPr>
        <w:pStyle w:val="31"/>
        <w:ind w:firstLine="709"/>
        <w:rPr>
          <w:b/>
          <w:sz w:val="26"/>
          <w:szCs w:val="26"/>
        </w:rPr>
      </w:pPr>
      <w:r w:rsidRPr="00CF514C">
        <w:rPr>
          <w:b/>
          <w:sz w:val="26"/>
          <w:szCs w:val="26"/>
        </w:rPr>
        <w:lastRenderedPageBreak/>
        <w:t>Внебольничные пневмонии</w:t>
      </w:r>
    </w:p>
    <w:p w:rsidR="00630798" w:rsidRPr="00CF514C" w:rsidRDefault="00630798" w:rsidP="00630798">
      <w:pPr>
        <w:pStyle w:val="31"/>
        <w:ind w:firstLine="709"/>
        <w:rPr>
          <w:b/>
          <w:sz w:val="26"/>
          <w:szCs w:val="26"/>
        </w:rPr>
      </w:pPr>
    </w:p>
    <w:p w:rsidR="00630798" w:rsidRPr="00DE27B9" w:rsidRDefault="00630798" w:rsidP="00E43F17">
      <w:pPr>
        <w:pStyle w:val="31"/>
        <w:ind w:firstLine="567"/>
        <w:jc w:val="both"/>
        <w:rPr>
          <w:sz w:val="24"/>
          <w:szCs w:val="24"/>
        </w:rPr>
      </w:pPr>
      <w:r w:rsidRPr="00DE27B9">
        <w:rPr>
          <w:sz w:val="24"/>
          <w:szCs w:val="24"/>
        </w:rPr>
        <w:t>В 2020году, в связи пандемией новой короновирусной инфекции в г. Пыть-Ях зарегистрирована  повышенная заболеваемость внебольничными пневмониями</w:t>
      </w:r>
    </w:p>
    <w:p w:rsidR="00630798" w:rsidRPr="00DE27B9" w:rsidRDefault="00630798" w:rsidP="00E43F17">
      <w:pPr>
        <w:pStyle w:val="31"/>
        <w:ind w:firstLine="567"/>
        <w:jc w:val="both"/>
        <w:rPr>
          <w:sz w:val="24"/>
          <w:szCs w:val="24"/>
        </w:rPr>
      </w:pPr>
      <w:r w:rsidRPr="00DE27B9">
        <w:rPr>
          <w:sz w:val="24"/>
          <w:szCs w:val="24"/>
        </w:rPr>
        <w:t xml:space="preserve">В 2018году зарегистрировано  случаев  заболеваний внебольничных пневмоний- 162, в 2019г-111, в 2020г-554.  В 2020г по  сравнению с 20190г  наблюдается рост заболеваемости  на 416,3 %   показатель заболеваемости на 100 тыс населения  составил 1390,4, в 2019г 269,3, 2018г-384,0.Показатель заболеваемости внебольничными пневмониями в 2020 году по г Пыть-Ях не превышает окружной показатель ( 1945,1). </w:t>
      </w:r>
    </w:p>
    <w:p w:rsidR="00630798" w:rsidRPr="00DE27B9" w:rsidRDefault="00630798" w:rsidP="00E43F17">
      <w:pPr>
        <w:pStyle w:val="31"/>
        <w:ind w:firstLine="567"/>
        <w:jc w:val="both"/>
        <w:rPr>
          <w:color w:val="000000"/>
          <w:sz w:val="24"/>
          <w:szCs w:val="24"/>
        </w:rPr>
      </w:pPr>
      <w:r w:rsidRPr="00DE27B9">
        <w:rPr>
          <w:sz w:val="24"/>
          <w:szCs w:val="24"/>
        </w:rPr>
        <w:t>В этиологической расшифровке внебольничных пневмоний в 2020г :  доля вирусных пневмоний составила 82,1%( 455),  бактериальных пневмоний-2,5%( 14 сл.) показатель заболеваемости на 100 тыс населения-</w:t>
      </w:r>
      <w:r w:rsidRPr="004B7B14">
        <w:rPr>
          <w:color w:val="000000"/>
          <w:sz w:val="24"/>
          <w:szCs w:val="24"/>
        </w:rPr>
        <w:t>35,14</w:t>
      </w:r>
      <w:r w:rsidRPr="00DE27B9">
        <w:rPr>
          <w:sz w:val="24"/>
          <w:szCs w:val="24"/>
        </w:rPr>
        <w:t>,доля пневмоний, вызванных пневмококком  составила 1,62%( 9 абс) показатель заболеваемости на 100 тыс населения</w:t>
      </w:r>
      <w:r>
        <w:rPr>
          <w:sz w:val="24"/>
          <w:szCs w:val="24"/>
        </w:rPr>
        <w:t>-</w:t>
      </w:r>
      <w:r w:rsidRPr="00DE27B9">
        <w:rPr>
          <w:rFonts w:ascii="Calibri" w:hAnsi="Calibri" w:cs="Calibri"/>
          <w:color w:val="000000"/>
        </w:rPr>
        <w:t xml:space="preserve"> </w:t>
      </w:r>
      <w:r w:rsidRPr="004B7B14">
        <w:rPr>
          <w:color w:val="000000"/>
          <w:sz w:val="24"/>
          <w:szCs w:val="24"/>
        </w:rPr>
        <w:t>22,59</w:t>
      </w:r>
      <w:r w:rsidRPr="00DE27B9">
        <w:rPr>
          <w:sz w:val="24"/>
          <w:szCs w:val="24"/>
        </w:rPr>
        <w:t xml:space="preserve">, пневмонии с этиологическим возбудителем  </w:t>
      </w:r>
      <w:r w:rsidRPr="004B7B14">
        <w:rPr>
          <w:color w:val="000000"/>
          <w:sz w:val="24"/>
          <w:szCs w:val="24"/>
        </w:rPr>
        <w:t>Micoplasma pneumon</w:t>
      </w:r>
      <w:r w:rsidRPr="00DE27B9">
        <w:rPr>
          <w:color w:val="000000"/>
          <w:sz w:val="24"/>
          <w:szCs w:val="24"/>
          <w:lang w:val="en-US"/>
        </w:rPr>
        <w:t>ica</w:t>
      </w:r>
      <w:r w:rsidRPr="00DE27B9">
        <w:rPr>
          <w:color w:val="000000"/>
          <w:sz w:val="24"/>
          <w:szCs w:val="24"/>
        </w:rPr>
        <w:t>-0,2%( 1 случай)</w:t>
      </w:r>
      <w:r w:rsidRPr="00DE27B9">
        <w:rPr>
          <w:sz w:val="24"/>
          <w:szCs w:val="24"/>
        </w:rPr>
        <w:t xml:space="preserve"> показатель заболеваемости на 100 тыс населения</w:t>
      </w:r>
      <w:r>
        <w:rPr>
          <w:sz w:val="24"/>
          <w:szCs w:val="24"/>
        </w:rPr>
        <w:t xml:space="preserve"> составил </w:t>
      </w:r>
      <w:r w:rsidRPr="00DE27B9">
        <w:rPr>
          <w:sz w:val="24"/>
          <w:szCs w:val="24"/>
        </w:rPr>
        <w:t>–</w:t>
      </w:r>
      <w:r w:rsidRPr="00DE27B9">
        <w:rPr>
          <w:color w:val="000000"/>
          <w:sz w:val="24"/>
          <w:szCs w:val="24"/>
        </w:rPr>
        <w:t xml:space="preserve"> 2,5.  </w:t>
      </w:r>
    </w:p>
    <w:p w:rsidR="00630798" w:rsidRPr="00DE27B9" w:rsidRDefault="00630798" w:rsidP="00E43F17">
      <w:pPr>
        <w:pStyle w:val="31"/>
        <w:ind w:firstLine="567"/>
        <w:jc w:val="both"/>
        <w:rPr>
          <w:sz w:val="24"/>
          <w:szCs w:val="24"/>
          <w:shd w:val="clear" w:color="auto" w:fill="FFFFFF"/>
        </w:rPr>
      </w:pPr>
      <w:r w:rsidRPr="00DE27B9">
        <w:rPr>
          <w:color w:val="000000"/>
          <w:sz w:val="24"/>
          <w:szCs w:val="24"/>
        </w:rPr>
        <w:t xml:space="preserve">В этиологической расшифровке вирусных внебольничных пневмоний основным возбудителем является </w:t>
      </w:r>
      <w:r w:rsidRPr="00DE27B9">
        <w:rPr>
          <w:rFonts w:ascii="Arial" w:hAnsi="Arial" w:cs="Arial"/>
          <w:color w:val="202122"/>
          <w:sz w:val="24"/>
          <w:szCs w:val="24"/>
          <w:shd w:val="clear" w:color="auto" w:fill="FFFFFF"/>
        </w:rPr>
        <w:t xml:space="preserve"> </w:t>
      </w:r>
      <w:hyperlink r:id="rId36" w:tooltip="Коронавирусы" w:history="1">
        <w:r w:rsidRPr="00DE27B9">
          <w:rPr>
            <w:rStyle w:val="afe"/>
            <w:sz w:val="24"/>
            <w:szCs w:val="24"/>
            <w:shd w:val="clear" w:color="auto" w:fill="FFFFFF"/>
          </w:rPr>
          <w:t>коронавирус</w:t>
        </w:r>
      </w:hyperlink>
      <w:r w:rsidRPr="00DE27B9">
        <w:rPr>
          <w:sz w:val="24"/>
          <w:szCs w:val="24"/>
        </w:rPr>
        <w:t xml:space="preserve"> </w:t>
      </w:r>
      <w:hyperlink r:id="rId37" w:tooltip="SARS-CoV-2" w:history="1">
        <w:r w:rsidRPr="00DE27B9">
          <w:rPr>
            <w:rStyle w:val="afe"/>
            <w:sz w:val="24"/>
            <w:szCs w:val="24"/>
            <w:shd w:val="clear" w:color="auto" w:fill="FFFFFF"/>
          </w:rPr>
          <w:t>SARS-CoV-2</w:t>
        </w:r>
      </w:hyperlink>
      <w:r w:rsidRPr="00DE27B9">
        <w:rPr>
          <w:sz w:val="24"/>
          <w:szCs w:val="24"/>
        </w:rPr>
        <w:t xml:space="preserve"> </w:t>
      </w:r>
      <w:r w:rsidRPr="00DE27B9">
        <w:rPr>
          <w:sz w:val="24"/>
          <w:szCs w:val="24"/>
          <w:shd w:val="clear" w:color="auto" w:fill="FFFFFF"/>
        </w:rPr>
        <w:t>(2019-nCoV)- 99.2%, в  3 случаях  вирус гриппа-0,6%, в 1 случае-парагриппа-0,2%.</w:t>
      </w:r>
    </w:p>
    <w:p w:rsidR="00630798" w:rsidRPr="00DE27B9" w:rsidRDefault="00630798" w:rsidP="00E43F17">
      <w:pPr>
        <w:pStyle w:val="31"/>
        <w:ind w:firstLine="567"/>
        <w:jc w:val="both"/>
        <w:rPr>
          <w:sz w:val="24"/>
          <w:szCs w:val="24"/>
          <w:shd w:val="clear" w:color="auto" w:fill="FFFFFF"/>
        </w:rPr>
      </w:pPr>
      <w:r w:rsidRPr="00DE27B9">
        <w:rPr>
          <w:sz w:val="24"/>
          <w:szCs w:val="24"/>
          <w:shd w:val="clear" w:color="auto" w:fill="FFFFFF"/>
        </w:rPr>
        <w:t>По возрастной структуре заболеваемость внебольничными пневмониями   вирусной этиологии</w:t>
      </w:r>
      <w:r w:rsidRPr="00DE27B9">
        <w:rPr>
          <w:color w:val="000000"/>
          <w:sz w:val="24"/>
          <w:szCs w:val="24"/>
        </w:rPr>
        <w:t xml:space="preserve"> , вызванные возбудителем </w:t>
      </w:r>
      <w:r w:rsidRPr="00DE27B9">
        <w:rPr>
          <w:rFonts w:ascii="Arial" w:hAnsi="Arial" w:cs="Arial"/>
          <w:color w:val="202122"/>
          <w:sz w:val="24"/>
          <w:szCs w:val="24"/>
          <w:shd w:val="clear" w:color="auto" w:fill="FFFFFF"/>
        </w:rPr>
        <w:t xml:space="preserve"> </w:t>
      </w:r>
      <w:hyperlink r:id="rId38" w:tooltip="Коронавирусы" w:history="1">
        <w:r w:rsidRPr="00DE27B9">
          <w:rPr>
            <w:rStyle w:val="afe"/>
            <w:sz w:val="24"/>
            <w:szCs w:val="24"/>
            <w:shd w:val="clear" w:color="auto" w:fill="FFFFFF"/>
          </w:rPr>
          <w:t>коронавирус</w:t>
        </w:r>
      </w:hyperlink>
      <w:r w:rsidRPr="00DE27B9">
        <w:rPr>
          <w:sz w:val="24"/>
          <w:szCs w:val="24"/>
        </w:rPr>
        <w:t xml:space="preserve">ом </w:t>
      </w:r>
      <w:hyperlink r:id="rId39" w:tooltip="SARS-CoV-2" w:history="1">
        <w:r w:rsidRPr="00DE27B9">
          <w:rPr>
            <w:rStyle w:val="afe"/>
            <w:sz w:val="24"/>
            <w:szCs w:val="24"/>
            <w:shd w:val="clear" w:color="auto" w:fill="FFFFFF"/>
          </w:rPr>
          <w:t>SARS-CoV-2</w:t>
        </w:r>
      </w:hyperlink>
      <w:r w:rsidRPr="00DE27B9">
        <w:rPr>
          <w:sz w:val="24"/>
          <w:szCs w:val="24"/>
        </w:rPr>
        <w:t xml:space="preserve"> </w:t>
      </w:r>
      <w:r w:rsidRPr="00DE27B9">
        <w:rPr>
          <w:sz w:val="24"/>
          <w:szCs w:val="24"/>
          <w:shd w:val="clear" w:color="auto" w:fill="FFFFFF"/>
        </w:rPr>
        <w:t>(2019-nCoV) по г. Пыть-Ях распределила следующим образом: мужчины 196чел-43.4%, что составляет, женщины- 255чел-56,6%.</w:t>
      </w:r>
    </w:p>
    <w:p w:rsidR="00630798" w:rsidRPr="00DE27B9" w:rsidRDefault="00630798" w:rsidP="00E43F17">
      <w:pPr>
        <w:pStyle w:val="31"/>
        <w:ind w:firstLine="567"/>
        <w:jc w:val="both"/>
        <w:rPr>
          <w:sz w:val="24"/>
          <w:szCs w:val="24"/>
          <w:shd w:val="clear" w:color="auto" w:fill="FFFFFF"/>
        </w:rPr>
      </w:pPr>
      <w:r w:rsidRPr="00DE27B9">
        <w:rPr>
          <w:sz w:val="24"/>
          <w:szCs w:val="24"/>
          <w:shd w:val="clear" w:color="auto" w:fill="FFFFFF"/>
        </w:rPr>
        <w:t xml:space="preserve">По социальной структуре заболеваемость распределилась следующим образом: </w:t>
      </w:r>
    </w:p>
    <w:p w:rsidR="00630798" w:rsidRPr="00DE27B9" w:rsidRDefault="00630798" w:rsidP="00E43F17">
      <w:pPr>
        <w:pStyle w:val="31"/>
        <w:ind w:firstLine="567"/>
        <w:jc w:val="both"/>
        <w:rPr>
          <w:color w:val="000000"/>
          <w:sz w:val="24"/>
          <w:szCs w:val="24"/>
        </w:rPr>
      </w:pPr>
      <w:r w:rsidRPr="00DF628F">
        <w:rPr>
          <w:color w:val="000000"/>
          <w:sz w:val="24"/>
          <w:szCs w:val="24"/>
        </w:rPr>
        <w:t>воспитанник/учащийся</w:t>
      </w:r>
      <w:r w:rsidRPr="00DE27B9">
        <w:rPr>
          <w:color w:val="000000"/>
          <w:sz w:val="24"/>
          <w:szCs w:val="24"/>
        </w:rPr>
        <w:t>-5-1,1%;</w:t>
      </w:r>
    </w:p>
    <w:p w:rsidR="00630798" w:rsidRPr="00DE27B9" w:rsidRDefault="00630798" w:rsidP="00E43F17">
      <w:pPr>
        <w:pStyle w:val="31"/>
        <w:ind w:firstLine="567"/>
        <w:jc w:val="both"/>
        <w:rPr>
          <w:color w:val="000000"/>
          <w:sz w:val="24"/>
          <w:szCs w:val="24"/>
        </w:rPr>
      </w:pPr>
      <w:r w:rsidRPr="00DF628F">
        <w:rPr>
          <w:color w:val="000000"/>
          <w:sz w:val="24"/>
          <w:szCs w:val="24"/>
        </w:rPr>
        <w:t>рабочий</w:t>
      </w:r>
      <w:r w:rsidRPr="00DE27B9">
        <w:rPr>
          <w:color w:val="000000"/>
          <w:sz w:val="24"/>
          <w:szCs w:val="24"/>
        </w:rPr>
        <w:t>-198-43.9%;</w:t>
      </w:r>
    </w:p>
    <w:p w:rsidR="00630798" w:rsidRPr="00DE27B9" w:rsidRDefault="00630798" w:rsidP="00E43F17">
      <w:pPr>
        <w:pStyle w:val="31"/>
        <w:ind w:firstLine="567"/>
        <w:jc w:val="both"/>
        <w:rPr>
          <w:color w:val="000000"/>
          <w:sz w:val="24"/>
          <w:szCs w:val="24"/>
        </w:rPr>
      </w:pPr>
      <w:r w:rsidRPr="00DF628F">
        <w:rPr>
          <w:color w:val="000000"/>
          <w:sz w:val="24"/>
          <w:szCs w:val="24"/>
        </w:rPr>
        <w:t>служащий</w:t>
      </w:r>
      <w:r w:rsidRPr="00DE27B9">
        <w:rPr>
          <w:color w:val="000000"/>
          <w:sz w:val="24"/>
          <w:szCs w:val="24"/>
        </w:rPr>
        <w:t>-27- 6%;</w:t>
      </w:r>
    </w:p>
    <w:p w:rsidR="00630798" w:rsidRPr="00DE27B9" w:rsidRDefault="00630798" w:rsidP="00E43F17">
      <w:pPr>
        <w:pStyle w:val="31"/>
        <w:ind w:firstLine="567"/>
        <w:jc w:val="both"/>
        <w:rPr>
          <w:color w:val="000000"/>
          <w:sz w:val="24"/>
          <w:szCs w:val="24"/>
        </w:rPr>
      </w:pPr>
      <w:r w:rsidRPr="00DF628F">
        <w:rPr>
          <w:color w:val="000000"/>
          <w:sz w:val="24"/>
          <w:szCs w:val="24"/>
        </w:rPr>
        <w:t>пенсионер</w:t>
      </w:r>
      <w:r w:rsidRPr="00DE27B9">
        <w:rPr>
          <w:color w:val="000000"/>
          <w:sz w:val="24"/>
          <w:szCs w:val="24"/>
        </w:rPr>
        <w:t>- 156-34,6%;</w:t>
      </w:r>
    </w:p>
    <w:p w:rsidR="00630798" w:rsidRPr="00DE27B9" w:rsidRDefault="00630798" w:rsidP="00E43F17">
      <w:pPr>
        <w:pStyle w:val="31"/>
        <w:ind w:firstLine="567"/>
        <w:jc w:val="both"/>
        <w:rPr>
          <w:color w:val="000000"/>
          <w:sz w:val="24"/>
          <w:szCs w:val="24"/>
        </w:rPr>
      </w:pPr>
      <w:r w:rsidRPr="00DF628F">
        <w:rPr>
          <w:color w:val="000000"/>
          <w:sz w:val="24"/>
          <w:szCs w:val="24"/>
        </w:rPr>
        <w:t>работник мед</w:t>
      </w:r>
      <w:r w:rsidRPr="00DE27B9">
        <w:rPr>
          <w:color w:val="000000"/>
          <w:sz w:val="24"/>
          <w:szCs w:val="24"/>
        </w:rPr>
        <w:t xml:space="preserve">ицинской </w:t>
      </w:r>
      <w:r w:rsidRPr="00DF628F">
        <w:rPr>
          <w:color w:val="000000"/>
          <w:sz w:val="24"/>
          <w:szCs w:val="24"/>
        </w:rPr>
        <w:t>организации</w:t>
      </w:r>
      <w:r w:rsidRPr="00DE27B9">
        <w:rPr>
          <w:color w:val="000000"/>
          <w:sz w:val="24"/>
          <w:szCs w:val="24"/>
        </w:rPr>
        <w:t>-28-6,2%</w:t>
      </w:r>
    </w:p>
    <w:p w:rsidR="00630798" w:rsidRPr="00DE27B9" w:rsidRDefault="00630798" w:rsidP="00E43F17">
      <w:pPr>
        <w:pStyle w:val="31"/>
        <w:ind w:firstLine="567"/>
        <w:jc w:val="both"/>
        <w:rPr>
          <w:color w:val="000000"/>
          <w:sz w:val="24"/>
          <w:szCs w:val="24"/>
        </w:rPr>
      </w:pPr>
      <w:r w:rsidRPr="00DF628F">
        <w:rPr>
          <w:color w:val="000000"/>
          <w:sz w:val="24"/>
          <w:szCs w:val="24"/>
        </w:rPr>
        <w:t>представитель силовых структур</w:t>
      </w:r>
      <w:r w:rsidRPr="00DE27B9">
        <w:rPr>
          <w:color w:val="000000"/>
          <w:sz w:val="24"/>
          <w:szCs w:val="24"/>
        </w:rPr>
        <w:t>-1-0,2%</w:t>
      </w:r>
    </w:p>
    <w:p w:rsidR="00630798" w:rsidRPr="00DE27B9" w:rsidRDefault="00630798" w:rsidP="00E43F17">
      <w:pPr>
        <w:pStyle w:val="31"/>
        <w:ind w:firstLine="567"/>
        <w:jc w:val="both"/>
        <w:rPr>
          <w:sz w:val="24"/>
          <w:szCs w:val="24"/>
          <w:shd w:val="clear" w:color="auto" w:fill="FFFFFF"/>
        </w:rPr>
      </w:pPr>
      <w:r w:rsidRPr="00DF628F">
        <w:rPr>
          <w:color w:val="000000"/>
          <w:sz w:val="24"/>
          <w:szCs w:val="24"/>
        </w:rPr>
        <w:t>другое</w:t>
      </w:r>
      <w:r w:rsidRPr="00DE27B9">
        <w:rPr>
          <w:color w:val="000000"/>
          <w:sz w:val="24"/>
          <w:szCs w:val="24"/>
        </w:rPr>
        <w:t>-39-8,7%. Н</w:t>
      </w:r>
      <w:r w:rsidRPr="00DE27B9">
        <w:rPr>
          <w:sz w:val="24"/>
          <w:szCs w:val="24"/>
          <w:shd w:val="clear" w:color="auto" w:fill="FFFFFF"/>
        </w:rPr>
        <w:t>аибольшее количество заболевших приходится на  рабочих-43,9% и пенсионеров-34,6%( группа риска населения).</w:t>
      </w:r>
    </w:p>
    <w:p w:rsidR="00630798" w:rsidRPr="00DE27B9" w:rsidRDefault="00630798" w:rsidP="00E43F17">
      <w:pPr>
        <w:pStyle w:val="31"/>
        <w:ind w:firstLine="567"/>
        <w:jc w:val="both"/>
        <w:rPr>
          <w:sz w:val="24"/>
          <w:szCs w:val="24"/>
          <w:shd w:val="clear" w:color="auto" w:fill="FFFFFF"/>
        </w:rPr>
      </w:pPr>
      <w:r w:rsidRPr="00DE27B9">
        <w:rPr>
          <w:sz w:val="24"/>
          <w:szCs w:val="24"/>
          <w:shd w:val="clear" w:color="auto" w:fill="FFFFFF"/>
        </w:rPr>
        <w:t>По возрастной структуре наибольшее количество заболевших зарегистрировано в группе 50-64 года-52,5%% ( 237 случаев), 30-49 лет-24.8% ( 112случаев), 65лет и старше—88 случаев-14,6%,наименьшее количество зарегистрировано в группах-18-29л-11случаев-2,4%, в возрастной группе 15-17 лет -0,4% ( 2 случая), в возрастной группе 7-14 лет- 1 случай-0,2%.</w:t>
      </w:r>
    </w:p>
    <w:p w:rsidR="00630798" w:rsidRPr="00DE27B9" w:rsidRDefault="00630798" w:rsidP="00E43F17">
      <w:pPr>
        <w:pStyle w:val="31"/>
        <w:ind w:firstLine="567"/>
        <w:jc w:val="both"/>
        <w:rPr>
          <w:sz w:val="24"/>
          <w:szCs w:val="24"/>
        </w:rPr>
      </w:pPr>
      <w:r w:rsidRPr="00DE27B9">
        <w:rPr>
          <w:sz w:val="24"/>
          <w:szCs w:val="24"/>
        </w:rPr>
        <w:t xml:space="preserve">    На основании проводимых расследований, по данным опрошенных 27% населения имелся контакт с заболевшими в семье и близком окружении, 7.1 проходили обследование или принимали лечение в больницах города и округа,  в организациях по месту работы—16.7% населения, отказались предоставить информацию-23,9%,  считают что заболели при контактах в помещени</w:t>
      </w:r>
      <w:r>
        <w:rPr>
          <w:sz w:val="24"/>
          <w:szCs w:val="24"/>
        </w:rPr>
        <w:t>я</w:t>
      </w:r>
      <w:r w:rsidRPr="00DE27B9">
        <w:rPr>
          <w:sz w:val="24"/>
          <w:szCs w:val="24"/>
        </w:rPr>
        <w:t>х с массовым пребыванием людей ( магазины, предприятия общественного питания, автобусы)  -25,4% населения.</w:t>
      </w:r>
    </w:p>
    <w:p w:rsidR="00630798" w:rsidRPr="00CF514C" w:rsidRDefault="00630798" w:rsidP="00630798">
      <w:pPr>
        <w:pStyle w:val="31"/>
        <w:ind w:firstLine="709"/>
        <w:rPr>
          <w:sz w:val="22"/>
          <w:szCs w:val="22"/>
        </w:rPr>
      </w:pPr>
    </w:p>
    <w:p w:rsidR="00630798" w:rsidRPr="00E43F17" w:rsidRDefault="00630798" w:rsidP="00E43F17">
      <w:pPr>
        <w:pStyle w:val="31"/>
        <w:ind w:firstLine="709"/>
        <w:jc w:val="left"/>
        <w:rPr>
          <w:b/>
          <w:sz w:val="24"/>
          <w:szCs w:val="24"/>
        </w:rPr>
      </w:pPr>
      <w:r w:rsidRPr="00E43F17">
        <w:rPr>
          <w:b/>
          <w:sz w:val="24"/>
          <w:szCs w:val="24"/>
        </w:rPr>
        <w:t>1.3.6. Вирусные гепатиты</w:t>
      </w:r>
    </w:p>
    <w:p w:rsidR="00630798" w:rsidRPr="00E43F17" w:rsidRDefault="00630798" w:rsidP="00E43F17">
      <w:pPr>
        <w:spacing w:line="240" w:lineRule="auto"/>
        <w:ind w:firstLine="709"/>
        <w:jc w:val="both"/>
        <w:rPr>
          <w:rFonts w:ascii="Times New Roman" w:hAnsi="Times New Roman" w:cs="Times New Roman"/>
          <w:szCs w:val="24"/>
        </w:rPr>
      </w:pPr>
      <w:r w:rsidRPr="00E43F17">
        <w:rPr>
          <w:rFonts w:ascii="Times New Roman" w:hAnsi="Times New Roman" w:cs="Times New Roman"/>
          <w:szCs w:val="24"/>
        </w:rPr>
        <w:t xml:space="preserve">В 2020году заболеваемость  </w:t>
      </w:r>
      <w:bookmarkStart w:id="35" w:name="_Hlk62913023"/>
      <w:r w:rsidRPr="00E43F17">
        <w:rPr>
          <w:rFonts w:ascii="Times New Roman" w:hAnsi="Times New Roman" w:cs="Times New Roman"/>
          <w:szCs w:val="24"/>
        </w:rPr>
        <w:t>острыми вирусными гепатитами осталась на уровне 2019г-зарегистрирован 1 случай, показатель составил 2,5, что ниже среднеокружных показателей по ОВГ-3.15, но больше среднеокружных показателей по ОВГС-0,71</w:t>
      </w:r>
      <w:bookmarkEnd w:id="35"/>
      <w:r w:rsidRPr="00E43F17">
        <w:rPr>
          <w:rFonts w:ascii="Times New Roman" w:hAnsi="Times New Roman" w:cs="Times New Roman"/>
          <w:szCs w:val="24"/>
        </w:rPr>
        <w:t>. В 2019г по сравнению с 2018 г.  заболеваемость острыми  вирусными  гепатитами в г. Пыть- Ях снизилась на 79,5 % и составила 1 случай (показатель заболеваемости – 2,4, что ниже окружного показателя на 72,0 %  (показатель на 100 тыс. по округу  8,58).  Зарегистрирован один случай острого вирусного гепатита В (среди взрослого населения). Случаев острого ВГА, ВГС не зарегистрировано.</w:t>
      </w:r>
    </w:p>
    <w:p w:rsidR="00630798" w:rsidRPr="004E3163" w:rsidRDefault="00630798" w:rsidP="00630798">
      <w:pPr>
        <w:ind w:firstLine="709"/>
        <w:jc w:val="right"/>
      </w:pPr>
      <w:r w:rsidRPr="004E3163">
        <w:t>Таблица № 11</w:t>
      </w:r>
    </w:p>
    <w:p w:rsidR="00630798" w:rsidRPr="00E43F17" w:rsidRDefault="00630798" w:rsidP="00630798">
      <w:pPr>
        <w:jc w:val="center"/>
        <w:rPr>
          <w:rFonts w:ascii="Times New Roman" w:hAnsi="Times New Roman" w:cs="Times New Roman"/>
          <w:b/>
        </w:rPr>
      </w:pPr>
      <w:r w:rsidRPr="00E43F17">
        <w:rPr>
          <w:rFonts w:ascii="Times New Roman" w:hAnsi="Times New Roman" w:cs="Times New Roman"/>
          <w:b/>
        </w:rPr>
        <w:t>Заболеваемость острыми вирусными гепатитами</w:t>
      </w:r>
    </w:p>
    <w:p w:rsidR="00630798" w:rsidRPr="004E3163" w:rsidRDefault="00630798" w:rsidP="00630798">
      <w:pPr>
        <w:ind w:firstLine="709"/>
        <w:jc w:val="both"/>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68"/>
        <w:gridCol w:w="998"/>
        <w:gridCol w:w="1292"/>
        <w:gridCol w:w="1168"/>
        <w:gridCol w:w="1489"/>
        <w:gridCol w:w="1683"/>
        <w:gridCol w:w="1785"/>
      </w:tblGrid>
      <w:tr w:rsidR="00630798" w:rsidRPr="00E43F17" w:rsidTr="00630798">
        <w:trPr>
          <w:cantSplit/>
          <w:trHeight w:val="360"/>
        </w:trPr>
        <w:tc>
          <w:tcPr>
            <w:tcW w:w="1168" w:type="dxa"/>
            <w:vMerge w:val="restart"/>
          </w:tcPr>
          <w:p w:rsidR="00630798" w:rsidRPr="00E43F17" w:rsidRDefault="00630798" w:rsidP="00E43F17">
            <w:pPr>
              <w:spacing w:after="0" w:line="240" w:lineRule="auto"/>
              <w:ind w:left="180"/>
              <w:jc w:val="center"/>
              <w:rPr>
                <w:rFonts w:ascii="Times New Roman" w:hAnsi="Times New Roman" w:cs="Times New Roman"/>
              </w:rPr>
            </w:pPr>
          </w:p>
        </w:tc>
        <w:tc>
          <w:tcPr>
            <w:tcW w:w="2290" w:type="dxa"/>
            <w:gridSpan w:val="2"/>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2018</w:t>
            </w:r>
          </w:p>
        </w:tc>
        <w:tc>
          <w:tcPr>
            <w:tcW w:w="2657" w:type="dxa"/>
            <w:gridSpan w:val="2"/>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2019</w:t>
            </w:r>
          </w:p>
        </w:tc>
        <w:tc>
          <w:tcPr>
            <w:tcW w:w="3468" w:type="dxa"/>
            <w:gridSpan w:val="2"/>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2020</w:t>
            </w:r>
          </w:p>
        </w:tc>
      </w:tr>
      <w:tr w:rsidR="00630798" w:rsidRPr="00E43F17" w:rsidTr="00630798">
        <w:trPr>
          <w:cantSplit/>
          <w:trHeight w:val="172"/>
        </w:trPr>
        <w:tc>
          <w:tcPr>
            <w:tcW w:w="1168" w:type="dxa"/>
            <w:vMerge/>
          </w:tcPr>
          <w:p w:rsidR="00630798" w:rsidRPr="00E43F17" w:rsidRDefault="00630798" w:rsidP="00E43F17">
            <w:pPr>
              <w:spacing w:after="0" w:line="240" w:lineRule="auto"/>
              <w:jc w:val="center"/>
              <w:rPr>
                <w:rFonts w:ascii="Times New Roman" w:hAnsi="Times New Roman" w:cs="Times New Roman"/>
              </w:rPr>
            </w:pPr>
          </w:p>
        </w:tc>
        <w:tc>
          <w:tcPr>
            <w:tcW w:w="998"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Абс</w:t>
            </w:r>
          </w:p>
        </w:tc>
        <w:tc>
          <w:tcPr>
            <w:tcW w:w="129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Пок</w:t>
            </w:r>
          </w:p>
        </w:tc>
        <w:tc>
          <w:tcPr>
            <w:tcW w:w="1168"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Абс</w:t>
            </w:r>
          </w:p>
        </w:tc>
        <w:tc>
          <w:tcPr>
            <w:tcW w:w="148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Пок</w:t>
            </w:r>
          </w:p>
        </w:tc>
        <w:tc>
          <w:tcPr>
            <w:tcW w:w="1683"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Абс</w:t>
            </w:r>
          </w:p>
        </w:tc>
        <w:tc>
          <w:tcPr>
            <w:tcW w:w="1785"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Пок</w:t>
            </w:r>
          </w:p>
        </w:tc>
      </w:tr>
      <w:tr w:rsidR="00630798" w:rsidRPr="00E43F17" w:rsidTr="00630798">
        <w:trPr>
          <w:cantSplit/>
          <w:trHeight w:val="536"/>
        </w:trPr>
        <w:tc>
          <w:tcPr>
            <w:tcW w:w="1168"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ВГА</w:t>
            </w:r>
          </w:p>
        </w:tc>
        <w:tc>
          <w:tcPr>
            <w:tcW w:w="998"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13</w:t>
            </w:r>
          </w:p>
        </w:tc>
        <w:tc>
          <w:tcPr>
            <w:tcW w:w="129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30,5</w:t>
            </w:r>
          </w:p>
        </w:tc>
        <w:tc>
          <w:tcPr>
            <w:tcW w:w="1168"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148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1683"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1785"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r>
      <w:tr w:rsidR="00630798" w:rsidRPr="00E43F17" w:rsidTr="00630798">
        <w:trPr>
          <w:cantSplit/>
          <w:trHeight w:val="342"/>
        </w:trPr>
        <w:tc>
          <w:tcPr>
            <w:tcW w:w="1168"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ВГВ</w:t>
            </w:r>
          </w:p>
        </w:tc>
        <w:tc>
          <w:tcPr>
            <w:tcW w:w="998"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129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1168"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w:t>
            </w:r>
          </w:p>
        </w:tc>
        <w:tc>
          <w:tcPr>
            <w:tcW w:w="148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2,4</w:t>
            </w:r>
          </w:p>
        </w:tc>
        <w:tc>
          <w:tcPr>
            <w:tcW w:w="1683"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1785"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r>
      <w:tr w:rsidR="00630798" w:rsidRPr="00E43F17" w:rsidTr="00630798">
        <w:trPr>
          <w:cantSplit/>
          <w:trHeight w:val="342"/>
        </w:trPr>
        <w:tc>
          <w:tcPr>
            <w:tcW w:w="1168"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ВГС</w:t>
            </w:r>
          </w:p>
        </w:tc>
        <w:tc>
          <w:tcPr>
            <w:tcW w:w="998"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w:t>
            </w:r>
          </w:p>
        </w:tc>
        <w:tc>
          <w:tcPr>
            <w:tcW w:w="129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2,3</w:t>
            </w:r>
          </w:p>
        </w:tc>
        <w:tc>
          <w:tcPr>
            <w:tcW w:w="1168"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148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1683"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w:t>
            </w:r>
          </w:p>
        </w:tc>
        <w:tc>
          <w:tcPr>
            <w:tcW w:w="1785"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2,5</w:t>
            </w:r>
          </w:p>
        </w:tc>
      </w:tr>
      <w:tr w:rsidR="00630798" w:rsidRPr="00E43F17" w:rsidTr="00630798">
        <w:trPr>
          <w:cantSplit/>
          <w:trHeight w:val="360"/>
        </w:trPr>
        <w:tc>
          <w:tcPr>
            <w:tcW w:w="1168"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всего</w:t>
            </w:r>
          </w:p>
        </w:tc>
        <w:tc>
          <w:tcPr>
            <w:tcW w:w="998"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14</w:t>
            </w:r>
          </w:p>
        </w:tc>
        <w:tc>
          <w:tcPr>
            <w:tcW w:w="129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32,8</w:t>
            </w:r>
          </w:p>
        </w:tc>
        <w:tc>
          <w:tcPr>
            <w:tcW w:w="1168"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w:t>
            </w:r>
          </w:p>
        </w:tc>
        <w:tc>
          <w:tcPr>
            <w:tcW w:w="148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2,4</w:t>
            </w:r>
          </w:p>
        </w:tc>
        <w:tc>
          <w:tcPr>
            <w:tcW w:w="1683"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w:t>
            </w:r>
          </w:p>
        </w:tc>
        <w:tc>
          <w:tcPr>
            <w:tcW w:w="1785"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2,5</w:t>
            </w:r>
          </w:p>
        </w:tc>
      </w:tr>
    </w:tbl>
    <w:p w:rsidR="00E43F17" w:rsidRDefault="00E43F17" w:rsidP="00E43F17">
      <w:pPr>
        <w:spacing w:after="0" w:line="240" w:lineRule="auto"/>
        <w:ind w:firstLine="709"/>
        <w:jc w:val="both"/>
        <w:rPr>
          <w:rFonts w:ascii="Times New Roman" w:hAnsi="Times New Roman" w:cs="Times New Roman"/>
          <w:b/>
          <w:szCs w:val="24"/>
        </w:rPr>
      </w:pPr>
    </w:p>
    <w:p w:rsidR="00630798" w:rsidRPr="00E43F17" w:rsidRDefault="00630798" w:rsidP="00E43F17">
      <w:pPr>
        <w:spacing w:after="0" w:line="240" w:lineRule="auto"/>
        <w:ind w:firstLine="709"/>
        <w:jc w:val="both"/>
        <w:rPr>
          <w:rFonts w:ascii="Times New Roman" w:hAnsi="Times New Roman" w:cs="Times New Roman"/>
          <w:b/>
          <w:szCs w:val="24"/>
        </w:rPr>
      </w:pPr>
      <w:r w:rsidRPr="00E43F17">
        <w:rPr>
          <w:rFonts w:ascii="Times New Roman" w:hAnsi="Times New Roman" w:cs="Times New Roman"/>
          <w:b/>
          <w:szCs w:val="24"/>
        </w:rPr>
        <w:t>Вирусный гепатит А</w:t>
      </w:r>
    </w:p>
    <w:p w:rsidR="00630798" w:rsidRPr="00E43F17" w:rsidRDefault="00630798" w:rsidP="00E43F17">
      <w:pPr>
        <w:spacing w:after="0" w:line="240" w:lineRule="auto"/>
        <w:ind w:firstLine="709"/>
        <w:jc w:val="both"/>
        <w:rPr>
          <w:rFonts w:ascii="Times New Roman" w:hAnsi="Times New Roman" w:cs="Times New Roman"/>
          <w:szCs w:val="24"/>
        </w:rPr>
      </w:pPr>
      <w:r w:rsidRPr="00E43F17">
        <w:rPr>
          <w:rFonts w:ascii="Times New Roman" w:hAnsi="Times New Roman" w:cs="Times New Roman"/>
          <w:szCs w:val="24"/>
        </w:rPr>
        <w:t>В 2018 году заболеваемость  ВГА  среди детского населения составила 75,0 % от общей заболеваемости ВГА по городу.  Все 3 случая ВГА зарегистрированы у детей, посещающих СОШ.</w:t>
      </w:r>
    </w:p>
    <w:p w:rsidR="00630798" w:rsidRPr="00E43F17" w:rsidRDefault="00630798" w:rsidP="00E43F17">
      <w:pPr>
        <w:spacing w:after="0" w:line="240" w:lineRule="auto"/>
        <w:ind w:firstLine="709"/>
        <w:jc w:val="both"/>
        <w:rPr>
          <w:rFonts w:ascii="Times New Roman" w:hAnsi="Times New Roman" w:cs="Times New Roman"/>
          <w:szCs w:val="24"/>
        </w:rPr>
      </w:pPr>
      <w:r w:rsidRPr="00E43F17">
        <w:rPr>
          <w:rFonts w:ascii="Times New Roman" w:hAnsi="Times New Roman" w:cs="Times New Roman"/>
          <w:szCs w:val="24"/>
        </w:rPr>
        <w:t>В 2020 и 2019 году случаев острого вирусного гепатита А не зарегистрировано.</w:t>
      </w:r>
    </w:p>
    <w:p w:rsidR="00630798" w:rsidRPr="00E43F17" w:rsidRDefault="00630798" w:rsidP="00E43F17">
      <w:pPr>
        <w:tabs>
          <w:tab w:val="left" w:pos="10080"/>
        </w:tabs>
        <w:spacing w:after="0" w:line="240" w:lineRule="auto"/>
        <w:ind w:firstLine="709"/>
        <w:jc w:val="both"/>
        <w:rPr>
          <w:rFonts w:ascii="Times New Roman" w:hAnsi="Times New Roman" w:cs="Times New Roman"/>
          <w:szCs w:val="24"/>
        </w:rPr>
      </w:pPr>
      <w:r w:rsidRPr="00E43F17">
        <w:rPr>
          <w:rFonts w:ascii="Times New Roman" w:hAnsi="Times New Roman" w:cs="Times New Roman"/>
          <w:szCs w:val="24"/>
        </w:rPr>
        <w:t>Задачи по профилактике ВГА:</w:t>
      </w:r>
    </w:p>
    <w:p w:rsidR="00630798" w:rsidRPr="00E43F17" w:rsidRDefault="00630798" w:rsidP="006A23B3">
      <w:pPr>
        <w:numPr>
          <w:ilvl w:val="0"/>
          <w:numId w:val="13"/>
        </w:numPr>
        <w:tabs>
          <w:tab w:val="num" w:pos="567"/>
        </w:tabs>
        <w:spacing w:after="0" w:line="240" w:lineRule="auto"/>
        <w:ind w:left="0" w:firstLine="709"/>
        <w:jc w:val="both"/>
        <w:rPr>
          <w:rFonts w:ascii="Times New Roman" w:hAnsi="Times New Roman" w:cs="Times New Roman"/>
          <w:szCs w:val="24"/>
        </w:rPr>
      </w:pPr>
      <w:r w:rsidRPr="00E43F17">
        <w:rPr>
          <w:rFonts w:ascii="Times New Roman" w:hAnsi="Times New Roman" w:cs="Times New Roman"/>
          <w:szCs w:val="24"/>
        </w:rPr>
        <w:t>строгое соблюдение санитарного законодательства на объектах риска (детские образовательные учреждения, водопроводы, предприятия общественного питания);</w:t>
      </w:r>
    </w:p>
    <w:p w:rsidR="00630798" w:rsidRPr="00E43F17" w:rsidRDefault="00630798" w:rsidP="006A23B3">
      <w:pPr>
        <w:numPr>
          <w:ilvl w:val="0"/>
          <w:numId w:val="13"/>
        </w:numPr>
        <w:tabs>
          <w:tab w:val="num" w:pos="567"/>
        </w:tabs>
        <w:spacing w:after="0" w:line="240" w:lineRule="auto"/>
        <w:ind w:left="0" w:firstLine="709"/>
        <w:jc w:val="both"/>
        <w:rPr>
          <w:rFonts w:ascii="Times New Roman" w:hAnsi="Times New Roman" w:cs="Times New Roman"/>
          <w:szCs w:val="24"/>
        </w:rPr>
      </w:pPr>
      <w:r w:rsidRPr="00E43F17">
        <w:rPr>
          <w:rFonts w:ascii="Times New Roman" w:hAnsi="Times New Roman" w:cs="Times New Roman"/>
          <w:szCs w:val="24"/>
        </w:rPr>
        <w:t>своевременное и полное проведение комплекса противоэпидемических мероприятий в очагах ВГА;</w:t>
      </w:r>
    </w:p>
    <w:p w:rsidR="00630798" w:rsidRPr="00E43F17" w:rsidRDefault="00630798" w:rsidP="006A23B3">
      <w:pPr>
        <w:numPr>
          <w:ilvl w:val="0"/>
          <w:numId w:val="13"/>
        </w:numPr>
        <w:tabs>
          <w:tab w:val="num" w:pos="567"/>
        </w:tabs>
        <w:spacing w:after="0" w:line="240" w:lineRule="auto"/>
        <w:ind w:left="0" w:firstLine="709"/>
        <w:jc w:val="both"/>
        <w:rPr>
          <w:rFonts w:ascii="Times New Roman" w:hAnsi="Times New Roman" w:cs="Times New Roman"/>
          <w:szCs w:val="24"/>
        </w:rPr>
      </w:pPr>
      <w:r w:rsidRPr="00E43F17">
        <w:rPr>
          <w:rFonts w:ascii="Times New Roman" w:hAnsi="Times New Roman" w:cs="Times New Roman"/>
          <w:szCs w:val="24"/>
        </w:rPr>
        <w:t>вакцинация лиц, составляющих группу повышенного риска.</w:t>
      </w:r>
    </w:p>
    <w:p w:rsidR="00630798" w:rsidRPr="00E43F17" w:rsidRDefault="00630798" w:rsidP="00E43F17">
      <w:pPr>
        <w:spacing w:after="0" w:line="240" w:lineRule="auto"/>
        <w:ind w:firstLine="709"/>
        <w:jc w:val="both"/>
        <w:rPr>
          <w:rFonts w:ascii="Times New Roman" w:hAnsi="Times New Roman" w:cs="Times New Roman"/>
          <w:b/>
          <w:szCs w:val="24"/>
        </w:rPr>
      </w:pPr>
    </w:p>
    <w:p w:rsidR="00630798" w:rsidRPr="00E43F17" w:rsidRDefault="00630798" w:rsidP="00E43F17">
      <w:pPr>
        <w:spacing w:after="0" w:line="240" w:lineRule="auto"/>
        <w:ind w:firstLine="709"/>
        <w:jc w:val="both"/>
        <w:rPr>
          <w:rFonts w:ascii="Times New Roman" w:hAnsi="Times New Roman" w:cs="Times New Roman"/>
          <w:b/>
          <w:szCs w:val="24"/>
        </w:rPr>
      </w:pPr>
      <w:r w:rsidRPr="00E43F17">
        <w:rPr>
          <w:rFonts w:ascii="Times New Roman" w:hAnsi="Times New Roman" w:cs="Times New Roman"/>
          <w:b/>
          <w:szCs w:val="24"/>
        </w:rPr>
        <w:t>Вирусные гепатиты с парентеральным механизмом передачи</w:t>
      </w:r>
    </w:p>
    <w:p w:rsidR="00630798" w:rsidRPr="00E43F17" w:rsidRDefault="00630798" w:rsidP="00E43F17">
      <w:pPr>
        <w:spacing w:after="0" w:line="240" w:lineRule="auto"/>
        <w:ind w:firstLine="709"/>
        <w:jc w:val="both"/>
        <w:rPr>
          <w:rFonts w:ascii="Times New Roman" w:hAnsi="Times New Roman" w:cs="Times New Roman"/>
          <w:szCs w:val="24"/>
        </w:rPr>
      </w:pPr>
      <w:r w:rsidRPr="00E43F17">
        <w:rPr>
          <w:rFonts w:ascii="Times New Roman" w:hAnsi="Times New Roman" w:cs="Times New Roman"/>
          <w:szCs w:val="24"/>
        </w:rPr>
        <w:t>В 2020</w:t>
      </w:r>
      <w:r w:rsidR="00E43F17">
        <w:rPr>
          <w:rFonts w:ascii="Times New Roman" w:hAnsi="Times New Roman" w:cs="Times New Roman"/>
          <w:szCs w:val="24"/>
        </w:rPr>
        <w:t xml:space="preserve"> </w:t>
      </w:r>
      <w:r w:rsidRPr="00E43F17">
        <w:rPr>
          <w:rFonts w:ascii="Times New Roman" w:hAnsi="Times New Roman" w:cs="Times New Roman"/>
          <w:szCs w:val="24"/>
        </w:rPr>
        <w:t>году в г Пыть-Ях зарегистрировано 19 случаев заболевания вирусных гепатитов  с парентеральным механизмом передачи, показатель заболеваемости  составил 47,7( что выше среднеокружных показателей-29,4), регистрируется снижение-по сравнению в 2019годом на 73,4 %. Из них 1 случай (показатель заб-ти 2,5 на 100 тыс.нас.) острый вирусный гепатит С, что выше окружных показателей-0,71;</w:t>
      </w:r>
    </w:p>
    <w:p w:rsidR="00630798" w:rsidRPr="00E43F17" w:rsidRDefault="00630798" w:rsidP="00E43F17">
      <w:pPr>
        <w:spacing w:after="0" w:line="240" w:lineRule="auto"/>
        <w:jc w:val="both"/>
        <w:rPr>
          <w:rFonts w:ascii="Times New Roman" w:hAnsi="Times New Roman" w:cs="Times New Roman"/>
          <w:szCs w:val="24"/>
        </w:rPr>
      </w:pPr>
      <w:r w:rsidRPr="00E43F17">
        <w:rPr>
          <w:rFonts w:ascii="Times New Roman" w:hAnsi="Times New Roman" w:cs="Times New Roman"/>
          <w:szCs w:val="24"/>
        </w:rPr>
        <w:t xml:space="preserve"> 18 случаев (показатель заб-ти 45,2 на 100 тыс.нас.) – хронические вирусные гепатиты, что выше окружных поазателей-25,59: 7 случаев (показатель заб-ти 17,6 на 100 тыс.нас.) – хронический вирусный гепатит В, </w:t>
      </w:r>
      <w:bookmarkStart w:id="36" w:name="_Hlk62914107"/>
      <w:r w:rsidRPr="00E43F17">
        <w:rPr>
          <w:rFonts w:ascii="Times New Roman" w:hAnsi="Times New Roman" w:cs="Times New Roman"/>
          <w:szCs w:val="24"/>
        </w:rPr>
        <w:t xml:space="preserve">что выше окружных показателей-6,35 </w:t>
      </w:r>
      <w:bookmarkEnd w:id="36"/>
      <w:r w:rsidRPr="00E43F17">
        <w:rPr>
          <w:rFonts w:ascii="Times New Roman" w:hAnsi="Times New Roman" w:cs="Times New Roman"/>
          <w:szCs w:val="24"/>
        </w:rPr>
        <w:t xml:space="preserve">, 11 случаев (показатель заб-ти 27,6 на 100 тыс.нас.) хронический вирусный гепатит С что выше окружных показателей-19,12. </w:t>
      </w:r>
    </w:p>
    <w:p w:rsidR="00630798" w:rsidRPr="00E43F17" w:rsidRDefault="00630798" w:rsidP="00E43F17">
      <w:pPr>
        <w:spacing w:after="0" w:line="240" w:lineRule="auto"/>
        <w:ind w:firstLine="709"/>
        <w:jc w:val="both"/>
        <w:rPr>
          <w:rFonts w:ascii="Times New Roman" w:hAnsi="Times New Roman" w:cs="Times New Roman"/>
          <w:szCs w:val="24"/>
        </w:rPr>
      </w:pPr>
      <w:r w:rsidRPr="00E43F17">
        <w:rPr>
          <w:rFonts w:ascii="Times New Roman" w:hAnsi="Times New Roman" w:cs="Times New Roman"/>
          <w:szCs w:val="24"/>
        </w:rPr>
        <w:t xml:space="preserve"> В 2019 году по территории г. Пыть – Ях зарегистрировано 70 случаев  вирусных гепатитов  с парентеральным механизмом передачи   (показатель заболеваемости – 169,8 на 100 тыс.нас.) Из них 1 случай (показатель заб-ти 2,4 на 100 тыс.нас.) острый вирусный гепатит В, 69 случаев (показатель заб-ти 167,4 на 100 тыс.нас.) – хронические вирусные гепатиты: 15 случаев (показатель заб-ти 36,4 на 100 тыс.нас.) – хронический вирусный гепатит В , 54 случаев (показатель заб-ти 131,0 на 100 тыс.нас.) хронический вирусный гепатит С</w:t>
      </w:r>
    </w:p>
    <w:p w:rsidR="00630798" w:rsidRPr="00E43F17" w:rsidRDefault="00E43F17" w:rsidP="00E43F17">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Число </w:t>
      </w:r>
      <w:r w:rsidR="00630798" w:rsidRPr="00E43F17">
        <w:rPr>
          <w:rFonts w:ascii="Times New Roman" w:hAnsi="Times New Roman" w:cs="Times New Roman"/>
          <w:szCs w:val="24"/>
        </w:rPr>
        <w:t>вновь выявленных носителей гепатита В (</w:t>
      </w:r>
      <w:r w:rsidR="00630798" w:rsidRPr="00E43F17">
        <w:rPr>
          <w:rFonts w:ascii="Times New Roman" w:hAnsi="Times New Roman" w:cs="Times New Roman"/>
          <w:szCs w:val="24"/>
          <w:lang w:val="en-US"/>
        </w:rPr>
        <w:t>HBsAg</w:t>
      </w:r>
      <w:r w:rsidR="00630798" w:rsidRPr="00E43F17">
        <w:rPr>
          <w:rFonts w:ascii="Times New Roman" w:hAnsi="Times New Roman" w:cs="Times New Roman"/>
          <w:szCs w:val="24"/>
        </w:rPr>
        <w:t>) составило: в 2018 году-  2 случая (4,7 на 100 тыс. населения), в 2019 году- 4 случая (9,7 на 100 тыс. населения), в 2020г выявленных носителей не зарегистрировано.</w:t>
      </w:r>
    </w:p>
    <w:p w:rsidR="00630798" w:rsidRPr="00E43F17" w:rsidRDefault="00630798" w:rsidP="00E43F17">
      <w:pPr>
        <w:pStyle w:val="31"/>
        <w:jc w:val="left"/>
        <w:rPr>
          <w:b/>
          <w:sz w:val="26"/>
          <w:szCs w:val="26"/>
          <w:highlight w:val="yellow"/>
          <w:lang w:val="ru-RU"/>
        </w:rPr>
      </w:pPr>
      <w:r w:rsidRPr="00582568">
        <w:rPr>
          <w:noProof/>
          <w:highlight w:val="yellow"/>
          <w:lang w:val="ru-RU" w:eastAsia="ru-RU"/>
        </w:rPr>
        <w:drawing>
          <wp:anchor distT="0" distB="0" distL="114300" distR="114300" simplePos="0" relativeHeight="251667456" behindDoc="0" locked="0" layoutInCell="1" allowOverlap="1">
            <wp:simplePos x="0" y="0"/>
            <wp:positionH relativeFrom="column">
              <wp:posOffset>-114300</wp:posOffset>
            </wp:positionH>
            <wp:positionV relativeFrom="paragraph">
              <wp:posOffset>236220</wp:posOffset>
            </wp:positionV>
            <wp:extent cx="6139180" cy="2541905"/>
            <wp:effectExtent l="5080" t="0" r="0" b="3175"/>
            <wp:wrapTopAndBottom/>
            <wp:docPr id="32" name="Диаграмма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p>
    <w:p w:rsidR="00630798" w:rsidRPr="00E43F17" w:rsidRDefault="00630798" w:rsidP="00E43F17">
      <w:pPr>
        <w:ind w:firstLine="709"/>
        <w:jc w:val="both"/>
        <w:rPr>
          <w:rFonts w:ascii="Times New Roman" w:hAnsi="Times New Roman" w:cs="Times New Roman"/>
        </w:rPr>
      </w:pPr>
      <w:r w:rsidRPr="00E43F17">
        <w:rPr>
          <w:rFonts w:ascii="Times New Roman" w:hAnsi="Times New Roman" w:cs="Times New Roman"/>
        </w:rPr>
        <w:lastRenderedPageBreak/>
        <w:t>Рис. № 6. Показатели заболеваемости острыми вирусными геп</w:t>
      </w:r>
      <w:r w:rsidR="00E43F17">
        <w:rPr>
          <w:rFonts w:ascii="Times New Roman" w:hAnsi="Times New Roman" w:cs="Times New Roman"/>
        </w:rPr>
        <w:t>атитами за период 2018 -2020гг.</w:t>
      </w:r>
    </w:p>
    <w:p w:rsidR="00630798" w:rsidRPr="00B63047" w:rsidRDefault="00630798" w:rsidP="00630798">
      <w:pPr>
        <w:pStyle w:val="31"/>
        <w:ind w:firstLine="709"/>
        <w:jc w:val="right"/>
        <w:rPr>
          <w:sz w:val="22"/>
          <w:szCs w:val="22"/>
        </w:rPr>
      </w:pPr>
      <w:r w:rsidRPr="00B63047">
        <w:rPr>
          <w:sz w:val="22"/>
          <w:szCs w:val="22"/>
        </w:rPr>
        <w:t>Таблица № 12</w:t>
      </w:r>
    </w:p>
    <w:p w:rsidR="00630798" w:rsidRPr="00E43F17" w:rsidRDefault="00630798" w:rsidP="00E43F17">
      <w:pPr>
        <w:pStyle w:val="24"/>
        <w:jc w:val="center"/>
        <w:rPr>
          <w:b/>
          <w:sz w:val="22"/>
          <w:szCs w:val="22"/>
        </w:rPr>
      </w:pPr>
      <w:r w:rsidRPr="00B63047">
        <w:rPr>
          <w:b/>
          <w:sz w:val="22"/>
          <w:szCs w:val="22"/>
        </w:rPr>
        <w:t xml:space="preserve">Результаты вакцинации против гепатита В в г. Пыть </w:t>
      </w:r>
      <w:r w:rsidR="00E43F17">
        <w:rPr>
          <w:b/>
          <w:sz w:val="22"/>
          <w:szCs w:val="22"/>
        </w:rPr>
        <w:t>– Ях за период с 2018– 2020 гг.</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030"/>
        <w:gridCol w:w="915"/>
        <w:gridCol w:w="832"/>
        <w:gridCol w:w="1030"/>
        <w:gridCol w:w="983"/>
        <w:gridCol w:w="876"/>
        <w:gridCol w:w="1030"/>
        <w:gridCol w:w="983"/>
        <w:gridCol w:w="971"/>
      </w:tblGrid>
      <w:tr w:rsidR="00630798" w:rsidRPr="00B63047" w:rsidTr="00630798">
        <w:trPr>
          <w:trHeight w:val="539"/>
        </w:trPr>
        <w:tc>
          <w:tcPr>
            <w:tcW w:w="1119" w:type="dxa"/>
            <w:vMerge w:val="restart"/>
          </w:tcPr>
          <w:p w:rsidR="00630798" w:rsidRPr="00B63047" w:rsidRDefault="00630798" w:rsidP="00630798">
            <w:pPr>
              <w:pStyle w:val="31"/>
              <w:rPr>
                <w:sz w:val="22"/>
                <w:szCs w:val="22"/>
              </w:rPr>
            </w:pPr>
            <w:r w:rsidRPr="00B63047">
              <w:rPr>
                <w:sz w:val="22"/>
                <w:szCs w:val="22"/>
              </w:rPr>
              <w:t>год</w:t>
            </w:r>
          </w:p>
        </w:tc>
        <w:tc>
          <w:tcPr>
            <w:tcW w:w="2777" w:type="dxa"/>
            <w:gridSpan w:val="3"/>
          </w:tcPr>
          <w:p w:rsidR="00630798" w:rsidRPr="00B63047" w:rsidRDefault="00630798" w:rsidP="00630798">
            <w:pPr>
              <w:pStyle w:val="31"/>
              <w:rPr>
                <w:sz w:val="22"/>
                <w:szCs w:val="22"/>
              </w:rPr>
            </w:pPr>
            <w:r w:rsidRPr="00B63047">
              <w:rPr>
                <w:sz w:val="22"/>
                <w:szCs w:val="22"/>
              </w:rPr>
              <w:t>2018 г.</w:t>
            </w:r>
          </w:p>
        </w:tc>
        <w:tc>
          <w:tcPr>
            <w:tcW w:w="2889" w:type="dxa"/>
            <w:gridSpan w:val="3"/>
          </w:tcPr>
          <w:p w:rsidR="00630798" w:rsidRPr="00B63047" w:rsidRDefault="00630798" w:rsidP="00630798">
            <w:pPr>
              <w:pStyle w:val="31"/>
              <w:rPr>
                <w:sz w:val="22"/>
                <w:szCs w:val="22"/>
              </w:rPr>
            </w:pPr>
            <w:r w:rsidRPr="00B63047">
              <w:rPr>
                <w:sz w:val="22"/>
                <w:szCs w:val="22"/>
              </w:rPr>
              <w:t>2019 г.</w:t>
            </w:r>
          </w:p>
        </w:tc>
        <w:tc>
          <w:tcPr>
            <w:tcW w:w="2984" w:type="dxa"/>
            <w:gridSpan w:val="3"/>
          </w:tcPr>
          <w:p w:rsidR="00630798" w:rsidRPr="00B63047" w:rsidRDefault="00630798" w:rsidP="00630798">
            <w:pPr>
              <w:pStyle w:val="31"/>
              <w:rPr>
                <w:sz w:val="22"/>
                <w:szCs w:val="22"/>
              </w:rPr>
            </w:pPr>
            <w:r w:rsidRPr="00B63047">
              <w:rPr>
                <w:sz w:val="22"/>
                <w:szCs w:val="22"/>
              </w:rPr>
              <w:t>2020 г.</w:t>
            </w:r>
          </w:p>
        </w:tc>
      </w:tr>
      <w:tr w:rsidR="00630798" w:rsidRPr="00B63047" w:rsidTr="00630798">
        <w:trPr>
          <w:trHeight w:val="304"/>
        </w:trPr>
        <w:tc>
          <w:tcPr>
            <w:tcW w:w="1119" w:type="dxa"/>
            <w:vMerge/>
          </w:tcPr>
          <w:p w:rsidR="00630798" w:rsidRPr="00B63047" w:rsidRDefault="00630798" w:rsidP="00630798">
            <w:pPr>
              <w:pStyle w:val="31"/>
              <w:rPr>
                <w:sz w:val="22"/>
                <w:szCs w:val="22"/>
              </w:rPr>
            </w:pPr>
          </w:p>
        </w:tc>
        <w:tc>
          <w:tcPr>
            <w:tcW w:w="1030" w:type="dxa"/>
          </w:tcPr>
          <w:p w:rsidR="00630798" w:rsidRPr="00B63047" w:rsidRDefault="00630798" w:rsidP="00630798">
            <w:pPr>
              <w:pStyle w:val="31"/>
              <w:rPr>
                <w:sz w:val="22"/>
                <w:szCs w:val="22"/>
              </w:rPr>
            </w:pPr>
            <w:r w:rsidRPr="00B63047">
              <w:rPr>
                <w:sz w:val="22"/>
                <w:szCs w:val="22"/>
              </w:rPr>
              <w:t>план</w:t>
            </w:r>
          </w:p>
        </w:tc>
        <w:tc>
          <w:tcPr>
            <w:tcW w:w="915" w:type="dxa"/>
          </w:tcPr>
          <w:p w:rsidR="00630798" w:rsidRPr="00B63047" w:rsidRDefault="00630798" w:rsidP="00630798">
            <w:pPr>
              <w:pStyle w:val="31"/>
              <w:rPr>
                <w:sz w:val="22"/>
                <w:szCs w:val="22"/>
              </w:rPr>
            </w:pPr>
            <w:r w:rsidRPr="00B63047">
              <w:rPr>
                <w:sz w:val="22"/>
                <w:szCs w:val="22"/>
              </w:rPr>
              <w:t>Вып</w:t>
            </w:r>
          </w:p>
        </w:tc>
        <w:tc>
          <w:tcPr>
            <w:tcW w:w="832" w:type="dxa"/>
          </w:tcPr>
          <w:p w:rsidR="00630798" w:rsidRPr="00B63047" w:rsidRDefault="00630798" w:rsidP="00630798">
            <w:pPr>
              <w:pStyle w:val="31"/>
              <w:rPr>
                <w:sz w:val="22"/>
                <w:szCs w:val="22"/>
              </w:rPr>
            </w:pPr>
            <w:r w:rsidRPr="00B63047">
              <w:rPr>
                <w:sz w:val="22"/>
                <w:szCs w:val="22"/>
              </w:rPr>
              <w:t>план</w:t>
            </w:r>
          </w:p>
        </w:tc>
        <w:tc>
          <w:tcPr>
            <w:tcW w:w="1030" w:type="dxa"/>
          </w:tcPr>
          <w:p w:rsidR="00630798" w:rsidRPr="00B63047" w:rsidRDefault="00630798" w:rsidP="00630798">
            <w:pPr>
              <w:pStyle w:val="31"/>
              <w:rPr>
                <w:sz w:val="22"/>
                <w:szCs w:val="22"/>
              </w:rPr>
            </w:pPr>
            <w:r w:rsidRPr="00B63047">
              <w:rPr>
                <w:sz w:val="22"/>
                <w:szCs w:val="22"/>
              </w:rPr>
              <w:t>Вып</w:t>
            </w:r>
          </w:p>
        </w:tc>
        <w:tc>
          <w:tcPr>
            <w:tcW w:w="983" w:type="dxa"/>
          </w:tcPr>
          <w:p w:rsidR="00630798" w:rsidRPr="00B63047" w:rsidRDefault="00630798" w:rsidP="00630798">
            <w:pPr>
              <w:pStyle w:val="31"/>
              <w:rPr>
                <w:sz w:val="22"/>
                <w:szCs w:val="22"/>
              </w:rPr>
            </w:pPr>
            <w:r w:rsidRPr="00B63047">
              <w:rPr>
                <w:sz w:val="22"/>
                <w:szCs w:val="22"/>
              </w:rPr>
              <w:t>план</w:t>
            </w:r>
          </w:p>
        </w:tc>
        <w:tc>
          <w:tcPr>
            <w:tcW w:w="876" w:type="dxa"/>
          </w:tcPr>
          <w:p w:rsidR="00630798" w:rsidRPr="00B63047" w:rsidRDefault="00630798" w:rsidP="00630798">
            <w:pPr>
              <w:pStyle w:val="31"/>
              <w:rPr>
                <w:sz w:val="22"/>
                <w:szCs w:val="22"/>
              </w:rPr>
            </w:pPr>
            <w:r w:rsidRPr="00B63047">
              <w:rPr>
                <w:sz w:val="22"/>
                <w:szCs w:val="22"/>
              </w:rPr>
              <w:t>Вып</w:t>
            </w:r>
          </w:p>
        </w:tc>
        <w:tc>
          <w:tcPr>
            <w:tcW w:w="1030" w:type="dxa"/>
          </w:tcPr>
          <w:p w:rsidR="00630798" w:rsidRPr="00B63047" w:rsidRDefault="00630798" w:rsidP="00630798">
            <w:pPr>
              <w:pStyle w:val="31"/>
              <w:rPr>
                <w:sz w:val="22"/>
                <w:szCs w:val="22"/>
              </w:rPr>
            </w:pPr>
            <w:r w:rsidRPr="00B63047">
              <w:rPr>
                <w:sz w:val="22"/>
                <w:szCs w:val="22"/>
              </w:rPr>
              <w:t>план</w:t>
            </w:r>
          </w:p>
        </w:tc>
        <w:tc>
          <w:tcPr>
            <w:tcW w:w="983" w:type="dxa"/>
          </w:tcPr>
          <w:p w:rsidR="00630798" w:rsidRPr="00B63047" w:rsidRDefault="00630798" w:rsidP="00630798">
            <w:pPr>
              <w:pStyle w:val="31"/>
              <w:rPr>
                <w:sz w:val="22"/>
                <w:szCs w:val="22"/>
              </w:rPr>
            </w:pPr>
            <w:r w:rsidRPr="00B63047">
              <w:rPr>
                <w:sz w:val="22"/>
                <w:szCs w:val="22"/>
              </w:rPr>
              <w:t>Вып</w:t>
            </w:r>
          </w:p>
        </w:tc>
        <w:tc>
          <w:tcPr>
            <w:tcW w:w="971" w:type="dxa"/>
          </w:tcPr>
          <w:p w:rsidR="00630798" w:rsidRPr="00B63047" w:rsidRDefault="00630798" w:rsidP="00630798">
            <w:pPr>
              <w:pStyle w:val="31"/>
              <w:rPr>
                <w:sz w:val="22"/>
                <w:szCs w:val="22"/>
              </w:rPr>
            </w:pPr>
            <w:r w:rsidRPr="00B63047">
              <w:rPr>
                <w:sz w:val="22"/>
                <w:szCs w:val="22"/>
              </w:rPr>
              <w:t>%</w:t>
            </w:r>
          </w:p>
        </w:tc>
      </w:tr>
      <w:tr w:rsidR="00630798" w:rsidRPr="00582568" w:rsidTr="00630798">
        <w:trPr>
          <w:trHeight w:val="405"/>
        </w:trPr>
        <w:tc>
          <w:tcPr>
            <w:tcW w:w="1119" w:type="dxa"/>
          </w:tcPr>
          <w:p w:rsidR="00630798" w:rsidRPr="00B63047" w:rsidRDefault="00630798" w:rsidP="00630798">
            <w:pPr>
              <w:pStyle w:val="31"/>
              <w:rPr>
                <w:sz w:val="22"/>
                <w:szCs w:val="22"/>
              </w:rPr>
            </w:pPr>
            <w:r w:rsidRPr="00B63047">
              <w:rPr>
                <w:sz w:val="22"/>
                <w:szCs w:val="22"/>
              </w:rPr>
              <w:t>всего</w:t>
            </w:r>
          </w:p>
        </w:tc>
        <w:tc>
          <w:tcPr>
            <w:tcW w:w="1030" w:type="dxa"/>
          </w:tcPr>
          <w:p w:rsidR="00630798" w:rsidRPr="00B63047" w:rsidRDefault="00630798" w:rsidP="00630798">
            <w:pPr>
              <w:pStyle w:val="31"/>
              <w:rPr>
                <w:sz w:val="22"/>
                <w:szCs w:val="22"/>
              </w:rPr>
            </w:pPr>
            <w:r w:rsidRPr="00B63047">
              <w:rPr>
                <w:sz w:val="22"/>
                <w:szCs w:val="22"/>
              </w:rPr>
              <w:t>2160</w:t>
            </w:r>
          </w:p>
        </w:tc>
        <w:tc>
          <w:tcPr>
            <w:tcW w:w="915" w:type="dxa"/>
          </w:tcPr>
          <w:p w:rsidR="00630798" w:rsidRPr="00B63047" w:rsidRDefault="00630798" w:rsidP="00630798">
            <w:pPr>
              <w:pStyle w:val="31"/>
              <w:rPr>
                <w:sz w:val="22"/>
                <w:szCs w:val="22"/>
              </w:rPr>
            </w:pPr>
            <w:r w:rsidRPr="00B63047">
              <w:rPr>
                <w:sz w:val="22"/>
                <w:szCs w:val="22"/>
              </w:rPr>
              <w:t>1144</w:t>
            </w:r>
          </w:p>
        </w:tc>
        <w:tc>
          <w:tcPr>
            <w:tcW w:w="832" w:type="dxa"/>
          </w:tcPr>
          <w:p w:rsidR="00630798" w:rsidRPr="00B63047" w:rsidRDefault="00630798" w:rsidP="00630798">
            <w:pPr>
              <w:pStyle w:val="31"/>
              <w:rPr>
                <w:sz w:val="22"/>
                <w:szCs w:val="22"/>
              </w:rPr>
            </w:pPr>
            <w:r w:rsidRPr="00B63047">
              <w:rPr>
                <w:sz w:val="22"/>
                <w:szCs w:val="22"/>
              </w:rPr>
              <w:t>2160</w:t>
            </w:r>
          </w:p>
        </w:tc>
        <w:tc>
          <w:tcPr>
            <w:tcW w:w="1030" w:type="dxa"/>
          </w:tcPr>
          <w:p w:rsidR="00630798" w:rsidRPr="00B63047" w:rsidRDefault="00630798" w:rsidP="00630798">
            <w:pPr>
              <w:pStyle w:val="31"/>
              <w:rPr>
                <w:sz w:val="22"/>
                <w:szCs w:val="22"/>
              </w:rPr>
            </w:pPr>
            <w:r w:rsidRPr="00B63047">
              <w:rPr>
                <w:sz w:val="22"/>
                <w:szCs w:val="22"/>
              </w:rPr>
              <w:t>800</w:t>
            </w:r>
          </w:p>
        </w:tc>
        <w:tc>
          <w:tcPr>
            <w:tcW w:w="983" w:type="dxa"/>
          </w:tcPr>
          <w:p w:rsidR="00630798" w:rsidRPr="00B63047" w:rsidRDefault="00630798" w:rsidP="00630798">
            <w:pPr>
              <w:pStyle w:val="31"/>
              <w:rPr>
                <w:sz w:val="22"/>
                <w:szCs w:val="22"/>
              </w:rPr>
            </w:pPr>
            <w:r w:rsidRPr="00B63047">
              <w:rPr>
                <w:sz w:val="22"/>
                <w:szCs w:val="22"/>
              </w:rPr>
              <w:t>851</w:t>
            </w:r>
          </w:p>
        </w:tc>
        <w:tc>
          <w:tcPr>
            <w:tcW w:w="876" w:type="dxa"/>
          </w:tcPr>
          <w:p w:rsidR="00630798" w:rsidRPr="00B63047" w:rsidRDefault="00630798" w:rsidP="00630798">
            <w:pPr>
              <w:pStyle w:val="31"/>
              <w:rPr>
                <w:sz w:val="22"/>
                <w:szCs w:val="22"/>
              </w:rPr>
            </w:pPr>
            <w:r w:rsidRPr="00B63047">
              <w:rPr>
                <w:sz w:val="22"/>
                <w:szCs w:val="22"/>
              </w:rPr>
              <w:t>106,4</w:t>
            </w:r>
          </w:p>
        </w:tc>
        <w:tc>
          <w:tcPr>
            <w:tcW w:w="1030" w:type="dxa"/>
          </w:tcPr>
          <w:p w:rsidR="00630798" w:rsidRPr="00B63047" w:rsidRDefault="00630798" w:rsidP="00630798">
            <w:pPr>
              <w:pStyle w:val="31"/>
              <w:rPr>
                <w:sz w:val="22"/>
                <w:szCs w:val="22"/>
              </w:rPr>
            </w:pPr>
            <w:r w:rsidRPr="00B63047">
              <w:rPr>
                <w:sz w:val="22"/>
                <w:szCs w:val="22"/>
              </w:rPr>
              <w:t>713</w:t>
            </w:r>
          </w:p>
        </w:tc>
        <w:tc>
          <w:tcPr>
            <w:tcW w:w="983" w:type="dxa"/>
          </w:tcPr>
          <w:p w:rsidR="00630798" w:rsidRPr="00B63047" w:rsidRDefault="00630798" w:rsidP="00630798">
            <w:pPr>
              <w:pStyle w:val="31"/>
              <w:rPr>
                <w:sz w:val="22"/>
                <w:szCs w:val="22"/>
              </w:rPr>
            </w:pPr>
            <w:r w:rsidRPr="00B63047">
              <w:rPr>
                <w:sz w:val="22"/>
                <w:szCs w:val="22"/>
              </w:rPr>
              <w:t>705</w:t>
            </w:r>
          </w:p>
        </w:tc>
        <w:tc>
          <w:tcPr>
            <w:tcW w:w="971" w:type="dxa"/>
          </w:tcPr>
          <w:p w:rsidR="00630798" w:rsidRPr="00B63047" w:rsidRDefault="00630798" w:rsidP="00630798">
            <w:pPr>
              <w:pStyle w:val="31"/>
              <w:rPr>
                <w:sz w:val="22"/>
                <w:szCs w:val="22"/>
              </w:rPr>
            </w:pPr>
            <w:r w:rsidRPr="00B63047">
              <w:rPr>
                <w:sz w:val="22"/>
                <w:szCs w:val="22"/>
              </w:rPr>
              <w:t>98,9</w:t>
            </w:r>
          </w:p>
        </w:tc>
      </w:tr>
      <w:tr w:rsidR="00630798" w:rsidRPr="00582568" w:rsidTr="00630798">
        <w:trPr>
          <w:trHeight w:val="427"/>
        </w:trPr>
        <w:tc>
          <w:tcPr>
            <w:tcW w:w="1119" w:type="dxa"/>
          </w:tcPr>
          <w:p w:rsidR="00630798" w:rsidRPr="00B63047" w:rsidRDefault="00630798" w:rsidP="00630798">
            <w:pPr>
              <w:pStyle w:val="31"/>
              <w:rPr>
                <w:sz w:val="22"/>
                <w:szCs w:val="22"/>
              </w:rPr>
            </w:pPr>
            <w:r w:rsidRPr="00B63047">
              <w:rPr>
                <w:sz w:val="22"/>
                <w:szCs w:val="22"/>
              </w:rPr>
              <w:t>дети</w:t>
            </w:r>
          </w:p>
        </w:tc>
        <w:tc>
          <w:tcPr>
            <w:tcW w:w="1030" w:type="dxa"/>
          </w:tcPr>
          <w:p w:rsidR="00630798" w:rsidRPr="00B63047" w:rsidRDefault="00630798" w:rsidP="00630798">
            <w:pPr>
              <w:pStyle w:val="31"/>
              <w:rPr>
                <w:sz w:val="22"/>
                <w:szCs w:val="22"/>
              </w:rPr>
            </w:pPr>
            <w:r w:rsidRPr="00B63047">
              <w:rPr>
                <w:sz w:val="22"/>
                <w:szCs w:val="22"/>
              </w:rPr>
              <w:t>600</w:t>
            </w:r>
          </w:p>
        </w:tc>
        <w:tc>
          <w:tcPr>
            <w:tcW w:w="915" w:type="dxa"/>
          </w:tcPr>
          <w:p w:rsidR="00630798" w:rsidRPr="00B63047" w:rsidRDefault="00630798" w:rsidP="00630798">
            <w:pPr>
              <w:pStyle w:val="31"/>
              <w:rPr>
                <w:sz w:val="22"/>
                <w:szCs w:val="22"/>
              </w:rPr>
            </w:pPr>
            <w:r w:rsidRPr="00B63047">
              <w:rPr>
                <w:sz w:val="22"/>
                <w:szCs w:val="22"/>
              </w:rPr>
              <w:t>644</w:t>
            </w:r>
          </w:p>
        </w:tc>
        <w:tc>
          <w:tcPr>
            <w:tcW w:w="832" w:type="dxa"/>
          </w:tcPr>
          <w:p w:rsidR="00630798" w:rsidRPr="00B63047" w:rsidRDefault="00630798" w:rsidP="00630798">
            <w:pPr>
              <w:pStyle w:val="31"/>
              <w:rPr>
                <w:sz w:val="22"/>
                <w:szCs w:val="22"/>
              </w:rPr>
            </w:pPr>
            <w:r w:rsidRPr="00B63047">
              <w:rPr>
                <w:sz w:val="22"/>
                <w:szCs w:val="22"/>
              </w:rPr>
              <w:t>600</w:t>
            </w:r>
          </w:p>
        </w:tc>
        <w:tc>
          <w:tcPr>
            <w:tcW w:w="1030" w:type="dxa"/>
          </w:tcPr>
          <w:p w:rsidR="00630798" w:rsidRPr="00B63047" w:rsidRDefault="00630798" w:rsidP="00630798">
            <w:pPr>
              <w:pStyle w:val="31"/>
              <w:rPr>
                <w:sz w:val="22"/>
                <w:szCs w:val="22"/>
              </w:rPr>
            </w:pPr>
            <w:r w:rsidRPr="00B63047">
              <w:rPr>
                <w:sz w:val="22"/>
                <w:szCs w:val="22"/>
              </w:rPr>
              <w:t>550</w:t>
            </w:r>
          </w:p>
        </w:tc>
        <w:tc>
          <w:tcPr>
            <w:tcW w:w="983" w:type="dxa"/>
          </w:tcPr>
          <w:p w:rsidR="00630798" w:rsidRPr="00B63047" w:rsidRDefault="00630798" w:rsidP="00630798">
            <w:pPr>
              <w:pStyle w:val="31"/>
              <w:rPr>
                <w:sz w:val="22"/>
                <w:szCs w:val="22"/>
              </w:rPr>
            </w:pPr>
            <w:r w:rsidRPr="00B63047">
              <w:rPr>
                <w:sz w:val="22"/>
                <w:szCs w:val="22"/>
              </w:rPr>
              <w:t>544</w:t>
            </w:r>
          </w:p>
        </w:tc>
        <w:tc>
          <w:tcPr>
            <w:tcW w:w="876" w:type="dxa"/>
          </w:tcPr>
          <w:p w:rsidR="00630798" w:rsidRPr="00B63047" w:rsidRDefault="00630798" w:rsidP="00630798">
            <w:pPr>
              <w:pStyle w:val="31"/>
              <w:rPr>
                <w:sz w:val="22"/>
                <w:szCs w:val="22"/>
              </w:rPr>
            </w:pPr>
            <w:r w:rsidRPr="00B63047">
              <w:rPr>
                <w:sz w:val="22"/>
                <w:szCs w:val="22"/>
              </w:rPr>
              <w:t>98,9</w:t>
            </w:r>
          </w:p>
        </w:tc>
        <w:tc>
          <w:tcPr>
            <w:tcW w:w="1030" w:type="dxa"/>
          </w:tcPr>
          <w:p w:rsidR="00630798" w:rsidRPr="00B63047" w:rsidRDefault="00630798" w:rsidP="00630798">
            <w:pPr>
              <w:pStyle w:val="31"/>
              <w:rPr>
                <w:sz w:val="22"/>
                <w:szCs w:val="22"/>
              </w:rPr>
            </w:pPr>
            <w:r w:rsidRPr="00B63047">
              <w:rPr>
                <w:sz w:val="22"/>
                <w:szCs w:val="22"/>
              </w:rPr>
              <w:t>463</w:t>
            </w:r>
          </w:p>
        </w:tc>
        <w:tc>
          <w:tcPr>
            <w:tcW w:w="983" w:type="dxa"/>
          </w:tcPr>
          <w:p w:rsidR="00630798" w:rsidRPr="00B63047" w:rsidRDefault="00630798" w:rsidP="00630798">
            <w:pPr>
              <w:pStyle w:val="31"/>
              <w:rPr>
                <w:sz w:val="22"/>
                <w:szCs w:val="22"/>
              </w:rPr>
            </w:pPr>
            <w:r w:rsidRPr="00B63047">
              <w:rPr>
                <w:sz w:val="22"/>
                <w:szCs w:val="22"/>
              </w:rPr>
              <w:t>455</w:t>
            </w:r>
          </w:p>
        </w:tc>
        <w:tc>
          <w:tcPr>
            <w:tcW w:w="971" w:type="dxa"/>
          </w:tcPr>
          <w:p w:rsidR="00630798" w:rsidRPr="00B63047" w:rsidRDefault="00630798" w:rsidP="00630798">
            <w:pPr>
              <w:pStyle w:val="31"/>
              <w:rPr>
                <w:sz w:val="22"/>
                <w:szCs w:val="22"/>
              </w:rPr>
            </w:pPr>
            <w:r w:rsidRPr="00B63047">
              <w:rPr>
                <w:sz w:val="22"/>
                <w:szCs w:val="22"/>
              </w:rPr>
              <w:t>98,3</w:t>
            </w:r>
          </w:p>
        </w:tc>
      </w:tr>
    </w:tbl>
    <w:p w:rsidR="00630798" w:rsidRDefault="00630798" w:rsidP="00630798">
      <w:pPr>
        <w:pStyle w:val="24"/>
        <w:rPr>
          <w:b/>
          <w:sz w:val="26"/>
          <w:szCs w:val="26"/>
          <w:highlight w:val="yellow"/>
        </w:rPr>
      </w:pPr>
    </w:p>
    <w:p w:rsidR="00630798" w:rsidRPr="00B63047" w:rsidRDefault="00630798" w:rsidP="00630798">
      <w:pPr>
        <w:pStyle w:val="24"/>
        <w:rPr>
          <w:b/>
          <w:sz w:val="26"/>
          <w:szCs w:val="26"/>
        </w:rPr>
      </w:pPr>
      <w:r w:rsidRPr="00B63047">
        <w:rPr>
          <w:b/>
          <w:sz w:val="26"/>
          <w:szCs w:val="26"/>
        </w:rPr>
        <w:t>1.3.7. Инфекции, связанные с оказанием медицинской помощи</w:t>
      </w:r>
    </w:p>
    <w:p w:rsidR="00630798" w:rsidRPr="00E43F17" w:rsidRDefault="00630798" w:rsidP="00E43F17">
      <w:pPr>
        <w:pStyle w:val="ad"/>
        <w:ind w:right="0"/>
        <w:jc w:val="right"/>
        <w:rPr>
          <w:rFonts w:ascii="Times New Roman" w:hAnsi="Times New Roman"/>
          <w:sz w:val="22"/>
          <w:szCs w:val="22"/>
        </w:rPr>
      </w:pPr>
      <w:r w:rsidRPr="00E43F17">
        <w:rPr>
          <w:rFonts w:ascii="Times New Roman" w:hAnsi="Times New Roman"/>
          <w:sz w:val="22"/>
          <w:szCs w:val="22"/>
        </w:rPr>
        <w:t>Таблица № 13</w:t>
      </w:r>
    </w:p>
    <w:p w:rsidR="00630798" w:rsidRPr="00E43F17" w:rsidRDefault="00630798" w:rsidP="00630798">
      <w:pPr>
        <w:pStyle w:val="22"/>
        <w:ind w:firstLine="709"/>
        <w:rPr>
          <w:b/>
          <w:sz w:val="24"/>
          <w:szCs w:val="24"/>
        </w:rPr>
      </w:pPr>
      <w:r w:rsidRPr="00E43F17">
        <w:rPr>
          <w:b/>
          <w:sz w:val="24"/>
          <w:szCs w:val="24"/>
        </w:rPr>
        <w:t xml:space="preserve">Заболеваемость внутрибольничными инфекциями (включая ВУИ) </w:t>
      </w:r>
    </w:p>
    <w:p w:rsidR="00630798" w:rsidRPr="00A47BC3" w:rsidRDefault="00A47BC3" w:rsidP="00A47BC3">
      <w:pPr>
        <w:pStyle w:val="22"/>
        <w:ind w:firstLine="709"/>
        <w:rPr>
          <w:b/>
          <w:sz w:val="24"/>
          <w:szCs w:val="24"/>
        </w:rPr>
      </w:pPr>
      <w:r>
        <w:rPr>
          <w:b/>
          <w:sz w:val="24"/>
          <w:szCs w:val="24"/>
        </w:rPr>
        <w:t>за период 2018-2020 гг.</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029"/>
        <w:gridCol w:w="812"/>
        <w:gridCol w:w="939"/>
        <w:gridCol w:w="876"/>
        <w:gridCol w:w="876"/>
        <w:gridCol w:w="875"/>
        <w:gridCol w:w="1051"/>
      </w:tblGrid>
      <w:tr w:rsidR="00630798" w:rsidRPr="00E43F17" w:rsidTr="00630798">
        <w:trPr>
          <w:cantSplit/>
          <w:trHeight w:val="301"/>
        </w:trPr>
        <w:tc>
          <w:tcPr>
            <w:tcW w:w="4029" w:type="dxa"/>
            <w:vMerge w:val="restart"/>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нозоологии</w:t>
            </w:r>
          </w:p>
        </w:tc>
        <w:tc>
          <w:tcPr>
            <w:tcW w:w="1751" w:type="dxa"/>
            <w:gridSpan w:val="2"/>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2018 год</w:t>
            </w:r>
          </w:p>
        </w:tc>
        <w:tc>
          <w:tcPr>
            <w:tcW w:w="1752" w:type="dxa"/>
            <w:gridSpan w:val="2"/>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2019 год</w:t>
            </w:r>
          </w:p>
        </w:tc>
        <w:tc>
          <w:tcPr>
            <w:tcW w:w="1926" w:type="dxa"/>
            <w:gridSpan w:val="2"/>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2020 год</w:t>
            </w:r>
          </w:p>
        </w:tc>
      </w:tr>
      <w:tr w:rsidR="00630798" w:rsidRPr="00E43F17" w:rsidTr="00630798">
        <w:trPr>
          <w:cantSplit/>
          <w:trHeight w:val="285"/>
        </w:trPr>
        <w:tc>
          <w:tcPr>
            <w:tcW w:w="4029" w:type="dxa"/>
            <w:vMerge/>
          </w:tcPr>
          <w:p w:rsidR="00630798" w:rsidRPr="00E43F17" w:rsidRDefault="00630798" w:rsidP="00E43F17">
            <w:pPr>
              <w:spacing w:after="0" w:line="240" w:lineRule="auto"/>
              <w:jc w:val="center"/>
              <w:rPr>
                <w:rFonts w:ascii="Times New Roman" w:hAnsi="Times New Roman" w:cs="Times New Roman"/>
              </w:rPr>
            </w:pPr>
          </w:p>
        </w:tc>
        <w:tc>
          <w:tcPr>
            <w:tcW w:w="81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Абс.</w:t>
            </w:r>
          </w:p>
        </w:tc>
        <w:tc>
          <w:tcPr>
            <w:tcW w:w="93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Пок</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Абс.</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Пок</w:t>
            </w:r>
          </w:p>
        </w:tc>
        <w:tc>
          <w:tcPr>
            <w:tcW w:w="875"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Абс.</w:t>
            </w:r>
          </w:p>
        </w:tc>
        <w:tc>
          <w:tcPr>
            <w:tcW w:w="1051"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Пок</w:t>
            </w:r>
          </w:p>
        </w:tc>
      </w:tr>
      <w:tr w:rsidR="00630798" w:rsidRPr="00E43F17" w:rsidTr="00630798">
        <w:trPr>
          <w:trHeight w:val="285"/>
        </w:trPr>
        <w:tc>
          <w:tcPr>
            <w:tcW w:w="402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Всего ВБИ, в  т.ч.</w:t>
            </w:r>
          </w:p>
        </w:tc>
        <w:tc>
          <w:tcPr>
            <w:tcW w:w="81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w:t>
            </w:r>
          </w:p>
        </w:tc>
        <w:tc>
          <w:tcPr>
            <w:tcW w:w="93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2,4</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5"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1051"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r>
      <w:tr w:rsidR="00630798" w:rsidRPr="00E43F17" w:rsidTr="00630798">
        <w:trPr>
          <w:trHeight w:val="538"/>
        </w:trPr>
        <w:tc>
          <w:tcPr>
            <w:tcW w:w="402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ГСИ новорожденных, в том числе:</w:t>
            </w:r>
          </w:p>
        </w:tc>
        <w:tc>
          <w:tcPr>
            <w:tcW w:w="81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93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5"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c>
          <w:tcPr>
            <w:tcW w:w="1051"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r>
      <w:tr w:rsidR="00630798" w:rsidRPr="00E43F17" w:rsidTr="00630798">
        <w:trPr>
          <w:trHeight w:val="285"/>
        </w:trPr>
        <w:tc>
          <w:tcPr>
            <w:tcW w:w="402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конъюнктивит</w:t>
            </w:r>
          </w:p>
        </w:tc>
        <w:tc>
          <w:tcPr>
            <w:tcW w:w="81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93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5"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c>
          <w:tcPr>
            <w:tcW w:w="1051"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r>
      <w:tr w:rsidR="00630798" w:rsidRPr="00E43F17" w:rsidTr="00630798">
        <w:trPr>
          <w:trHeight w:val="285"/>
        </w:trPr>
        <w:tc>
          <w:tcPr>
            <w:tcW w:w="402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пневмония</w:t>
            </w:r>
          </w:p>
        </w:tc>
        <w:tc>
          <w:tcPr>
            <w:tcW w:w="81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93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5"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c>
          <w:tcPr>
            <w:tcW w:w="1051"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r>
      <w:tr w:rsidR="00630798" w:rsidRPr="00E43F17" w:rsidTr="00630798">
        <w:trPr>
          <w:trHeight w:val="285"/>
        </w:trPr>
        <w:tc>
          <w:tcPr>
            <w:tcW w:w="402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пиодермия, панариций</w:t>
            </w:r>
          </w:p>
        </w:tc>
        <w:tc>
          <w:tcPr>
            <w:tcW w:w="81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93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5"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c>
          <w:tcPr>
            <w:tcW w:w="1051"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r>
      <w:tr w:rsidR="00630798" w:rsidRPr="00E43F17" w:rsidTr="00630798">
        <w:trPr>
          <w:trHeight w:val="301"/>
        </w:trPr>
        <w:tc>
          <w:tcPr>
            <w:tcW w:w="402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мастит</w:t>
            </w:r>
          </w:p>
        </w:tc>
        <w:tc>
          <w:tcPr>
            <w:tcW w:w="81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93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5"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c>
          <w:tcPr>
            <w:tcW w:w="1051"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r>
      <w:tr w:rsidR="00630798" w:rsidRPr="00E43F17" w:rsidTr="00630798">
        <w:trPr>
          <w:trHeight w:val="285"/>
        </w:trPr>
        <w:tc>
          <w:tcPr>
            <w:tcW w:w="402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омфалит</w:t>
            </w:r>
          </w:p>
        </w:tc>
        <w:tc>
          <w:tcPr>
            <w:tcW w:w="81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93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5"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c>
          <w:tcPr>
            <w:tcW w:w="1051"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r>
      <w:tr w:rsidR="00630798" w:rsidRPr="00E43F17" w:rsidTr="00630798">
        <w:trPr>
          <w:trHeight w:val="285"/>
        </w:trPr>
        <w:tc>
          <w:tcPr>
            <w:tcW w:w="402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ГСИ родильниц, в т.ч.</w:t>
            </w:r>
          </w:p>
        </w:tc>
        <w:tc>
          <w:tcPr>
            <w:tcW w:w="81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93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5"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c>
          <w:tcPr>
            <w:tcW w:w="1051"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r>
      <w:tr w:rsidR="00630798" w:rsidRPr="00E43F17" w:rsidTr="00630798">
        <w:trPr>
          <w:trHeight w:val="285"/>
        </w:trPr>
        <w:tc>
          <w:tcPr>
            <w:tcW w:w="402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сепсис</w:t>
            </w:r>
          </w:p>
        </w:tc>
        <w:tc>
          <w:tcPr>
            <w:tcW w:w="81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93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5"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c>
          <w:tcPr>
            <w:tcW w:w="1051"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r>
      <w:tr w:rsidR="00630798" w:rsidRPr="00E43F17" w:rsidTr="00630798">
        <w:trPr>
          <w:trHeight w:val="301"/>
        </w:trPr>
        <w:tc>
          <w:tcPr>
            <w:tcW w:w="402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мастит</w:t>
            </w:r>
          </w:p>
        </w:tc>
        <w:tc>
          <w:tcPr>
            <w:tcW w:w="81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93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5"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c>
          <w:tcPr>
            <w:tcW w:w="1051"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r>
      <w:tr w:rsidR="00630798" w:rsidRPr="00E43F17" w:rsidTr="00630798">
        <w:trPr>
          <w:trHeight w:val="285"/>
        </w:trPr>
        <w:tc>
          <w:tcPr>
            <w:tcW w:w="402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Послеоперационные осложнения</w:t>
            </w:r>
          </w:p>
        </w:tc>
        <w:tc>
          <w:tcPr>
            <w:tcW w:w="81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93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5"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c>
          <w:tcPr>
            <w:tcW w:w="1051"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r>
      <w:tr w:rsidR="00630798" w:rsidRPr="00E43F17" w:rsidTr="00630798">
        <w:trPr>
          <w:trHeight w:val="285"/>
        </w:trPr>
        <w:tc>
          <w:tcPr>
            <w:tcW w:w="402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Эндометрит</w:t>
            </w:r>
          </w:p>
        </w:tc>
        <w:tc>
          <w:tcPr>
            <w:tcW w:w="81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93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5"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c>
          <w:tcPr>
            <w:tcW w:w="1051"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r>
      <w:tr w:rsidR="00630798" w:rsidRPr="00E43F17" w:rsidTr="00630798">
        <w:trPr>
          <w:trHeight w:val="301"/>
        </w:trPr>
        <w:tc>
          <w:tcPr>
            <w:tcW w:w="402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Параметрит</w:t>
            </w:r>
          </w:p>
        </w:tc>
        <w:tc>
          <w:tcPr>
            <w:tcW w:w="81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93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5"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c>
          <w:tcPr>
            <w:tcW w:w="1051"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r>
      <w:tr w:rsidR="00630798" w:rsidRPr="00E43F17" w:rsidTr="00630798">
        <w:trPr>
          <w:trHeight w:val="285"/>
        </w:trPr>
        <w:tc>
          <w:tcPr>
            <w:tcW w:w="402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Пневмония</w:t>
            </w:r>
          </w:p>
        </w:tc>
        <w:tc>
          <w:tcPr>
            <w:tcW w:w="81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93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5"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c>
          <w:tcPr>
            <w:tcW w:w="1051"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r>
      <w:tr w:rsidR="00630798" w:rsidRPr="00E43F17" w:rsidTr="00630798">
        <w:trPr>
          <w:trHeight w:val="285"/>
        </w:trPr>
        <w:tc>
          <w:tcPr>
            <w:tcW w:w="402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Постиньекционные инфекции</w:t>
            </w:r>
          </w:p>
        </w:tc>
        <w:tc>
          <w:tcPr>
            <w:tcW w:w="81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1</w:t>
            </w:r>
          </w:p>
        </w:tc>
        <w:tc>
          <w:tcPr>
            <w:tcW w:w="93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2,4</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5"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c>
          <w:tcPr>
            <w:tcW w:w="1051"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r>
      <w:tr w:rsidR="00630798" w:rsidRPr="00E43F17" w:rsidTr="00630798">
        <w:trPr>
          <w:trHeight w:val="301"/>
        </w:trPr>
        <w:tc>
          <w:tcPr>
            <w:tcW w:w="402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Острые кишечные инфекции</w:t>
            </w:r>
          </w:p>
        </w:tc>
        <w:tc>
          <w:tcPr>
            <w:tcW w:w="812"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939"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6" w:type="dxa"/>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w:t>
            </w:r>
          </w:p>
        </w:tc>
        <w:tc>
          <w:tcPr>
            <w:tcW w:w="875"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c>
          <w:tcPr>
            <w:tcW w:w="1051" w:type="dxa"/>
          </w:tcPr>
          <w:p w:rsidR="00630798" w:rsidRPr="00E43F17" w:rsidRDefault="00630798" w:rsidP="00E43F17">
            <w:pPr>
              <w:spacing w:after="0" w:line="240" w:lineRule="auto"/>
              <w:jc w:val="center"/>
              <w:rPr>
                <w:rFonts w:ascii="Times New Roman" w:hAnsi="Times New Roman" w:cs="Times New Roman"/>
                <w:highlight w:val="yellow"/>
              </w:rPr>
            </w:pPr>
            <w:r w:rsidRPr="00E43F17">
              <w:rPr>
                <w:rFonts w:ascii="Times New Roman" w:hAnsi="Times New Roman" w:cs="Times New Roman"/>
              </w:rPr>
              <w:t>-</w:t>
            </w:r>
          </w:p>
        </w:tc>
      </w:tr>
      <w:tr w:rsidR="00630798" w:rsidRPr="00E43F17" w:rsidTr="00630798">
        <w:trPr>
          <w:trHeight w:val="301"/>
        </w:trPr>
        <w:tc>
          <w:tcPr>
            <w:tcW w:w="4029" w:type="dxa"/>
            <w:tcBorders>
              <w:top w:val="single" w:sz="4" w:space="0" w:color="auto"/>
              <w:left w:val="single" w:sz="4" w:space="0" w:color="auto"/>
              <w:bottom w:val="single" w:sz="4" w:space="0" w:color="auto"/>
              <w:right w:val="single" w:sz="4" w:space="0" w:color="auto"/>
            </w:tcBorders>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Внутриутробные инфекции*</w:t>
            </w:r>
          </w:p>
        </w:tc>
        <w:tc>
          <w:tcPr>
            <w:tcW w:w="812" w:type="dxa"/>
            <w:tcBorders>
              <w:top w:val="single" w:sz="4" w:space="0" w:color="auto"/>
              <w:left w:val="single" w:sz="4" w:space="0" w:color="auto"/>
              <w:bottom w:val="single" w:sz="4" w:space="0" w:color="auto"/>
              <w:right w:val="single" w:sz="4" w:space="0" w:color="auto"/>
            </w:tcBorders>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3</w:t>
            </w:r>
          </w:p>
        </w:tc>
        <w:tc>
          <w:tcPr>
            <w:tcW w:w="939" w:type="dxa"/>
            <w:tcBorders>
              <w:top w:val="single" w:sz="4" w:space="0" w:color="auto"/>
              <w:left w:val="single" w:sz="4" w:space="0" w:color="auto"/>
              <w:bottom w:val="single" w:sz="4" w:space="0" w:color="auto"/>
              <w:right w:val="single" w:sz="4" w:space="0" w:color="auto"/>
            </w:tcBorders>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7,1</w:t>
            </w:r>
          </w:p>
        </w:tc>
        <w:tc>
          <w:tcPr>
            <w:tcW w:w="876" w:type="dxa"/>
            <w:tcBorders>
              <w:top w:val="single" w:sz="4" w:space="0" w:color="auto"/>
              <w:left w:val="single" w:sz="4" w:space="0" w:color="auto"/>
              <w:bottom w:val="single" w:sz="4" w:space="0" w:color="auto"/>
              <w:right w:val="single" w:sz="4" w:space="0" w:color="auto"/>
            </w:tcBorders>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2</w:t>
            </w:r>
          </w:p>
        </w:tc>
        <w:tc>
          <w:tcPr>
            <w:tcW w:w="876" w:type="dxa"/>
            <w:tcBorders>
              <w:top w:val="single" w:sz="4" w:space="0" w:color="auto"/>
              <w:left w:val="single" w:sz="4" w:space="0" w:color="auto"/>
              <w:bottom w:val="single" w:sz="4" w:space="0" w:color="auto"/>
              <w:right w:val="single" w:sz="4" w:space="0" w:color="auto"/>
            </w:tcBorders>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4,9</w:t>
            </w:r>
          </w:p>
        </w:tc>
        <w:tc>
          <w:tcPr>
            <w:tcW w:w="875" w:type="dxa"/>
            <w:tcBorders>
              <w:top w:val="single" w:sz="4" w:space="0" w:color="auto"/>
              <w:left w:val="single" w:sz="4" w:space="0" w:color="auto"/>
              <w:bottom w:val="single" w:sz="4" w:space="0" w:color="auto"/>
              <w:right w:val="single" w:sz="4" w:space="0" w:color="auto"/>
            </w:tcBorders>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3</w:t>
            </w:r>
          </w:p>
        </w:tc>
        <w:tc>
          <w:tcPr>
            <w:tcW w:w="1051" w:type="dxa"/>
            <w:tcBorders>
              <w:top w:val="single" w:sz="4" w:space="0" w:color="auto"/>
              <w:left w:val="single" w:sz="4" w:space="0" w:color="auto"/>
              <w:bottom w:val="single" w:sz="4" w:space="0" w:color="auto"/>
              <w:right w:val="single" w:sz="4" w:space="0" w:color="auto"/>
            </w:tcBorders>
          </w:tcPr>
          <w:p w:rsidR="00630798" w:rsidRPr="00E43F17" w:rsidRDefault="00630798" w:rsidP="00E43F17">
            <w:pPr>
              <w:spacing w:after="0" w:line="240" w:lineRule="auto"/>
              <w:jc w:val="center"/>
              <w:rPr>
                <w:rFonts w:ascii="Times New Roman" w:hAnsi="Times New Roman" w:cs="Times New Roman"/>
              </w:rPr>
            </w:pPr>
            <w:r w:rsidRPr="00E43F17">
              <w:rPr>
                <w:rFonts w:ascii="Times New Roman" w:hAnsi="Times New Roman" w:cs="Times New Roman"/>
              </w:rPr>
              <w:t>7,5</w:t>
            </w:r>
          </w:p>
        </w:tc>
      </w:tr>
    </w:tbl>
    <w:p w:rsidR="00630798" w:rsidRPr="00E43F17" w:rsidRDefault="00630798" w:rsidP="00E43F17">
      <w:pPr>
        <w:pStyle w:val="22"/>
        <w:ind w:firstLine="709"/>
        <w:jc w:val="both"/>
        <w:rPr>
          <w:sz w:val="22"/>
          <w:szCs w:val="22"/>
        </w:rPr>
      </w:pPr>
    </w:p>
    <w:p w:rsidR="00630798" w:rsidRPr="00E43F17" w:rsidRDefault="00630798" w:rsidP="00E43F17">
      <w:pPr>
        <w:pStyle w:val="22"/>
        <w:ind w:firstLine="709"/>
        <w:jc w:val="both"/>
        <w:rPr>
          <w:sz w:val="22"/>
          <w:szCs w:val="22"/>
        </w:rPr>
      </w:pPr>
      <w:r w:rsidRPr="00E43F17">
        <w:rPr>
          <w:sz w:val="22"/>
          <w:szCs w:val="22"/>
        </w:rPr>
        <w:t>* - при подсчете общего числа случаев внутрибольничных инфекций, случаи внутриутробных инфекций не учитываются. В 2020году регистрируется рост внутриутробных инфекций на 53,1%, по сравнению с 2019годом.</w:t>
      </w:r>
    </w:p>
    <w:p w:rsidR="00630798" w:rsidRPr="00E43F17" w:rsidRDefault="00630798" w:rsidP="00E43F17">
      <w:pPr>
        <w:pStyle w:val="22"/>
        <w:ind w:firstLine="709"/>
        <w:jc w:val="both"/>
        <w:rPr>
          <w:sz w:val="24"/>
          <w:szCs w:val="24"/>
        </w:rPr>
      </w:pPr>
      <w:r w:rsidRPr="00E43F17">
        <w:rPr>
          <w:sz w:val="24"/>
        </w:rPr>
        <w:t>В 2018г. зарегистрировано по 1 случаю гнойно-септических инфекций (послеоперационное осложнение и постинъекционное осложнение соответственно).</w:t>
      </w:r>
    </w:p>
    <w:p w:rsidR="00630798" w:rsidRPr="00E43F17" w:rsidRDefault="00630798" w:rsidP="00E43F17">
      <w:pPr>
        <w:pStyle w:val="22"/>
        <w:ind w:firstLine="709"/>
        <w:jc w:val="both"/>
        <w:rPr>
          <w:sz w:val="24"/>
        </w:rPr>
      </w:pPr>
      <w:r w:rsidRPr="00E43F17">
        <w:rPr>
          <w:sz w:val="24"/>
        </w:rPr>
        <w:t>В 2019 ,2020гг. случаев гнойно-септических инфекций не зарегистрировано.</w:t>
      </w:r>
    </w:p>
    <w:p w:rsidR="00630798" w:rsidRPr="00F64558" w:rsidRDefault="00630798" w:rsidP="00630798">
      <w:pPr>
        <w:pStyle w:val="22"/>
        <w:ind w:firstLine="709"/>
        <w:jc w:val="both"/>
        <w:rPr>
          <w:sz w:val="24"/>
          <w:szCs w:val="24"/>
        </w:rPr>
      </w:pPr>
      <w:r w:rsidRPr="00F64558">
        <w:rPr>
          <w:sz w:val="24"/>
          <w:szCs w:val="24"/>
        </w:rPr>
        <w:t>Данный факт является настораживающим, т.к. может свидетельствовать о гиподиагностики и может привести к несвоевременному проведению противоэпидемических мероприятий и как следствие - развитию вспышечной ситуации.</w:t>
      </w:r>
    </w:p>
    <w:p w:rsidR="00630798" w:rsidRDefault="00630798" w:rsidP="00630798">
      <w:pPr>
        <w:pStyle w:val="22"/>
        <w:ind w:firstLine="709"/>
        <w:jc w:val="right"/>
        <w:rPr>
          <w:sz w:val="22"/>
          <w:szCs w:val="22"/>
          <w:highlight w:val="yellow"/>
        </w:rPr>
      </w:pPr>
    </w:p>
    <w:p w:rsidR="00630798" w:rsidRPr="00F64558" w:rsidRDefault="00630798" w:rsidP="00630798">
      <w:pPr>
        <w:pStyle w:val="22"/>
        <w:ind w:firstLine="709"/>
        <w:jc w:val="right"/>
        <w:rPr>
          <w:sz w:val="22"/>
          <w:szCs w:val="22"/>
        </w:rPr>
      </w:pPr>
      <w:r w:rsidRPr="00F64558">
        <w:rPr>
          <w:sz w:val="22"/>
          <w:szCs w:val="22"/>
        </w:rPr>
        <w:t>Таблица № 14</w:t>
      </w:r>
    </w:p>
    <w:p w:rsidR="00630798" w:rsidRPr="00F64558" w:rsidRDefault="00630798" w:rsidP="00630798">
      <w:pPr>
        <w:pStyle w:val="22"/>
        <w:ind w:firstLine="709"/>
        <w:jc w:val="right"/>
        <w:rPr>
          <w:sz w:val="22"/>
          <w:szCs w:val="22"/>
        </w:rPr>
      </w:pPr>
    </w:p>
    <w:p w:rsidR="00630798" w:rsidRPr="00F64558" w:rsidRDefault="00630798" w:rsidP="00630798">
      <w:pPr>
        <w:pStyle w:val="22"/>
        <w:ind w:firstLine="709"/>
        <w:rPr>
          <w:b/>
          <w:sz w:val="22"/>
          <w:szCs w:val="22"/>
        </w:rPr>
      </w:pPr>
      <w:r w:rsidRPr="00F64558">
        <w:rPr>
          <w:b/>
          <w:sz w:val="22"/>
          <w:szCs w:val="22"/>
        </w:rPr>
        <w:lastRenderedPageBreak/>
        <w:t>Результаты лабораторного контроля в ЛПУ города   за 2018-2020 гг.</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894"/>
        <w:gridCol w:w="1200"/>
        <w:gridCol w:w="1200"/>
        <w:gridCol w:w="1200"/>
      </w:tblGrid>
      <w:tr w:rsidR="00630798" w:rsidRPr="00582568" w:rsidTr="00630798">
        <w:trPr>
          <w:trHeight w:val="337"/>
        </w:trPr>
        <w:tc>
          <w:tcPr>
            <w:tcW w:w="5894" w:type="dxa"/>
          </w:tcPr>
          <w:p w:rsidR="00630798" w:rsidRPr="00746DB2" w:rsidRDefault="00630798" w:rsidP="00630798">
            <w:pPr>
              <w:pStyle w:val="22"/>
              <w:spacing w:before="20" w:after="20"/>
              <w:rPr>
                <w:sz w:val="22"/>
              </w:rPr>
            </w:pPr>
            <w:r w:rsidRPr="00746DB2">
              <w:t>Вид контроля/доля неудовлетворительных (%)</w:t>
            </w:r>
          </w:p>
        </w:tc>
        <w:tc>
          <w:tcPr>
            <w:tcW w:w="1200" w:type="dxa"/>
          </w:tcPr>
          <w:p w:rsidR="00630798" w:rsidRPr="00746DB2" w:rsidRDefault="00630798" w:rsidP="00630798">
            <w:pPr>
              <w:pStyle w:val="22"/>
              <w:spacing w:before="20" w:after="20"/>
              <w:rPr>
                <w:sz w:val="22"/>
              </w:rPr>
            </w:pPr>
            <w:r w:rsidRPr="00746DB2">
              <w:rPr>
                <w:sz w:val="22"/>
              </w:rPr>
              <w:t>2018</w:t>
            </w:r>
          </w:p>
        </w:tc>
        <w:tc>
          <w:tcPr>
            <w:tcW w:w="1200" w:type="dxa"/>
          </w:tcPr>
          <w:p w:rsidR="00630798" w:rsidRPr="00746DB2" w:rsidRDefault="00630798" w:rsidP="00630798">
            <w:pPr>
              <w:pStyle w:val="22"/>
              <w:spacing w:before="20" w:after="20"/>
              <w:rPr>
                <w:sz w:val="22"/>
              </w:rPr>
            </w:pPr>
            <w:r w:rsidRPr="00746DB2">
              <w:rPr>
                <w:sz w:val="22"/>
              </w:rPr>
              <w:t>2019</w:t>
            </w:r>
          </w:p>
        </w:tc>
        <w:tc>
          <w:tcPr>
            <w:tcW w:w="1200" w:type="dxa"/>
          </w:tcPr>
          <w:p w:rsidR="00630798" w:rsidRPr="002D09D6" w:rsidRDefault="00630798" w:rsidP="00630798">
            <w:pPr>
              <w:pStyle w:val="22"/>
              <w:spacing w:before="20" w:after="20"/>
              <w:rPr>
                <w:sz w:val="22"/>
              </w:rPr>
            </w:pPr>
            <w:r w:rsidRPr="002D09D6">
              <w:rPr>
                <w:sz w:val="22"/>
              </w:rPr>
              <w:t>2020</w:t>
            </w:r>
          </w:p>
        </w:tc>
      </w:tr>
      <w:tr w:rsidR="00630798" w:rsidRPr="00582568" w:rsidTr="00630798">
        <w:trPr>
          <w:trHeight w:val="339"/>
        </w:trPr>
        <w:tc>
          <w:tcPr>
            <w:tcW w:w="5894" w:type="dxa"/>
          </w:tcPr>
          <w:p w:rsidR="00630798" w:rsidRPr="00746DB2" w:rsidRDefault="00630798" w:rsidP="00630798">
            <w:pPr>
              <w:pStyle w:val="22"/>
              <w:spacing w:before="20" w:after="20"/>
              <w:rPr>
                <w:sz w:val="22"/>
              </w:rPr>
            </w:pPr>
            <w:r w:rsidRPr="00746DB2">
              <w:rPr>
                <w:sz w:val="22"/>
              </w:rPr>
              <w:t>Контроль качества предстерилизационной обработки</w:t>
            </w:r>
          </w:p>
        </w:tc>
        <w:tc>
          <w:tcPr>
            <w:tcW w:w="1200" w:type="dxa"/>
          </w:tcPr>
          <w:p w:rsidR="00630798" w:rsidRPr="00746DB2" w:rsidRDefault="00630798" w:rsidP="00630798">
            <w:pPr>
              <w:pStyle w:val="22"/>
              <w:spacing w:before="20" w:after="20"/>
              <w:rPr>
                <w:sz w:val="22"/>
              </w:rPr>
            </w:pPr>
            <w:r w:rsidRPr="00746DB2">
              <w:rPr>
                <w:sz w:val="22"/>
              </w:rPr>
              <w:t>0/0</w:t>
            </w:r>
          </w:p>
        </w:tc>
        <w:tc>
          <w:tcPr>
            <w:tcW w:w="1200" w:type="dxa"/>
          </w:tcPr>
          <w:p w:rsidR="00630798" w:rsidRPr="00746DB2" w:rsidRDefault="00630798" w:rsidP="00630798">
            <w:pPr>
              <w:pStyle w:val="22"/>
              <w:spacing w:before="20" w:after="20"/>
              <w:rPr>
                <w:sz w:val="22"/>
              </w:rPr>
            </w:pPr>
            <w:r w:rsidRPr="00746DB2">
              <w:rPr>
                <w:sz w:val="22"/>
              </w:rPr>
              <w:t>0/0</w:t>
            </w:r>
          </w:p>
        </w:tc>
        <w:tc>
          <w:tcPr>
            <w:tcW w:w="1200" w:type="dxa"/>
          </w:tcPr>
          <w:p w:rsidR="00630798" w:rsidRPr="002D09D6" w:rsidRDefault="00630798" w:rsidP="00630798">
            <w:pPr>
              <w:pStyle w:val="22"/>
              <w:spacing w:before="20" w:after="20"/>
              <w:rPr>
                <w:sz w:val="22"/>
              </w:rPr>
            </w:pPr>
            <w:r w:rsidRPr="002D09D6">
              <w:rPr>
                <w:sz w:val="22"/>
              </w:rPr>
              <w:t>0/0</w:t>
            </w:r>
          </w:p>
        </w:tc>
      </w:tr>
      <w:tr w:rsidR="00630798" w:rsidRPr="00582568" w:rsidTr="00630798">
        <w:trPr>
          <w:trHeight w:val="337"/>
        </w:trPr>
        <w:tc>
          <w:tcPr>
            <w:tcW w:w="5894" w:type="dxa"/>
          </w:tcPr>
          <w:p w:rsidR="00630798" w:rsidRPr="00746DB2" w:rsidRDefault="00630798" w:rsidP="00630798">
            <w:pPr>
              <w:pStyle w:val="22"/>
              <w:spacing w:before="20" w:after="20"/>
              <w:rPr>
                <w:sz w:val="22"/>
              </w:rPr>
            </w:pPr>
            <w:r w:rsidRPr="00746DB2">
              <w:rPr>
                <w:sz w:val="22"/>
              </w:rPr>
              <w:t>Контроль качества стерильности</w:t>
            </w:r>
          </w:p>
        </w:tc>
        <w:tc>
          <w:tcPr>
            <w:tcW w:w="1200" w:type="dxa"/>
          </w:tcPr>
          <w:p w:rsidR="00630798" w:rsidRPr="00746DB2" w:rsidRDefault="00630798" w:rsidP="00630798">
            <w:pPr>
              <w:pStyle w:val="22"/>
              <w:spacing w:before="20" w:after="20"/>
              <w:rPr>
                <w:sz w:val="22"/>
              </w:rPr>
            </w:pPr>
            <w:r w:rsidRPr="00746DB2">
              <w:rPr>
                <w:sz w:val="22"/>
              </w:rPr>
              <w:t>325/0</w:t>
            </w:r>
          </w:p>
        </w:tc>
        <w:tc>
          <w:tcPr>
            <w:tcW w:w="1200" w:type="dxa"/>
          </w:tcPr>
          <w:p w:rsidR="00630798" w:rsidRPr="00746DB2" w:rsidRDefault="00630798" w:rsidP="00630798">
            <w:pPr>
              <w:pStyle w:val="22"/>
              <w:spacing w:before="20" w:after="20"/>
              <w:rPr>
                <w:sz w:val="22"/>
              </w:rPr>
            </w:pPr>
            <w:r w:rsidRPr="00746DB2">
              <w:rPr>
                <w:sz w:val="22"/>
              </w:rPr>
              <w:t>322/0</w:t>
            </w:r>
          </w:p>
        </w:tc>
        <w:tc>
          <w:tcPr>
            <w:tcW w:w="1200" w:type="dxa"/>
          </w:tcPr>
          <w:p w:rsidR="00630798" w:rsidRPr="002D09D6" w:rsidRDefault="00630798" w:rsidP="00630798">
            <w:pPr>
              <w:pStyle w:val="22"/>
              <w:spacing w:before="20" w:after="20"/>
              <w:rPr>
                <w:sz w:val="22"/>
              </w:rPr>
            </w:pPr>
            <w:r w:rsidRPr="002D09D6">
              <w:rPr>
                <w:sz w:val="22"/>
              </w:rPr>
              <w:t>208/0</w:t>
            </w:r>
          </w:p>
        </w:tc>
      </w:tr>
      <w:tr w:rsidR="00630798" w:rsidRPr="00582568" w:rsidTr="00630798">
        <w:trPr>
          <w:trHeight w:val="339"/>
        </w:trPr>
        <w:tc>
          <w:tcPr>
            <w:tcW w:w="5894" w:type="dxa"/>
          </w:tcPr>
          <w:p w:rsidR="00630798" w:rsidRPr="00746DB2" w:rsidRDefault="00630798" w:rsidP="00630798">
            <w:pPr>
              <w:pStyle w:val="22"/>
              <w:spacing w:before="20" w:after="20"/>
              <w:rPr>
                <w:sz w:val="22"/>
              </w:rPr>
            </w:pPr>
            <w:r w:rsidRPr="00746DB2">
              <w:rPr>
                <w:sz w:val="22"/>
              </w:rPr>
              <w:t>Контроль качества стерилизаторов и дез.камер в пробах</w:t>
            </w:r>
          </w:p>
        </w:tc>
        <w:tc>
          <w:tcPr>
            <w:tcW w:w="1200" w:type="dxa"/>
          </w:tcPr>
          <w:p w:rsidR="00630798" w:rsidRPr="00746DB2" w:rsidRDefault="00630798" w:rsidP="00630798">
            <w:pPr>
              <w:pStyle w:val="22"/>
              <w:spacing w:before="20" w:after="20"/>
              <w:rPr>
                <w:sz w:val="22"/>
              </w:rPr>
            </w:pPr>
            <w:r w:rsidRPr="00746DB2">
              <w:rPr>
                <w:sz w:val="22"/>
              </w:rPr>
              <w:t>330/0</w:t>
            </w:r>
          </w:p>
        </w:tc>
        <w:tc>
          <w:tcPr>
            <w:tcW w:w="1200" w:type="dxa"/>
          </w:tcPr>
          <w:p w:rsidR="00630798" w:rsidRPr="00746DB2" w:rsidRDefault="00630798" w:rsidP="00630798">
            <w:pPr>
              <w:pStyle w:val="22"/>
              <w:spacing w:before="20" w:after="20"/>
              <w:rPr>
                <w:sz w:val="22"/>
              </w:rPr>
            </w:pPr>
            <w:r w:rsidRPr="00746DB2">
              <w:rPr>
                <w:sz w:val="22"/>
              </w:rPr>
              <w:t>325/0</w:t>
            </w:r>
          </w:p>
        </w:tc>
        <w:tc>
          <w:tcPr>
            <w:tcW w:w="1200" w:type="dxa"/>
          </w:tcPr>
          <w:p w:rsidR="00630798" w:rsidRPr="002D09D6" w:rsidRDefault="00630798" w:rsidP="00630798">
            <w:pPr>
              <w:pStyle w:val="22"/>
              <w:spacing w:before="20" w:after="20"/>
              <w:rPr>
                <w:sz w:val="22"/>
              </w:rPr>
            </w:pPr>
            <w:r w:rsidRPr="002D09D6">
              <w:rPr>
                <w:sz w:val="22"/>
              </w:rPr>
              <w:t>252/0</w:t>
            </w:r>
          </w:p>
        </w:tc>
      </w:tr>
    </w:tbl>
    <w:p w:rsidR="00630798" w:rsidRPr="00E43F17" w:rsidRDefault="00630798" w:rsidP="00E43F17">
      <w:pPr>
        <w:spacing w:after="0" w:line="240" w:lineRule="auto"/>
        <w:ind w:firstLine="851"/>
        <w:jc w:val="both"/>
        <w:rPr>
          <w:rFonts w:ascii="Times New Roman" w:hAnsi="Times New Roman" w:cs="Times New Roman"/>
          <w:sz w:val="24"/>
          <w:szCs w:val="24"/>
        </w:rPr>
      </w:pPr>
      <w:r w:rsidRPr="00E43F17">
        <w:rPr>
          <w:rFonts w:ascii="Times New Roman" w:hAnsi="Times New Roman" w:cs="Times New Roman"/>
          <w:sz w:val="24"/>
          <w:szCs w:val="24"/>
        </w:rPr>
        <w:t>За 2018 - 2020 гг. неудовлетворительных результатов микробиологических исследований изделий медицинского назначения и неудовлетворительных результатов биологического контроля работы стерилизаторов  дез.камер зарегистрировано не было.</w:t>
      </w:r>
    </w:p>
    <w:p w:rsidR="00630798" w:rsidRPr="00E43F17" w:rsidRDefault="00630798" w:rsidP="00E43F17">
      <w:pPr>
        <w:spacing w:after="0" w:line="240" w:lineRule="auto"/>
        <w:ind w:firstLine="851"/>
        <w:jc w:val="both"/>
        <w:rPr>
          <w:rFonts w:ascii="Times New Roman" w:hAnsi="Times New Roman" w:cs="Times New Roman"/>
          <w:sz w:val="24"/>
          <w:szCs w:val="24"/>
        </w:rPr>
      </w:pPr>
      <w:r w:rsidRPr="00E43F17">
        <w:rPr>
          <w:rFonts w:ascii="Times New Roman" w:hAnsi="Times New Roman" w:cs="Times New Roman"/>
          <w:sz w:val="24"/>
          <w:szCs w:val="24"/>
        </w:rPr>
        <w:t>Отсутствие системы раннего активного выявления ИСМП не всегда позволяет своевременно выявить предвестники эпидемиологического неблагополучия, разработать комплекс эффективных профилактических и противоэпидемических мероприятий и как следствие может привести к осложнению эпидемиологической ситуации, регистрации генерализованных форм заболеваний и даже летальных исходов.</w:t>
      </w:r>
    </w:p>
    <w:p w:rsidR="00630798" w:rsidRPr="00E43F17" w:rsidRDefault="00630798" w:rsidP="00E43F17">
      <w:pPr>
        <w:spacing w:after="0" w:line="240" w:lineRule="auto"/>
        <w:ind w:firstLine="851"/>
        <w:jc w:val="both"/>
        <w:rPr>
          <w:rFonts w:ascii="Times New Roman" w:hAnsi="Times New Roman" w:cs="Times New Roman"/>
          <w:sz w:val="24"/>
          <w:szCs w:val="24"/>
        </w:rPr>
      </w:pPr>
      <w:r w:rsidRPr="00E43F17">
        <w:rPr>
          <w:rFonts w:ascii="Times New Roman" w:hAnsi="Times New Roman" w:cs="Times New Roman"/>
          <w:sz w:val="24"/>
          <w:szCs w:val="24"/>
        </w:rPr>
        <w:t>Внушает серьезное опасение и требует принятия соответствующих мер соотношение гнойно-септических и внутриутробных инфекций, свидетельствующие о сокрытии ИМСП и скрыто протекающем эпидемическом процессе.</w:t>
      </w:r>
    </w:p>
    <w:p w:rsidR="00630798" w:rsidRPr="00582568" w:rsidRDefault="00630798" w:rsidP="00630798">
      <w:pPr>
        <w:ind w:firstLine="851"/>
        <w:jc w:val="both"/>
        <w:rPr>
          <w:szCs w:val="24"/>
          <w:highlight w:val="yellow"/>
        </w:rPr>
      </w:pPr>
    </w:p>
    <w:p w:rsidR="00630798" w:rsidRPr="00E43F17" w:rsidRDefault="00630798" w:rsidP="00E43F17">
      <w:pPr>
        <w:pStyle w:val="ad"/>
        <w:jc w:val="left"/>
        <w:rPr>
          <w:rFonts w:ascii="Times New Roman" w:hAnsi="Times New Roman"/>
          <w:b/>
        </w:rPr>
      </w:pPr>
      <w:r w:rsidRPr="00E43F17">
        <w:rPr>
          <w:rFonts w:ascii="Times New Roman" w:hAnsi="Times New Roman"/>
          <w:b/>
        </w:rPr>
        <w:t>1.3.8. ОКИ</w:t>
      </w:r>
    </w:p>
    <w:p w:rsidR="00630798" w:rsidRPr="00E43F17" w:rsidRDefault="00630798" w:rsidP="00E43F17">
      <w:pPr>
        <w:spacing w:after="0" w:line="240" w:lineRule="auto"/>
        <w:ind w:firstLine="708"/>
        <w:jc w:val="both"/>
        <w:rPr>
          <w:rFonts w:ascii="Times New Roman" w:hAnsi="Times New Roman" w:cs="Times New Roman"/>
          <w:sz w:val="24"/>
          <w:szCs w:val="24"/>
        </w:rPr>
      </w:pPr>
      <w:r w:rsidRPr="00E43F17">
        <w:rPr>
          <w:rFonts w:ascii="Times New Roman" w:hAnsi="Times New Roman" w:cs="Times New Roman"/>
          <w:sz w:val="24"/>
          <w:szCs w:val="24"/>
        </w:rPr>
        <w:t>В 2020г в связи с повышенной заболеваемостью новой коронавирусной инфекцией  на территории г. Пыть – Ях заболеваемость острыми кишечными инфекциями (ОКИ) в структруре общей заболеваемости со 2 места ( 2019,2018гг) заняла 5 место, показатель заболеваемости на 100тыс населения составил 0,7. В 2019г в структуре инфекционной заболеваемости, без ОРЗ и гриппа, они составляли 14,1 %.</w:t>
      </w:r>
    </w:p>
    <w:p w:rsidR="00630798" w:rsidRPr="00E43F17" w:rsidRDefault="00630798" w:rsidP="00E43F17">
      <w:pPr>
        <w:spacing w:after="0" w:line="240" w:lineRule="auto"/>
        <w:ind w:firstLine="360"/>
        <w:jc w:val="both"/>
        <w:rPr>
          <w:rFonts w:ascii="Times New Roman" w:hAnsi="Times New Roman" w:cs="Times New Roman"/>
          <w:color w:val="000000"/>
          <w:sz w:val="24"/>
          <w:szCs w:val="24"/>
        </w:rPr>
      </w:pPr>
      <w:r w:rsidRPr="00E43F17">
        <w:rPr>
          <w:rFonts w:ascii="Times New Roman" w:hAnsi="Times New Roman" w:cs="Times New Roman"/>
          <w:color w:val="000000"/>
          <w:sz w:val="24"/>
          <w:szCs w:val="24"/>
        </w:rPr>
        <w:t>В 2020г, как и в предыдущие годы в структуре ОКИ наибольший удельный вес у  ОКИ неустановленной этиологии, составляющий 62,4% ( 2019г-70,6 %), ОКИ установленной этиологии –32,6% ( 2019г-26,8 % ) , сальмонеллезы –4.3% ( 2019г-2,6 %)  (рис.7).</w:t>
      </w:r>
    </w:p>
    <w:p w:rsidR="00630798" w:rsidRPr="00E43F17" w:rsidRDefault="00630798" w:rsidP="00E43F17">
      <w:pPr>
        <w:pStyle w:val="a5"/>
        <w:ind w:firstLine="709"/>
        <w:jc w:val="both"/>
        <w:rPr>
          <w:sz w:val="24"/>
          <w:szCs w:val="24"/>
          <w:lang w:val="ru-RU"/>
        </w:rPr>
      </w:pPr>
      <w:r w:rsidRPr="00E43F17">
        <w:rPr>
          <w:sz w:val="24"/>
          <w:szCs w:val="24"/>
          <w:lang w:val="ru-RU"/>
        </w:rPr>
        <w:t>В 2020г показатель заболеваемости ОКИ  на 100тыс населения снизился, по сравнению с 2019 на 36%</w:t>
      </w:r>
      <w:r w:rsidRPr="00E43F17">
        <w:rPr>
          <w:sz w:val="24"/>
          <w:szCs w:val="24"/>
        </w:rPr>
        <w:t xml:space="preserve"> состав</w:t>
      </w:r>
      <w:r w:rsidRPr="00E43F17">
        <w:rPr>
          <w:sz w:val="24"/>
          <w:szCs w:val="24"/>
          <w:lang w:val="ru-RU"/>
        </w:rPr>
        <w:t>ил</w:t>
      </w:r>
      <w:r w:rsidRPr="00E43F17">
        <w:rPr>
          <w:sz w:val="24"/>
          <w:szCs w:val="24"/>
        </w:rPr>
        <w:t xml:space="preserve"> </w:t>
      </w:r>
      <w:r w:rsidRPr="00E43F17">
        <w:rPr>
          <w:sz w:val="24"/>
          <w:szCs w:val="24"/>
          <w:lang w:val="ru-RU"/>
        </w:rPr>
        <w:t xml:space="preserve">353,9. </w:t>
      </w:r>
      <w:r w:rsidRPr="00E43F17">
        <w:rPr>
          <w:sz w:val="24"/>
          <w:szCs w:val="24"/>
        </w:rPr>
        <w:t>В 201</w:t>
      </w:r>
      <w:r w:rsidRPr="00E43F17">
        <w:rPr>
          <w:sz w:val="24"/>
          <w:szCs w:val="24"/>
          <w:lang w:val="ru-RU"/>
        </w:rPr>
        <w:t>9</w:t>
      </w:r>
      <w:r w:rsidRPr="00E43F17">
        <w:rPr>
          <w:sz w:val="24"/>
          <w:szCs w:val="24"/>
        </w:rPr>
        <w:t xml:space="preserve"> г. показатель заболеваемости ОКИ по сравнению с 201</w:t>
      </w:r>
      <w:r w:rsidRPr="00E43F17">
        <w:rPr>
          <w:sz w:val="24"/>
          <w:szCs w:val="24"/>
          <w:lang w:val="ru-RU"/>
        </w:rPr>
        <w:t>8</w:t>
      </w:r>
      <w:r w:rsidRPr="00E43F17">
        <w:rPr>
          <w:sz w:val="24"/>
          <w:szCs w:val="24"/>
        </w:rPr>
        <w:t xml:space="preserve">г. снизился  на </w:t>
      </w:r>
      <w:r w:rsidRPr="00E43F17">
        <w:rPr>
          <w:sz w:val="24"/>
          <w:szCs w:val="24"/>
          <w:lang w:val="ru-RU"/>
        </w:rPr>
        <w:t xml:space="preserve">24,6 </w:t>
      </w:r>
      <w:r w:rsidRPr="00E43F17">
        <w:rPr>
          <w:sz w:val="24"/>
          <w:szCs w:val="24"/>
        </w:rPr>
        <w:t>%  и составля</w:t>
      </w:r>
      <w:r w:rsidRPr="00E43F17">
        <w:rPr>
          <w:sz w:val="24"/>
          <w:szCs w:val="24"/>
          <w:lang w:val="ru-RU"/>
        </w:rPr>
        <w:t>л</w:t>
      </w:r>
      <w:r w:rsidRPr="00E43F17">
        <w:rPr>
          <w:sz w:val="24"/>
          <w:szCs w:val="24"/>
        </w:rPr>
        <w:t xml:space="preserve"> </w:t>
      </w:r>
      <w:r w:rsidRPr="00E43F17">
        <w:rPr>
          <w:sz w:val="24"/>
          <w:szCs w:val="24"/>
          <w:lang w:val="ru-RU"/>
        </w:rPr>
        <w:t>553,1</w:t>
      </w:r>
      <w:r w:rsidRPr="00E43F17">
        <w:rPr>
          <w:sz w:val="24"/>
          <w:szCs w:val="24"/>
        </w:rPr>
        <w:t xml:space="preserve"> на 100 тыс. населения. Показатель заболеваемости  </w:t>
      </w:r>
      <w:r w:rsidRPr="00E43F17">
        <w:rPr>
          <w:sz w:val="24"/>
          <w:szCs w:val="24"/>
          <w:lang w:val="ru-RU"/>
        </w:rPr>
        <w:t>ниже</w:t>
      </w:r>
      <w:r w:rsidRPr="00E43F17">
        <w:rPr>
          <w:sz w:val="24"/>
          <w:szCs w:val="24"/>
        </w:rPr>
        <w:t xml:space="preserve"> среднеокружны</w:t>
      </w:r>
      <w:r w:rsidRPr="00E43F17">
        <w:rPr>
          <w:sz w:val="24"/>
          <w:szCs w:val="24"/>
          <w:lang w:val="ru-RU"/>
        </w:rPr>
        <w:t>х</w:t>
      </w:r>
      <w:r w:rsidRPr="00E43F17">
        <w:rPr>
          <w:sz w:val="24"/>
          <w:szCs w:val="24"/>
        </w:rPr>
        <w:t xml:space="preserve"> показател</w:t>
      </w:r>
      <w:r w:rsidRPr="00E43F17">
        <w:rPr>
          <w:sz w:val="24"/>
          <w:szCs w:val="24"/>
          <w:lang w:val="ru-RU"/>
        </w:rPr>
        <w:t>ей</w:t>
      </w:r>
      <w:r w:rsidRPr="00E43F17">
        <w:rPr>
          <w:sz w:val="24"/>
          <w:szCs w:val="24"/>
        </w:rPr>
        <w:t xml:space="preserve">  на </w:t>
      </w:r>
      <w:r w:rsidRPr="00E43F17">
        <w:rPr>
          <w:sz w:val="24"/>
          <w:szCs w:val="24"/>
          <w:lang w:val="ru-RU"/>
        </w:rPr>
        <w:t>32,5% ( в 2019г был ниже на 40,0</w:t>
      </w:r>
      <w:r w:rsidRPr="00E43F17">
        <w:rPr>
          <w:sz w:val="24"/>
          <w:szCs w:val="24"/>
        </w:rPr>
        <w:t xml:space="preserve"> % (показатель заболеваемости на 100 тыс. по ХМАО-</w:t>
      </w:r>
      <w:r w:rsidRPr="00E43F17">
        <w:rPr>
          <w:sz w:val="24"/>
          <w:szCs w:val="24"/>
          <w:lang w:val="ru-RU"/>
        </w:rPr>
        <w:t>524,8).</w:t>
      </w:r>
    </w:p>
    <w:p w:rsidR="00630798" w:rsidRPr="00E43F17" w:rsidRDefault="00630798" w:rsidP="00E43F17">
      <w:pPr>
        <w:spacing w:after="0" w:line="240" w:lineRule="auto"/>
        <w:ind w:firstLine="360"/>
        <w:jc w:val="both"/>
        <w:rPr>
          <w:rFonts w:ascii="Times New Roman" w:hAnsi="Times New Roman" w:cs="Times New Roman"/>
          <w:sz w:val="24"/>
          <w:szCs w:val="24"/>
        </w:rPr>
      </w:pPr>
      <w:r w:rsidRPr="00E43F17">
        <w:rPr>
          <w:rFonts w:ascii="Times New Roman" w:hAnsi="Times New Roman" w:cs="Times New Roman"/>
          <w:sz w:val="24"/>
          <w:szCs w:val="24"/>
        </w:rPr>
        <w:t xml:space="preserve">Среди ОКИ установленной этиологии на кишечные инфекции ротавирусной этиологии приходится 47,7% ( 2019г-44,8 %), норовирусной этиологии-15,9% ( 2019г-22,4%), прочих вирусных ОКИ- 36,4% (2019г-17,9%), ОКИ установленной бактериальной этиологии –4,3% ( 2019г- 14,9 %). По возрастному составу 79,5 %( 2019г- 78,5 %) заболеваемости ОКИ приходится на детей в возрасте до 17 лет, на взрослых- 20,5 ( 2019г-21,5 %), и существенно не изменилась, по сравнению с 2019годом. </w:t>
      </w:r>
    </w:p>
    <w:p w:rsidR="00630798" w:rsidRPr="00582568" w:rsidRDefault="00630798" w:rsidP="00630798">
      <w:pPr>
        <w:ind w:firstLine="360"/>
        <w:jc w:val="center"/>
        <w:rPr>
          <w:bCs/>
          <w:highlight w:val="yellow"/>
        </w:rPr>
      </w:pPr>
      <w:r w:rsidRPr="00582568">
        <w:rPr>
          <w:noProof/>
          <w:color w:val="000000"/>
          <w:szCs w:val="24"/>
          <w:highlight w:val="yellow"/>
          <w:lang w:eastAsia="ru-RU"/>
        </w:rPr>
        <w:drawing>
          <wp:anchor distT="0" distB="0" distL="114300" distR="114300" simplePos="0" relativeHeight="251672576" behindDoc="0" locked="0" layoutInCell="1" allowOverlap="1">
            <wp:simplePos x="0" y="0"/>
            <wp:positionH relativeFrom="column">
              <wp:posOffset>230505</wp:posOffset>
            </wp:positionH>
            <wp:positionV relativeFrom="paragraph">
              <wp:posOffset>43180</wp:posOffset>
            </wp:positionV>
            <wp:extent cx="5293360" cy="2136775"/>
            <wp:effectExtent l="0" t="0" r="5080" b="2540"/>
            <wp:wrapNone/>
            <wp:docPr id="31" name="Диаграмма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p>
    <w:p w:rsidR="00630798" w:rsidRPr="00582568" w:rsidRDefault="00630798" w:rsidP="00630798">
      <w:pPr>
        <w:rPr>
          <w:bCs/>
          <w:highlight w:val="yellow"/>
        </w:rPr>
      </w:pPr>
    </w:p>
    <w:p w:rsidR="00630798" w:rsidRPr="00582568" w:rsidRDefault="00630798" w:rsidP="00630798">
      <w:pPr>
        <w:ind w:firstLine="360"/>
        <w:jc w:val="center"/>
        <w:rPr>
          <w:bCs/>
          <w:highlight w:val="yellow"/>
        </w:rPr>
      </w:pPr>
    </w:p>
    <w:p w:rsidR="00630798" w:rsidRPr="00582568" w:rsidRDefault="00630798" w:rsidP="00630798">
      <w:pPr>
        <w:rPr>
          <w:bCs/>
          <w:highlight w:val="yellow"/>
        </w:rPr>
      </w:pPr>
    </w:p>
    <w:p w:rsidR="00630798" w:rsidRPr="00582568" w:rsidRDefault="00630798" w:rsidP="00630798">
      <w:pPr>
        <w:rPr>
          <w:bCs/>
          <w:highlight w:val="yellow"/>
        </w:rPr>
      </w:pPr>
    </w:p>
    <w:p w:rsidR="00630798" w:rsidRPr="00582568" w:rsidRDefault="00630798" w:rsidP="00630798">
      <w:pPr>
        <w:rPr>
          <w:bCs/>
          <w:highlight w:val="yellow"/>
        </w:rPr>
      </w:pPr>
    </w:p>
    <w:p w:rsidR="00630798" w:rsidRPr="00582568" w:rsidRDefault="00630798" w:rsidP="00630798">
      <w:pPr>
        <w:rPr>
          <w:bCs/>
          <w:highlight w:val="yellow"/>
        </w:rPr>
      </w:pPr>
    </w:p>
    <w:p w:rsidR="00630798" w:rsidRPr="00582568" w:rsidRDefault="00630798" w:rsidP="00630798">
      <w:pPr>
        <w:rPr>
          <w:bCs/>
          <w:highlight w:val="yellow"/>
        </w:rPr>
      </w:pPr>
    </w:p>
    <w:p w:rsidR="00630798" w:rsidRPr="00A47BC3" w:rsidRDefault="00630798" w:rsidP="00630798">
      <w:pPr>
        <w:rPr>
          <w:rFonts w:ascii="Times New Roman" w:hAnsi="Times New Roman" w:cs="Times New Roman"/>
        </w:rPr>
      </w:pPr>
      <w:r w:rsidRPr="00A47BC3">
        <w:rPr>
          <w:rFonts w:ascii="Times New Roman" w:hAnsi="Times New Roman" w:cs="Times New Roman"/>
          <w:bCs/>
        </w:rPr>
        <w:t>Рис. № 7</w:t>
      </w:r>
      <w:r w:rsidRPr="00A47BC3">
        <w:rPr>
          <w:rFonts w:ascii="Times New Roman" w:hAnsi="Times New Roman" w:cs="Times New Roman"/>
        </w:rPr>
        <w:t>. Структура острых кишечных инфекций в г. Пыть - Ях в 2020 г.</w:t>
      </w:r>
    </w:p>
    <w:p w:rsidR="00630798" w:rsidRPr="00EA4ACE" w:rsidRDefault="00630798" w:rsidP="00630798">
      <w:pPr>
        <w:pStyle w:val="a5"/>
        <w:ind w:firstLine="709"/>
        <w:jc w:val="both"/>
        <w:rPr>
          <w:sz w:val="24"/>
        </w:rPr>
      </w:pPr>
    </w:p>
    <w:p w:rsidR="00630798" w:rsidRPr="00EA4ACE" w:rsidRDefault="00630798" w:rsidP="00630798">
      <w:pPr>
        <w:pStyle w:val="a5"/>
        <w:jc w:val="both"/>
        <w:rPr>
          <w:sz w:val="24"/>
        </w:rPr>
      </w:pPr>
      <w:r w:rsidRPr="00EA4ACE">
        <w:rPr>
          <w:sz w:val="24"/>
        </w:rPr>
        <w:lastRenderedPageBreak/>
        <w:tab/>
      </w:r>
      <w:r w:rsidRPr="00EA4ACE">
        <w:rPr>
          <w:rFonts w:ascii="Calibri" w:hAnsi="Calibri" w:cs="Calibri"/>
          <w:b/>
          <w:bCs/>
          <w:noProof/>
          <w:sz w:val="22"/>
          <w:szCs w:val="22"/>
          <w:lang w:val="ru-RU" w:eastAsia="ru-RU"/>
        </w:rPr>
        <w:drawing>
          <wp:inline distT="0" distB="0" distL="0" distR="0">
            <wp:extent cx="5495925" cy="3305175"/>
            <wp:effectExtent l="0" t="0" r="0" b="0"/>
            <wp:docPr id="25" name="Диаграмма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630798" w:rsidRPr="00A47BC3" w:rsidRDefault="00630798" w:rsidP="00630798">
      <w:pPr>
        <w:tabs>
          <w:tab w:val="left" w:pos="6840"/>
        </w:tabs>
        <w:jc w:val="center"/>
        <w:rPr>
          <w:rFonts w:ascii="Times New Roman" w:hAnsi="Times New Roman" w:cs="Times New Roman"/>
        </w:rPr>
      </w:pPr>
      <w:r w:rsidRPr="00A47BC3">
        <w:rPr>
          <w:rFonts w:ascii="Times New Roman" w:hAnsi="Times New Roman" w:cs="Times New Roman"/>
        </w:rPr>
        <w:t>Рис. № 8. Динамика заболеваемости  ОКИ   за 2018-2020 гг.</w:t>
      </w:r>
    </w:p>
    <w:p w:rsidR="00630798" w:rsidRPr="00A47BC3" w:rsidRDefault="00630798" w:rsidP="00A47BC3">
      <w:pPr>
        <w:pStyle w:val="a5"/>
        <w:jc w:val="both"/>
        <w:rPr>
          <w:sz w:val="24"/>
          <w:szCs w:val="24"/>
          <w:lang w:val="ru-RU"/>
        </w:rPr>
      </w:pPr>
      <w:r w:rsidRPr="00A47BC3">
        <w:rPr>
          <w:sz w:val="24"/>
          <w:szCs w:val="24"/>
          <w:lang w:val="ru-RU"/>
        </w:rPr>
        <w:t xml:space="preserve">            В 2018 г. в г. Пыть - Ях зарегистрирована 1 вспышка ОКИ ротавирусной этиологии среди воспитанников МДОАУ ЦРР – детский сад «Фантазия», количество пострадавших – 5 человек, в том числе дети до 17 лет – 5 человек.</w:t>
      </w:r>
    </w:p>
    <w:p w:rsidR="00630798" w:rsidRPr="00A47BC3" w:rsidRDefault="00630798" w:rsidP="00A47BC3">
      <w:pPr>
        <w:spacing w:after="0" w:line="240" w:lineRule="auto"/>
        <w:ind w:firstLine="709"/>
        <w:jc w:val="both"/>
        <w:rPr>
          <w:rFonts w:ascii="Times New Roman" w:hAnsi="Times New Roman" w:cs="Times New Roman"/>
          <w:sz w:val="24"/>
          <w:szCs w:val="24"/>
        </w:rPr>
      </w:pPr>
      <w:r w:rsidRPr="00A47BC3">
        <w:rPr>
          <w:rFonts w:ascii="Times New Roman" w:hAnsi="Times New Roman" w:cs="Times New Roman"/>
          <w:sz w:val="24"/>
          <w:szCs w:val="24"/>
        </w:rPr>
        <w:t>В динамике наблюдается снижение показателей заболеваемости ОКИ, в целом. В 2019,2020 годах  вспышек кишечных инфекций в г. Пыть-Ях не зарегистрировано.</w:t>
      </w:r>
    </w:p>
    <w:p w:rsidR="00630798" w:rsidRPr="00A47BC3" w:rsidRDefault="00630798" w:rsidP="00A47BC3">
      <w:pPr>
        <w:pStyle w:val="24"/>
        <w:spacing w:after="0" w:line="240" w:lineRule="auto"/>
        <w:ind w:left="0" w:firstLine="567"/>
        <w:jc w:val="both"/>
        <w:rPr>
          <w:sz w:val="24"/>
          <w:szCs w:val="24"/>
        </w:rPr>
      </w:pPr>
      <w:r w:rsidRPr="00A47BC3">
        <w:rPr>
          <w:sz w:val="24"/>
          <w:szCs w:val="24"/>
        </w:rPr>
        <w:t xml:space="preserve">В 2020  количество заболевших  сальмонеллезной инфекцией осталось на уровне 2019г ( 6 чел). По сравнению с 2018 годом наблюдается снижение  сальмонеллезной инфекции на 43  %. Показатель на 100 тыс. населения –в 2020г-15,1 , 2019г- 14,6 показатель на 100 тыс.нас. в 2018 году- 25,8. </w:t>
      </w:r>
    </w:p>
    <w:p w:rsidR="00630798" w:rsidRPr="00A47BC3" w:rsidRDefault="00630798" w:rsidP="00A47BC3">
      <w:pPr>
        <w:pStyle w:val="24"/>
        <w:spacing w:after="0" w:line="240" w:lineRule="auto"/>
        <w:ind w:left="0" w:firstLine="567"/>
        <w:jc w:val="both"/>
        <w:rPr>
          <w:sz w:val="24"/>
          <w:szCs w:val="24"/>
        </w:rPr>
      </w:pPr>
      <w:r w:rsidRPr="00A47BC3">
        <w:rPr>
          <w:sz w:val="24"/>
          <w:szCs w:val="24"/>
        </w:rPr>
        <w:t xml:space="preserve">В 2020г в этиологической структуре по прежнему  основной количество заболеваний обусловлено возбудителем- </w:t>
      </w:r>
      <w:r w:rsidRPr="00A47BC3">
        <w:rPr>
          <w:sz w:val="24"/>
          <w:szCs w:val="24"/>
          <w:lang w:val="en-US"/>
        </w:rPr>
        <w:t>S</w:t>
      </w:r>
      <w:r w:rsidRPr="00A47BC3">
        <w:rPr>
          <w:sz w:val="24"/>
          <w:szCs w:val="24"/>
        </w:rPr>
        <w:t xml:space="preserve">. </w:t>
      </w:r>
      <w:r w:rsidRPr="00A47BC3">
        <w:rPr>
          <w:sz w:val="24"/>
          <w:szCs w:val="24"/>
          <w:lang w:val="en-US"/>
        </w:rPr>
        <w:t>Enteritidis</w:t>
      </w:r>
      <w:r w:rsidRPr="00A47BC3">
        <w:rPr>
          <w:sz w:val="24"/>
          <w:szCs w:val="24"/>
        </w:rPr>
        <w:t>: в  5 случаев- 83%-  сальмонеллы «Д» (</w:t>
      </w:r>
      <w:bookmarkStart w:id="37" w:name="_Hlk62926614"/>
      <w:r w:rsidRPr="00A47BC3">
        <w:rPr>
          <w:sz w:val="24"/>
          <w:szCs w:val="24"/>
          <w:lang w:val="en-US"/>
        </w:rPr>
        <w:t>S</w:t>
      </w:r>
      <w:r w:rsidRPr="00A47BC3">
        <w:rPr>
          <w:sz w:val="24"/>
          <w:szCs w:val="24"/>
        </w:rPr>
        <w:t xml:space="preserve">. </w:t>
      </w:r>
      <w:r w:rsidRPr="00A47BC3">
        <w:rPr>
          <w:sz w:val="24"/>
          <w:szCs w:val="24"/>
          <w:lang w:val="en-US"/>
        </w:rPr>
        <w:t>Enteritidis</w:t>
      </w:r>
      <w:bookmarkEnd w:id="37"/>
      <w:r w:rsidRPr="00A47BC3">
        <w:rPr>
          <w:sz w:val="24"/>
          <w:szCs w:val="24"/>
        </w:rPr>
        <w:t>), 1 случай- сальмонелла группы В-17%; в 2018 г. в этиологической структуре заболеваемости сальмонеллезом преобладает сальмонелла группы «Д» (</w:t>
      </w:r>
      <w:r w:rsidRPr="00A47BC3">
        <w:rPr>
          <w:sz w:val="24"/>
          <w:szCs w:val="24"/>
          <w:lang w:val="en-US"/>
        </w:rPr>
        <w:t>S</w:t>
      </w:r>
      <w:r w:rsidRPr="00A47BC3">
        <w:rPr>
          <w:sz w:val="24"/>
          <w:szCs w:val="24"/>
        </w:rPr>
        <w:t xml:space="preserve">. </w:t>
      </w:r>
      <w:r w:rsidRPr="00A47BC3">
        <w:rPr>
          <w:sz w:val="24"/>
          <w:szCs w:val="24"/>
          <w:lang w:val="en-US"/>
        </w:rPr>
        <w:t>Enteritidis</w:t>
      </w:r>
      <w:r w:rsidRPr="00A47BC3">
        <w:rPr>
          <w:sz w:val="24"/>
          <w:szCs w:val="24"/>
        </w:rPr>
        <w:t>) – 81,8 % (9 случаев), сальмонеллы группы «С» - 18,2 % (2 случая); в 2019 г. зарегистрировано 5 случаев сальмонеллеза, вызванного сальмонеллой  группы «Д» (</w:t>
      </w:r>
      <w:r w:rsidRPr="00A47BC3">
        <w:rPr>
          <w:sz w:val="24"/>
          <w:szCs w:val="24"/>
          <w:lang w:val="en-US"/>
        </w:rPr>
        <w:t>S</w:t>
      </w:r>
      <w:r w:rsidRPr="00A47BC3">
        <w:rPr>
          <w:sz w:val="24"/>
          <w:szCs w:val="24"/>
        </w:rPr>
        <w:t xml:space="preserve">. </w:t>
      </w:r>
      <w:r w:rsidRPr="00A47BC3">
        <w:rPr>
          <w:sz w:val="24"/>
          <w:szCs w:val="24"/>
          <w:lang w:val="en-US"/>
        </w:rPr>
        <w:t>Enteritidis</w:t>
      </w:r>
      <w:r w:rsidRPr="00A47BC3">
        <w:rPr>
          <w:sz w:val="24"/>
          <w:szCs w:val="24"/>
        </w:rPr>
        <w:t>) – 83,3%, 1 случай – сальмонеллой группы В (</w:t>
      </w:r>
      <w:r w:rsidRPr="00A47BC3">
        <w:rPr>
          <w:sz w:val="24"/>
          <w:szCs w:val="24"/>
          <w:lang w:val="en-US"/>
        </w:rPr>
        <w:t>S</w:t>
      </w:r>
      <w:r w:rsidRPr="00A47BC3">
        <w:rPr>
          <w:sz w:val="24"/>
          <w:szCs w:val="24"/>
        </w:rPr>
        <w:t xml:space="preserve">. </w:t>
      </w:r>
      <w:r w:rsidRPr="00A47BC3">
        <w:rPr>
          <w:sz w:val="24"/>
          <w:szCs w:val="24"/>
          <w:lang w:val="en-US"/>
        </w:rPr>
        <w:t>agons</w:t>
      </w:r>
      <w:r w:rsidRPr="00A47BC3">
        <w:rPr>
          <w:sz w:val="24"/>
          <w:szCs w:val="24"/>
        </w:rPr>
        <w:t>).</w:t>
      </w:r>
    </w:p>
    <w:p w:rsidR="00630798" w:rsidRPr="00A47BC3" w:rsidRDefault="00630798" w:rsidP="00A47BC3">
      <w:pPr>
        <w:pStyle w:val="24"/>
        <w:spacing w:after="0" w:line="240" w:lineRule="auto"/>
        <w:ind w:left="0" w:firstLine="567"/>
        <w:jc w:val="both"/>
        <w:rPr>
          <w:sz w:val="24"/>
          <w:szCs w:val="24"/>
        </w:rPr>
      </w:pPr>
      <w:r w:rsidRPr="00A47BC3">
        <w:rPr>
          <w:sz w:val="24"/>
          <w:szCs w:val="24"/>
        </w:rPr>
        <w:t>В 2020 году в возрастной структуре сальмонеллезов , в отличии от 2019 года  на взрослых приходится 17% на детей до 17 лет- 83% ( 2019г-взрослые 66,7 % случаев,  на детей 0-17 лет – 33,3 %) .</w:t>
      </w:r>
    </w:p>
    <w:p w:rsidR="00630798" w:rsidRPr="00A47BC3" w:rsidRDefault="00630798" w:rsidP="00A47BC3">
      <w:pPr>
        <w:pStyle w:val="a5"/>
        <w:jc w:val="both"/>
        <w:rPr>
          <w:sz w:val="24"/>
          <w:szCs w:val="24"/>
        </w:rPr>
      </w:pPr>
      <w:r w:rsidRPr="00A47BC3">
        <w:rPr>
          <w:sz w:val="24"/>
          <w:szCs w:val="24"/>
        </w:rPr>
        <w:tab/>
        <w:t>По факторам передачи сальмонеллезной инфекции  в период 201</w:t>
      </w:r>
      <w:r w:rsidRPr="00A47BC3">
        <w:rPr>
          <w:sz w:val="24"/>
          <w:szCs w:val="24"/>
          <w:lang w:val="ru-RU"/>
        </w:rPr>
        <w:t>8-2</w:t>
      </w:r>
      <w:r w:rsidRPr="00A47BC3">
        <w:rPr>
          <w:sz w:val="24"/>
          <w:szCs w:val="24"/>
        </w:rPr>
        <w:t>0</w:t>
      </w:r>
      <w:r w:rsidRPr="00A47BC3">
        <w:rPr>
          <w:sz w:val="24"/>
          <w:szCs w:val="24"/>
          <w:lang w:val="ru-RU"/>
        </w:rPr>
        <w:t>20</w:t>
      </w:r>
      <w:r w:rsidRPr="00A47BC3">
        <w:rPr>
          <w:sz w:val="24"/>
          <w:szCs w:val="24"/>
        </w:rPr>
        <w:t xml:space="preserve"> г</w:t>
      </w:r>
      <w:r w:rsidRPr="00A47BC3">
        <w:rPr>
          <w:sz w:val="24"/>
          <w:szCs w:val="24"/>
          <w:lang w:val="ru-RU"/>
        </w:rPr>
        <w:t>г.</w:t>
      </w:r>
      <w:r w:rsidRPr="00A47BC3">
        <w:rPr>
          <w:sz w:val="24"/>
          <w:szCs w:val="24"/>
        </w:rPr>
        <w:t xml:space="preserve"> существенного преобладания какого либо фактора не установлено.</w:t>
      </w:r>
    </w:p>
    <w:p w:rsidR="00630798" w:rsidRPr="00A47BC3" w:rsidRDefault="00630798" w:rsidP="00A47BC3">
      <w:pPr>
        <w:pStyle w:val="a5"/>
        <w:jc w:val="both"/>
        <w:rPr>
          <w:sz w:val="24"/>
          <w:szCs w:val="24"/>
          <w:lang w:val="ru-RU"/>
        </w:rPr>
      </w:pPr>
      <w:r w:rsidRPr="00A47BC3">
        <w:rPr>
          <w:sz w:val="24"/>
          <w:szCs w:val="24"/>
        </w:rPr>
        <w:tab/>
        <w:t>В течение 20</w:t>
      </w:r>
      <w:r w:rsidRPr="00A47BC3">
        <w:rPr>
          <w:sz w:val="24"/>
          <w:szCs w:val="24"/>
          <w:lang w:val="ru-RU"/>
        </w:rPr>
        <w:t>20</w:t>
      </w:r>
      <w:r w:rsidRPr="00A47BC3">
        <w:rPr>
          <w:sz w:val="24"/>
          <w:szCs w:val="24"/>
        </w:rPr>
        <w:t xml:space="preserve"> года проводился эпидемиологический надзор за сальмонеллами.  В пищевых продуктах и объектах внешней среды сальмонелл  обнаружено не было.</w:t>
      </w:r>
    </w:p>
    <w:p w:rsidR="00630798" w:rsidRPr="00A47BC3" w:rsidRDefault="00630798" w:rsidP="00A47BC3">
      <w:pPr>
        <w:pStyle w:val="a5"/>
        <w:jc w:val="both"/>
        <w:rPr>
          <w:sz w:val="24"/>
          <w:szCs w:val="24"/>
          <w:lang w:val="ru-RU"/>
        </w:rPr>
      </w:pPr>
      <w:r w:rsidRPr="00A47BC3">
        <w:rPr>
          <w:sz w:val="24"/>
          <w:szCs w:val="24"/>
          <w:lang w:val="ru-RU"/>
        </w:rPr>
        <w:tab/>
        <w:t>Задачи по профилактике сальмонеллеза:</w:t>
      </w:r>
    </w:p>
    <w:p w:rsidR="00630798" w:rsidRPr="00A47BC3" w:rsidRDefault="00630798" w:rsidP="00A47BC3">
      <w:pPr>
        <w:pStyle w:val="a5"/>
        <w:jc w:val="both"/>
        <w:rPr>
          <w:sz w:val="24"/>
          <w:szCs w:val="24"/>
          <w:lang w:val="ru-RU"/>
        </w:rPr>
      </w:pPr>
      <w:r w:rsidRPr="00A47BC3">
        <w:rPr>
          <w:sz w:val="24"/>
          <w:szCs w:val="24"/>
          <w:lang w:val="ru-RU"/>
        </w:rPr>
        <w:t>- обеспечение населения доброкачественными продуктами;</w:t>
      </w:r>
    </w:p>
    <w:p w:rsidR="00630798" w:rsidRPr="00A47BC3" w:rsidRDefault="00630798" w:rsidP="00A47BC3">
      <w:pPr>
        <w:pStyle w:val="a5"/>
        <w:jc w:val="both"/>
        <w:rPr>
          <w:sz w:val="24"/>
          <w:szCs w:val="24"/>
          <w:lang w:val="ru-RU"/>
        </w:rPr>
      </w:pPr>
      <w:r w:rsidRPr="00A47BC3">
        <w:rPr>
          <w:sz w:val="24"/>
          <w:szCs w:val="24"/>
          <w:lang w:val="ru-RU"/>
        </w:rPr>
        <w:t>- предупреждение нарушения технологического и санитарно – противоэпидемического режима на предприятиях по производству и реализации продуктов питания;</w:t>
      </w:r>
    </w:p>
    <w:p w:rsidR="00630798" w:rsidRPr="00A47BC3" w:rsidRDefault="00630798" w:rsidP="00A47BC3">
      <w:pPr>
        <w:spacing w:after="0" w:line="240" w:lineRule="auto"/>
        <w:ind w:firstLine="709"/>
        <w:jc w:val="both"/>
        <w:rPr>
          <w:rFonts w:ascii="Times New Roman" w:hAnsi="Times New Roman" w:cs="Times New Roman"/>
          <w:sz w:val="24"/>
          <w:szCs w:val="24"/>
        </w:rPr>
      </w:pPr>
      <w:r w:rsidRPr="00A47BC3">
        <w:rPr>
          <w:rFonts w:ascii="Times New Roman" w:hAnsi="Times New Roman" w:cs="Times New Roman"/>
          <w:sz w:val="24"/>
          <w:szCs w:val="24"/>
        </w:rPr>
        <w:t xml:space="preserve">- повышение уровня знаний населения о мерах личной и общественной профилактики кишечных инфекций. </w:t>
      </w:r>
    </w:p>
    <w:p w:rsidR="00630798" w:rsidRPr="00A47BC3" w:rsidRDefault="00630798" w:rsidP="00A47BC3">
      <w:pPr>
        <w:spacing w:after="0" w:line="240" w:lineRule="auto"/>
        <w:ind w:firstLine="709"/>
        <w:jc w:val="both"/>
        <w:rPr>
          <w:rFonts w:ascii="Times New Roman" w:hAnsi="Times New Roman" w:cs="Times New Roman"/>
          <w:color w:val="000000"/>
          <w:sz w:val="24"/>
          <w:szCs w:val="24"/>
        </w:rPr>
      </w:pPr>
      <w:r w:rsidRPr="00A47BC3">
        <w:rPr>
          <w:rFonts w:ascii="Times New Roman" w:hAnsi="Times New Roman" w:cs="Times New Roman"/>
          <w:sz w:val="24"/>
          <w:szCs w:val="24"/>
        </w:rPr>
        <w:t xml:space="preserve">С </w:t>
      </w:r>
      <w:r w:rsidRPr="00A47BC3">
        <w:rPr>
          <w:rFonts w:ascii="Times New Roman" w:hAnsi="Times New Roman" w:cs="Times New Roman"/>
          <w:color w:val="000000"/>
          <w:sz w:val="24"/>
          <w:szCs w:val="24"/>
        </w:rPr>
        <w:t>2018- 2019 гг. случаев дизентерии по территории г. Пыть-Ях не зарегистрировано.</w:t>
      </w:r>
    </w:p>
    <w:p w:rsidR="00630798" w:rsidRPr="00A47BC3" w:rsidRDefault="00630798" w:rsidP="00A47BC3">
      <w:pPr>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 xml:space="preserve">В 2020г установлен 1 случай дизентерии Зонне у ребенка, до 14 лет, в возрастной группе 7-14 лет, показатель составил 2,5 на 100тыс населения, что выше среднеокружных показателей-1,44. </w:t>
      </w:r>
    </w:p>
    <w:p w:rsidR="00630798" w:rsidRPr="00EB3CD4" w:rsidRDefault="00630798" w:rsidP="00630798"/>
    <w:p w:rsidR="00630798" w:rsidRPr="00EB3CD4" w:rsidRDefault="00630798" w:rsidP="00630798">
      <w:pPr>
        <w:pStyle w:val="a7"/>
        <w:ind w:firstLine="709"/>
        <w:jc w:val="right"/>
        <w:rPr>
          <w:sz w:val="22"/>
          <w:szCs w:val="22"/>
        </w:rPr>
      </w:pPr>
      <w:r w:rsidRPr="00EB3CD4">
        <w:rPr>
          <w:sz w:val="22"/>
          <w:szCs w:val="22"/>
        </w:rPr>
        <w:t>Таблица № 15</w:t>
      </w:r>
    </w:p>
    <w:p w:rsidR="00630798" w:rsidRPr="00EB3CD4" w:rsidRDefault="00630798" w:rsidP="00630798">
      <w:pPr>
        <w:pStyle w:val="a7"/>
        <w:ind w:firstLine="709"/>
        <w:jc w:val="center"/>
        <w:rPr>
          <w:sz w:val="22"/>
          <w:szCs w:val="22"/>
        </w:rPr>
      </w:pPr>
      <w:r w:rsidRPr="00EB3CD4">
        <w:rPr>
          <w:b/>
          <w:sz w:val="22"/>
          <w:szCs w:val="22"/>
        </w:rPr>
        <w:t>Этиологическая структура ОЖКЗ</w:t>
      </w:r>
    </w:p>
    <w:p w:rsidR="00630798" w:rsidRPr="00EB3CD4" w:rsidRDefault="00630798" w:rsidP="00630798">
      <w:pPr>
        <w:pStyle w:val="a7"/>
        <w:ind w:firstLine="709"/>
        <w:jc w:val="center"/>
        <w:rPr>
          <w:sz w:val="22"/>
          <w:szCs w:val="22"/>
        </w:rPr>
      </w:pPr>
    </w:p>
    <w:tbl>
      <w:tblPr>
        <w:tblW w:w="9667"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
        <w:gridCol w:w="7"/>
        <w:gridCol w:w="3780"/>
        <w:gridCol w:w="39"/>
        <w:gridCol w:w="880"/>
        <w:gridCol w:w="37"/>
        <w:gridCol w:w="961"/>
        <w:gridCol w:w="18"/>
        <w:gridCol w:w="816"/>
        <w:gridCol w:w="37"/>
        <w:gridCol w:w="1025"/>
        <w:gridCol w:w="933"/>
        <w:gridCol w:w="37"/>
        <w:gridCol w:w="1030"/>
        <w:gridCol w:w="36"/>
      </w:tblGrid>
      <w:tr w:rsidR="00630798" w:rsidRPr="00EB3CD4" w:rsidTr="00630798">
        <w:trPr>
          <w:gridBefore w:val="1"/>
          <w:wBefore w:w="31" w:type="dxa"/>
          <w:cantSplit/>
          <w:trHeight w:val="324"/>
        </w:trPr>
        <w:tc>
          <w:tcPr>
            <w:tcW w:w="3826" w:type="dxa"/>
            <w:gridSpan w:val="3"/>
          </w:tcPr>
          <w:p w:rsidR="00630798" w:rsidRPr="00EB3CD4" w:rsidRDefault="00630798" w:rsidP="00630798">
            <w:pPr>
              <w:spacing w:before="20" w:after="20"/>
              <w:jc w:val="center"/>
            </w:pPr>
          </w:p>
          <w:p w:rsidR="00630798" w:rsidRPr="00EB3CD4" w:rsidRDefault="00630798" w:rsidP="00630798">
            <w:pPr>
              <w:spacing w:before="20" w:after="20"/>
              <w:jc w:val="center"/>
            </w:pPr>
          </w:p>
        </w:tc>
        <w:tc>
          <w:tcPr>
            <w:tcW w:w="1896" w:type="dxa"/>
            <w:gridSpan w:val="4"/>
          </w:tcPr>
          <w:p w:rsidR="00630798" w:rsidRPr="00EB3CD4" w:rsidRDefault="00630798" w:rsidP="00630798">
            <w:pPr>
              <w:spacing w:before="20" w:after="20"/>
              <w:jc w:val="center"/>
            </w:pPr>
            <w:r w:rsidRPr="00EB3CD4">
              <w:t>2018 год</w:t>
            </w:r>
          </w:p>
        </w:tc>
        <w:tc>
          <w:tcPr>
            <w:tcW w:w="1878" w:type="dxa"/>
            <w:gridSpan w:val="3"/>
          </w:tcPr>
          <w:p w:rsidR="00630798" w:rsidRPr="00EB3CD4" w:rsidRDefault="00630798" w:rsidP="00630798">
            <w:pPr>
              <w:spacing w:before="20" w:after="20"/>
              <w:jc w:val="center"/>
            </w:pPr>
            <w:r w:rsidRPr="00EB3CD4">
              <w:t>2019 год</w:t>
            </w:r>
          </w:p>
        </w:tc>
        <w:tc>
          <w:tcPr>
            <w:tcW w:w="2036" w:type="dxa"/>
            <w:gridSpan w:val="4"/>
          </w:tcPr>
          <w:p w:rsidR="00630798" w:rsidRPr="00EB3CD4" w:rsidRDefault="00630798" w:rsidP="00630798">
            <w:pPr>
              <w:spacing w:before="20" w:after="20"/>
              <w:jc w:val="center"/>
            </w:pPr>
            <w:r w:rsidRPr="00EB3CD4">
              <w:t>2020 год</w:t>
            </w:r>
          </w:p>
        </w:tc>
      </w:tr>
      <w:tr w:rsidR="00630798" w:rsidRPr="00EB3CD4" w:rsidTr="00630798">
        <w:trPr>
          <w:gridBefore w:val="2"/>
          <w:wBefore w:w="38" w:type="dxa"/>
          <w:cantSplit/>
          <w:trHeight w:val="290"/>
        </w:trPr>
        <w:tc>
          <w:tcPr>
            <w:tcW w:w="3819"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Ноозоология</w:t>
            </w:r>
          </w:p>
        </w:tc>
        <w:tc>
          <w:tcPr>
            <w:tcW w:w="917"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Абс</w:t>
            </w:r>
          </w:p>
        </w:tc>
        <w:tc>
          <w:tcPr>
            <w:tcW w:w="979"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Пок-ль</w:t>
            </w:r>
          </w:p>
        </w:tc>
        <w:tc>
          <w:tcPr>
            <w:tcW w:w="853"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Абс</w:t>
            </w:r>
          </w:p>
        </w:tc>
        <w:tc>
          <w:tcPr>
            <w:tcW w:w="1025"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Пок-ль</w:t>
            </w:r>
          </w:p>
        </w:tc>
        <w:tc>
          <w:tcPr>
            <w:tcW w:w="970"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Абс</w:t>
            </w:r>
          </w:p>
        </w:tc>
        <w:tc>
          <w:tcPr>
            <w:tcW w:w="1066"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Пок-ль</w:t>
            </w:r>
          </w:p>
        </w:tc>
      </w:tr>
      <w:tr w:rsidR="00630798" w:rsidRPr="00EB3CD4" w:rsidTr="00630798">
        <w:trPr>
          <w:gridAfter w:val="1"/>
          <w:wAfter w:w="36" w:type="dxa"/>
          <w:cantSplit/>
          <w:trHeight w:val="290"/>
        </w:trPr>
        <w:tc>
          <w:tcPr>
            <w:tcW w:w="3818" w:type="dxa"/>
            <w:gridSpan w:val="3"/>
          </w:tcPr>
          <w:p w:rsidR="00630798" w:rsidRPr="00A47BC3" w:rsidRDefault="00630798" w:rsidP="00A47BC3">
            <w:pPr>
              <w:pStyle w:val="1"/>
              <w:rPr>
                <w:b/>
                <w:sz w:val="22"/>
                <w:szCs w:val="22"/>
              </w:rPr>
            </w:pPr>
            <w:r w:rsidRPr="00A47BC3">
              <w:rPr>
                <w:b/>
                <w:sz w:val="22"/>
                <w:szCs w:val="22"/>
              </w:rPr>
              <w:t>Все кишеч. инфекции.</w:t>
            </w:r>
          </w:p>
        </w:tc>
        <w:tc>
          <w:tcPr>
            <w:tcW w:w="919"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316</w:t>
            </w:r>
          </w:p>
        </w:tc>
        <w:tc>
          <w:tcPr>
            <w:tcW w:w="998"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740,4</w:t>
            </w:r>
          </w:p>
        </w:tc>
        <w:tc>
          <w:tcPr>
            <w:tcW w:w="834"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222</w:t>
            </w:r>
          </w:p>
        </w:tc>
        <w:tc>
          <w:tcPr>
            <w:tcW w:w="1062"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538,5</w:t>
            </w:r>
          </w:p>
        </w:tc>
        <w:tc>
          <w:tcPr>
            <w:tcW w:w="933"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141</w:t>
            </w:r>
          </w:p>
        </w:tc>
        <w:tc>
          <w:tcPr>
            <w:tcW w:w="1067"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353,9</w:t>
            </w:r>
          </w:p>
        </w:tc>
      </w:tr>
      <w:tr w:rsidR="00630798" w:rsidRPr="00582568" w:rsidTr="00630798">
        <w:trPr>
          <w:gridAfter w:val="1"/>
          <w:wAfter w:w="36" w:type="dxa"/>
          <w:cantSplit/>
          <w:trHeight w:val="290"/>
        </w:trPr>
        <w:tc>
          <w:tcPr>
            <w:tcW w:w="3818" w:type="dxa"/>
            <w:gridSpan w:val="3"/>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ОКИ установ.этиологии</w:t>
            </w:r>
          </w:p>
        </w:tc>
        <w:tc>
          <w:tcPr>
            <w:tcW w:w="919"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122</w:t>
            </w:r>
          </w:p>
        </w:tc>
        <w:tc>
          <w:tcPr>
            <w:tcW w:w="998"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285,8</w:t>
            </w:r>
          </w:p>
        </w:tc>
        <w:tc>
          <w:tcPr>
            <w:tcW w:w="834"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61</w:t>
            </w:r>
          </w:p>
        </w:tc>
        <w:tc>
          <w:tcPr>
            <w:tcW w:w="1062"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148,0</w:t>
            </w:r>
          </w:p>
        </w:tc>
        <w:tc>
          <w:tcPr>
            <w:tcW w:w="933"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46</w:t>
            </w:r>
          </w:p>
        </w:tc>
        <w:tc>
          <w:tcPr>
            <w:tcW w:w="1067"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115,5</w:t>
            </w:r>
          </w:p>
        </w:tc>
      </w:tr>
      <w:tr w:rsidR="00630798" w:rsidRPr="00582568" w:rsidTr="00630798">
        <w:trPr>
          <w:gridAfter w:val="1"/>
          <w:wAfter w:w="36" w:type="dxa"/>
          <w:cantSplit/>
          <w:trHeight w:val="290"/>
        </w:trPr>
        <w:tc>
          <w:tcPr>
            <w:tcW w:w="3818" w:type="dxa"/>
            <w:gridSpan w:val="3"/>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ОКИ неустановл.</w:t>
            </w:r>
          </w:p>
        </w:tc>
        <w:tc>
          <w:tcPr>
            <w:tcW w:w="919"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193</w:t>
            </w:r>
          </w:p>
        </w:tc>
        <w:tc>
          <w:tcPr>
            <w:tcW w:w="998"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452,2</w:t>
            </w:r>
          </w:p>
        </w:tc>
        <w:tc>
          <w:tcPr>
            <w:tcW w:w="834"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161</w:t>
            </w:r>
          </w:p>
        </w:tc>
        <w:tc>
          <w:tcPr>
            <w:tcW w:w="1062"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390,6</w:t>
            </w:r>
          </w:p>
        </w:tc>
        <w:tc>
          <w:tcPr>
            <w:tcW w:w="933"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88</w:t>
            </w:r>
          </w:p>
        </w:tc>
        <w:tc>
          <w:tcPr>
            <w:tcW w:w="1067"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220,9</w:t>
            </w:r>
          </w:p>
        </w:tc>
      </w:tr>
      <w:tr w:rsidR="00630798" w:rsidRPr="00582568" w:rsidTr="00630798">
        <w:trPr>
          <w:gridAfter w:val="1"/>
          <w:wAfter w:w="36" w:type="dxa"/>
          <w:cantSplit/>
          <w:trHeight w:val="187"/>
        </w:trPr>
        <w:tc>
          <w:tcPr>
            <w:tcW w:w="3818" w:type="dxa"/>
            <w:gridSpan w:val="3"/>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Дизентерия в т.ч.</w:t>
            </w:r>
          </w:p>
        </w:tc>
        <w:tc>
          <w:tcPr>
            <w:tcW w:w="919"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998"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834"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1062"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933"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w:t>
            </w:r>
          </w:p>
        </w:tc>
        <w:tc>
          <w:tcPr>
            <w:tcW w:w="1067"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2,5</w:t>
            </w:r>
          </w:p>
        </w:tc>
      </w:tr>
      <w:tr w:rsidR="00630798" w:rsidRPr="00582568" w:rsidTr="00630798">
        <w:trPr>
          <w:gridAfter w:val="1"/>
          <w:wAfter w:w="36" w:type="dxa"/>
          <w:cantSplit/>
          <w:trHeight w:val="290"/>
        </w:trPr>
        <w:tc>
          <w:tcPr>
            <w:tcW w:w="3818" w:type="dxa"/>
            <w:gridSpan w:val="3"/>
          </w:tcPr>
          <w:p w:rsidR="00630798" w:rsidRPr="00A47BC3" w:rsidRDefault="00630798" w:rsidP="00A47BC3">
            <w:pPr>
              <w:spacing w:after="0" w:line="240" w:lineRule="auto"/>
              <w:jc w:val="center"/>
              <w:rPr>
                <w:rFonts w:ascii="Times New Roman" w:hAnsi="Times New Roman" w:cs="Times New Roman"/>
                <w:lang w:val="en-US"/>
              </w:rPr>
            </w:pPr>
            <w:r w:rsidRPr="00A47BC3">
              <w:rPr>
                <w:rFonts w:ascii="Times New Roman" w:hAnsi="Times New Roman" w:cs="Times New Roman"/>
                <w:lang w:val="en-US"/>
              </w:rPr>
              <w:t>Sonne</w:t>
            </w:r>
          </w:p>
        </w:tc>
        <w:tc>
          <w:tcPr>
            <w:tcW w:w="919"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998"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834"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1062"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933"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w:t>
            </w:r>
          </w:p>
        </w:tc>
        <w:tc>
          <w:tcPr>
            <w:tcW w:w="1067"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2,5</w:t>
            </w:r>
          </w:p>
        </w:tc>
      </w:tr>
      <w:tr w:rsidR="00630798" w:rsidRPr="00582568" w:rsidTr="00630798">
        <w:trPr>
          <w:gridAfter w:val="1"/>
          <w:wAfter w:w="36" w:type="dxa"/>
          <w:cantSplit/>
          <w:trHeight w:val="290"/>
        </w:trPr>
        <w:tc>
          <w:tcPr>
            <w:tcW w:w="3818" w:type="dxa"/>
            <w:gridSpan w:val="3"/>
          </w:tcPr>
          <w:p w:rsidR="00630798" w:rsidRPr="00A47BC3" w:rsidRDefault="00630798" w:rsidP="00A47BC3">
            <w:pPr>
              <w:spacing w:after="0" w:line="240" w:lineRule="auto"/>
              <w:jc w:val="center"/>
              <w:rPr>
                <w:rFonts w:ascii="Times New Roman" w:hAnsi="Times New Roman" w:cs="Times New Roman"/>
                <w:lang w:val="en-US"/>
              </w:rPr>
            </w:pPr>
            <w:r w:rsidRPr="00A47BC3">
              <w:rPr>
                <w:rFonts w:ascii="Times New Roman" w:hAnsi="Times New Roman" w:cs="Times New Roman"/>
                <w:lang w:val="en-US"/>
              </w:rPr>
              <w:t>Flexnera</w:t>
            </w:r>
          </w:p>
        </w:tc>
        <w:tc>
          <w:tcPr>
            <w:tcW w:w="919"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998"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834"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1062"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933"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1067"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r>
      <w:tr w:rsidR="00630798" w:rsidRPr="00582568" w:rsidTr="00630798">
        <w:trPr>
          <w:gridAfter w:val="1"/>
          <w:wAfter w:w="36" w:type="dxa"/>
          <w:cantSplit/>
          <w:trHeight w:val="290"/>
        </w:trPr>
        <w:tc>
          <w:tcPr>
            <w:tcW w:w="3818" w:type="dxa"/>
            <w:gridSpan w:val="3"/>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Сальмонеллез, в т.ч.</w:t>
            </w:r>
          </w:p>
        </w:tc>
        <w:tc>
          <w:tcPr>
            <w:tcW w:w="919"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11</w:t>
            </w:r>
          </w:p>
        </w:tc>
        <w:tc>
          <w:tcPr>
            <w:tcW w:w="998"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25,8</w:t>
            </w:r>
          </w:p>
        </w:tc>
        <w:tc>
          <w:tcPr>
            <w:tcW w:w="834"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6</w:t>
            </w:r>
          </w:p>
        </w:tc>
        <w:tc>
          <w:tcPr>
            <w:tcW w:w="1062"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14,6</w:t>
            </w:r>
          </w:p>
        </w:tc>
        <w:tc>
          <w:tcPr>
            <w:tcW w:w="933"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5</w:t>
            </w:r>
          </w:p>
        </w:tc>
        <w:tc>
          <w:tcPr>
            <w:tcW w:w="1067"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15,1</w:t>
            </w:r>
          </w:p>
        </w:tc>
      </w:tr>
      <w:tr w:rsidR="00630798" w:rsidRPr="00582568" w:rsidTr="00630798">
        <w:trPr>
          <w:gridAfter w:val="1"/>
          <w:wAfter w:w="36" w:type="dxa"/>
          <w:cantSplit/>
          <w:trHeight w:val="290"/>
        </w:trPr>
        <w:tc>
          <w:tcPr>
            <w:tcW w:w="3818" w:type="dxa"/>
            <w:gridSpan w:val="3"/>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lang w:val="en-US"/>
              </w:rPr>
              <w:t>Salmonel</w:t>
            </w:r>
            <w:r w:rsidRPr="00A47BC3">
              <w:rPr>
                <w:rFonts w:ascii="Times New Roman" w:hAnsi="Times New Roman" w:cs="Times New Roman"/>
              </w:rPr>
              <w:t>.гр.В</w:t>
            </w:r>
          </w:p>
        </w:tc>
        <w:tc>
          <w:tcPr>
            <w:tcW w:w="919"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998"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834"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w:t>
            </w:r>
          </w:p>
        </w:tc>
        <w:tc>
          <w:tcPr>
            <w:tcW w:w="1062"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2,4</w:t>
            </w:r>
          </w:p>
        </w:tc>
        <w:tc>
          <w:tcPr>
            <w:tcW w:w="933"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w:t>
            </w:r>
          </w:p>
        </w:tc>
        <w:tc>
          <w:tcPr>
            <w:tcW w:w="1067"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2,5</w:t>
            </w:r>
          </w:p>
        </w:tc>
      </w:tr>
      <w:tr w:rsidR="00630798" w:rsidRPr="00582568" w:rsidTr="00630798">
        <w:trPr>
          <w:gridAfter w:val="1"/>
          <w:wAfter w:w="36" w:type="dxa"/>
          <w:cantSplit/>
          <w:trHeight w:val="290"/>
        </w:trPr>
        <w:tc>
          <w:tcPr>
            <w:tcW w:w="3818" w:type="dxa"/>
            <w:gridSpan w:val="3"/>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lang w:val="en-US"/>
              </w:rPr>
              <w:t>Salmonel</w:t>
            </w:r>
            <w:r w:rsidRPr="00A47BC3">
              <w:rPr>
                <w:rFonts w:ascii="Times New Roman" w:hAnsi="Times New Roman" w:cs="Times New Roman"/>
              </w:rPr>
              <w:t>.гр.С</w:t>
            </w:r>
          </w:p>
        </w:tc>
        <w:tc>
          <w:tcPr>
            <w:tcW w:w="919"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w:t>
            </w:r>
          </w:p>
        </w:tc>
        <w:tc>
          <w:tcPr>
            <w:tcW w:w="998"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4,7</w:t>
            </w:r>
          </w:p>
        </w:tc>
        <w:tc>
          <w:tcPr>
            <w:tcW w:w="834"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1062"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-7</w:t>
            </w:r>
          </w:p>
        </w:tc>
        <w:tc>
          <w:tcPr>
            <w:tcW w:w="933"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1067"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r>
      <w:tr w:rsidR="00630798" w:rsidRPr="00582568" w:rsidTr="00630798">
        <w:trPr>
          <w:gridAfter w:val="1"/>
          <w:wAfter w:w="36" w:type="dxa"/>
          <w:cantSplit/>
          <w:trHeight w:val="307"/>
        </w:trPr>
        <w:tc>
          <w:tcPr>
            <w:tcW w:w="3818" w:type="dxa"/>
            <w:gridSpan w:val="3"/>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lang w:val="en-US"/>
              </w:rPr>
              <w:t>Salmonel</w:t>
            </w:r>
            <w:r w:rsidRPr="00A47BC3">
              <w:rPr>
                <w:rFonts w:ascii="Times New Roman" w:hAnsi="Times New Roman" w:cs="Times New Roman"/>
              </w:rPr>
              <w:t>.гр.Д</w:t>
            </w:r>
          </w:p>
        </w:tc>
        <w:tc>
          <w:tcPr>
            <w:tcW w:w="919"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9</w:t>
            </w:r>
          </w:p>
        </w:tc>
        <w:tc>
          <w:tcPr>
            <w:tcW w:w="998"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21,1</w:t>
            </w:r>
          </w:p>
        </w:tc>
        <w:tc>
          <w:tcPr>
            <w:tcW w:w="834"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5</w:t>
            </w:r>
          </w:p>
        </w:tc>
        <w:tc>
          <w:tcPr>
            <w:tcW w:w="1062"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12,1</w:t>
            </w:r>
          </w:p>
        </w:tc>
        <w:tc>
          <w:tcPr>
            <w:tcW w:w="933"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1067"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r>
    </w:tbl>
    <w:p w:rsidR="00630798" w:rsidRDefault="00630798" w:rsidP="00630798">
      <w:pPr>
        <w:pStyle w:val="a5"/>
        <w:rPr>
          <w:b/>
          <w:szCs w:val="28"/>
          <w:highlight w:val="yellow"/>
        </w:rPr>
      </w:pPr>
    </w:p>
    <w:p w:rsidR="00630798" w:rsidRPr="00582568" w:rsidRDefault="00630798" w:rsidP="00630798">
      <w:pPr>
        <w:pStyle w:val="a5"/>
        <w:rPr>
          <w:b/>
          <w:szCs w:val="28"/>
          <w:highlight w:val="yellow"/>
        </w:rPr>
      </w:pPr>
    </w:p>
    <w:p w:rsidR="00630798" w:rsidRPr="00A47BC3" w:rsidRDefault="00630798" w:rsidP="00A47BC3">
      <w:pPr>
        <w:pStyle w:val="a5"/>
        <w:ind w:firstLine="709"/>
        <w:jc w:val="both"/>
        <w:rPr>
          <w:b/>
          <w:sz w:val="24"/>
          <w:szCs w:val="24"/>
        </w:rPr>
      </w:pPr>
      <w:r w:rsidRPr="00A47BC3">
        <w:rPr>
          <w:b/>
          <w:sz w:val="24"/>
          <w:szCs w:val="24"/>
        </w:rPr>
        <w:t>1.3.9. Природно-очаговые и зооантропонозные инфекции (клещевой</w:t>
      </w:r>
      <w:r w:rsidR="00A47BC3">
        <w:rPr>
          <w:b/>
          <w:sz w:val="24"/>
          <w:szCs w:val="24"/>
          <w:lang w:val="ru-RU"/>
        </w:rPr>
        <w:t xml:space="preserve"> </w:t>
      </w:r>
      <w:r w:rsidRPr="00A47BC3">
        <w:rPr>
          <w:b/>
          <w:sz w:val="24"/>
          <w:szCs w:val="24"/>
        </w:rPr>
        <w:t>энцефалит, клещевой боррелиоз, бешенство, сибирская язва, лептоспироз, туляремия)</w:t>
      </w:r>
    </w:p>
    <w:p w:rsidR="00630798" w:rsidRPr="00A47BC3" w:rsidRDefault="00630798" w:rsidP="00A47BC3">
      <w:pPr>
        <w:pStyle w:val="ad"/>
        <w:tabs>
          <w:tab w:val="left" w:pos="8222"/>
        </w:tabs>
        <w:jc w:val="right"/>
        <w:rPr>
          <w:rFonts w:ascii="Times New Roman" w:hAnsi="Times New Roman"/>
          <w:sz w:val="22"/>
          <w:szCs w:val="22"/>
        </w:rPr>
      </w:pPr>
      <w:r w:rsidRPr="00A47BC3">
        <w:rPr>
          <w:rFonts w:ascii="Times New Roman" w:hAnsi="Times New Roman"/>
          <w:sz w:val="22"/>
          <w:szCs w:val="22"/>
        </w:rPr>
        <w:t>Таблица № 16</w:t>
      </w:r>
    </w:p>
    <w:p w:rsidR="00630798" w:rsidRPr="00582568" w:rsidRDefault="00630798" w:rsidP="00630798">
      <w:pPr>
        <w:pStyle w:val="ad"/>
        <w:jc w:val="right"/>
        <w:rPr>
          <w:b/>
          <w:sz w:val="22"/>
          <w:szCs w:val="22"/>
          <w:highlight w:val="yellow"/>
        </w:rPr>
      </w:pPr>
    </w:p>
    <w:p w:rsidR="00A47BC3" w:rsidRDefault="00630798" w:rsidP="00A47BC3">
      <w:pPr>
        <w:pStyle w:val="ad"/>
        <w:spacing w:line="240" w:lineRule="auto"/>
        <w:ind w:right="0"/>
        <w:rPr>
          <w:rFonts w:ascii="Times New Roman" w:hAnsi="Times New Roman"/>
          <w:b/>
        </w:rPr>
      </w:pPr>
      <w:r w:rsidRPr="00A47BC3">
        <w:rPr>
          <w:rFonts w:ascii="Times New Roman" w:hAnsi="Times New Roman"/>
          <w:b/>
        </w:rPr>
        <w:t xml:space="preserve">Динамика природно-очаговой заболеваемости  по г. Пыть-Ях </w:t>
      </w:r>
    </w:p>
    <w:p w:rsidR="00630798" w:rsidRPr="00A47BC3" w:rsidRDefault="00630798" w:rsidP="00A47BC3">
      <w:pPr>
        <w:pStyle w:val="ad"/>
        <w:spacing w:line="240" w:lineRule="auto"/>
        <w:ind w:right="0"/>
        <w:rPr>
          <w:rFonts w:ascii="Times New Roman" w:hAnsi="Times New Roman"/>
          <w:b/>
        </w:rPr>
      </w:pPr>
      <w:r w:rsidRPr="00A47BC3">
        <w:rPr>
          <w:rFonts w:ascii="Times New Roman" w:hAnsi="Times New Roman"/>
          <w:b/>
        </w:rPr>
        <w:t xml:space="preserve">за </w:t>
      </w:r>
      <w:r w:rsidR="00A47BC3">
        <w:rPr>
          <w:rFonts w:ascii="Times New Roman" w:hAnsi="Times New Roman"/>
          <w:b/>
          <w:lang w:val="ru-RU"/>
        </w:rPr>
        <w:t>2</w:t>
      </w:r>
      <w:r w:rsidRPr="00A47BC3">
        <w:rPr>
          <w:rFonts w:ascii="Times New Roman" w:hAnsi="Times New Roman"/>
          <w:b/>
        </w:rPr>
        <w:t>018-2020 годы</w:t>
      </w:r>
    </w:p>
    <w:tbl>
      <w:tblPr>
        <w:tblW w:w="9124" w:type="dxa"/>
        <w:tblInd w:w="340" w:type="dxa"/>
        <w:tblLayout w:type="fixed"/>
        <w:tblCellMar>
          <w:left w:w="56" w:type="dxa"/>
          <w:right w:w="56" w:type="dxa"/>
        </w:tblCellMar>
        <w:tblLook w:val="0000" w:firstRow="0" w:lastRow="0" w:firstColumn="0" w:lastColumn="0" w:noHBand="0" w:noVBand="0"/>
      </w:tblPr>
      <w:tblGrid>
        <w:gridCol w:w="1789"/>
        <w:gridCol w:w="1149"/>
        <w:gridCol w:w="1325"/>
        <w:gridCol w:w="1149"/>
        <w:gridCol w:w="1171"/>
        <w:gridCol w:w="1149"/>
        <w:gridCol w:w="1392"/>
      </w:tblGrid>
      <w:tr w:rsidR="00630798" w:rsidRPr="00582568" w:rsidTr="00630798">
        <w:trPr>
          <w:cantSplit/>
          <w:trHeight w:val="304"/>
        </w:trPr>
        <w:tc>
          <w:tcPr>
            <w:tcW w:w="1789" w:type="dxa"/>
            <w:vMerge w:val="restart"/>
            <w:tcBorders>
              <w:top w:val="single" w:sz="4" w:space="0" w:color="auto"/>
              <w:left w:val="single" w:sz="4" w:space="0" w:color="auto"/>
              <w:right w:val="single" w:sz="4" w:space="0" w:color="auto"/>
            </w:tcBorders>
            <w:vAlign w:val="bottom"/>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Год</w:t>
            </w:r>
          </w:p>
        </w:tc>
        <w:tc>
          <w:tcPr>
            <w:tcW w:w="7335" w:type="dxa"/>
            <w:gridSpan w:val="6"/>
            <w:tcBorders>
              <w:top w:val="single" w:sz="4" w:space="0" w:color="auto"/>
              <w:left w:val="nil"/>
              <w:bottom w:val="single" w:sz="4" w:space="0" w:color="auto"/>
              <w:right w:val="single" w:sz="4" w:space="0" w:color="auto"/>
            </w:tcBorders>
            <w:vAlign w:val="bottom"/>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г. Пыть-Ях (на 1000 чел)</w:t>
            </w:r>
          </w:p>
        </w:tc>
      </w:tr>
      <w:tr w:rsidR="00630798" w:rsidRPr="00582568" w:rsidTr="00630798">
        <w:trPr>
          <w:cantSplit/>
          <w:trHeight w:val="304"/>
        </w:trPr>
        <w:tc>
          <w:tcPr>
            <w:tcW w:w="1789" w:type="dxa"/>
            <w:vMerge/>
            <w:tcBorders>
              <w:left w:val="single" w:sz="4" w:space="0" w:color="auto"/>
              <w:bottom w:val="single" w:sz="4" w:space="0" w:color="auto"/>
              <w:right w:val="single" w:sz="4" w:space="0" w:color="auto"/>
            </w:tcBorders>
            <w:vAlign w:val="bottom"/>
          </w:tcPr>
          <w:p w:rsidR="00630798" w:rsidRPr="00A47BC3" w:rsidRDefault="00630798" w:rsidP="00A47BC3">
            <w:pPr>
              <w:spacing w:after="0" w:line="240" w:lineRule="auto"/>
              <w:jc w:val="center"/>
              <w:rPr>
                <w:rFonts w:ascii="Times New Roman" w:hAnsi="Times New Roman" w:cs="Times New Roman"/>
              </w:rPr>
            </w:pPr>
          </w:p>
        </w:tc>
        <w:tc>
          <w:tcPr>
            <w:tcW w:w="2474" w:type="dxa"/>
            <w:gridSpan w:val="2"/>
            <w:tcBorders>
              <w:top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2018</w:t>
            </w:r>
          </w:p>
        </w:tc>
        <w:tc>
          <w:tcPr>
            <w:tcW w:w="2320" w:type="dxa"/>
            <w:gridSpan w:val="2"/>
            <w:tcBorders>
              <w:top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2019</w:t>
            </w:r>
          </w:p>
        </w:tc>
        <w:tc>
          <w:tcPr>
            <w:tcW w:w="2541" w:type="dxa"/>
            <w:gridSpan w:val="2"/>
            <w:tcBorders>
              <w:top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2020</w:t>
            </w:r>
          </w:p>
        </w:tc>
      </w:tr>
      <w:tr w:rsidR="00630798" w:rsidRPr="00582568" w:rsidTr="00630798">
        <w:trPr>
          <w:trHeight w:val="304"/>
        </w:trPr>
        <w:tc>
          <w:tcPr>
            <w:tcW w:w="1789" w:type="dxa"/>
            <w:tcBorders>
              <w:top w:val="nil"/>
              <w:left w:val="single" w:sz="4" w:space="0" w:color="auto"/>
              <w:bottom w:val="single" w:sz="4" w:space="0" w:color="auto"/>
              <w:right w:val="single" w:sz="4" w:space="0" w:color="auto"/>
            </w:tcBorders>
            <w:vAlign w:val="bottom"/>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Нозология</w:t>
            </w:r>
          </w:p>
        </w:tc>
        <w:tc>
          <w:tcPr>
            <w:tcW w:w="1149" w:type="dxa"/>
            <w:tcBorders>
              <w:top w:val="nil"/>
              <w:left w:val="nil"/>
              <w:bottom w:val="single" w:sz="4" w:space="0" w:color="auto"/>
              <w:right w:val="single" w:sz="4" w:space="0" w:color="auto"/>
            </w:tcBorders>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Абс.</w:t>
            </w:r>
          </w:p>
        </w:tc>
        <w:tc>
          <w:tcPr>
            <w:tcW w:w="1325" w:type="dxa"/>
            <w:tcBorders>
              <w:top w:val="nil"/>
              <w:left w:val="nil"/>
              <w:bottom w:val="single" w:sz="4" w:space="0" w:color="auto"/>
              <w:right w:val="single" w:sz="4" w:space="0" w:color="auto"/>
            </w:tcBorders>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показ</w:t>
            </w:r>
          </w:p>
        </w:tc>
        <w:tc>
          <w:tcPr>
            <w:tcW w:w="1149" w:type="dxa"/>
            <w:tcBorders>
              <w:top w:val="single" w:sz="4" w:space="0" w:color="auto"/>
              <w:bottom w:val="single" w:sz="4" w:space="0" w:color="auto"/>
              <w:right w:val="single" w:sz="4" w:space="0" w:color="auto"/>
            </w:tcBorders>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Абс.</w:t>
            </w:r>
          </w:p>
        </w:tc>
        <w:tc>
          <w:tcPr>
            <w:tcW w:w="1171" w:type="dxa"/>
            <w:tcBorders>
              <w:top w:val="single" w:sz="4" w:space="0" w:color="auto"/>
              <w:left w:val="single" w:sz="4" w:space="0" w:color="auto"/>
              <w:bottom w:val="single" w:sz="4" w:space="0" w:color="auto"/>
              <w:right w:val="single" w:sz="4" w:space="0" w:color="auto"/>
            </w:tcBorders>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показ</w:t>
            </w:r>
          </w:p>
        </w:tc>
        <w:tc>
          <w:tcPr>
            <w:tcW w:w="1149" w:type="dxa"/>
            <w:tcBorders>
              <w:top w:val="single" w:sz="4" w:space="0" w:color="auto"/>
              <w:left w:val="single" w:sz="4" w:space="0" w:color="auto"/>
              <w:bottom w:val="single" w:sz="4" w:space="0" w:color="auto"/>
              <w:right w:val="single" w:sz="4" w:space="0" w:color="auto"/>
            </w:tcBorders>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Абс.</w:t>
            </w:r>
          </w:p>
        </w:tc>
        <w:tc>
          <w:tcPr>
            <w:tcW w:w="1392" w:type="dxa"/>
            <w:tcBorders>
              <w:top w:val="single" w:sz="4" w:space="0" w:color="auto"/>
              <w:left w:val="single" w:sz="4" w:space="0" w:color="auto"/>
              <w:bottom w:val="single" w:sz="4" w:space="0" w:color="auto"/>
              <w:right w:val="single" w:sz="4" w:space="0" w:color="auto"/>
            </w:tcBorders>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показ</w:t>
            </w:r>
          </w:p>
        </w:tc>
      </w:tr>
      <w:tr w:rsidR="00630798" w:rsidRPr="00582568" w:rsidTr="00630798">
        <w:trPr>
          <w:trHeight w:val="567"/>
        </w:trPr>
        <w:tc>
          <w:tcPr>
            <w:tcW w:w="1789" w:type="dxa"/>
            <w:tcBorders>
              <w:top w:val="nil"/>
              <w:left w:val="single" w:sz="4" w:space="0" w:color="auto"/>
              <w:bottom w:val="single" w:sz="4" w:space="0" w:color="auto"/>
              <w:right w:val="single" w:sz="4" w:space="0" w:color="auto"/>
            </w:tcBorders>
            <w:vAlign w:val="bottom"/>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Укусы животными</w:t>
            </w:r>
          </w:p>
        </w:tc>
        <w:tc>
          <w:tcPr>
            <w:tcW w:w="1149" w:type="dxa"/>
            <w:tcBorders>
              <w:top w:val="nil"/>
              <w:left w:val="nil"/>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73</w:t>
            </w:r>
          </w:p>
        </w:tc>
        <w:tc>
          <w:tcPr>
            <w:tcW w:w="1325" w:type="dxa"/>
            <w:tcBorders>
              <w:top w:val="nil"/>
              <w:left w:val="nil"/>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1,71</w:t>
            </w:r>
          </w:p>
        </w:tc>
        <w:tc>
          <w:tcPr>
            <w:tcW w:w="1149" w:type="dxa"/>
            <w:tcBorders>
              <w:top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89</w:t>
            </w:r>
          </w:p>
        </w:tc>
        <w:tc>
          <w:tcPr>
            <w:tcW w:w="1171"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2,16</w:t>
            </w:r>
          </w:p>
        </w:tc>
        <w:tc>
          <w:tcPr>
            <w:tcW w:w="1149" w:type="dxa"/>
            <w:tcBorders>
              <w:top w:val="single" w:sz="4" w:space="0" w:color="auto"/>
              <w:left w:val="single" w:sz="4" w:space="0" w:color="auto"/>
              <w:bottom w:val="single" w:sz="4" w:space="0" w:color="auto"/>
              <w:right w:val="single" w:sz="4" w:space="0" w:color="auto"/>
            </w:tcBorders>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100</w:t>
            </w:r>
          </w:p>
        </w:tc>
        <w:tc>
          <w:tcPr>
            <w:tcW w:w="1392" w:type="dxa"/>
            <w:tcBorders>
              <w:top w:val="single" w:sz="4" w:space="0" w:color="auto"/>
              <w:left w:val="single" w:sz="4" w:space="0" w:color="auto"/>
              <w:bottom w:val="single" w:sz="4" w:space="0" w:color="auto"/>
              <w:right w:val="single" w:sz="4" w:space="0" w:color="auto"/>
            </w:tcBorders>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2,51</w:t>
            </w:r>
          </w:p>
        </w:tc>
      </w:tr>
      <w:tr w:rsidR="00630798" w:rsidRPr="00582568" w:rsidTr="00630798">
        <w:trPr>
          <w:trHeight w:val="263"/>
        </w:trPr>
        <w:tc>
          <w:tcPr>
            <w:tcW w:w="1789" w:type="dxa"/>
            <w:tcBorders>
              <w:top w:val="nil"/>
              <w:left w:val="single" w:sz="4" w:space="0" w:color="auto"/>
              <w:bottom w:val="single" w:sz="4" w:space="0" w:color="auto"/>
              <w:right w:val="single" w:sz="4" w:space="0" w:color="auto"/>
            </w:tcBorders>
            <w:vAlign w:val="bottom"/>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Укусы клещей</w:t>
            </w:r>
          </w:p>
        </w:tc>
        <w:tc>
          <w:tcPr>
            <w:tcW w:w="1149" w:type="dxa"/>
            <w:tcBorders>
              <w:top w:val="nil"/>
              <w:left w:val="nil"/>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402</w:t>
            </w:r>
          </w:p>
        </w:tc>
        <w:tc>
          <w:tcPr>
            <w:tcW w:w="1325" w:type="dxa"/>
            <w:tcBorders>
              <w:top w:val="nil"/>
              <w:left w:val="nil"/>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941,8</w:t>
            </w:r>
          </w:p>
        </w:tc>
        <w:tc>
          <w:tcPr>
            <w:tcW w:w="1149" w:type="dxa"/>
            <w:tcBorders>
              <w:top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463</w:t>
            </w:r>
          </w:p>
        </w:tc>
        <w:tc>
          <w:tcPr>
            <w:tcW w:w="1171"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11,23</w:t>
            </w:r>
          </w:p>
        </w:tc>
        <w:tc>
          <w:tcPr>
            <w:tcW w:w="1149" w:type="dxa"/>
            <w:tcBorders>
              <w:top w:val="single" w:sz="4" w:space="0" w:color="auto"/>
              <w:left w:val="single" w:sz="4" w:space="0" w:color="auto"/>
              <w:bottom w:val="single" w:sz="4" w:space="0" w:color="auto"/>
              <w:right w:val="single" w:sz="4" w:space="0" w:color="auto"/>
            </w:tcBorders>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577</w:t>
            </w:r>
          </w:p>
        </w:tc>
        <w:tc>
          <w:tcPr>
            <w:tcW w:w="1392" w:type="dxa"/>
            <w:tcBorders>
              <w:top w:val="single" w:sz="4" w:space="0" w:color="auto"/>
              <w:left w:val="single" w:sz="4" w:space="0" w:color="auto"/>
              <w:bottom w:val="single" w:sz="4" w:space="0" w:color="auto"/>
              <w:right w:val="single" w:sz="4" w:space="0" w:color="auto"/>
            </w:tcBorders>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14,481</w:t>
            </w:r>
          </w:p>
        </w:tc>
      </w:tr>
      <w:tr w:rsidR="00630798" w:rsidRPr="00582568" w:rsidTr="00630798">
        <w:trPr>
          <w:trHeight w:val="567"/>
        </w:trPr>
        <w:tc>
          <w:tcPr>
            <w:tcW w:w="1789" w:type="dxa"/>
            <w:tcBorders>
              <w:top w:val="nil"/>
              <w:left w:val="single" w:sz="4" w:space="0" w:color="auto"/>
              <w:bottom w:val="single" w:sz="4" w:space="0" w:color="auto"/>
              <w:right w:val="single" w:sz="4" w:space="0" w:color="auto"/>
            </w:tcBorders>
            <w:vAlign w:val="bottom"/>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Природно-очаговые</w:t>
            </w:r>
          </w:p>
        </w:tc>
        <w:tc>
          <w:tcPr>
            <w:tcW w:w="1149" w:type="dxa"/>
            <w:tcBorders>
              <w:top w:val="nil"/>
              <w:left w:val="nil"/>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0</w:t>
            </w:r>
          </w:p>
        </w:tc>
        <w:tc>
          <w:tcPr>
            <w:tcW w:w="1325" w:type="dxa"/>
            <w:tcBorders>
              <w:top w:val="nil"/>
              <w:left w:val="nil"/>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0,0</w:t>
            </w:r>
          </w:p>
        </w:tc>
        <w:tc>
          <w:tcPr>
            <w:tcW w:w="1149" w:type="dxa"/>
            <w:tcBorders>
              <w:top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7</w:t>
            </w:r>
          </w:p>
        </w:tc>
        <w:tc>
          <w:tcPr>
            <w:tcW w:w="1171"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0,17</w:t>
            </w:r>
          </w:p>
        </w:tc>
        <w:tc>
          <w:tcPr>
            <w:tcW w:w="1149" w:type="dxa"/>
            <w:tcBorders>
              <w:top w:val="single" w:sz="4" w:space="0" w:color="auto"/>
              <w:left w:val="single" w:sz="4" w:space="0" w:color="auto"/>
              <w:bottom w:val="single" w:sz="4" w:space="0" w:color="auto"/>
              <w:right w:val="single" w:sz="4" w:space="0" w:color="auto"/>
            </w:tcBorders>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w:t>
            </w:r>
          </w:p>
        </w:tc>
        <w:tc>
          <w:tcPr>
            <w:tcW w:w="1392" w:type="dxa"/>
            <w:tcBorders>
              <w:top w:val="single" w:sz="4" w:space="0" w:color="auto"/>
              <w:left w:val="single" w:sz="4" w:space="0" w:color="auto"/>
              <w:bottom w:val="single" w:sz="4" w:space="0" w:color="auto"/>
              <w:right w:val="single" w:sz="4" w:space="0" w:color="auto"/>
            </w:tcBorders>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0,025</w:t>
            </w:r>
          </w:p>
        </w:tc>
      </w:tr>
    </w:tbl>
    <w:p w:rsidR="00630798" w:rsidRPr="00A47BC3" w:rsidRDefault="00630798" w:rsidP="00A47BC3">
      <w:pPr>
        <w:pStyle w:val="ad"/>
        <w:spacing w:line="240" w:lineRule="auto"/>
        <w:jc w:val="both"/>
        <w:rPr>
          <w:rFonts w:ascii="Times New Roman" w:hAnsi="Times New Roman"/>
          <w:b/>
          <w:highlight w:val="yellow"/>
        </w:rPr>
      </w:pPr>
    </w:p>
    <w:p w:rsidR="00630798" w:rsidRPr="00A47BC3" w:rsidRDefault="00630798" w:rsidP="00A47BC3">
      <w:pPr>
        <w:pStyle w:val="a5"/>
        <w:ind w:firstLine="709"/>
        <w:jc w:val="both"/>
        <w:rPr>
          <w:sz w:val="24"/>
          <w:szCs w:val="24"/>
          <w:lang w:val="ru-RU"/>
        </w:rPr>
      </w:pPr>
      <w:r w:rsidRPr="00A47BC3">
        <w:rPr>
          <w:sz w:val="24"/>
          <w:szCs w:val="24"/>
        </w:rPr>
        <w:t>На протяжении последних 3 лет на территории г. Пыть – Ях случаи  заболеваний лептоспирозом, туляремией, бешенством, сибирской язвой  не зарегистрированы.</w:t>
      </w:r>
      <w:r w:rsidRPr="00A47BC3">
        <w:rPr>
          <w:sz w:val="24"/>
          <w:szCs w:val="24"/>
          <w:lang w:val="ru-RU"/>
        </w:rPr>
        <w:t xml:space="preserve"> </w:t>
      </w:r>
    </w:p>
    <w:p w:rsidR="00630798" w:rsidRPr="00A47BC3" w:rsidRDefault="00630798" w:rsidP="00A47BC3">
      <w:pPr>
        <w:pStyle w:val="a5"/>
        <w:ind w:firstLine="709"/>
        <w:jc w:val="both"/>
        <w:rPr>
          <w:sz w:val="24"/>
          <w:szCs w:val="24"/>
          <w:lang w:val="ru-RU"/>
        </w:rPr>
      </w:pPr>
      <w:r w:rsidRPr="00A47BC3">
        <w:rPr>
          <w:sz w:val="24"/>
          <w:szCs w:val="24"/>
          <w:lang w:val="ru-RU"/>
        </w:rPr>
        <w:t>В 2019 г. зарегистрирован 1 случай ГЛПС у подростка 16 лет. Случай является завозным из Ростовской области.</w:t>
      </w:r>
    </w:p>
    <w:p w:rsidR="00630798" w:rsidRPr="00A47BC3" w:rsidRDefault="00630798" w:rsidP="00A47BC3">
      <w:pPr>
        <w:spacing w:after="0" w:line="240" w:lineRule="auto"/>
        <w:jc w:val="both"/>
        <w:rPr>
          <w:rFonts w:ascii="Times New Roman" w:hAnsi="Times New Roman" w:cs="Times New Roman"/>
          <w:sz w:val="24"/>
          <w:szCs w:val="24"/>
          <w:shd w:val="clear" w:color="auto" w:fill="FFFFFF"/>
        </w:rPr>
      </w:pPr>
      <w:r w:rsidRPr="00A47BC3">
        <w:rPr>
          <w:rFonts w:ascii="Times New Roman" w:hAnsi="Times New Roman" w:cs="Times New Roman"/>
          <w:color w:val="FF0000"/>
          <w:sz w:val="24"/>
          <w:szCs w:val="24"/>
        </w:rPr>
        <w:t xml:space="preserve"> </w:t>
      </w:r>
      <w:bookmarkStart w:id="38" w:name="_Hlk62927602"/>
      <w:r w:rsidRPr="00A47BC3">
        <w:rPr>
          <w:rFonts w:ascii="Times New Roman" w:hAnsi="Times New Roman" w:cs="Times New Roman"/>
          <w:sz w:val="24"/>
          <w:szCs w:val="24"/>
        </w:rPr>
        <w:t xml:space="preserve">В 2020 г. за антирабической помощью обратились 100 человек, пострадавших от </w:t>
      </w:r>
      <w:r w:rsidRPr="00A47BC3">
        <w:rPr>
          <w:rFonts w:ascii="Times New Roman" w:hAnsi="Times New Roman" w:cs="Times New Roman"/>
          <w:sz w:val="24"/>
          <w:szCs w:val="24"/>
          <w:shd w:val="clear" w:color="auto" w:fill="FFFFFF"/>
        </w:rPr>
        <w:t xml:space="preserve">укусов животных (показатель на  1000 нас. – 2,51), что выше чем в 2019г на 16,2%.  </w:t>
      </w:r>
      <w:bookmarkStart w:id="39" w:name="_Hlk62929999"/>
      <w:r w:rsidRPr="00A47BC3">
        <w:rPr>
          <w:rFonts w:ascii="Times New Roman" w:hAnsi="Times New Roman" w:cs="Times New Roman"/>
          <w:sz w:val="24"/>
          <w:szCs w:val="24"/>
          <w:shd w:val="clear" w:color="auto" w:fill="FFFFFF"/>
        </w:rPr>
        <w:t xml:space="preserve">Показатель заболеваемости 251,0 в 2020г -укусы, ослюнения,  оцарапывания животными на 100 тыс населения  превышает среднеокружной показатель (146,0) на 72%. </w:t>
      </w:r>
      <w:bookmarkEnd w:id="39"/>
      <w:r w:rsidRPr="00A47BC3">
        <w:rPr>
          <w:rFonts w:ascii="Times New Roman" w:hAnsi="Times New Roman" w:cs="Times New Roman"/>
          <w:sz w:val="24"/>
          <w:szCs w:val="24"/>
          <w:shd w:val="clear" w:color="auto" w:fill="FFFFFF"/>
        </w:rPr>
        <w:t>Удельный вес пострадавших детей  0-14 лет  в динамике снижается  и составил в 2020г-21% % (2019г-38,2 % , 2018 г. – уд. вес 45,2 %,).</w:t>
      </w:r>
    </w:p>
    <w:p w:rsidR="00630798" w:rsidRPr="00A47BC3" w:rsidRDefault="00630798" w:rsidP="00A47BC3">
      <w:pPr>
        <w:spacing w:after="0" w:line="240" w:lineRule="auto"/>
        <w:ind w:firstLine="708"/>
        <w:jc w:val="both"/>
        <w:rPr>
          <w:rFonts w:ascii="Times New Roman" w:hAnsi="Times New Roman" w:cs="Times New Roman"/>
          <w:sz w:val="24"/>
          <w:szCs w:val="24"/>
        </w:rPr>
      </w:pPr>
      <w:r w:rsidRPr="00A47BC3">
        <w:rPr>
          <w:rFonts w:ascii="Times New Roman" w:hAnsi="Times New Roman" w:cs="Times New Roman"/>
          <w:sz w:val="24"/>
          <w:szCs w:val="24"/>
        </w:rPr>
        <w:t xml:space="preserve"> На обработанной территории укусы иксодовых клещей в 2020г регистрировались на следующих объектах: в парках, скверах- 5 случаев,в местах отдыха- 4 случая,в лесных участках в черте города- 112 случаев.Все случаи укусов мы связываем с некачественной акарицидной обработкой (неполная обработка необходимых площадей) осуществляемой  ООО "Альфа-Дез", г. Уфа.</w:t>
      </w:r>
    </w:p>
    <w:p w:rsidR="00630798" w:rsidRPr="00A47BC3" w:rsidRDefault="00630798" w:rsidP="00A47BC3">
      <w:pPr>
        <w:spacing w:after="0" w:line="240" w:lineRule="auto"/>
        <w:ind w:firstLine="708"/>
        <w:jc w:val="both"/>
        <w:rPr>
          <w:rFonts w:ascii="Times New Roman" w:hAnsi="Times New Roman" w:cs="Times New Roman"/>
          <w:sz w:val="24"/>
          <w:szCs w:val="24"/>
          <w:highlight w:val="yellow"/>
        </w:rPr>
      </w:pPr>
      <w:r w:rsidRPr="00A47BC3">
        <w:rPr>
          <w:rFonts w:ascii="Times New Roman" w:hAnsi="Times New Roman" w:cs="Times New Roman"/>
          <w:sz w:val="24"/>
          <w:szCs w:val="24"/>
          <w:shd w:val="clear" w:color="auto" w:fill="FFFFFF"/>
        </w:rPr>
        <w:t xml:space="preserve"> </w:t>
      </w:r>
      <w:r w:rsidRPr="00A47BC3">
        <w:rPr>
          <w:rFonts w:ascii="Times New Roman" w:hAnsi="Times New Roman" w:cs="Times New Roman"/>
          <w:sz w:val="24"/>
          <w:szCs w:val="24"/>
        </w:rPr>
        <w:t>В 2020 году зафиксировано 2 с</w:t>
      </w:r>
      <w:r w:rsidR="00A366B1">
        <w:rPr>
          <w:rFonts w:ascii="Times New Roman" w:hAnsi="Times New Roman" w:cs="Times New Roman"/>
          <w:sz w:val="24"/>
          <w:szCs w:val="24"/>
        </w:rPr>
        <w:t xml:space="preserve">лучая укусов диким животным (в </w:t>
      </w:r>
      <w:r w:rsidRPr="00A47BC3">
        <w:rPr>
          <w:rFonts w:ascii="Times New Roman" w:hAnsi="Times New Roman" w:cs="Times New Roman"/>
          <w:sz w:val="24"/>
          <w:szCs w:val="24"/>
        </w:rPr>
        <w:t>2019г-4 укуса, 2018г. - 1 укус). Количество у</w:t>
      </w:r>
      <w:r w:rsidR="00A366B1">
        <w:rPr>
          <w:rFonts w:ascii="Times New Roman" w:hAnsi="Times New Roman" w:cs="Times New Roman"/>
          <w:sz w:val="24"/>
          <w:szCs w:val="24"/>
        </w:rPr>
        <w:t xml:space="preserve">кушенных домашними и бродячими </w:t>
      </w:r>
      <w:r w:rsidRPr="00A47BC3">
        <w:rPr>
          <w:rFonts w:ascii="Times New Roman" w:hAnsi="Times New Roman" w:cs="Times New Roman"/>
          <w:sz w:val="24"/>
          <w:szCs w:val="24"/>
        </w:rPr>
        <w:t>животными составило  в 2020г  58% и 48%, в 2019г- 48,3% и 47,2% соответственно.</w:t>
      </w:r>
    </w:p>
    <w:bookmarkEnd w:id="38"/>
    <w:p w:rsidR="00630798" w:rsidRPr="00A47BC3" w:rsidRDefault="00630798" w:rsidP="00A47BC3">
      <w:pPr>
        <w:spacing w:after="0" w:line="240" w:lineRule="auto"/>
        <w:jc w:val="both"/>
        <w:rPr>
          <w:rFonts w:ascii="Times New Roman" w:hAnsi="Times New Roman" w:cs="Times New Roman"/>
          <w:sz w:val="24"/>
          <w:szCs w:val="24"/>
        </w:rPr>
      </w:pPr>
      <w:r w:rsidRPr="005F7917">
        <w:lastRenderedPageBreak/>
        <w:tab/>
      </w:r>
      <w:r w:rsidRPr="00A47BC3">
        <w:rPr>
          <w:rFonts w:ascii="Times New Roman" w:hAnsi="Times New Roman" w:cs="Times New Roman"/>
          <w:sz w:val="24"/>
          <w:szCs w:val="24"/>
        </w:rPr>
        <w:t>Процент лиц, получивших назначение на проведение курса специфического антирабического лечения, от общего числа пострадавших, составляет 100,0 %.В 2020году из 100чл, получивших назначение на проведение антирабического лечения 52 чел самовольно прекратившие начатый курс прививок, 1 чел отказался.</w:t>
      </w:r>
    </w:p>
    <w:p w:rsidR="00630798" w:rsidRPr="00A47BC3" w:rsidRDefault="00630798" w:rsidP="00A47BC3">
      <w:pPr>
        <w:spacing w:after="0" w:line="240" w:lineRule="auto"/>
        <w:jc w:val="both"/>
        <w:rPr>
          <w:rFonts w:ascii="Times New Roman" w:hAnsi="Times New Roman" w:cs="Times New Roman"/>
          <w:sz w:val="24"/>
          <w:szCs w:val="24"/>
          <w:highlight w:val="yellow"/>
        </w:rPr>
      </w:pPr>
      <w:r w:rsidRPr="00A47BC3">
        <w:rPr>
          <w:rFonts w:ascii="Times New Roman" w:hAnsi="Times New Roman" w:cs="Times New Roman"/>
          <w:sz w:val="24"/>
          <w:szCs w:val="24"/>
        </w:rPr>
        <w:tab/>
        <w:t>Ежегодно на территории г. Пыть-Ях производится отлов и утилизирование безнадзорных животных (собак, кошек). За 2020 год отловлено 181 собака  и утилизировано на территории города 18 собак ( в 2019г- 457 собак). В связи с увеличением количества пострадавших -58% укусов приходится на бездомных собак и снижением в 2020году, по сравнению с 2020г количество отловленных  на 60,4%, а утилизированных на  293%, необходимо  активизация работы по отлову и утилизации бездомных животных,  активизация работы  по антирабической помощи в части определения условий и мест выгула домашних животных по городу.</w:t>
      </w:r>
    </w:p>
    <w:p w:rsidR="00630798" w:rsidRPr="00A47BC3" w:rsidRDefault="00630798" w:rsidP="00A47BC3">
      <w:pPr>
        <w:spacing w:after="0" w:line="240" w:lineRule="auto"/>
        <w:ind w:firstLine="708"/>
        <w:jc w:val="both"/>
        <w:rPr>
          <w:rFonts w:ascii="Times New Roman" w:hAnsi="Times New Roman" w:cs="Times New Roman"/>
          <w:sz w:val="24"/>
          <w:szCs w:val="24"/>
        </w:rPr>
      </w:pPr>
      <w:r w:rsidRPr="00A47BC3">
        <w:rPr>
          <w:rFonts w:ascii="Times New Roman" w:hAnsi="Times New Roman" w:cs="Times New Roman"/>
          <w:sz w:val="24"/>
          <w:szCs w:val="24"/>
        </w:rPr>
        <w:t xml:space="preserve">В целом  в работе по оказанию антирабической помощи в г. Пыть – Ях    ведется учет, регистрация  лиц с укусами животных. Организована преемственность на всех этапах  оказания медицинской  и антирабической помощи. </w:t>
      </w:r>
    </w:p>
    <w:p w:rsidR="00630798" w:rsidRPr="00A47BC3" w:rsidRDefault="00630798" w:rsidP="00A47BC3">
      <w:pPr>
        <w:spacing w:after="0" w:line="240" w:lineRule="auto"/>
        <w:jc w:val="both"/>
        <w:rPr>
          <w:rFonts w:ascii="Times New Roman" w:hAnsi="Times New Roman" w:cs="Times New Roman"/>
          <w:b/>
          <w:sz w:val="24"/>
          <w:szCs w:val="24"/>
        </w:rPr>
      </w:pPr>
      <w:r w:rsidRPr="00A47BC3">
        <w:rPr>
          <w:rFonts w:ascii="Times New Roman" w:hAnsi="Times New Roman" w:cs="Times New Roman"/>
          <w:sz w:val="24"/>
          <w:szCs w:val="24"/>
        </w:rPr>
        <w:tab/>
        <w:t>Для организации антирабической помощи населению и профилактики бешенства функции центра возложены на хирургические кабинеты поликлиник БУ «Пыть-Яхская окружная клиническая больница»  и приемное отделение БУ «Пыть – Яхская окружная клиническая больница». В лечебно профилактических учреждениях существует неснижаемый запас антирабической вакцины и иммуноглобулина для оказания помощи лицам, пострадавшим от укусов животными.</w:t>
      </w:r>
    </w:p>
    <w:p w:rsidR="00630798" w:rsidRPr="00A47BC3" w:rsidRDefault="00630798" w:rsidP="00A47BC3">
      <w:pPr>
        <w:spacing w:after="0" w:line="240" w:lineRule="auto"/>
        <w:ind w:firstLine="709"/>
        <w:jc w:val="center"/>
        <w:rPr>
          <w:rFonts w:ascii="Times New Roman" w:hAnsi="Times New Roman" w:cs="Times New Roman"/>
          <w:b/>
          <w:sz w:val="24"/>
          <w:szCs w:val="24"/>
        </w:rPr>
      </w:pPr>
      <w:r w:rsidRPr="00A47BC3">
        <w:rPr>
          <w:rFonts w:ascii="Times New Roman" w:hAnsi="Times New Roman" w:cs="Times New Roman"/>
          <w:b/>
          <w:sz w:val="24"/>
          <w:szCs w:val="24"/>
        </w:rPr>
        <w:t>Иерсиниоз, псевдотуберкулез</w:t>
      </w:r>
    </w:p>
    <w:p w:rsidR="00630798" w:rsidRPr="00A47BC3" w:rsidRDefault="00630798" w:rsidP="00A47BC3">
      <w:pPr>
        <w:spacing w:after="0" w:line="240" w:lineRule="auto"/>
        <w:ind w:firstLine="709"/>
        <w:jc w:val="both"/>
        <w:rPr>
          <w:rFonts w:ascii="Times New Roman" w:hAnsi="Times New Roman" w:cs="Times New Roman"/>
          <w:sz w:val="24"/>
          <w:szCs w:val="24"/>
        </w:rPr>
      </w:pPr>
      <w:r w:rsidRPr="00A47BC3">
        <w:rPr>
          <w:rFonts w:ascii="Times New Roman" w:hAnsi="Times New Roman" w:cs="Times New Roman"/>
          <w:sz w:val="24"/>
          <w:szCs w:val="24"/>
        </w:rPr>
        <w:t>В 2020 и 2018 годах случаев заболеваемости иерсиниозом и псевдотуберкулезом в г Пыть-Ях  не зарегистрировано. В 2019 г. зарегистрирован 1 случай псевдотуберкулеза и 1 случай ОКИ, вызванный иерсиниями (показатель- 2,4 на 100 тыс. населения).</w:t>
      </w:r>
    </w:p>
    <w:p w:rsidR="00630798" w:rsidRPr="00A47BC3" w:rsidRDefault="00630798" w:rsidP="00A47BC3">
      <w:pPr>
        <w:spacing w:after="0" w:line="240" w:lineRule="auto"/>
        <w:ind w:firstLine="709"/>
        <w:jc w:val="both"/>
        <w:rPr>
          <w:rFonts w:ascii="Times New Roman" w:hAnsi="Times New Roman" w:cs="Times New Roman"/>
          <w:sz w:val="24"/>
          <w:szCs w:val="24"/>
        </w:rPr>
      </w:pPr>
      <w:r w:rsidRPr="00A47BC3">
        <w:rPr>
          <w:rFonts w:ascii="Times New Roman" w:hAnsi="Times New Roman" w:cs="Times New Roman"/>
          <w:sz w:val="24"/>
          <w:szCs w:val="24"/>
        </w:rPr>
        <w:t>Ежегодно, с целью эпид. надзора за иерсиниозами  проводится лабораторный контроль с объектов внешней среды на объектах торговли, общепита, овощехранилищ, исследуются продукты питания( таблица № 17). Регистрируется снижение объемов исследований продуктов питания, смывов на иерсинии. В исследуемых пробах в 2018-2020г иерсиний не обнаружено.</w:t>
      </w:r>
    </w:p>
    <w:p w:rsidR="00630798" w:rsidRPr="00A47BC3" w:rsidRDefault="00630798" w:rsidP="00A47BC3">
      <w:pPr>
        <w:spacing w:after="0" w:line="240" w:lineRule="auto"/>
        <w:ind w:firstLine="708"/>
        <w:jc w:val="right"/>
        <w:rPr>
          <w:rFonts w:ascii="Times New Roman" w:hAnsi="Times New Roman" w:cs="Times New Roman"/>
          <w:sz w:val="24"/>
          <w:szCs w:val="24"/>
        </w:rPr>
      </w:pPr>
      <w:r w:rsidRPr="00A47BC3">
        <w:rPr>
          <w:rFonts w:ascii="Times New Roman" w:hAnsi="Times New Roman" w:cs="Times New Roman"/>
          <w:sz w:val="24"/>
          <w:szCs w:val="24"/>
        </w:rPr>
        <w:t>Таблица № 17</w:t>
      </w:r>
    </w:p>
    <w:p w:rsidR="00630798" w:rsidRPr="00A47BC3" w:rsidRDefault="00630798" w:rsidP="00A47BC3">
      <w:pPr>
        <w:spacing w:after="0" w:line="240" w:lineRule="auto"/>
        <w:jc w:val="center"/>
        <w:rPr>
          <w:rFonts w:ascii="Times New Roman" w:hAnsi="Times New Roman" w:cs="Times New Roman"/>
          <w:b/>
          <w:sz w:val="24"/>
          <w:szCs w:val="24"/>
        </w:rPr>
      </w:pPr>
      <w:r w:rsidRPr="00A47BC3">
        <w:rPr>
          <w:rFonts w:ascii="Times New Roman" w:hAnsi="Times New Roman" w:cs="Times New Roman"/>
          <w:b/>
          <w:sz w:val="24"/>
          <w:szCs w:val="24"/>
        </w:rPr>
        <w:t>Лабораторные исследования на иерсиниозы за 2018-2020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2031"/>
        <w:gridCol w:w="2333"/>
        <w:gridCol w:w="2334"/>
      </w:tblGrid>
      <w:tr w:rsidR="00630798" w:rsidRPr="00A47BC3" w:rsidTr="00630798">
        <w:tc>
          <w:tcPr>
            <w:tcW w:w="2660" w:type="dxa"/>
          </w:tcPr>
          <w:p w:rsidR="00630798" w:rsidRPr="00A47BC3" w:rsidRDefault="00630798" w:rsidP="00A47BC3">
            <w:pPr>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 xml:space="preserve">Исследования </w:t>
            </w:r>
          </w:p>
        </w:tc>
        <w:tc>
          <w:tcPr>
            <w:tcW w:w="2048" w:type="dxa"/>
          </w:tcPr>
          <w:p w:rsidR="00630798" w:rsidRPr="00A47BC3" w:rsidRDefault="00630798" w:rsidP="00A47BC3">
            <w:pPr>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2018</w:t>
            </w:r>
          </w:p>
        </w:tc>
        <w:tc>
          <w:tcPr>
            <w:tcW w:w="2354" w:type="dxa"/>
          </w:tcPr>
          <w:p w:rsidR="00630798" w:rsidRPr="00A47BC3" w:rsidRDefault="00630798" w:rsidP="00A47BC3">
            <w:pPr>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2019</w:t>
            </w:r>
          </w:p>
        </w:tc>
        <w:tc>
          <w:tcPr>
            <w:tcW w:w="2355" w:type="dxa"/>
          </w:tcPr>
          <w:p w:rsidR="00630798" w:rsidRPr="00A47BC3" w:rsidRDefault="00630798" w:rsidP="00A47BC3">
            <w:pPr>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2020</w:t>
            </w:r>
          </w:p>
        </w:tc>
      </w:tr>
      <w:tr w:rsidR="00630798" w:rsidRPr="00A47BC3" w:rsidTr="00630798">
        <w:tc>
          <w:tcPr>
            <w:tcW w:w="2660" w:type="dxa"/>
          </w:tcPr>
          <w:p w:rsidR="00630798" w:rsidRPr="00A47BC3" w:rsidRDefault="00630798" w:rsidP="00A47BC3">
            <w:pPr>
              <w:spacing w:after="0" w:line="240" w:lineRule="auto"/>
              <w:rPr>
                <w:rFonts w:ascii="Times New Roman" w:hAnsi="Times New Roman" w:cs="Times New Roman"/>
                <w:sz w:val="24"/>
                <w:szCs w:val="24"/>
              </w:rPr>
            </w:pPr>
            <w:r w:rsidRPr="00A47BC3">
              <w:rPr>
                <w:rFonts w:ascii="Times New Roman" w:hAnsi="Times New Roman" w:cs="Times New Roman"/>
                <w:sz w:val="24"/>
                <w:szCs w:val="24"/>
              </w:rPr>
              <w:t>От людей (серология)</w:t>
            </w:r>
          </w:p>
        </w:tc>
        <w:tc>
          <w:tcPr>
            <w:tcW w:w="2048" w:type="dxa"/>
          </w:tcPr>
          <w:p w:rsidR="00630798" w:rsidRPr="00A47BC3" w:rsidRDefault="00630798" w:rsidP="00A47BC3">
            <w:pPr>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0</w:t>
            </w:r>
          </w:p>
        </w:tc>
        <w:tc>
          <w:tcPr>
            <w:tcW w:w="2354" w:type="dxa"/>
          </w:tcPr>
          <w:p w:rsidR="00630798" w:rsidRPr="00A47BC3" w:rsidRDefault="00630798" w:rsidP="00A47BC3">
            <w:pPr>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0</w:t>
            </w:r>
          </w:p>
        </w:tc>
        <w:tc>
          <w:tcPr>
            <w:tcW w:w="2355" w:type="dxa"/>
          </w:tcPr>
          <w:p w:rsidR="00630798" w:rsidRPr="00A47BC3" w:rsidRDefault="00630798" w:rsidP="00A47BC3">
            <w:pPr>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0</w:t>
            </w:r>
          </w:p>
        </w:tc>
      </w:tr>
      <w:tr w:rsidR="00630798" w:rsidRPr="00A47BC3" w:rsidTr="00630798">
        <w:tc>
          <w:tcPr>
            <w:tcW w:w="2660" w:type="dxa"/>
          </w:tcPr>
          <w:p w:rsidR="00630798" w:rsidRPr="00A47BC3" w:rsidRDefault="00630798" w:rsidP="00A47BC3">
            <w:pPr>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смывы</w:t>
            </w:r>
          </w:p>
        </w:tc>
        <w:tc>
          <w:tcPr>
            <w:tcW w:w="2048" w:type="dxa"/>
          </w:tcPr>
          <w:p w:rsidR="00630798" w:rsidRPr="00A47BC3" w:rsidRDefault="00630798" w:rsidP="00A47BC3">
            <w:pPr>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140</w:t>
            </w:r>
          </w:p>
        </w:tc>
        <w:tc>
          <w:tcPr>
            <w:tcW w:w="2354" w:type="dxa"/>
          </w:tcPr>
          <w:p w:rsidR="00630798" w:rsidRPr="00A47BC3" w:rsidRDefault="00630798" w:rsidP="00A47BC3">
            <w:pPr>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105</w:t>
            </w:r>
          </w:p>
        </w:tc>
        <w:tc>
          <w:tcPr>
            <w:tcW w:w="2355" w:type="dxa"/>
          </w:tcPr>
          <w:p w:rsidR="00630798" w:rsidRPr="00A47BC3" w:rsidRDefault="00630798" w:rsidP="00A47BC3">
            <w:pPr>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85</w:t>
            </w:r>
          </w:p>
        </w:tc>
      </w:tr>
      <w:tr w:rsidR="00630798" w:rsidRPr="00A47BC3" w:rsidTr="00630798">
        <w:tc>
          <w:tcPr>
            <w:tcW w:w="2660" w:type="dxa"/>
          </w:tcPr>
          <w:p w:rsidR="00630798" w:rsidRPr="00A47BC3" w:rsidRDefault="00630798" w:rsidP="00A47BC3">
            <w:pPr>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продукты</w:t>
            </w:r>
          </w:p>
        </w:tc>
        <w:tc>
          <w:tcPr>
            <w:tcW w:w="2048" w:type="dxa"/>
          </w:tcPr>
          <w:p w:rsidR="00630798" w:rsidRPr="00A47BC3" w:rsidRDefault="00630798" w:rsidP="00A47BC3">
            <w:pPr>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21</w:t>
            </w:r>
          </w:p>
        </w:tc>
        <w:tc>
          <w:tcPr>
            <w:tcW w:w="2354" w:type="dxa"/>
          </w:tcPr>
          <w:p w:rsidR="00630798" w:rsidRPr="00A47BC3" w:rsidRDefault="00630798" w:rsidP="00A47BC3">
            <w:pPr>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9</w:t>
            </w:r>
          </w:p>
        </w:tc>
        <w:tc>
          <w:tcPr>
            <w:tcW w:w="2355" w:type="dxa"/>
          </w:tcPr>
          <w:p w:rsidR="00630798" w:rsidRPr="00A47BC3" w:rsidRDefault="00630798" w:rsidP="00A47BC3">
            <w:pPr>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4</w:t>
            </w:r>
          </w:p>
        </w:tc>
      </w:tr>
    </w:tbl>
    <w:p w:rsidR="00630798" w:rsidRPr="00A47BC3" w:rsidRDefault="00630798" w:rsidP="00A47BC3">
      <w:pPr>
        <w:spacing w:after="0" w:line="240" w:lineRule="auto"/>
        <w:jc w:val="both"/>
        <w:rPr>
          <w:rFonts w:ascii="Times New Roman" w:hAnsi="Times New Roman" w:cs="Times New Roman"/>
          <w:sz w:val="24"/>
          <w:szCs w:val="24"/>
        </w:rPr>
      </w:pPr>
    </w:p>
    <w:p w:rsidR="00630798" w:rsidRPr="00A47BC3" w:rsidRDefault="00630798" w:rsidP="00A47BC3">
      <w:pPr>
        <w:spacing w:after="0" w:line="240" w:lineRule="auto"/>
        <w:jc w:val="both"/>
        <w:rPr>
          <w:rFonts w:ascii="Times New Roman" w:hAnsi="Times New Roman" w:cs="Times New Roman"/>
          <w:color w:val="000000"/>
          <w:sz w:val="24"/>
          <w:szCs w:val="24"/>
        </w:rPr>
      </w:pPr>
      <w:r w:rsidRPr="00A47BC3">
        <w:rPr>
          <w:rFonts w:ascii="Times New Roman" w:hAnsi="Times New Roman" w:cs="Times New Roman"/>
          <w:color w:val="000000"/>
          <w:sz w:val="24"/>
          <w:szCs w:val="24"/>
        </w:rPr>
        <w:tab/>
        <w:t>Однако следует отметить, что на протяжении ряда лет лечебно-профилактическими учреждениями  с целью диф. диагностики проводится  не достаточно (в единичных случаях) обследования людей (бактериологически, серологически, методом ПЦР) при постановки диагнозов не исключающих иерсиниоз и псевдотуберкулез.</w:t>
      </w:r>
    </w:p>
    <w:p w:rsidR="00630798" w:rsidRPr="00A47BC3" w:rsidRDefault="00630798" w:rsidP="00A47BC3">
      <w:pPr>
        <w:spacing w:after="0" w:line="240" w:lineRule="auto"/>
        <w:jc w:val="both"/>
        <w:rPr>
          <w:rFonts w:ascii="Times New Roman" w:hAnsi="Times New Roman" w:cs="Times New Roman"/>
          <w:color w:val="FF0000"/>
          <w:sz w:val="24"/>
          <w:szCs w:val="24"/>
        </w:rPr>
      </w:pPr>
    </w:p>
    <w:p w:rsidR="00630798" w:rsidRPr="00A47BC3" w:rsidRDefault="00630798" w:rsidP="00A47BC3">
      <w:pPr>
        <w:spacing w:after="0" w:line="240" w:lineRule="auto"/>
        <w:ind w:firstLine="708"/>
        <w:jc w:val="center"/>
        <w:rPr>
          <w:rFonts w:ascii="Times New Roman" w:hAnsi="Times New Roman" w:cs="Times New Roman"/>
          <w:b/>
          <w:sz w:val="24"/>
          <w:szCs w:val="24"/>
        </w:rPr>
      </w:pPr>
      <w:r w:rsidRPr="00A47BC3">
        <w:rPr>
          <w:rFonts w:ascii="Times New Roman" w:hAnsi="Times New Roman" w:cs="Times New Roman"/>
          <w:b/>
          <w:sz w:val="24"/>
          <w:szCs w:val="24"/>
        </w:rPr>
        <w:t>Туляремия</w:t>
      </w:r>
    </w:p>
    <w:p w:rsidR="00630798" w:rsidRPr="00A47BC3" w:rsidRDefault="00630798" w:rsidP="00A47BC3">
      <w:pPr>
        <w:spacing w:after="0" w:line="240" w:lineRule="auto"/>
        <w:ind w:firstLine="708"/>
        <w:jc w:val="center"/>
        <w:rPr>
          <w:rFonts w:ascii="Times New Roman" w:hAnsi="Times New Roman" w:cs="Times New Roman"/>
          <w:b/>
          <w:sz w:val="24"/>
          <w:szCs w:val="24"/>
        </w:rPr>
      </w:pPr>
    </w:p>
    <w:p w:rsidR="00630798" w:rsidRPr="00CB5A7A" w:rsidRDefault="00630798" w:rsidP="00A47BC3">
      <w:pPr>
        <w:spacing w:after="0" w:line="240" w:lineRule="auto"/>
        <w:ind w:firstLine="708"/>
        <w:jc w:val="both"/>
      </w:pPr>
      <w:r w:rsidRPr="00A47BC3">
        <w:rPr>
          <w:rFonts w:ascii="Times New Roman" w:hAnsi="Times New Roman" w:cs="Times New Roman"/>
          <w:sz w:val="24"/>
          <w:szCs w:val="24"/>
        </w:rPr>
        <w:t>Город Пыть – Ях расположен в природном очаге туляремии пойменно – болотного типа. Основным резервуаром являются водяная полевка, красная бурозубка, ондатра, мышь-полевка.</w:t>
      </w:r>
      <w:r w:rsidRPr="00CB5A7A">
        <w:t xml:space="preserve"> Переносчиками служат комары и мошки, которые обильно населяют  округ благодоря особенностям его гидрографии.</w:t>
      </w:r>
    </w:p>
    <w:p w:rsidR="00630798" w:rsidRDefault="00630798" w:rsidP="00630798">
      <w:pPr>
        <w:jc w:val="both"/>
      </w:pPr>
      <w:r w:rsidRPr="00CB5A7A">
        <w:t>За период 201</w:t>
      </w:r>
      <w:r>
        <w:t>8</w:t>
      </w:r>
      <w:r w:rsidRPr="00CB5A7A">
        <w:t>-20</w:t>
      </w:r>
      <w:r>
        <w:t>20</w:t>
      </w:r>
      <w:r w:rsidRPr="00CB5A7A">
        <w:t xml:space="preserve"> гг.</w:t>
      </w:r>
      <w:r w:rsidRPr="00CB5A7A">
        <w:rPr>
          <w:b/>
        </w:rPr>
        <w:t xml:space="preserve"> </w:t>
      </w:r>
      <w:r w:rsidRPr="00CB5A7A">
        <w:t xml:space="preserve"> заболеваемость туляремией в г. Пыть-Яхе не зарегистрирована. </w:t>
      </w:r>
    </w:p>
    <w:p w:rsidR="00630798" w:rsidRPr="00A47BC3" w:rsidRDefault="00630798" w:rsidP="00A47BC3">
      <w:pPr>
        <w:spacing w:after="0" w:line="240" w:lineRule="auto"/>
        <w:ind w:firstLine="708"/>
        <w:jc w:val="right"/>
        <w:rPr>
          <w:rFonts w:ascii="Times New Roman" w:hAnsi="Times New Roman" w:cs="Times New Roman"/>
        </w:rPr>
      </w:pPr>
      <w:r w:rsidRPr="00A47BC3">
        <w:rPr>
          <w:rFonts w:ascii="Times New Roman" w:hAnsi="Times New Roman" w:cs="Times New Roman"/>
        </w:rPr>
        <w:t>Таблица № 18</w:t>
      </w:r>
    </w:p>
    <w:p w:rsidR="00630798" w:rsidRPr="00A47BC3" w:rsidRDefault="00630798" w:rsidP="00A47BC3">
      <w:pPr>
        <w:spacing w:after="0" w:line="240" w:lineRule="auto"/>
        <w:ind w:firstLine="708"/>
        <w:jc w:val="right"/>
        <w:rPr>
          <w:rFonts w:ascii="Times New Roman" w:hAnsi="Times New Roman" w:cs="Times New Roman"/>
        </w:rPr>
      </w:pPr>
    </w:p>
    <w:p w:rsidR="00630798" w:rsidRPr="00A47BC3" w:rsidRDefault="00630798" w:rsidP="00A47BC3">
      <w:pPr>
        <w:spacing w:after="0" w:line="240" w:lineRule="auto"/>
        <w:ind w:firstLine="708"/>
        <w:jc w:val="center"/>
        <w:rPr>
          <w:rFonts w:ascii="Times New Roman" w:hAnsi="Times New Roman" w:cs="Times New Roman"/>
          <w:b/>
        </w:rPr>
      </w:pPr>
      <w:r w:rsidRPr="00A47BC3">
        <w:rPr>
          <w:rFonts w:ascii="Times New Roman" w:hAnsi="Times New Roman" w:cs="Times New Roman"/>
          <w:b/>
        </w:rPr>
        <w:t>Информация о коллективном иммунитете против туляремии за 2020 г. по территории г. Пыть – Ях</w:t>
      </w:r>
    </w:p>
    <w:p w:rsidR="00630798" w:rsidRPr="00A47BC3" w:rsidRDefault="00630798" w:rsidP="00A47BC3">
      <w:pPr>
        <w:spacing w:after="0" w:line="240" w:lineRule="auto"/>
        <w:ind w:firstLine="708"/>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965"/>
        <w:gridCol w:w="1385"/>
        <w:gridCol w:w="693"/>
        <w:gridCol w:w="804"/>
        <w:gridCol w:w="766"/>
        <w:gridCol w:w="819"/>
        <w:gridCol w:w="822"/>
        <w:gridCol w:w="936"/>
        <w:gridCol w:w="800"/>
      </w:tblGrid>
      <w:tr w:rsidR="00630798" w:rsidRPr="00A47BC3" w:rsidTr="00630798">
        <w:trPr>
          <w:trHeight w:val="613"/>
        </w:trPr>
        <w:tc>
          <w:tcPr>
            <w:tcW w:w="725" w:type="pct"/>
            <w:vMerge w:val="restart"/>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lastRenderedPageBreak/>
              <w:t>Количество населения</w:t>
            </w:r>
          </w:p>
        </w:tc>
        <w:tc>
          <w:tcPr>
            <w:tcW w:w="516" w:type="pct"/>
            <w:vMerge w:val="restart"/>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В том</w:t>
            </w:r>
          </w:p>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числе</w:t>
            </w:r>
          </w:p>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дети до</w:t>
            </w:r>
          </w:p>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7 лет</w:t>
            </w:r>
          </w:p>
        </w:tc>
        <w:tc>
          <w:tcPr>
            <w:tcW w:w="741" w:type="pct"/>
            <w:vMerge w:val="restart"/>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Количество</w:t>
            </w:r>
          </w:p>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населения,</w:t>
            </w:r>
          </w:p>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подлежащее</w:t>
            </w:r>
          </w:p>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прививкам</w:t>
            </w:r>
          </w:p>
        </w:tc>
        <w:tc>
          <w:tcPr>
            <w:tcW w:w="2590" w:type="pct"/>
            <w:gridSpan w:val="6"/>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Привито против туляремии</w:t>
            </w:r>
          </w:p>
        </w:tc>
        <w:tc>
          <w:tcPr>
            <w:tcW w:w="428" w:type="pct"/>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ИП (%)</w:t>
            </w:r>
          </w:p>
        </w:tc>
      </w:tr>
      <w:tr w:rsidR="00630798" w:rsidRPr="00A47BC3" w:rsidTr="00630798">
        <w:trPr>
          <w:trHeight w:val="777"/>
        </w:trPr>
        <w:tc>
          <w:tcPr>
            <w:tcW w:w="725" w:type="pct"/>
            <w:vMerge/>
          </w:tcPr>
          <w:p w:rsidR="00630798" w:rsidRPr="00A47BC3" w:rsidRDefault="00630798" w:rsidP="00A47BC3">
            <w:pPr>
              <w:spacing w:after="0" w:line="240" w:lineRule="auto"/>
              <w:rPr>
                <w:rFonts w:ascii="Times New Roman" w:hAnsi="Times New Roman" w:cs="Times New Roman"/>
              </w:rPr>
            </w:pPr>
          </w:p>
        </w:tc>
        <w:tc>
          <w:tcPr>
            <w:tcW w:w="516" w:type="pct"/>
            <w:vMerge/>
          </w:tcPr>
          <w:p w:rsidR="00630798" w:rsidRPr="00A47BC3" w:rsidRDefault="00630798" w:rsidP="00A47BC3">
            <w:pPr>
              <w:spacing w:after="0" w:line="240" w:lineRule="auto"/>
              <w:rPr>
                <w:rFonts w:ascii="Times New Roman" w:hAnsi="Times New Roman" w:cs="Times New Roman"/>
              </w:rPr>
            </w:pPr>
          </w:p>
        </w:tc>
        <w:tc>
          <w:tcPr>
            <w:tcW w:w="741" w:type="pct"/>
            <w:vMerge/>
          </w:tcPr>
          <w:p w:rsidR="00630798" w:rsidRPr="00A47BC3" w:rsidRDefault="00630798" w:rsidP="00A47BC3">
            <w:pPr>
              <w:spacing w:after="0" w:line="240" w:lineRule="auto"/>
              <w:rPr>
                <w:rFonts w:ascii="Times New Roman" w:hAnsi="Times New Roman" w:cs="Times New Roman"/>
              </w:rPr>
            </w:pPr>
          </w:p>
        </w:tc>
        <w:tc>
          <w:tcPr>
            <w:tcW w:w="371" w:type="pct"/>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2015</w:t>
            </w:r>
          </w:p>
        </w:tc>
        <w:tc>
          <w:tcPr>
            <w:tcW w:w="430" w:type="pct"/>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2016</w:t>
            </w:r>
          </w:p>
        </w:tc>
        <w:tc>
          <w:tcPr>
            <w:tcW w:w="410" w:type="pct"/>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2017</w:t>
            </w:r>
          </w:p>
        </w:tc>
        <w:tc>
          <w:tcPr>
            <w:tcW w:w="438" w:type="pct"/>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2018</w:t>
            </w:r>
          </w:p>
        </w:tc>
        <w:tc>
          <w:tcPr>
            <w:tcW w:w="440" w:type="pct"/>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2019</w:t>
            </w:r>
          </w:p>
        </w:tc>
        <w:tc>
          <w:tcPr>
            <w:tcW w:w="501" w:type="pct"/>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2020</w:t>
            </w:r>
          </w:p>
        </w:tc>
        <w:tc>
          <w:tcPr>
            <w:tcW w:w="428" w:type="pct"/>
          </w:tcPr>
          <w:p w:rsidR="00630798" w:rsidRPr="00A47BC3" w:rsidRDefault="00630798" w:rsidP="00A47BC3">
            <w:pPr>
              <w:spacing w:after="0" w:line="240" w:lineRule="auto"/>
              <w:rPr>
                <w:rFonts w:ascii="Times New Roman" w:hAnsi="Times New Roman" w:cs="Times New Roman"/>
              </w:rPr>
            </w:pPr>
          </w:p>
        </w:tc>
      </w:tr>
      <w:tr w:rsidR="00630798" w:rsidRPr="00A47BC3" w:rsidTr="00630798">
        <w:trPr>
          <w:trHeight w:val="530"/>
        </w:trPr>
        <w:tc>
          <w:tcPr>
            <w:tcW w:w="725" w:type="pct"/>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39844</w:t>
            </w:r>
          </w:p>
        </w:tc>
        <w:tc>
          <w:tcPr>
            <w:tcW w:w="516" w:type="pct"/>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4486</w:t>
            </w:r>
          </w:p>
        </w:tc>
        <w:tc>
          <w:tcPr>
            <w:tcW w:w="741" w:type="pct"/>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35358</w:t>
            </w:r>
          </w:p>
        </w:tc>
        <w:tc>
          <w:tcPr>
            <w:tcW w:w="371" w:type="pct"/>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lang w:val="en-US"/>
              </w:rPr>
              <w:t>V-1</w:t>
            </w:r>
            <w:r w:rsidRPr="00A47BC3">
              <w:rPr>
                <w:rFonts w:ascii="Times New Roman" w:hAnsi="Times New Roman" w:cs="Times New Roman"/>
              </w:rPr>
              <w:t>07</w:t>
            </w:r>
          </w:p>
        </w:tc>
        <w:tc>
          <w:tcPr>
            <w:tcW w:w="430" w:type="pct"/>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lang w:val="en-US"/>
              </w:rPr>
              <w:t>V-</w:t>
            </w:r>
            <w:r w:rsidRPr="00A47BC3">
              <w:rPr>
                <w:rFonts w:ascii="Times New Roman" w:hAnsi="Times New Roman" w:cs="Times New Roman"/>
              </w:rPr>
              <w:t>849</w:t>
            </w:r>
          </w:p>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lang w:val="en-US"/>
              </w:rPr>
              <w:t>RV-</w:t>
            </w:r>
            <w:r w:rsidRPr="00A47BC3">
              <w:rPr>
                <w:rFonts w:ascii="Times New Roman" w:hAnsi="Times New Roman" w:cs="Times New Roman"/>
              </w:rPr>
              <w:t>890</w:t>
            </w:r>
          </w:p>
        </w:tc>
        <w:tc>
          <w:tcPr>
            <w:tcW w:w="410" w:type="pct"/>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lang w:val="en-US"/>
              </w:rPr>
              <w:t>V-</w:t>
            </w:r>
            <w:r w:rsidRPr="00A47BC3">
              <w:rPr>
                <w:rFonts w:ascii="Times New Roman" w:hAnsi="Times New Roman" w:cs="Times New Roman"/>
              </w:rPr>
              <w:t>247</w:t>
            </w:r>
          </w:p>
          <w:p w:rsidR="00630798" w:rsidRPr="00A47BC3" w:rsidRDefault="00630798" w:rsidP="00A47BC3">
            <w:pPr>
              <w:spacing w:after="0" w:line="240" w:lineRule="auto"/>
              <w:rPr>
                <w:rFonts w:ascii="Times New Roman" w:hAnsi="Times New Roman" w:cs="Times New Roman"/>
              </w:rPr>
            </w:pPr>
          </w:p>
        </w:tc>
        <w:tc>
          <w:tcPr>
            <w:tcW w:w="438" w:type="pct"/>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lang w:val="en-US"/>
              </w:rPr>
              <w:t>V-</w:t>
            </w:r>
            <w:r w:rsidRPr="00A47BC3">
              <w:rPr>
                <w:rFonts w:ascii="Times New Roman" w:hAnsi="Times New Roman" w:cs="Times New Roman"/>
              </w:rPr>
              <w:t xml:space="preserve">880, </w:t>
            </w:r>
          </w:p>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RV-1088</w:t>
            </w:r>
          </w:p>
        </w:tc>
        <w:tc>
          <w:tcPr>
            <w:tcW w:w="440" w:type="pct"/>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lang w:val="en-US"/>
              </w:rPr>
              <w:t>V-</w:t>
            </w:r>
            <w:r w:rsidRPr="00A47BC3">
              <w:rPr>
                <w:rFonts w:ascii="Times New Roman" w:hAnsi="Times New Roman" w:cs="Times New Roman"/>
              </w:rPr>
              <w:t xml:space="preserve">900, </w:t>
            </w:r>
          </w:p>
          <w:p w:rsidR="00630798" w:rsidRPr="00A47BC3" w:rsidRDefault="00630798" w:rsidP="00A47BC3">
            <w:pPr>
              <w:spacing w:after="0" w:line="240" w:lineRule="auto"/>
              <w:rPr>
                <w:rFonts w:ascii="Times New Roman" w:hAnsi="Times New Roman" w:cs="Times New Roman"/>
                <w:lang w:val="en-US"/>
              </w:rPr>
            </w:pPr>
            <w:r w:rsidRPr="00A47BC3">
              <w:rPr>
                <w:rFonts w:ascii="Times New Roman" w:hAnsi="Times New Roman" w:cs="Times New Roman"/>
              </w:rPr>
              <w:t>RV-408</w:t>
            </w:r>
          </w:p>
        </w:tc>
        <w:tc>
          <w:tcPr>
            <w:tcW w:w="501" w:type="pct"/>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lang w:val="en-US"/>
              </w:rPr>
              <w:t>V-</w:t>
            </w:r>
            <w:r w:rsidRPr="00A47BC3">
              <w:rPr>
                <w:rFonts w:ascii="Times New Roman" w:hAnsi="Times New Roman" w:cs="Times New Roman"/>
              </w:rPr>
              <w:t xml:space="preserve">787 </w:t>
            </w:r>
          </w:p>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RV-70</w:t>
            </w:r>
          </w:p>
        </w:tc>
        <w:tc>
          <w:tcPr>
            <w:tcW w:w="428" w:type="pct"/>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17,6</w:t>
            </w:r>
          </w:p>
        </w:tc>
      </w:tr>
    </w:tbl>
    <w:p w:rsidR="00630798" w:rsidRPr="00A47BC3" w:rsidRDefault="00630798" w:rsidP="00A47BC3">
      <w:pPr>
        <w:pStyle w:val="a5"/>
        <w:ind w:firstLine="709"/>
        <w:jc w:val="right"/>
        <w:rPr>
          <w:sz w:val="22"/>
          <w:szCs w:val="22"/>
          <w:highlight w:val="yellow"/>
        </w:rPr>
      </w:pPr>
    </w:p>
    <w:p w:rsidR="00630798" w:rsidRPr="00A47BC3" w:rsidRDefault="00630798" w:rsidP="00A47BC3">
      <w:pPr>
        <w:spacing w:after="0" w:line="240" w:lineRule="auto"/>
        <w:jc w:val="both"/>
        <w:rPr>
          <w:rFonts w:ascii="Times New Roman" w:hAnsi="Times New Roman" w:cs="Times New Roman"/>
        </w:rPr>
      </w:pPr>
      <w:r w:rsidRPr="00A47BC3">
        <w:rPr>
          <w:rFonts w:ascii="Times New Roman" w:hAnsi="Times New Roman" w:cs="Times New Roman"/>
        </w:rPr>
        <w:t xml:space="preserve">Учитывая, что территория города относится к эпид. неблагополучным территориям округа по данной инфекции, в городе проводится сплошная иммунизация населения против туляремии.  Вакцинация играет важную роль в пофилактике населения против туляремии. Индекс привитости  по данной инфекции составляет 17,6( в 2019г-14,5 %). Проводилась барьерная обработка  от грызунов. В 2020 г обработано </w:t>
      </w:r>
      <w:r w:rsidRPr="00A47BC3">
        <w:rPr>
          <w:rFonts w:ascii="Times New Roman" w:hAnsi="Times New Roman" w:cs="Times New Roman"/>
          <w:color w:val="000000"/>
          <w:szCs w:val="24"/>
        </w:rPr>
        <w:t>204,69га,объемы  лаврицидной обработки меньше, чем в 2019г в 10,3 раз и 3,27 раз меньше чем в 2018году( в 2019г-</w:t>
      </w:r>
      <w:r w:rsidRPr="00A47BC3">
        <w:rPr>
          <w:rFonts w:ascii="Times New Roman" w:hAnsi="Times New Roman" w:cs="Times New Roman"/>
        </w:rPr>
        <w:t xml:space="preserve"> 2111,14 га , в 2018г-670,38 га).</w:t>
      </w:r>
    </w:p>
    <w:p w:rsidR="00630798" w:rsidRPr="00A47BC3" w:rsidRDefault="00630798" w:rsidP="00A47BC3">
      <w:pPr>
        <w:spacing w:after="0" w:line="240" w:lineRule="auto"/>
        <w:ind w:firstLine="708"/>
        <w:jc w:val="both"/>
        <w:rPr>
          <w:rFonts w:ascii="Times New Roman" w:hAnsi="Times New Roman" w:cs="Times New Roman"/>
        </w:rPr>
      </w:pPr>
      <w:r w:rsidRPr="00A47BC3">
        <w:rPr>
          <w:rFonts w:ascii="Times New Roman" w:hAnsi="Times New Roman" w:cs="Times New Roman"/>
        </w:rPr>
        <w:t>Лабораторные исследования на туляремию проб воды с поверхностных водоемов  отрицательные.</w:t>
      </w:r>
    </w:p>
    <w:p w:rsidR="00630798" w:rsidRPr="00A47BC3" w:rsidRDefault="00630798" w:rsidP="00A47BC3">
      <w:pPr>
        <w:spacing w:after="0" w:line="240" w:lineRule="auto"/>
        <w:ind w:firstLine="708"/>
        <w:jc w:val="center"/>
        <w:rPr>
          <w:rFonts w:ascii="Times New Roman" w:hAnsi="Times New Roman" w:cs="Times New Roman"/>
          <w:b/>
          <w:highlight w:val="yellow"/>
        </w:rPr>
      </w:pPr>
    </w:p>
    <w:p w:rsidR="00630798" w:rsidRPr="00A47BC3" w:rsidRDefault="00630798" w:rsidP="00A47BC3">
      <w:pPr>
        <w:spacing w:after="0" w:line="240" w:lineRule="auto"/>
        <w:ind w:firstLine="708"/>
        <w:jc w:val="center"/>
        <w:rPr>
          <w:rFonts w:ascii="Times New Roman" w:hAnsi="Times New Roman" w:cs="Times New Roman"/>
          <w:b/>
        </w:rPr>
      </w:pPr>
      <w:r w:rsidRPr="00A47BC3">
        <w:rPr>
          <w:rFonts w:ascii="Times New Roman" w:hAnsi="Times New Roman" w:cs="Times New Roman"/>
          <w:b/>
        </w:rPr>
        <w:t>Клещевой энцефалит и болезнь Лайма</w:t>
      </w:r>
    </w:p>
    <w:p w:rsidR="00630798" w:rsidRPr="00A47BC3" w:rsidRDefault="00630798" w:rsidP="00A47BC3">
      <w:pPr>
        <w:spacing w:after="0" w:line="240" w:lineRule="auto"/>
        <w:ind w:firstLine="708"/>
        <w:jc w:val="both"/>
        <w:rPr>
          <w:rFonts w:ascii="Times New Roman" w:hAnsi="Times New Roman" w:cs="Times New Roman"/>
        </w:rPr>
      </w:pPr>
    </w:p>
    <w:p w:rsidR="00630798" w:rsidRPr="00A47BC3" w:rsidRDefault="00630798" w:rsidP="00A47BC3">
      <w:pPr>
        <w:spacing w:after="0" w:line="240" w:lineRule="auto"/>
        <w:ind w:firstLine="708"/>
        <w:jc w:val="both"/>
        <w:rPr>
          <w:rFonts w:ascii="Times New Roman" w:hAnsi="Times New Roman" w:cs="Times New Roman"/>
        </w:rPr>
      </w:pPr>
      <w:r w:rsidRPr="00A47BC3">
        <w:rPr>
          <w:rFonts w:ascii="Times New Roman" w:hAnsi="Times New Roman" w:cs="Times New Roman"/>
        </w:rPr>
        <w:t>Иммунная прослойка по клещевому энцефалиту в 2019г составила 42,5%, в 2020г-34,2%, что свидетельствует о необходимости увеличения вакцинации и своевременной ревакцинации населения. Клещевой энцефалит и клещевой боррелиоз  - наиболее распространенные природно – очаговые заболевания на территории Ханты – Мансийского автономного округа. Клещевой энцефалит остается наиболее тяжелой природно – очаговой инфекцией.</w:t>
      </w:r>
    </w:p>
    <w:p w:rsidR="00630798" w:rsidRPr="00A47BC3" w:rsidRDefault="00630798" w:rsidP="00A47BC3">
      <w:pPr>
        <w:pStyle w:val="a5"/>
        <w:ind w:firstLine="709"/>
        <w:jc w:val="right"/>
        <w:rPr>
          <w:sz w:val="22"/>
          <w:szCs w:val="22"/>
          <w:highlight w:val="yellow"/>
        </w:rPr>
      </w:pPr>
    </w:p>
    <w:p w:rsidR="00630798" w:rsidRPr="00A47BC3" w:rsidRDefault="00630798" w:rsidP="00A47BC3">
      <w:pPr>
        <w:pStyle w:val="a5"/>
        <w:ind w:firstLine="709"/>
        <w:jc w:val="right"/>
        <w:rPr>
          <w:sz w:val="22"/>
          <w:szCs w:val="22"/>
          <w:lang w:val="ru-RU"/>
        </w:rPr>
      </w:pPr>
      <w:r w:rsidRPr="00A47BC3">
        <w:rPr>
          <w:sz w:val="22"/>
          <w:szCs w:val="22"/>
        </w:rPr>
        <w:t xml:space="preserve">Таблица № </w:t>
      </w:r>
      <w:r w:rsidRPr="00A47BC3">
        <w:rPr>
          <w:sz w:val="22"/>
          <w:szCs w:val="22"/>
          <w:lang w:val="ru-RU"/>
        </w:rPr>
        <w:t>19</w:t>
      </w:r>
    </w:p>
    <w:p w:rsidR="00630798" w:rsidRPr="00A47BC3" w:rsidRDefault="00630798" w:rsidP="00A47BC3">
      <w:pPr>
        <w:pStyle w:val="a5"/>
        <w:ind w:firstLine="709"/>
        <w:rPr>
          <w:b/>
          <w:sz w:val="22"/>
          <w:szCs w:val="22"/>
        </w:rPr>
      </w:pPr>
      <w:r w:rsidRPr="00A47BC3">
        <w:rPr>
          <w:b/>
          <w:sz w:val="22"/>
          <w:szCs w:val="22"/>
        </w:rPr>
        <w:t>Динамика  заболеваемости клещевым энцефалитом, клещевым боррелиозо</w:t>
      </w:r>
      <w:r w:rsidRPr="00A47BC3">
        <w:rPr>
          <w:b/>
          <w:sz w:val="22"/>
          <w:szCs w:val="22"/>
          <w:lang w:val="ru-RU"/>
        </w:rPr>
        <w:t>м</w:t>
      </w:r>
      <w:r w:rsidRPr="00A47BC3">
        <w:rPr>
          <w:b/>
          <w:sz w:val="22"/>
          <w:szCs w:val="22"/>
        </w:rPr>
        <w:t xml:space="preserve"> и малярией  за 201</w:t>
      </w:r>
      <w:r w:rsidRPr="00A47BC3">
        <w:rPr>
          <w:b/>
          <w:sz w:val="22"/>
          <w:szCs w:val="22"/>
          <w:lang w:val="ru-RU"/>
        </w:rPr>
        <w:t>8</w:t>
      </w:r>
      <w:r w:rsidRPr="00A47BC3">
        <w:rPr>
          <w:b/>
          <w:sz w:val="22"/>
          <w:szCs w:val="22"/>
        </w:rPr>
        <w:t xml:space="preserve"> – 20</w:t>
      </w:r>
      <w:r w:rsidRPr="00A47BC3">
        <w:rPr>
          <w:b/>
          <w:sz w:val="22"/>
          <w:szCs w:val="22"/>
          <w:lang w:val="ru-RU"/>
        </w:rPr>
        <w:t>20</w:t>
      </w:r>
      <w:r w:rsidRPr="00A47BC3">
        <w:rPr>
          <w:b/>
          <w:sz w:val="22"/>
          <w:szCs w:val="22"/>
        </w:rPr>
        <w:t xml:space="preserve"> гг.</w:t>
      </w:r>
    </w:p>
    <w:tbl>
      <w:tblPr>
        <w:tblW w:w="935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088"/>
        <w:gridCol w:w="23"/>
        <w:gridCol w:w="953"/>
        <w:gridCol w:w="890"/>
        <w:gridCol w:w="789"/>
        <w:gridCol w:w="770"/>
        <w:gridCol w:w="25"/>
        <w:gridCol w:w="897"/>
        <w:gridCol w:w="921"/>
      </w:tblGrid>
      <w:tr w:rsidR="00630798" w:rsidRPr="00A47BC3" w:rsidTr="00630798">
        <w:trPr>
          <w:cantSplit/>
          <w:trHeight w:val="311"/>
        </w:trPr>
        <w:tc>
          <w:tcPr>
            <w:tcW w:w="4088"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Ноозоология</w:t>
            </w:r>
          </w:p>
        </w:tc>
        <w:tc>
          <w:tcPr>
            <w:tcW w:w="1866" w:type="dxa"/>
            <w:gridSpan w:val="3"/>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2018 г.</w:t>
            </w:r>
          </w:p>
        </w:tc>
        <w:tc>
          <w:tcPr>
            <w:tcW w:w="1584" w:type="dxa"/>
            <w:gridSpan w:val="3"/>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2019 г.</w:t>
            </w:r>
          </w:p>
        </w:tc>
        <w:tc>
          <w:tcPr>
            <w:tcW w:w="1818" w:type="dxa"/>
            <w:gridSpan w:val="2"/>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2020 г.</w:t>
            </w:r>
          </w:p>
        </w:tc>
      </w:tr>
      <w:tr w:rsidR="00630798" w:rsidRPr="00A47BC3" w:rsidTr="00630798">
        <w:trPr>
          <w:cantSplit/>
          <w:trHeight w:val="328"/>
        </w:trPr>
        <w:tc>
          <w:tcPr>
            <w:tcW w:w="4111" w:type="dxa"/>
            <w:gridSpan w:val="2"/>
            <w:tcBorders>
              <w:top w:val="single" w:sz="4" w:space="0" w:color="auto"/>
              <w:left w:val="single" w:sz="4" w:space="0" w:color="auto"/>
              <w:bottom w:val="single" w:sz="4" w:space="0" w:color="auto"/>
              <w:right w:val="single" w:sz="4" w:space="0" w:color="auto"/>
            </w:tcBorders>
            <w:vAlign w:val="center"/>
          </w:tcPr>
          <w:p w:rsidR="00630798" w:rsidRPr="00A47BC3" w:rsidRDefault="00630798" w:rsidP="00A47BC3">
            <w:pPr>
              <w:spacing w:after="0" w:line="240" w:lineRule="auto"/>
              <w:jc w:val="center"/>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Абс.</w:t>
            </w:r>
          </w:p>
        </w:tc>
        <w:tc>
          <w:tcPr>
            <w:tcW w:w="89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Пок.</w:t>
            </w:r>
          </w:p>
        </w:tc>
        <w:tc>
          <w:tcPr>
            <w:tcW w:w="789"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Абс</w:t>
            </w:r>
          </w:p>
        </w:tc>
        <w:tc>
          <w:tcPr>
            <w:tcW w:w="77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Пок.</w:t>
            </w:r>
          </w:p>
        </w:tc>
        <w:tc>
          <w:tcPr>
            <w:tcW w:w="922" w:type="dxa"/>
            <w:gridSpan w:val="2"/>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Абс</w:t>
            </w:r>
          </w:p>
        </w:tc>
        <w:tc>
          <w:tcPr>
            <w:tcW w:w="921"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Пок.</w:t>
            </w:r>
          </w:p>
        </w:tc>
      </w:tr>
      <w:tr w:rsidR="00630798" w:rsidRPr="00A47BC3" w:rsidTr="00630798">
        <w:trPr>
          <w:trHeight w:val="336"/>
        </w:trPr>
        <w:tc>
          <w:tcPr>
            <w:tcW w:w="4111" w:type="dxa"/>
            <w:gridSpan w:val="2"/>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Клещевой энцефалит</w:t>
            </w:r>
          </w:p>
        </w:tc>
        <w:tc>
          <w:tcPr>
            <w:tcW w:w="953"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89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3</w:t>
            </w:r>
          </w:p>
        </w:tc>
        <w:tc>
          <w:tcPr>
            <w:tcW w:w="77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7,3</w:t>
            </w:r>
          </w:p>
        </w:tc>
        <w:tc>
          <w:tcPr>
            <w:tcW w:w="922" w:type="dxa"/>
            <w:gridSpan w:val="2"/>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p>
        </w:tc>
        <w:tc>
          <w:tcPr>
            <w:tcW w:w="921"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p>
        </w:tc>
      </w:tr>
      <w:tr w:rsidR="00630798" w:rsidRPr="00A47BC3" w:rsidTr="00630798">
        <w:trPr>
          <w:trHeight w:val="311"/>
        </w:trPr>
        <w:tc>
          <w:tcPr>
            <w:tcW w:w="4111" w:type="dxa"/>
            <w:gridSpan w:val="2"/>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Болезнь Лайма</w:t>
            </w:r>
          </w:p>
        </w:tc>
        <w:tc>
          <w:tcPr>
            <w:tcW w:w="953"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89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w:t>
            </w:r>
          </w:p>
        </w:tc>
        <w:tc>
          <w:tcPr>
            <w:tcW w:w="77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4,9</w:t>
            </w:r>
          </w:p>
        </w:tc>
        <w:tc>
          <w:tcPr>
            <w:tcW w:w="922" w:type="dxa"/>
            <w:gridSpan w:val="2"/>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w:t>
            </w:r>
          </w:p>
        </w:tc>
        <w:tc>
          <w:tcPr>
            <w:tcW w:w="921"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2,5</w:t>
            </w:r>
          </w:p>
        </w:tc>
      </w:tr>
      <w:tr w:rsidR="00630798" w:rsidRPr="00A47BC3" w:rsidTr="00630798">
        <w:trPr>
          <w:trHeight w:val="328"/>
        </w:trPr>
        <w:tc>
          <w:tcPr>
            <w:tcW w:w="4111" w:type="dxa"/>
            <w:gridSpan w:val="2"/>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Паразитоносительство малярии</w:t>
            </w:r>
          </w:p>
        </w:tc>
        <w:tc>
          <w:tcPr>
            <w:tcW w:w="953"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89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789"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77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922" w:type="dxa"/>
            <w:gridSpan w:val="2"/>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921"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r>
    </w:tbl>
    <w:p w:rsidR="00630798" w:rsidRPr="00A47BC3" w:rsidRDefault="00630798" w:rsidP="00A47BC3">
      <w:pPr>
        <w:spacing w:after="0" w:line="240" w:lineRule="auto"/>
        <w:jc w:val="both"/>
        <w:rPr>
          <w:rFonts w:ascii="Times New Roman" w:hAnsi="Times New Roman" w:cs="Times New Roman"/>
        </w:rPr>
      </w:pPr>
      <w:r w:rsidRPr="00A47BC3">
        <w:rPr>
          <w:rFonts w:ascii="Times New Roman" w:hAnsi="Times New Roman" w:cs="Times New Roman"/>
        </w:rPr>
        <w:t xml:space="preserve">            В  2018 году на территории г. Пыть-Ях случаев клещевого энцефалита, клещевого бореллиоза не зарегистрировано. </w:t>
      </w:r>
    </w:p>
    <w:p w:rsidR="00630798" w:rsidRPr="00A47BC3" w:rsidRDefault="00630798" w:rsidP="00A47BC3">
      <w:pPr>
        <w:spacing w:after="0" w:line="240" w:lineRule="auto"/>
        <w:jc w:val="both"/>
        <w:rPr>
          <w:rFonts w:ascii="Times New Roman" w:hAnsi="Times New Roman" w:cs="Times New Roman"/>
        </w:rPr>
      </w:pPr>
      <w:r w:rsidRPr="00A47BC3">
        <w:rPr>
          <w:rFonts w:ascii="Times New Roman" w:hAnsi="Times New Roman" w:cs="Times New Roman"/>
        </w:rPr>
        <w:t xml:space="preserve">           В 2019 году зарегистрировано 3 случая клещевого энцефалита ( 1 случай у ребенка до 14 лет) и 2 случая болезни Лайма (среди взрослого населения). Показатели по данным заболеваниям превышали окружные показатели более, чем в 2 раза.</w:t>
      </w:r>
    </w:p>
    <w:p w:rsidR="00630798" w:rsidRPr="00A47BC3" w:rsidRDefault="00630798" w:rsidP="00A47BC3">
      <w:pPr>
        <w:spacing w:after="0" w:line="240" w:lineRule="auto"/>
        <w:ind w:firstLine="709"/>
        <w:jc w:val="both"/>
        <w:rPr>
          <w:rFonts w:ascii="Times New Roman" w:hAnsi="Times New Roman" w:cs="Times New Roman"/>
        </w:rPr>
      </w:pPr>
      <w:bookmarkStart w:id="40" w:name="_Hlk62933737"/>
      <w:r w:rsidRPr="00A47BC3">
        <w:rPr>
          <w:rFonts w:ascii="Times New Roman" w:hAnsi="Times New Roman" w:cs="Times New Roman"/>
        </w:rPr>
        <w:t>В 2020 году зарегистрирован 1 случай клещевого боррелиоза среди взрослого населения, показатель заболеваемости составил 2,5 ,что выше среднеокружных показателей на 410%</w:t>
      </w:r>
    </w:p>
    <w:bookmarkEnd w:id="40"/>
    <w:p w:rsidR="00630798" w:rsidRPr="00A47BC3" w:rsidRDefault="00630798" w:rsidP="00A47BC3">
      <w:pPr>
        <w:spacing w:after="0" w:line="240" w:lineRule="auto"/>
        <w:ind w:firstLine="708"/>
        <w:jc w:val="both"/>
        <w:rPr>
          <w:rFonts w:ascii="Times New Roman" w:hAnsi="Times New Roman" w:cs="Times New Roman"/>
          <w:highlight w:val="yellow"/>
        </w:rPr>
      </w:pPr>
      <w:r w:rsidRPr="00A47BC3">
        <w:rPr>
          <w:rFonts w:ascii="Times New Roman" w:hAnsi="Times New Roman" w:cs="Times New Roman"/>
          <w:szCs w:val="24"/>
        </w:rPr>
        <w:t>Одной из причин  регистрации заболеваемости клещевым энцефалитом на протяжении ряда лет, является низкая, несмотря на эндемичную территорию,  ежегодная плановая иммунизация населения.</w:t>
      </w:r>
      <w:r w:rsidRPr="00A47BC3">
        <w:rPr>
          <w:rFonts w:ascii="Times New Roman" w:hAnsi="Times New Roman" w:cs="Times New Roman"/>
        </w:rPr>
        <w:t xml:space="preserve"> Индекс привитости  по клещевому энцефалиту в 2020 г. составляет 34,2% ( 2019г-42,15 %). </w:t>
      </w:r>
    </w:p>
    <w:p w:rsidR="00630798" w:rsidRPr="00A47BC3" w:rsidRDefault="00630798" w:rsidP="00A47BC3">
      <w:pPr>
        <w:pStyle w:val="a5"/>
        <w:ind w:firstLine="709"/>
        <w:jc w:val="right"/>
        <w:rPr>
          <w:sz w:val="22"/>
          <w:szCs w:val="22"/>
          <w:lang w:val="ru-RU"/>
        </w:rPr>
      </w:pPr>
      <w:r w:rsidRPr="00A47BC3">
        <w:rPr>
          <w:sz w:val="22"/>
          <w:szCs w:val="22"/>
        </w:rPr>
        <w:t>Таблица № 2</w:t>
      </w:r>
      <w:r w:rsidRPr="00A47BC3">
        <w:rPr>
          <w:sz w:val="22"/>
          <w:szCs w:val="22"/>
          <w:lang w:val="ru-RU"/>
        </w:rPr>
        <w:t>0</w:t>
      </w:r>
    </w:p>
    <w:p w:rsidR="00630798" w:rsidRPr="00A47BC3" w:rsidRDefault="00630798" w:rsidP="00A47BC3">
      <w:pPr>
        <w:pStyle w:val="a5"/>
        <w:ind w:firstLine="709"/>
        <w:rPr>
          <w:b/>
          <w:sz w:val="24"/>
          <w:szCs w:val="24"/>
        </w:rPr>
      </w:pPr>
      <w:r w:rsidRPr="00A47BC3">
        <w:rPr>
          <w:b/>
          <w:sz w:val="24"/>
          <w:szCs w:val="24"/>
        </w:rPr>
        <w:t>Иммунизация населения против клещевого энцефалита в 20</w:t>
      </w:r>
      <w:r w:rsidRPr="00A47BC3">
        <w:rPr>
          <w:b/>
          <w:sz w:val="24"/>
          <w:szCs w:val="24"/>
          <w:lang w:val="ru-RU"/>
        </w:rPr>
        <w:t>20</w:t>
      </w:r>
      <w:r w:rsidRPr="00A47BC3">
        <w:rPr>
          <w:b/>
          <w:sz w:val="24"/>
          <w:szCs w:val="24"/>
        </w:rPr>
        <w:t xml:space="preserve"> году.</w:t>
      </w:r>
    </w:p>
    <w:tbl>
      <w:tblPr>
        <w:tblpPr w:leftFromText="180" w:rightFromText="180" w:vertAnchor="page" w:horzAnchor="margin" w:tblpY="126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317"/>
        <w:gridCol w:w="1131"/>
        <w:gridCol w:w="819"/>
        <w:gridCol w:w="1059"/>
        <w:gridCol w:w="1075"/>
        <w:gridCol w:w="1198"/>
        <w:gridCol w:w="589"/>
        <w:gridCol w:w="656"/>
      </w:tblGrid>
      <w:tr w:rsidR="00630798" w:rsidRPr="00A47BC3" w:rsidTr="00630798">
        <w:trPr>
          <w:trHeight w:val="503"/>
        </w:trPr>
        <w:tc>
          <w:tcPr>
            <w:tcW w:w="821" w:type="pct"/>
            <w:vMerge w:val="restart"/>
            <w:shd w:val="clear" w:color="auto" w:fill="auto"/>
            <w:noWrap/>
            <w:vAlign w:val="center"/>
          </w:tcPr>
          <w:p w:rsidR="00630798" w:rsidRPr="00A47BC3" w:rsidRDefault="00630798" w:rsidP="00A47BC3">
            <w:pPr>
              <w:spacing w:after="0" w:line="240" w:lineRule="auto"/>
              <w:jc w:val="center"/>
              <w:rPr>
                <w:rFonts w:ascii="Times New Roman" w:hAnsi="Times New Roman" w:cs="Times New Roman"/>
                <w:bCs/>
              </w:rPr>
            </w:pPr>
            <w:r w:rsidRPr="00A47BC3">
              <w:rPr>
                <w:rFonts w:ascii="Times New Roman" w:hAnsi="Times New Roman" w:cs="Times New Roman"/>
                <w:bCs/>
              </w:rPr>
              <w:t>территория</w:t>
            </w:r>
          </w:p>
        </w:tc>
        <w:tc>
          <w:tcPr>
            <w:tcW w:w="678" w:type="pct"/>
            <w:vMerge w:val="restart"/>
            <w:shd w:val="clear" w:color="auto" w:fill="auto"/>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Количество населения</w:t>
            </w:r>
          </w:p>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старше</w:t>
            </w:r>
          </w:p>
          <w:p w:rsidR="00630798" w:rsidRPr="00A47BC3" w:rsidRDefault="00630798" w:rsidP="00A47BC3">
            <w:pPr>
              <w:spacing w:after="0" w:line="240" w:lineRule="auto"/>
              <w:jc w:val="center"/>
              <w:rPr>
                <w:rFonts w:ascii="Times New Roman" w:hAnsi="Times New Roman" w:cs="Times New Roman"/>
                <w:bCs/>
              </w:rPr>
            </w:pPr>
            <w:r w:rsidRPr="00A47BC3">
              <w:rPr>
                <w:rFonts w:ascii="Times New Roman" w:hAnsi="Times New Roman" w:cs="Times New Roman"/>
              </w:rPr>
              <w:t>4-х лет</w:t>
            </w:r>
          </w:p>
        </w:tc>
        <w:tc>
          <w:tcPr>
            <w:tcW w:w="582" w:type="pct"/>
            <w:vMerge w:val="restart"/>
            <w:shd w:val="clear" w:color="auto" w:fill="auto"/>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число вакцини-рованных</w:t>
            </w:r>
          </w:p>
          <w:p w:rsidR="00630798" w:rsidRPr="00A47BC3" w:rsidRDefault="00630798" w:rsidP="00A47BC3">
            <w:pPr>
              <w:spacing w:after="0" w:line="240" w:lineRule="auto"/>
              <w:jc w:val="center"/>
              <w:rPr>
                <w:rFonts w:ascii="Times New Roman" w:hAnsi="Times New Roman" w:cs="Times New Roman"/>
                <w:bCs/>
              </w:rPr>
            </w:pPr>
            <w:r w:rsidRPr="00A47BC3">
              <w:rPr>
                <w:rFonts w:ascii="Times New Roman" w:hAnsi="Times New Roman" w:cs="Times New Roman"/>
              </w:rPr>
              <w:t>в 2020 году</w:t>
            </w:r>
          </w:p>
        </w:tc>
        <w:tc>
          <w:tcPr>
            <w:tcW w:w="1632" w:type="pct"/>
            <w:gridSpan w:val="3"/>
            <w:shd w:val="clear" w:color="auto" w:fill="auto"/>
            <w:vAlign w:val="center"/>
          </w:tcPr>
          <w:p w:rsidR="00630798" w:rsidRPr="00A47BC3" w:rsidRDefault="00630798" w:rsidP="00A47BC3">
            <w:pPr>
              <w:spacing w:after="0" w:line="240" w:lineRule="auto"/>
              <w:jc w:val="center"/>
              <w:rPr>
                <w:rFonts w:ascii="Times New Roman" w:hAnsi="Times New Roman" w:cs="Times New Roman"/>
                <w:bCs/>
              </w:rPr>
            </w:pPr>
            <w:r w:rsidRPr="00A47BC3">
              <w:rPr>
                <w:rFonts w:ascii="Times New Roman" w:hAnsi="Times New Roman" w:cs="Times New Roman"/>
              </w:rPr>
              <w:t>число ревакцинированных</w:t>
            </w:r>
          </w:p>
        </w:tc>
        <w:tc>
          <w:tcPr>
            <w:tcW w:w="617" w:type="pct"/>
            <w:vMerge w:val="restart"/>
            <w:vAlign w:val="center"/>
          </w:tcPr>
          <w:p w:rsidR="00630798" w:rsidRPr="00A47BC3" w:rsidRDefault="00630798" w:rsidP="00A47BC3">
            <w:pPr>
              <w:spacing w:after="0" w:line="240" w:lineRule="auto"/>
              <w:jc w:val="center"/>
              <w:rPr>
                <w:rFonts w:ascii="Times New Roman" w:hAnsi="Times New Roman" w:cs="Times New Roman"/>
                <w:bCs/>
              </w:rPr>
            </w:pPr>
            <w:r w:rsidRPr="00A47BC3">
              <w:rPr>
                <w:rFonts w:ascii="Times New Roman" w:hAnsi="Times New Roman" w:cs="Times New Roman"/>
                <w:bCs/>
              </w:rPr>
              <w:t>Иммунная прослойка (%)</w:t>
            </w:r>
          </w:p>
        </w:tc>
        <w:tc>
          <w:tcPr>
            <w:tcW w:w="670" w:type="pct"/>
            <w:gridSpan w:val="2"/>
            <w:vAlign w:val="center"/>
          </w:tcPr>
          <w:p w:rsidR="00630798" w:rsidRPr="00A47BC3" w:rsidRDefault="00630798" w:rsidP="00A47BC3">
            <w:pPr>
              <w:spacing w:after="0" w:line="240" w:lineRule="auto"/>
              <w:jc w:val="center"/>
              <w:rPr>
                <w:rFonts w:ascii="Times New Roman" w:hAnsi="Times New Roman" w:cs="Times New Roman"/>
                <w:bCs/>
              </w:rPr>
            </w:pPr>
            <w:r w:rsidRPr="00A47BC3">
              <w:rPr>
                <w:rFonts w:ascii="Times New Roman" w:hAnsi="Times New Roman" w:cs="Times New Roman"/>
                <w:bCs/>
              </w:rPr>
              <w:t>План на 2020год</w:t>
            </w:r>
          </w:p>
        </w:tc>
      </w:tr>
      <w:tr w:rsidR="00630798" w:rsidRPr="00A47BC3" w:rsidTr="00630798">
        <w:trPr>
          <w:trHeight w:val="503"/>
        </w:trPr>
        <w:tc>
          <w:tcPr>
            <w:tcW w:w="821" w:type="pct"/>
            <w:vMerge/>
            <w:tcBorders>
              <w:bottom w:val="single" w:sz="4" w:space="0" w:color="auto"/>
            </w:tcBorders>
            <w:shd w:val="clear" w:color="auto" w:fill="auto"/>
            <w:noWrap/>
            <w:vAlign w:val="center"/>
          </w:tcPr>
          <w:p w:rsidR="00630798" w:rsidRPr="00A47BC3" w:rsidRDefault="00630798" w:rsidP="00A47BC3">
            <w:pPr>
              <w:spacing w:after="0" w:line="240" w:lineRule="auto"/>
              <w:jc w:val="center"/>
              <w:rPr>
                <w:rFonts w:ascii="Times New Roman" w:hAnsi="Times New Roman" w:cs="Times New Roman"/>
                <w:bCs/>
              </w:rPr>
            </w:pPr>
          </w:p>
        </w:tc>
        <w:tc>
          <w:tcPr>
            <w:tcW w:w="678" w:type="pct"/>
            <w:vMerge/>
            <w:tcBorders>
              <w:bottom w:val="single" w:sz="4" w:space="0" w:color="auto"/>
            </w:tcBorders>
            <w:shd w:val="clear" w:color="auto" w:fill="auto"/>
            <w:vAlign w:val="center"/>
          </w:tcPr>
          <w:p w:rsidR="00630798" w:rsidRPr="00A47BC3" w:rsidRDefault="00630798" w:rsidP="00A47BC3">
            <w:pPr>
              <w:spacing w:after="0" w:line="240" w:lineRule="auto"/>
              <w:jc w:val="center"/>
              <w:rPr>
                <w:rFonts w:ascii="Times New Roman" w:hAnsi="Times New Roman" w:cs="Times New Roman"/>
              </w:rPr>
            </w:pPr>
          </w:p>
        </w:tc>
        <w:tc>
          <w:tcPr>
            <w:tcW w:w="582" w:type="pct"/>
            <w:vMerge/>
            <w:tcBorders>
              <w:bottom w:val="single" w:sz="4" w:space="0" w:color="auto"/>
            </w:tcBorders>
            <w:shd w:val="clear" w:color="auto" w:fill="auto"/>
            <w:vAlign w:val="center"/>
          </w:tcPr>
          <w:p w:rsidR="00630798" w:rsidRPr="00A47BC3" w:rsidRDefault="00630798" w:rsidP="00A47BC3">
            <w:pPr>
              <w:spacing w:after="0" w:line="240" w:lineRule="auto"/>
              <w:jc w:val="center"/>
              <w:rPr>
                <w:rFonts w:ascii="Times New Roman" w:hAnsi="Times New Roman" w:cs="Times New Roman"/>
              </w:rPr>
            </w:pPr>
          </w:p>
        </w:tc>
        <w:tc>
          <w:tcPr>
            <w:tcW w:w="456" w:type="pct"/>
            <w:tcBorders>
              <w:bottom w:val="single" w:sz="4" w:space="0" w:color="auto"/>
            </w:tcBorders>
            <w:shd w:val="clear" w:color="auto" w:fill="auto"/>
            <w:vAlign w:val="center"/>
          </w:tcPr>
          <w:p w:rsidR="00630798" w:rsidRPr="00A47BC3" w:rsidRDefault="00630798" w:rsidP="00A47BC3">
            <w:pPr>
              <w:spacing w:after="0" w:line="240" w:lineRule="auto"/>
              <w:jc w:val="right"/>
              <w:rPr>
                <w:rFonts w:ascii="Times New Roman" w:hAnsi="Times New Roman" w:cs="Times New Roman"/>
                <w:bCs/>
              </w:rPr>
            </w:pPr>
            <w:r w:rsidRPr="00A47BC3">
              <w:rPr>
                <w:rFonts w:ascii="Times New Roman" w:hAnsi="Times New Roman" w:cs="Times New Roman"/>
                <w:bCs/>
              </w:rPr>
              <w:t>2018</w:t>
            </w:r>
          </w:p>
        </w:tc>
        <w:tc>
          <w:tcPr>
            <w:tcW w:w="584" w:type="pct"/>
            <w:tcBorders>
              <w:bottom w:val="single" w:sz="4" w:space="0" w:color="auto"/>
            </w:tcBorders>
            <w:shd w:val="clear" w:color="auto" w:fill="auto"/>
            <w:vAlign w:val="center"/>
          </w:tcPr>
          <w:p w:rsidR="00630798" w:rsidRPr="00A47BC3" w:rsidRDefault="00630798" w:rsidP="00A47BC3">
            <w:pPr>
              <w:spacing w:after="0" w:line="240" w:lineRule="auto"/>
              <w:jc w:val="right"/>
              <w:rPr>
                <w:rFonts w:ascii="Times New Roman" w:hAnsi="Times New Roman" w:cs="Times New Roman"/>
                <w:bCs/>
              </w:rPr>
            </w:pPr>
            <w:r w:rsidRPr="00A47BC3">
              <w:rPr>
                <w:rFonts w:ascii="Times New Roman" w:hAnsi="Times New Roman" w:cs="Times New Roman"/>
                <w:bCs/>
              </w:rPr>
              <w:t>2019</w:t>
            </w:r>
          </w:p>
        </w:tc>
        <w:tc>
          <w:tcPr>
            <w:tcW w:w="592" w:type="pct"/>
            <w:tcBorders>
              <w:bottom w:val="single" w:sz="4" w:space="0" w:color="auto"/>
            </w:tcBorders>
            <w:shd w:val="clear" w:color="auto" w:fill="auto"/>
          </w:tcPr>
          <w:p w:rsidR="00630798" w:rsidRPr="00A47BC3" w:rsidRDefault="00630798" w:rsidP="00A47BC3">
            <w:pPr>
              <w:spacing w:after="0" w:line="240" w:lineRule="auto"/>
              <w:jc w:val="center"/>
              <w:rPr>
                <w:rFonts w:ascii="Times New Roman" w:hAnsi="Times New Roman" w:cs="Times New Roman"/>
                <w:bCs/>
              </w:rPr>
            </w:pPr>
            <w:r w:rsidRPr="00A47BC3">
              <w:rPr>
                <w:rFonts w:ascii="Times New Roman" w:hAnsi="Times New Roman" w:cs="Times New Roman"/>
                <w:bCs/>
              </w:rPr>
              <w:t>2020</w:t>
            </w:r>
          </w:p>
        </w:tc>
        <w:tc>
          <w:tcPr>
            <w:tcW w:w="617" w:type="pct"/>
            <w:vMerge/>
            <w:tcBorders>
              <w:bottom w:val="single" w:sz="4" w:space="0" w:color="auto"/>
            </w:tcBorders>
            <w:vAlign w:val="center"/>
          </w:tcPr>
          <w:p w:rsidR="00630798" w:rsidRPr="00A47BC3" w:rsidRDefault="00630798" w:rsidP="00A47BC3">
            <w:pPr>
              <w:spacing w:after="0" w:line="240" w:lineRule="auto"/>
              <w:jc w:val="center"/>
              <w:rPr>
                <w:rFonts w:ascii="Times New Roman" w:hAnsi="Times New Roman" w:cs="Times New Roman"/>
                <w:bCs/>
              </w:rPr>
            </w:pPr>
          </w:p>
        </w:tc>
        <w:tc>
          <w:tcPr>
            <w:tcW w:w="332" w:type="pct"/>
            <w:tcBorders>
              <w:bottom w:val="single" w:sz="4" w:space="0" w:color="auto"/>
            </w:tcBorders>
            <w:vAlign w:val="center"/>
          </w:tcPr>
          <w:p w:rsidR="00630798" w:rsidRPr="00A47BC3" w:rsidRDefault="00630798" w:rsidP="00A47BC3">
            <w:pPr>
              <w:spacing w:after="0" w:line="240" w:lineRule="auto"/>
              <w:jc w:val="center"/>
              <w:rPr>
                <w:rFonts w:ascii="Times New Roman" w:hAnsi="Times New Roman" w:cs="Times New Roman"/>
                <w:bCs/>
                <w:lang w:val="en-US"/>
              </w:rPr>
            </w:pPr>
            <w:r w:rsidRPr="00A47BC3">
              <w:rPr>
                <w:rFonts w:ascii="Times New Roman" w:hAnsi="Times New Roman" w:cs="Times New Roman"/>
                <w:bCs/>
                <w:lang w:val="en-US"/>
              </w:rPr>
              <w:t>V</w:t>
            </w:r>
          </w:p>
        </w:tc>
        <w:tc>
          <w:tcPr>
            <w:tcW w:w="338" w:type="pct"/>
            <w:tcBorders>
              <w:bottom w:val="single" w:sz="4" w:space="0" w:color="auto"/>
            </w:tcBorders>
            <w:vAlign w:val="center"/>
          </w:tcPr>
          <w:p w:rsidR="00630798" w:rsidRPr="00A47BC3" w:rsidRDefault="00630798" w:rsidP="00A47BC3">
            <w:pPr>
              <w:spacing w:after="0" w:line="240" w:lineRule="auto"/>
              <w:jc w:val="center"/>
              <w:rPr>
                <w:rFonts w:ascii="Times New Roman" w:hAnsi="Times New Roman" w:cs="Times New Roman"/>
                <w:bCs/>
                <w:lang w:val="en-US"/>
              </w:rPr>
            </w:pPr>
            <w:r w:rsidRPr="00A47BC3">
              <w:rPr>
                <w:rFonts w:ascii="Times New Roman" w:hAnsi="Times New Roman" w:cs="Times New Roman"/>
                <w:bCs/>
                <w:lang w:val="en-US"/>
              </w:rPr>
              <w:t>RV</w:t>
            </w:r>
          </w:p>
        </w:tc>
      </w:tr>
      <w:tr w:rsidR="00630798" w:rsidRPr="00A47BC3" w:rsidTr="00630798">
        <w:trPr>
          <w:trHeight w:val="285"/>
        </w:trPr>
        <w:tc>
          <w:tcPr>
            <w:tcW w:w="821" w:type="pct"/>
            <w:tcBorders>
              <w:bottom w:val="single" w:sz="4" w:space="0" w:color="auto"/>
            </w:tcBorders>
            <w:shd w:val="clear" w:color="auto" w:fill="auto"/>
            <w:vAlign w:val="center"/>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г.Пыть-Ях</w:t>
            </w:r>
          </w:p>
        </w:tc>
        <w:tc>
          <w:tcPr>
            <w:tcW w:w="678" w:type="pct"/>
            <w:tcBorders>
              <w:bottom w:val="single" w:sz="4" w:space="0" w:color="auto"/>
            </w:tcBorders>
            <w:shd w:val="clear" w:color="auto" w:fill="auto"/>
            <w:noWrap/>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37774</w:t>
            </w:r>
          </w:p>
        </w:tc>
        <w:tc>
          <w:tcPr>
            <w:tcW w:w="582" w:type="pct"/>
            <w:tcBorders>
              <w:bottom w:val="single" w:sz="4" w:space="0" w:color="auto"/>
            </w:tcBorders>
            <w:shd w:val="clear" w:color="auto" w:fill="auto"/>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900</w:t>
            </w:r>
          </w:p>
        </w:tc>
        <w:tc>
          <w:tcPr>
            <w:tcW w:w="456" w:type="pct"/>
            <w:tcBorders>
              <w:bottom w:val="single" w:sz="4" w:space="0" w:color="auto"/>
            </w:tcBorders>
            <w:shd w:val="clear" w:color="auto" w:fill="auto"/>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6775</w:t>
            </w:r>
          </w:p>
        </w:tc>
        <w:tc>
          <w:tcPr>
            <w:tcW w:w="584" w:type="pct"/>
            <w:tcBorders>
              <w:bottom w:val="single" w:sz="4" w:space="0" w:color="auto"/>
            </w:tcBorders>
            <w:shd w:val="clear" w:color="auto" w:fill="auto"/>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1080</w:t>
            </w:r>
          </w:p>
        </w:tc>
        <w:tc>
          <w:tcPr>
            <w:tcW w:w="592" w:type="pct"/>
            <w:tcBorders>
              <w:bottom w:val="single" w:sz="4" w:space="0" w:color="auto"/>
            </w:tcBorders>
            <w:shd w:val="clear" w:color="auto" w:fill="auto"/>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5050</w:t>
            </w:r>
          </w:p>
        </w:tc>
        <w:tc>
          <w:tcPr>
            <w:tcW w:w="617" w:type="pct"/>
            <w:tcBorders>
              <w:bottom w:val="single" w:sz="4" w:space="0" w:color="auto"/>
            </w:tcBorders>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34,2</w:t>
            </w:r>
          </w:p>
        </w:tc>
        <w:tc>
          <w:tcPr>
            <w:tcW w:w="332" w:type="pct"/>
            <w:tcBorders>
              <w:bottom w:val="single" w:sz="4" w:space="0" w:color="auto"/>
            </w:tcBorders>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900</w:t>
            </w:r>
          </w:p>
        </w:tc>
        <w:tc>
          <w:tcPr>
            <w:tcW w:w="338" w:type="pct"/>
            <w:tcBorders>
              <w:bottom w:val="single" w:sz="4" w:space="0" w:color="auto"/>
            </w:tcBorders>
            <w:vAlign w:val="center"/>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5213</w:t>
            </w:r>
          </w:p>
        </w:tc>
      </w:tr>
    </w:tbl>
    <w:p w:rsidR="00630798" w:rsidRPr="00A47BC3" w:rsidRDefault="00630798" w:rsidP="00A47BC3">
      <w:pPr>
        <w:spacing w:after="0" w:line="240" w:lineRule="auto"/>
        <w:ind w:firstLine="709"/>
        <w:jc w:val="both"/>
        <w:rPr>
          <w:rFonts w:ascii="Times New Roman" w:hAnsi="Times New Roman" w:cs="Times New Roman"/>
          <w:szCs w:val="24"/>
        </w:rPr>
      </w:pPr>
      <w:r w:rsidRPr="00A47BC3">
        <w:rPr>
          <w:rFonts w:ascii="Times New Roman" w:hAnsi="Times New Roman" w:cs="Times New Roman"/>
        </w:rPr>
        <w:lastRenderedPageBreak/>
        <w:t>Сезон активности клещей в  2020 году начался в первой декаде апреля ( в 2019г в середине апреля). Первый пострадавший от нападения клещей на территории г. Пыть-Ях был зарегистрирован 08.04.2020, последний- 03.09.2020г ( в 2019г-14 апреля,  последний – 10 сентября).</w:t>
      </w:r>
    </w:p>
    <w:p w:rsidR="00630798" w:rsidRPr="00A47BC3" w:rsidRDefault="00630798" w:rsidP="00A47BC3">
      <w:pPr>
        <w:spacing w:after="0" w:line="240" w:lineRule="auto"/>
        <w:jc w:val="both"/>
        <w:rPr>
          <w:rFonts w:ascii="Times New Roman" w:hAnsi="Times New Roman" w:cs="Times New Roman"/>
          <w:color w:val="000000"/>
          <w:szCs w:val="24"/>
        </w:rPr>
      </w:pPr>
      <w:r w:rsidRPr="00A47BC3">
        <w:rPr>
          <w:rFonts w:ascii="Times New Roman" w:hAnsi="Times New Roman" w:cs="Times New Roman"/>
          <w:szCs w:val="24"/>
        </w:rPr>
        <w:t xml:space="preserve">Количество лиц, обратившихся в ЛПУ по поводу укусов клещами  в 2020 г. составило 577, что на 19,8 % больше, чет в 2019году ( на 15,2 % больше в 2019г( 463)  по сравнению 2018г), </w:t>
      </w:r>
      <w:r w:rsidRPr="00A47BC3">
        <w:rPr>
          <w:rFonts w:ascii="Times New Roman" w:hAnsi="Times New Roman" w:cs="Times New Roman"/>
        </w:rPr>
        <w:t xml:space="preserve"> </w:t>
      </w:r>
      <w:r w:rsidRPr="00A47BC3">
        <w:rPr>
          <w:rFonts w:ascii="Times New Roman" w:hAnsi="Times New Roman" w:cs="Times New Roman"/>
          <w:szCs w:val="24"/>
        </w:rPr>
        <w:t>в том числе дети –78, что на  59% больше, чем  в 2019г-(49человек).</w:t>
      </w:r>
      <w:r w:rsidRPr="00A47BC3">
        <w:rPr>
          <w:rFonts w:ascii="Times New Roman" w:hAnsi="Times New Roman" w:cs="Times New Roman"/>
        </w:rPr>
        <w:t xml:space="preserve"> Интенсивный показатель  укушенных клещами по г. Пыть-Ях составил в 2020году </w:t>
      </w:r>
      <w:r w:rsidRPr="00A47BC3">
        <w:rPr>
          <w:rFonts w:ascii="Times New Roman" w:hAnsi="Times New Roman" w:cs="Times New Roman"/>
          <w:color w:val="000000"/>
          <w:szCs w:val="24"/>
        </w:rPr>
        <w:t xml:space="preserve">1448,15, в 2019году- 1123,2, регистрируется рост на  28,9%., </w:t>
      </w:r>
      <w:bookmarkStart w:id="41" w:name="_Hlk63069844"/>
      <w:r w:rsidRPr="00A47BC3">
        <w:rPr>
          <w:rFonts w:ascii="Times New Roman" w:hAnsi="Times New Roman" w:cs="Times New Roman"/>
          <w:color w:val="000000"/>
          <w:szCs w:val="24"/>
        </w:rPr>
        <w:t>Интенсивный показатель по укушенных клещами по г. Пыть-Ях выше окружного показателя на 461%  (258,1) , что свидетельствует о крайне неблагоприятной эпидемиологической ситуации.</w:t>
      </w:r>
    </w:p>
    <w:bookmarkEnd w:id="41"/>
    <w:p w:rsidR="00630798" w:rsidRPr="00A47BC3" w:rsidRDefault="00630798" w:rsidP="00A47BC3">
      <w:pPr>
        <w:spacing w:after="0" w:line="240" w:lineRule="auto"/>
        <w:ind w:firstLine="709"/>
        <w:jc w:val="both"/>
        <w:rPr>
          <w:rFonts w:ascii="Times New Roman" w:hAnsi="Times New Roman" w:cs="Times New Roman"/>
          <w:szCs w:val="24"/>
        </w:rPr>
      </w:pPr>
      <w:r w:rsidRPr="00A47BC3">
        <w:rPr>
          <w:rFonts w:ascii="Times New Roman" w:hAnsi="Times New Roman" w:cs="Times New Roman"/>
          <w:szCs w:val="24"/>
        </w:rPr>
        <w:t>Серопрофилактика проведена 451чел, что составило 90,5% от подлежащих 498чел. ( в 2019г-98,7% -368 чел.) Снизился в 2020году процент лиц, получивших серопрофилактику от подлежащих.</w:t>
      </w:r>
    </w:p>
    <w:p w:rsidR="00630798" w:rsidRPr="00A47BC3" w:rsidRDefault="00630798" w:rsidP="00A47BC3">
      <w:pPr>
        <w:pStyle w:val="a5"/>
        <w:jc w:val="both"/>
        <w:rPr>
          <w:sz w:val="24"/>
          <w:szCs w:val="24"/>
        </w:rPr>
      </w:pPr>
      <w:r w:rsidRPr="00A47BC3">
        <w:rPr>
          <w:sz w:val="24"/>
          <w:szCs w:val="24"/>
        </w:rPr>
        <w:tab/>
        <w:t xml:space="preserve">Лечебно – профилактические учреждения города были обеспечены достаточным количеством титрованного противоклещевого иммуноглобулина для лечения и серопрофилактики. </w:t>
      </w:r>
    </w:p>
    <w:p w:rsidR="00630798" w:rsidRPr="00A47BC3" w:rsidRDefault="00630798" w:rsidP="00A47BC3">
      <w:pPr>
        <w:pStyle w:val="a5"/>
        <w:jc w:val="both"/>
        <w:rPr>
          <w:sz w:val="24"/>
          <w:szCs w:val="24"/>
        </w:rPr>
      </w:pPr>
      <w:r w:rsidRPr="00A47BC3">
        <w:rPr>
          <w:sz w:val="24"/>
          <w:szCs w:val="24"/>
        </w:rPr>
        <w:t>С населением проводилась сан-просвет. работа: выступления по телевидению</w:t>
      </w:r>
      <w:r w:rsidRPr="00A47BC3">
        <w:rPr>
          <w:sz w:val="24"/>
          <w:szCs w:val="24"/>
          <w:lang w:val="ru-RU"/>
        </w:rPr>
        <w:t>, радио</w:t>
      </w:r>
      <w:r w:rsidRPr="00A47BC3">
        <w:rPr>
          <w:sz w:val="24"/>
          <w:szCs w:val="24"/>
        </w:rPr>
        <w:t xml:space="preserve"> – </w:t>
      </w:r>
      <w:r w:rsidRPr="00A47BC3">
        <w:rPr>
          <w:sz w:val="24"/>
          <w:szCs w:val="24"/>
          <w:lang w:val="ru-RU"/>
        </w:rPr>
        <w:t>1</w:t>
      </w:r>
      <w:r w:rsidRPr="00A47BC3">
        <w:rPr>
          <w:sz w:val="24"/>
          <w:szCs w:val="24"/>
        </w:rPr>
        <w:t xml:space="preserve">, статьи в газеты и журналы – </w:t>
      </w:r>
      <w:r w:rsidRPr="00A47BC3">
        <w:rPr>
          <w:sz w:val="24"/>
          <w:szCs w:val="24"/>
          <w:lang w:val="ru-RU"/>
        </w:rPr>
        <w:t>1</w:t>
      </w:r>
      <w:r w:rsidRPr="00A47BC3">
        <w:rPr>
          <w:sz w:val="24"/>
          <w:szCs w:val="24"/>
        </w:rPr>
        <w:t xml:space="preserve">, листовок, памяток - </w:t>
      </w:r>
      <w:r w:rsidRPr="00A47BC3">
        <w:rPr>
          <w:sz w:val="24"/>
          <w:szCs w:val="24"/>
          <w:lang w:val="ru-RU"/>
        </w:rPr>
        <w:t>4</w:t>
      </w:r>
      <w:r w:rsidRPr="00A47BC3">
        <w:rPr>
          <w:sz w:val="24"/>
          <w:szCs w:val="24"/>
        </w:rPr>
        <w:t xml:space="preserve">00.  Проведено </w:t>
      </w:r>
      <w:r w:rsidRPr="00A47BC3">
        <w:rPr>
          <w:sz w:val="24"/>
          <w:szCs w:val="24"/>
          <w:lang w:val="ru-RU"/>
        </w:rPr>
        <w:t xml:space="preserve">1 </w:t>
      </w:r>
      <w:r w:rsidRPr="00A47BC3">
        <w:rPr>
          <w:sz w:val="24"/>
          <w:szCs w:val="24"/>
        </w:rPr>
        <w:t>заседани</w:t>
      </w:r>
      <w:r w:rsidRPr="00A47BC3">
        <w:rPr>
          <w:sz w:val="24"/>
          <w:szCs w:val="24"/>
          <w:lang w:val="ru-RU"/>
        </w:rPr>
        <w:t>е</w:t>
      </w:r>
      <w:r w:rsidRPr="00A47BC3">
        <w:rPr>
          <w:sz w:val="24"/>
          <w:szCs w:val="24"/>
        </w:rPr>
        <w:t xml:space="preserve"> СПЭК, где были рассмотрены вопросы профилактических и противоэпидемических мероприятий по клещевому энцефалиту.</w:t>
      </w:r>
    </w:p>
    <w:p w:rsidR="00630798" w:rsidRPr="00A47BC3" w:rsidRDefault="00630798" w:rsidP="00A47BC3">
      <w:pPr>
        <w:spacing w:after="0" w:line="240" w:lineRule="auto"/>
        <w:ind w:firstLine="709"/>
        <w:jc w:val="both"/>
        <w:rPr>
          <w:rFonts w:ascii="Times New Roman" w:hAnsi="Times New Roman" w:cs="Times New Roman"/>
          <w:szCs w:val="24"/>
          <w:shd w:val="clear" w:color="auto" w:fill="FFFFFF"/>
        </w:rPr>
      </w:pPr>
      <w:r w:rsidRPr="00A47BC3">
        <w:rPr>
          <w:rFonts w:ascii="Times New Roman" w:hAnsi="Times New Roman" w:cs="Times New Roman"/>
          <w:szCs w:val="24"/>
        </w:rPr>
        <w:t xml:space="preserve">В соответствии с годовым планом – графиком лабораторных исследований по эпидемиологическому мониторингу по территории г. Пыть – Ях в 2020г было исследовано клещей </w:t>
      </w:r>
      <w:r w:rsidRPr="00A47BC3">
        <w:rPr>
          <w:rFonts w:ascii="Times New Roman" w:hAnsi="Times New Roman" w:cs="Times New Roman"/>
        </w:rPr>
        <w:t xml:space="preserve"> </w:t>
      </w:r>
      <w:r w:rsidRPr="00A47BC3">
        <w:rPr>
          <w:rFonts w:ascii="Times New Roman" w:hAnsi="Times New Roman" w:cs="Times New Roman"/>
          <w:szCs w:val="24"/>
        </w:rPr>
        <w:t>из объектов окружающей среды: 103( методом ПЦР и ИФА),вирусофорность клещей. В соответствии с годовым планом – графиком лабораторных исследований по эпидемиологическому мониторингу, с</w:t>
      </w:r>
      <w:r w:rsidRPr="00A47BC3">
        <w:rPr>
          <w:rFonts w:ascii="Times New Roman" w:hAnsi="Times New Roman" w:cs="Times New Roman"/>
          <w:szCs w:val="24"/>
          <w:shd w:val="clear" w:color="auto" w:fill="FFFFFF"/>
        </w:rPr>
        <w:t xml:space="preserve"> целью проведения мониторинга вирусофорности клещей, исследовано 47 клещей с объектов окружающей среды (городские и пригородные леса г. Пыть-Яха) и 56 клещей, снятых с людей методом ПЦР и ИФА в лабораториях ФБУЗ «Центр гигиены и эпидемиологии в ХМАО-Югре» и ЛПУ .</w:t>
      </w:r>
    </w:p>
    <w:p w:rsidR="00630798" w:rsidRPr="00A47BC3" w:rsidRDefault="00630798" w:rsidP="00A47BC3">
      <w:pPr>
        <w:spacing w:after="0" w:line="240" w:lineRule="auto"/>
        <w:ind w:firstLine="709"/>
        <w:jc w:val="both"/>
        <w:rPr>
          <w:rFonts w:ascii="Times New Roman" w:hAnsi="Times New Roman" w:cs="Times New Roman"/>
          <w:szCs w:val="24"/>
          <w:shd w:val="clear" w:color="auto" w:fill="FFFFFF"/>
        </w:rPr>
      </w:pPr>
      <w:r w:rsidRPr="00A47BC3">
        <w:rPr>
          <w:rFonts w:ascii="Times New Roman" w:hAnsi="Times New Roman" w:cs="Times New Roman"/>
          <w:szCs w:val="24"/>
          <w:shd w:val="clear" w:color="auto" w:fill="FFFFFF"/>
        </w:rPr>
        <w:t>Из 103 особей вирусофорность составила: по клещевому энцефалиту-3,88%( 4едв 2019г-0), ИКБ -30%( из 20 клещей 6 обнаружено), в 2019году- 27,3%, ГАЧ-0, МЭЧ-10% ( из 20 особей, у 2 обнаружено), 2019г-0.</w:t>
      </w:r>
    </w:p>
    <w:p w:rsidR="00630798" w:rsidRPr="00A47BC3" w:rsidRDefault="00630798" w:rsidP="00A47BC3">
      <w:pPr>
        <w:spacing w:after="0" w:line="240" w:lineRule="auto"/>
        <w:ind w:firstLine="709"/>
        <w:jc w:val="both"/>
        <w:rPr>
          <w:rFonts w:ascii="Times New Roman" w:hAnsi="Times New Roman" w:cs="Times New Roman"/>
          <w:szCs w:val="24"/>
        </w:rPr>
      </w:pPr>
      <w:r w:rsidRPr="00A47BC3">
        <w:rPr>
          <w:rFonts w:ascii="Times New Roman" w:hAnsi="Times New Roman" w:cs="Times New Roman"/>
          <w:szCs w:val="24"/>
        </w:rPr>
        <w:t>По прежнему остается высокой вирусофорность  клещей  ИКБ- 30%, по  окружным показателям-31,83%, В 2020году вирусофорность клещей по клещевому энцефалиту составила 3,88%, что выше окружных  показателей на 1,63% (2,25%), по  МЭЧ ( ПЦР) вирусофорность составила 10%, что выше окружных показателей на 4,14% (5,68%).</w:t>
      </w:r>
    </w:p>
    <w:p w:rsidR="00630798" w:rsidRPr="00A47BC3" w:rsidRDefault="00630798" w:rsidP="00A47BC3">
      <w:pPr>
        <w:spacing w:after="0" w:line="240" w:lineRule="auto"/>
        <w:ind w:firstLine="851"/>
        <w:jc w:val="both"/>
        <w:rPr>
          <w:rFonts w:ascii="Times New Roman" w:hAnsi="Times New Roman" w:cs="Times New Roman"/>
          <w:szCs w:val="28"/>
        </w:rPr>
      </w:pPr>
      <w:r w:rsidRPr="00A47BC3">
        <w:rPr>
          <w:rFonts w:ascii="Times New Roman" w:hAnsi="Times New Roman" w:cs="Times New Roman"/>
          <w:szCs w:val="24"/>
        </w:rPr>
        <w:tab/>
        <w:t>  В 2020 г. на территории г. Пыть-Ях проводилась акарицидная обработка территории города, дачного и лесного массива. Было обработано 2224,14</w:t>
      </w:r>
      <w:r w:rsidRPr="00A47BC3">
        <w:rPr>
          <w:rFonts w:ascii="Times New Roman" w:hAnsi="Times New Roman" w:cs="Times New Roman"/>
          <w:sz w:val="16"/>
          <w:szCs w:val="16"/>
        </w:rPr>
        <w:t xml:space="preserve"> </w:t>
      </w:r>
      <w:r w:rsidRPr="00A47BC3">
        <w:rPr>
          <w:rFonts w:ascii="Times New Roman" w:hAnsi="Times New Roman" w:cs="Times New Roman"/>
          <w:color w:val="000000"/>
          <w:szCs w:val="24"/>
        </w:rPr>
        <w:t xml:space="preserve"> га, что на 78% больше, чем в 2019году </w:t>
      </w:r>
      <w:r w:rsidRPr="00A47BC3">
        <w:rPr>
          <w:rFonts w:ascii="Times New Roman" w:hAnsi="Times New Roman" w:cs="Times New Roman"/>
          <w:szCs w:val="24"/>
        </w:rPr>
        <w:t>1244.2 га.</w:t>
      </w:r>
    </w:p>
    <w:p w:rsidR="00630798" w:rsidRPr="00A47BC3" w:rsidRDefault="00630798" w:rsidP="00A47BC3">
      <w:pPr>
        <w:spacing w:after="0" w:line="240" w:lineRule="auto"/>
        <w:jc w:val="both"/>
        <w:rPr>
          <w:rFonts w:ascii="Times New Roman" w:hAnsi="Times New Roman" w:cs="Times New Roman"/>
          <w:szCs w:val="24"/>
        </w:rPr>
      </w:pPr>
      <w:r w:rsidRPr="00A47BC3">
        <w:rPr>
          <w:rFonts w:ascii="Times New Roman" w:hAnsi="Times New Roman" w:cs="Times New Roman"/>
          <w:szCs w:val="24"/>
        </w:rPr>
        <w:tab/>
        <w:t>Задачи для стабилизации заболеваемости клещевым энцефалитом на сезон 2020 г:</w:t>
      </w:r>
    </w:p>
    <w:p w:rsidR="00630798" w:rsidRPr="00A47BC3" w:rsidRDefault="00630798" w:rsidP="006A23B3">
      <w:pPr>
        <w:pStyle w:val="12"/>
        <w:widowControl w:val="0"/>
        <w:numPr>
          <w:ilvl w:val="0"/>
          <w:numId w:val="11"/>
        </w:numPr>
        <w:suppressAutoHyphens/>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Расширение объемов акарицидных обработок;</w:t>
      </w:r>
    </w:p>
    <w:p w:rsidR="00630798" w:rsidRPr="00A47BC3" w:rsidRDefault="00630798" w:rsidP="006A23B3">
      <w:pPr>
        <w:widowControl w:val="0"/>
        <w:numPr>
          <w:ilvl w:val="0"/>
          <w:numId w:val="11"/>
        </w:numPr>
        <w:suppressAutoHyphens/>
        <w:spacing w:after="0" w:line="240" w:lineRule="auto"/>
        <w:jc w:val="both"/>
        <w:rPr>
          <w:rFonts w:ascii="Times New Roman" w:hAnsi="Times New Roman" w:cs="Times New Roman"/>
          <w:szCs w:val="24"/>
        </w:rPr>
      </w:pPr>
      <w:r w:rsidRPr="00A47BC3">
        <w:rPr>
          <w:rFonts w:ascii="Times New Roman" w:hAnsi="Times New Roman" w:cs="Times New Roman"/>
          <w:szCs w:val="24"/>
        </w:rPr>
        <w:t>Сохранение объемов специфической профилактики;</w:t>
      </w:r>
    </w:p>
    <w:p w:rsidR="00630798" w:rsidRPr="00A47BC3" w:rsidRDefault="00630798" w:rsidP="006A23B3">
      <w:pPr>
        <w:widowControl w:val="0"/>
        <w:numPr>
          <w:ilvl w:val="0"/>
          <w:numId w:val="11"/>
        </w:numPr>
        <w:suppressAutoHyphens/>
        <w:spacing w:after="0" w:line="240" w:lineRule="auto"/>
        <w:jc w:val="both"/>
        <w:rPr>
          <w:rFonts w:ascii="Times New Roman" w:hAnsi="Times New Roman" w:cs="Times New Roman"/>
        </w:rPr>
      </w:pPr>
      <w:r w:rsidRPr="00A47BC3">
        <w:rPr>
          <w:rFonts w:ascii="Times New Roman" w:hAnsi="Times New Roman" w:cs="Times New Roman"/>
        </w:rPr>
        <w:t>Внедрение экспресс - диагностики клещей для проведения адекватной специфической профилактики.</w:t>
      </w:r>
    </w:p>
    <w:p w:rsidR="00630798" w:rsidRPr="00A47BC3" w:rsidRDefault="00630798" w:rsidP="006A23B3">
      <w:pPr>
        <w:widowControl w:val="0"/>
        <w:numPr>
          <w:ilvl w:val="0"/>
          <w:numId w:val="11"/>
        </w:numPr>
        <w:suppressAutoHyphens/>
        <w:spacing w:after="0" w:line="240" w:lineRule="auto"/>
        <w:jc w:val="both"/>
        <w:rPr>
          <w:rFonts w:ascii="Times New Roman" w:hAnsi="Times New Roman" w:cs="Times New Roman"/>
        </w:rPr>
      </w:pPr>
    </w:p>
    <w:p w:rsidR="00630798" w:rsidRPr="00A366B1" w:rsidRDefault="00630798" w:rsidP="00A366B1">
      <w:pPr>
        <w:pStyle w:val="ad"/>
        <w:spacing w:line="240" w:lineRule="auto"/>
        <w:jc w:val="left"/>
        <w:rPr>
          <w:rFonts w:ascii="Times New Roman" w:hAnsi="Times New Roman"/>
          <w:b/>
        </w:rPr>
      </w:pPr>
      <w:r w:rsidRPr="00A366B1">
        <w:rPr>
          <w:rFonts w:ascii="Times New Roman" w:hAnsi="Times New Roman"/>
          <w:b/>
        </w:rPr>
        <w:t>1.3.10. Социально-обусловленные инфекции (сифилис, ВИЧ, туберкулез)</w:t>
      </w:r>
    </w:p>
    <w:p w:rsidR="00630798" w:rsidRPr="00A47BC3" w:rsidRDefault="00630798" w:rsidP="00A47BC3">
      <w:pPr>
        <w:spacing w:after="0" w:line="240" w:lineRule="auto"/>
        <w:ind w:firstLine="709"/>
        <w:jc w:val="center"/>
        <w:rPr>
          <w:rFonts w:ascii="Times New Roman" w:hAnsi="Times New Roman" w:cs="Times New Roman"/>
          <w:b/>
          <w:szCs w:val="24"/>
        </w:rPr>
      </w:pPr>
      <w:r w:rsidRPr="00A47BC3">
        <w:rPr>
          <w:rFonts w:ascii="Times New Roman" w:hAnsi="Times New Roman" w:cs="Times New Roman"/>
          <w:b/>
          <w:szCs w:val="24"/>
        </w:rPr>
        <w:t>Сифилис</w:t>
      </w:r>
    </w:p>
    <w:p w:rsidR="00630798" w:rsidRPr="00A47BC3" w:rsidRDefault="00630798" w:rsidP="00A47BC3">
      <w:pPr>
        <w:spacing w:after="0" w:line="240" w:lineRule="auto"/>
        <w:ind w:firstLine="709"/>
        <w:jc w:val="center"/>
        <w:rPr>
          <w:rFonts w:ascii="Times New Roman" w:hAnsi="Times New Roman" w:cs="Times New Roman"/>
          <w:szCs w:val="24"/>
          <w:highlight w:val="yellow"/>
        </w:rPr>
      </w:pPr>
    </w:p>
    <w:p w:rsidR="00630798" w:rsidRPr="00A47BC3" w:rsidRDefault="00630798" w:rsidP="00A47BC3">
      <w:pPr>
        <w:spacing w:after="0" w:line="240" w:lineRule="auto"/>
        <w:ind w:firstLine="709"/>
        <w:jc w:val="both"/>
        <w:rPr>
          <w:rFonts w:ascii="Times New Roman" w:hAnsi="Times New Roman" w:cs="Times New Roman"/>
          <w:szCs w:val="24"/>
        </w:rPr>
      </w:pPr>
      <w:r w:rsidRPr="00A47BC3">
        <w:rPr>
          <w:rFonts w:ascii="Times New Roman" w:hAnsi="Times New Roman" w:cs="Times New Roman"/>
          <w:szCs w:val="24"/>
        </w:rPr>
        <w:t>Заболеваемость сифилисом на территории г. Пыть – Ях регистрируется на спорадическом уровне.</w:t>
      </w:r>
    </w:p>
    <w:p w:rsidR="00630798" w:rsidRPr="00A47BC3" w:rsidRDefault="00630798" w:rsidP="00A47BC3">
      <w:pPr>
        <w:pStyle w:val="a5"/>
        <w:shd w:val="clear" w:color="auto" w:fill="FFFFFF"/>
        <w:ind w:right="-2" w:firstLine="708"/>
        <w:jc w:val="both"/>
        <w:rPr>
          <w:sz w:val="24"/>
          <w:szCs w:val="24"/>
          <w:lang w:val="ru-RU"/>
        </w:rPr>
      </w:pPr>
      <w:r w:rsidRPr="00A47BC3">
        <w:rPr>
          <w:sz w:val="24"/>
          <w:szCs w:val="24"/>
        </w:rPr>
        <w:t>В 20</w:t>
      </w:r>
      <w:r w:rsidRPr="00A47BC3">
        <w:rPr>
          <w:sz w:val="24"/>
          <w:szCs w:val="24"/>
          <w:lang w:val="ru-RU"/>
        </w:rPr>
        <w:t>20</w:t>
      </w:r>
      <w:r w:rsidRPr="00A47BC3">
        <w:rPr>
          <w:sz w:val="24"/>
          <w:szCs w:val="24"/>
        </w:rPr>
        <w:t xml:space="preserve"> г.  зарегистрировано </w:t>
      </w:r>
      <w:r w:rsidRPr="00A47BC3">
        <w:rPr>
          <w:sz w:val="24"/>
          <w:szCs w:val="24"/>
          <w:lang w:val="ru-RU"/>
        </w:rPr>
        <w:t>3 случая заболеваемости сифилисом, наблюдается снижение на 55,9 %, по сравнению с 2019 годом.  П</w:t>
      </w:r>
      <w:r w:rsidRPr="00A47BC3">
        <w:rPr>
          <w:sz w:val="24"/>
          <w:szCs w:val="24"/>
        </w:rPr>
        <w:t xml:space="preserve">оказатель </w:t>
      </w:r>
      <w:r w:rsidRPr="00A47BC3">
        <w:rPr>
          <w:sz w:val="24"/>
          <w:szCs w:val="24"/>
          <w:lang w:val="ru-RU"/>
        </w:rPr>
        <w:t xml:space="preserve">заболеваемости сифилисом  на 100 тыс.нас. </w:t>
      </w:r>
      <w:r w:rsidRPr="00A47BC3">
        <w:rPr>
          <w:sz w:val="24"/>
          <w:szCs w:val="24"/>
        </w:rPr>
        <w:t>со</w:t>
      </w:r>
      <w:r w:rsidRPr="00A47BC3">
        <w:rPr>
          <w:sz w:val="24"/>
          <w:szCs w:val="24"/>
          <w:lang w:val="ru-RU"/>
        </w:rPr>
        <w:t>с</w:t>
      </w:r>
      <w:r w:rsidRPr="00A47BC3">
        <w:rPr>
          <w:sz w:val="24"/>
          <w:szCs w:val="24"/>
        </w:rPr>
        <w:t>тавил</w:t>
      </w:r>
      <w:r w:rsidRPr="00A47BC3">
        <w:rPr>
          <w:sz w:val="24"/>
          <w:szCs w:val="24"/>
          <w:lang w:val="ru-RU"/>
        </w:rPr>
        <w:t xml:space="preserve"> 7,5, что выше окружных показателей( 6,23) на 20%  </w:t>
      </w:r>
      <w:r w:rsidRPr="00A47BC3">
        <w:rPr>
          <w:sz w:val="24"/>
          <w:szCs w:val="24"/>
        </w:rPr>
        <w:t xml:space="preserve"> </w:t>
      </w:r>
      <w:r w:rsidRPr="00A47BC3">
        <w:rPr>
          <w:sz w:val="24"/>
          <w:szCs w:val="24"/>
          <w:lang w:val="ru-RU"/>
        </w:rPr>
        <w:t>( в 2019году 7 случаев, показатель 17,0</w:t>
      </w:r>
      <w:r w:rsidRPr="00A47BC3">
        <w:rPr>
          <w:sz w:val="24"/>
          <w:szCs w:val="24"/>
        </w:rPr>
        <w:t xml:space="preserve">, что </w:t>
      </w:r>
      <w:r w:rsidRPr="00A47BC3">
        <w:rPr>
          <w:sz w:val="24"/>
          <w:szCs w:val="24"/>
          <w:lang w:val="ru-RU"/>
        </w:rPr>
        <w:t>выше</w:t>
      </w:r>
      <w:r w:rsidRPr="00A47BC3">
        <w:rPr>
          <w:sz w:val="24"/>
          <w:szCs w:val="24"/>
        </w:rPr>
        <w:t xml:space="preserve"> показател</w:t>
      </w:r>
      <w:r w:rsidRPr="00A47BC3">
        <w:rPr>
          <w:sz w:val="24"/>
          <w:szCs w:val="24"/>
          <w:lang w:val="ru-RU"/>
        </w:rPr>
        <w:t>я</w:t>
      </w:r>
      <w:r w:rsidRPr="00A47BC3">
        <w:rPr>
          <w:sz w:val="24"/>
          <w:szCs w:val="24"/>
        </w:rPr>
        <w:t xml:space="preserve"> за 201</w:t>
      </w:r>
      <w:r w:rsidRPr="00A47BC3">
        <w:rPr>
          <w:sz w:val="24"/>
          <w:szCs w:val="24"/>
          <w:lang w:val="ru-RU"/>
        </w:rPr>
        <w:t xml:space="preserve">8 </w:t>
      </w:r>
      <w:r w:rsidRPr="00A47BC3">
        <w:rPr>
          <w:sz w:val="24"/>
          <w:szCs w:val="24"/>
        </w:rPr>
        <w:t>г</w:t>
      </w:r>
      <w:r w:rsidRPr="00A47BC3">
        <w:rPr>
          <w:sz w:val="24"/>
          <w:szCs w:val="24"/>
          <w:lang w:val="ru-RU"/>
        </w:rPr>
        <w:t>.</w:t>
      </w:r>
      <w:r w:rsidRPr="00A47BC3">
        <w:rPr>
          <w:sz w:val="24"/>
          <w:szCs w:val="24"/>
        </w:rPr>
        <w:t xml:space="preserve">  на </w:t>
      </w:r>
      <w:r w:rsidRPr="00A47BC3">
        <w:rPr>
          <w:sz w:val="24"/>
          <w:szCs w:val="24"/>
          <w:lang w:val="ru-RU"/>
        </w:rPr>
        <w:t xml:space="preserve">142,9 </w:t>
      </w:r>
      <w:r w:rsidRPr="00A47BC3">
        <w:rPr>
          <w:sz w:val="24"/>
          <w:szCs w:val="24"/>
        </w:rPr>
        <w:t>%</w:t>
      </w:r>
      <w:r w:rsidRPr="00A47BC3">
        <w:rPr>
          <w:sz w:val="24"/>
          <w:szCs w:val="24"/>
          <w:lang w:val="ru-RU"/>
        </w:rPr>
        <w:t xml:space="preserve"> и выше </w:t>
      </w:r>
      <w:r w:rsidRPr="00A47BC3">
        <w:rPr>
          <w:sz w:val="24"/>
          <w:szCs w:val="24"/>
        </w:rPr>
        <w:t>среднеокружн</w:t>
      </w:r>
      <w:r w:rsidRPr="00A47BC3">
        <w:rPr>
          <w:sz w:val="24"/>
          <w:szCs w:val="24"/>
          <w:lang w:val="ru-RU"/>
        </w:rPr>
        <w:t>ого</w:t>
      </w:r>
      <w:r w:rsidRPr="00A47BC3">
        <w:rPr>
          <w:sz w:val="24"/>
          <w:szCs w:val="24"/>
        </w:rPr>
        <w:t xml:space="preserve"> показател</w:t>
      </w:r>
      <w:r w:rsidRPr="00A47BC3">
        <w:rPr>
          <w:sz w:val="24"/>
          <w:szCs w:val="24"/>
          <w:lang w:val="ru-RU"/>
        </w:rPr>
        <w:t>я на 135,8%.( табл № 22)</w:t>
      </w:r>
    </w:p>
    <w:p w:rsidR="00630798" w:rsidRPr="00A47BC3" w:rsidRDefault="00630798" w:rsidP="00A47BC3">
      <w:pPr>
        <w:shd w:val="clear" w:color="auto" w:fill="FFFFFF"/>
        <w:spacing w:after="0" w:line="240" w:lineRule="auto"/>
        <w:ind w:firstLine="709"/>
        <w:jc w:val="right"/>
        <w:rPr>
          <w:rFonts w:ascii="Times New Roman" w:hAnsi="Times New Roman" w:cs="Times New Roman"/>
          <w:highlight w:val="yellow"/>
        </w:rPr>
      </w:pPr>
    </w:p>
    <w:p w:rsidR="00630798" w:rsidRPr="00A47BC3" w:rsidRDefault="00630798" w:rsidP="00A47BC3">
      <w:pPr>
        <w:shd w:val="clear" w:color="auto" w:fill="FFFFFF"/>
        <w:spacing w:after="0" w:line="240" w:lineRule="auto"/>
        <w:ind w:firstLine="709"/>
        <w:jc w:val="right"/>
        <w:rPr>
          <w:rFonts w:ascii="Times New Roman" w:hAnsi="Times New Roman" w:cs="Times New Roman"/>
        </w:rPr>
      </w:pPr>
      <w:r w:rsidRPr="00A47BC3">
        <w:rPr>
          <w:rFonts w:ascii="Times New Roman" w:hAnsi="Times New Roman" w:cs="Times New Roman"/>
        </w:rPr>
        <w:t>Таблица № 22</w:t>
      </w:r>
    </w:p>
    <w:p w:rsidR="00630798" w:rsidRPr="00A47BC3" w:rsidRDefault="00630798" w:rsidP="00A47BC3">
      <w:pPr>
        <w:shd w:val="clear" w:color="auto" w:fill="FFFFFF"/>
        <w:spacing w:after="0" w:line="240" w:lineRule="auto"/>
        <w:ind w:firstLine="709"/>
        <w:jc w:val="center"/>
        <w:rPr>
          <w:rFonts w:ascii="Times New Roman" w:hAnsi="Times New Roman" w:cs="Times New Roman"/>
          <w:b/>
        </w:rPr>
      </w:pPr>
      <w:r w:rsidRPr="00A47BC3">
        <w:rPr>
          <w:rFonts w:ascii="Times New Roman" w:hAnsi="Times New Roman" w:cs="Times New Roman"/>
          <w:b/>
        </w:rPr>
        <w:t>Динамика заболеваемости венерическими инфекциями</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73"/>
        <w:gridCol w:w="811"/>
        <w:gridCol w:w="1353"/>
        <w:gridCol w:w="1094"/>
        <w:gridCol w:w="1094"/>
        <w:gridCol w:w="1036"/>
        <w:gridCol w:w="1036"/>
      </w:tblGrid>
      <w:tr w:rsidR="00630798" w:rsidRPr="00A47BC3" w:rsidTr="00630798">
        <w:trPr>
          <w:cantSplit/>
          <w:trHeight w:val="368"/>
        </w:trPr>
        <w:tc>
          <w:tcPr>
            <w:tcW w:w="3173" w:type="dxa"/>
            <w:vMerge w:val="restart"/>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lastRenderedPageBreak/>
              <w:t>Класс болезней или болезнь</w:t>
            </w:r>
          </w:p>
        </w:tc>
        <w:tc>
          <w:tcPr>
            <w:tcW w:w="2164" w:type="dxa"/>
            <w:gridSpan w:val="2"/>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t>2018</w:t>
            </w:r>
          </w:p>
        </w:tc>
        <w:tc>
          <w:tcPr>
            <w:tcW w:w="2188" w:type="dxa"/>
            <w:gridSpan w:val="2"/>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t>2019</w:t>
            </w:r>
          </w:p>
        </w:tc>
        <w:tc>
          <w:tcPr>
            <w:tcW w:w="2072" w:type="dxa"/>
            <w:gridSpan w:val="2"/>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t>2020</w:t>
            </w:r>
          </w:p>
        </w:tc>
      </w:tr>
      <w:tr w:rsidR="00630798" w:rsidRPr="00A47BC3" w:rsidTr="00630798">
        <w:trPr>
          <w:trHeight w:val="186"/>
        </w:trPr>
        <w:tc>
          <w:tcPr>
            <w:tcW w:w="3173" w:type="dxa"/>
            <w:vMerge/>
          </w:tcPr>
          <w:p w:rsidR="00630798" w:rsidRPr="00A47BC3" w:rsidRDefault="00630798" w:rsidP="00A47BC3">
            <w:pPr>
              <w:shd w:val="clear" w:color="auto" w:fill="FFFFFF"/>
              <w:spacing w:after="0" w:line="240" w:lineRule="auto"/>
              <w:jc w:val="center"/>
              <w:rPr>
                <w:rFonts w:ascii="Times New Roman" w:hAnsi="Times New Roman" w:cs="Times New Roman"/>
              </w:rPr>
            </w:pPr>
          </w:p>
        </w:tc>
        <w:tc>
          <w:tcPr>
            <w:tcW w:w="811" w:type="dxa"/>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t>Абс.</w:t>
            </w:r>
          </w:p>
        </w:tc>
        <w:tc>
          <w:tcPr>
            <w:tcW w:w="1353" w:type="dxa"/>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t>Пок.</w:t>
            </w:r>
          </w:p>
        </w:tc>
        <w:tc>
          <w:tcPr>
            <w:tcW w:w="1094" w:type="dxa"/>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t>Абс.</w:t>
            </w:r>
          </w:p>
        </w:tc>
        <w:tc>
          <w:tcPr>
            <w:tcW w:w="1094" w:type="dxa"/>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t>Пок.</w:t>
            </w:r>
          </w:p>
        </w:tc>
        <w:tc>
          <w:tcPr>
            <w:tcW w:w="1036" w:type="dxa"/>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t>Абс.</w:t>
            </w:r>
          </w:p>
        </w:tc>
        <w:tc>
          <w:tcPr>
            <w:tcW w:w="1036" w:type="dxa"/>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t>Пок.</w:t>
            </w:r>
          </w:p>
        </w:tc>
      </w:tr>
      <w:tr w:rsidR="00630798" w:rsidRPr="00A47BC3" w:rsidTr="00630798">
        <w:trPr>
          <w:trHeight w:val="368"/>
        </w:trPr>
        <w:tc>
          <w:tcPr>
            <w:tcW w:w="3173" w:type="dxa"/>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t>сифилис</w:t>
            </w:r>
          </w:p>
        </w:tc>
        <w:tc>
          <w:tcPr>
            <w:tcW w:w="811" w:type="dxa"/>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t>3</w:t>
            </w:r>
          </w:p>
        </w:tc>
        <w:tc>
          <w:tcPr>
            <w:tcW w:w="1353" w:type="dxa"/>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t>7,0</w:t>
            </w:r>
          </w:p>
        </w:tc>
        <w:tc>
          <w:tcPr>
            <w:tcW w:w="1094" w:type="dxa"/>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t>7</w:t>
            </w:r>
          </w:p>
        </w:tc>
        <w:tc>
          <w:tcPr>
            <w:tcW w:w="1094" w:type="dxa"/>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t>17,0</w:t>
            </w:r>
          </w:p>
        </w:tc>
        <w:tc>
          <w:tcPr>
            <w:tcW w:w="1036" w:type="dxa"/>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t>3</w:t>
            </w:r>
          </w:p>
        </w:tc>
        <w:tc>
          <w:tcPr>
            <w:tcW w:w="1036" w:type="dxa"/>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t>7.5</w:t>
            </w:r>
          </w:p>
        </w:tc>
      </w:tr>
      <w:tr w:rsidR="00630798" w:rsidRPr="00A47BC3" w:rsidTr="00630798">
        <w:trPr>
          <w:trHeight w:val="388"/>
        </w:trPr>
        <w:tc>
          <w:tcPr>
            <w:tcW w:w="3173" w:type="dxa"/>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t>гонорея</w:t>
            </w:r>
          </w:p>
        </w:tc>
        <w:tc>
          <w:tcPr>
            <w:tcW w:w="811" w:type="dxa"/>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t>0</w:t>
            </w:r>
          </w:p>
        </w:tc>
        <w:tc>
          <w:tcPr>
            <w:tcW w:w="1353" w:type="dxa"/>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t>0,0</w:t>
            </w:r>
          </w:p>
        </w:tc>
        <w:tc>
          <w:tcPr>
            <w:tcW w:w="1094" w:type="dxa"/>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t>3</w:t>
            </w:r>
          </w:p>
        </w:tc>
        <w:tc>
          <w:tcPr>
            <w:tcW w:w="1094" w:type="dxa"/>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t>7,3</w:t>
            </w:r>
          </w:p>
        </w:tc>
        <w:tc>
          <w:tcPr>
            <w:tcW w:w="1036" w:type="dxa"/>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t>5</w:t>
            </w:r>
          </w:p>
        </w:tc>
        <w:tc>
          <w:tcPr>
            <w:tcW w:w="1036" w:type="dxa"/>
          </w:tcPr>
          <w:p w:rsidR="00630798" w:rsidRPr="00A47BC3" w:rsidRDefault="00630798" w:rsidP="00A47BC3">
            <w:pPr>
              <w:shd w:val="clear" w:color="auto" w:fill="FFFFFF"/>
              <w:spacing w:after="0" w:line="240" w:lineRule="auto"/>
              <w:jc w:val="center"/>
              <w:rPr>
                <w:rFonts w:ascii="Times New Roman" w:hAnsi="Times New Roman" w:cs="Times New Roman"/>
              </w:rPr>
            </w:pPr>
            <w:r w:rsidRPr="00A47BC3">
              <w:rPr>
                <w:rFonts w:ascii="Times New Roman" w:hAnsi="Times New Roman" w:cs="Times New Roman"/>
              </w:rPr>
              <w:t>12,5</w:t>
            </w:r>
          </w:p>
        </w:tc>
      </w:tr>
    </w:tbl>
    <w:p w:rsidR="00630798" w:rsidRPr="00A47BC3" w:rsidRDefault="00630798" w:rsidP="00A47BC3">
      <w:pPr>
        <w:pStyle w:val="a5"/>
        <w:ind w:right="-2"/>
        <w:rPr>
          <w:sz w:val="22"/>
          <w:szCs w:val="22"/>
          <w:lang w:val="ru-RU"/>
        </w:rPr>
      </w:pPr>
      <w:r w:rsidRPr="00A47BC3">
        <w:rPr>
          <w:sz w:val="22"/>
          <w:szCs w:val="22"/>
          <w:lang w:val="ru-RU"/>
        </w:rPr>
        <w:t xml:space="preserve">      </w:t>
      </w:r>
    </w:p>
    <w:p w:rsidR="00630798" w:rsidRPr="00A47BC3" w:rsidRDefault="00630798" w:rsidP="00A47BC3">
      <w:pPr>
        <w:pStyle w:val="a5"/>
        <w:ind w:right="-2"/>
        <w:jc w:val="right"/>
        <w:rPr>
          <w:sz w:val="22"/>
          <w:szCs w:val="22"/>
          <w:lang w:val="ru-RU"/>
        </w:rPr>
      </w:pPr>
      <w:r w:rsidRPr="00A47BC3">
        <w:rPr>
          <w:sz w:val="22"/>
          <w:szCs w:val="22"/>
        </w:rPr>
        <w:t>Таблица № 2</w:t>
      </w:r>
      <w:r w:rsidRPr="00A47BC3">
        <w:rPr>
          <w:sz w:val="22"/>
          <w:szCs w:val="22"/>
          <w:lang w:val="ru-RU"/>
        </w:rPr>
        <w:t>4</w:t>
      </w:r>
    </w:p>
    <w:p w:rsidR="00630798" w:rsidRPr="00A47BC3" w:rsidRDefault="00630798" w:rsidP="00A47BC3">
      <w:pPr>
        <w:pStyle w:val="a5"/>
        <w:ind w:right="-2"/>
        <w:rPr>
          <w:b/>
          <w:sz w:val="22"/>
          <w:szCs w:val="22"/>
        </w:rPr>
      </w:pPr>
      <w:r w:rsidRPr="00A47BC3">
        <w:rPr>
          <w:b/>
          <w:sz w:val="22"/>
          <w:szCs w:val="22"/>
        </w:rPr>
        <w:t>Распределение больных  сифилисом по половой принадлежности</w:t>
      </w:r>
    </w:p>
    <w:tbl>
      <w:tblPr>
        <w:tblW w:w="9574" w:type="dxa"/>
        <w:tblLayout w:type="fixed"/>
        <w:tblLook w:val="0000" w:firstRow="0" w:lastRow="0" w:firstColumn="0" w:lastColumn="0" w:noHBand="0" w:noVBand="0"/>
      </w:tblPr>
      <w:tblGrid>
        <w:gridCol w:w="1707"/>
        <w:gridCol w:w="1311"/>
        <w:gridCol w:w="1311"/>
        <w:gridCol w:w="1312"/>
        <w:gridCol w:w="1311"/>
        <w:gridCol w:w="1311"/>
        <w:gridCol w:w="1311"/>
      </w:tblGrid>
      <w:tr w:rsidR="00630798" w:rsidRPr="00A47BC3" w:rsidTr="00630798">
        <w:trPr>
          <w:cantSplit/>
          <w:trHeight w:hRule="exact" w:val="317"/>
        </w:trPr>
        <w:tc>
          <w:tcPr>
            <w:tcW w:w="1707" w:type="dxa"/>
            <w:vMerge w:val="restart"/>
            <w:tcBorders>
              <w:top w:val="single" w:sz="4" w:space="0" w:color="000000"/>
              <w:left w:val="single" w:sz="4" w:space="0" w:color="000000"/>
              <w:bottom w:val="single" w:sz="4" w:space="0" w:color="000000"/>
            </w:tcBorders>
            <w:vAlign w:val="center"/>
          </w:tcPr>
          <w:p w:rsidR="00630798" w:rsidRPr="00A47BC3" w:rsidRDefault="00630798" w:rsidP="00A47BC3">
            <w:pPr>
              <w:pStyle w:val="a5"/>
              <w:snapToGrid w:val="0"/>
              <w:ind w:right="-2"/>
              <w:rPr>
                <w:sz w:val="22"/>
                <w:szCs w:val="22"/>
                <w:lang w:val="ru-RU" w:eastAsia="ru-RU"/>
              </w:rPr>
            </w:pPr>
          </w:p>
        </w:tc>
        <w:tc>
          <w:tcPr>
            <w:tcW w:w="2622" w:type="dxa"/>
            <w:gridSpan w:val="2"/>
            <w:tcBorders>
              <w:top w:val="single" w:sz="4" w:space="0" w:color="000000"/>
              <w:left w:val="single" w:sz="4" w:space="0" w:color="000000"/>
              <w:bottom w:val="single" w:sz="4" w:space="0" w:color="000000"/>
              <w:right w:val="single" w:sz="4" w:space="0" w:color="000000"/>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2018 г.</w:t>
            </w:r>
          </w:p>
        </w:tc>
        <w:tc>
          <w:tcPr>
            <w:tcW w:w="2623" w:type="dxa"/>
            <w:gridSpan w:val="2"/>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2019 г.</w:t>
            </w:r>
          </w:p>
        </w:tc>
        <w:tc>
          <w:tcPr>
            <w:tcW w:w="2622" w:type="dxa"/>
            <w:gridSpan w:val="2"/>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lang w:val="ru-RU" w:eastAsia="ru-RU"/>
              </w:rPr>
              <w:t>2020 г.</w:t>
            </w:r>
          </w:p>
        </w:tc>
      </w:tr>
      <w:tr w:rsidR="00630798" w:rsidRPr="00A47BC3" w:rsidTr="00630798">
        <w:trPr>
          <w:cantSplit/>
          <w:trHeight w:val="169"/>
        </w:trPr>
        <w:tc>
          <w:tcPr>
            <w:tcW w:w="1707" w:type="dxa"/>
            <w:vMerge/>
            <w:tcBorders>
              <w:top w:val="single" w:sz="4" w:space="0" w:color="000000"/>
              <w:left w:val="single" w:sz="4" w:space="0" w:color="000000"/>
              <w:bottom w:val="single" w:sz="4" w:space="0" w:color="000000"/>
            </w:tcBorders>
            <w:vAlign w:val="center"/>
          </w:tcPr>
          <w:p w:rsidR="00630798" w:rsidRPr="00A47BC3" w:rsidRDefault="00630798" w:rsidP="00A47BC3">
            <w:pPr>
              <w:spacing w:after="0" w:line="240" w:lineRule="auto"/>
              <w:ind w:right="-2"/>
              <w:jc w:val="center"/>
              <w:rPr>
                <w:rFonts w:ascii="Times New Roman" w:hAnsi="Times New Roman" w:cs="Times New Roman"/>
              </w:rPr>
            </w:pPr>
          </w:p>
        </w:tc>
        <w:tc>
          <w:tcPr>
            <w:tcW w:w="1311" w:type="dxa"/>
            <w:tcBorders>
              <w:top w:val="single" w:sz="4" w:space="0" w:color="000000"/>
              <w:left w:val="single" w:sz="4" w:space="0" w:color="000000"/>
              <w:bottom w:val="single" w:sz="4" w:space="0" w:color="000000"/>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Абс. число</w:t>
            </w:r>
          </w:p>
        </w:tc>
        <w:tc>
          <w:tcPr>
            <w:tcW w:w="1311" w:type="dxa"/>
            <w:tcBorders>
              <w:top w:val="single" w:sz="4" w:space="0" w:color="000000"/>
              <w:left w:val="single" w:sz="4" w:space="0" w:color="000000"/>
              <w:bottom w:val="single" w:sz="4" w:space="0" w:color="000000"/>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312" w:type="dxa"/>
            <w:tcBorders>
              <w:top w:val="single" w:sz="4" w:space="0" w:color="000000"/>
              <w:left w:val="single" w:sz="4" w:space="0" w:color="000000"/>
              <w:bottom w:val="single" w:sz="4" w:space="0" w:color="000000"/>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Абс. Число</w:t>
            </w:r>
          </w:p>
        </w:tc>
        <w:tc>
          <w:tcPr>
            <w:tcW w:w="1311" w:type="dxa"/>
            <w:tcBorders>
              <w:top w:val="single" w:sz="4" w:space="0" w:color="000000"/>
              <w:left w:val="single" w:sz="4" w:space="0" w:color="000000"/>
              <w:bottom w:val="single" w:sz="4" w:space="0" w:color="000000"/>
              <w:right w:val="single" w:sz="4" w:space="0" w:color="000000"/>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311" w:type="dxa"/>
            <w:tcBorders>
              <w:top w:val="single" w:sz="4" w:space="0" w:color="000000"/>
              <w:left w:val="single" w:sz="4" w:space="0" w:color="000000"/>
              <w:bottom w:val="single" w:sz="4" w:space="0" w:color="000000"/>
              <w:right w:val="single" w:sz="4" w:space="0" w:color="000000"/>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Абс. число</w:t>
            </w:r>
          </w:p>
        </w:tc>
        <w:tc>
          <w:tcPr>
            <w:tcW w:w="1311" w:type="dxa"/>
            <w:tcBorders>
              <w:top w:val="single" w:sz="4" w:space="0" w:color="000000"/>
              <w:left w:val="single" w:sz="4" w:space="0" w:color="000000"/>
              <w:bottom w:val="single" w:sz="4" w:space="0" w:color="000000"/>
              <w:right w:val="single" w:sz="4" w:space="0" w:color="000000"/>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r>
      <w:tr w:rsidR="00630798" w:rsidRPr="00A47BC3" w:rsidTr="00630798">
        <w:trPr>
          <w:trHeight w:val="409"/>
        </w:trPr>
        <w:tc>
          <w:tcPr>
            <w:tcW w:w="1707"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Мужчины</w:t>
            </w:r>
          </w:p>
        </w:tc>
        <w:tc>
          <w:tcPr>
            <w:tcW w:w="1311"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rPr>
              <w:t>2</w:t>
            </w:r>
          </w:p>
        </w:tc>
        <w:tc>
          <w:tcPr>
            <w:tcW w:w="1311"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rPr>
              <w:t>66,7</w:t>
            </w:r>
          </w:p>
        </w:tc>
        <w:tc>
          <w:tcPr>
            <w:tcW w:w="1312"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rPr>
              <w:t>4</w:t>
            </w:r>
          </w:p>
        </w:tc>
        <w:tc>
          <w:tcPr>
            <w:tcW w:w="1311"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rPr>
              <w:t>57,1</w:t>
            </w:r>
          </w:p>
        </w:tc>
        <w:tc>
          <w:tcPr>
            <w:tcW w:w="1311"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3</w:t>
            </w:r>
          </w:p>
        </w:tc>
        <w:tc>
          <w:tcPr>
            <w:tcW w:w="1311"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100</w:t>
            </w:r>
          </w:p>
        </w:tc>
      </w:tr>
      <w:tr w:rsidR="00630798" w:rsidRPr="00A47BC3" w:rsidTr="00630798">
        <w:trPr>
          <w:trHeight w:val="297"/>
        </w:trPr>
        <w:tc>
          <w:tcPr>
            <w:tcW w:w="1707"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Женщины</w:t>
            </w:r>
          </w:p>
        </w:tc>
        <w:tc>
          <w:tcPr>
            <w:tcW w:w="1311"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rPr>
              <w:t>1</w:t>
            </w:r>
          </w:p>
        </w:tc>
        <w:tc>
          <w:tcPr>
            <w:tcW w:w="1311"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rPr>
              <w:t>33,3</w:t>
            </w:r>
          </w:p>
        </w:tc>
        <w:tc>
          <w:tcPr>
            <w:tcW w:w="1312"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rPr>
              <w:t>3</w:t>
            </w:r>
          </w:p>
        </w:tc>
        <w:tc>
          <w:tcPr>
            <w:tcW w:w="1311"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rPr>
              <w:t>42,9</w:t>
            </w:r>
          </w:p>
        </w:tc>
        <w:tc>
          <w:tcPr>
            <w:tcW w:w="1311"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311"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r>
    </w:tbl>
    <w:p w:rsidR="00630798" w:rsidRPr="00A47BC3" w:rsidRDefault="00630798" w:rsidP="00A47BC3">
      <w:pPr>
        <w:pStyle w:val="a5"/>
        <w:jc w:val="both"/>
        <w:rPr>
          <w:sz w:val="24"/>
          <w:szCs w:val="24"/>
          <w:lang w:val="ru-RU"/>
        </w:rPr>
      </w:pPr>
      <w:r w:rsidRPr="00A47BC3">
        <w:rPr>
          <w:szCs w:val="28"/>
          <w:lang w:val="ru-RU"/>
        </w:rPr>
        <w:t>В</w:t>
      </w:r>
      <w:r w:rsidRPr="00A47BC3">
        <w:rPr>
          <w:sz w:val="24"/>
          <w:szCs w:val="24"/>
        </w:rPr>
        <w:t xml:space="preserve">се случаи заболеваемости сифилисом  регистрируются у лиц репродуктивного возраста (основной путь передачи инфекции – половой). </w:t>
      </w:r>
      <w:r w:rsidRPr="00A47BC3">
        <w:rPr>
          <w:sz w:val="24"/>
          <w:szCs w:val="24"/>
          <w:lang w:val="ru-RU"/>
        </w:rPr>
        <w:t>В 2020году 100% заболевших мужчины, тогда как в 2019г-57,1% мужчины, 42,9% женщины, в 2018г-66,7% мужчины, 33,3% женщины.</w:t>
      </w:r>
      <w:r w:rsidRPr="00A47BC3">
        <w:rPr>
          <w:sz w:val="24"/>
          <w:szCs w:val="24"/>
        </w:rPr>
        <w:t xml:space="preserve"> </w:t>
      </w:r>
      <w:r w:rsidRPr="00A47BC3">
        <w:rPr>
          <w:sz w:val="24"/>
          <w:szCs w:val="24"/>
          <w:lang w:val="ru-RU"/>
        </w:rPr>
        <w:t xml:space="preserve">В  2020г 66,65 в браке, 33,4% не в браке , в 2019г 57,15% заболевших  по семейному положению  находились  в браке, 42.8%  не в браке  ( таблица № 25). </w:t>
      </w:r>
    </w:p>
    <w:p w:rsidR="00630798" w:rsidRPr="00A47BC3" w:rsidRDefault="00630798" w:rsidP="00A47BC3">
      <w:pPr>
        <w:pStyle w:val="a5"/>
        <w:jc w:val="right"/>
        <w:rPr>
          <w:sz w:val="22"/>
          <w:szCs w:val="22"/>
          <w:lang w:val="ru-RU"/>
        </w:rPr>
      </w:pPr>
      <w:r w:rsidRPr="00A47BC3">
        <w:rPr>
          <w:sz w:val="22"/>
          <w:szCs w:val="22"/>
        </w:rPr>
        <w:t>Таблица № 2</w:t>
      </w:r>
      <w:r w:rsidRPr="00A47BC3">
        <w:rPr>
          <w:sz w:val="22"/>
          <w:szCs w:val="22"/>
          <w:lang w:val="ru-RU"/>
        </w:rPr>
        <w:t>5</w:t>
      </w:r>
    </w:p>
    <w:p w:rsidR="00630798" w:rsidRPr="00A47BC3" w:rsidRDefault="00630798" w:rsidP="00A47BC3">
      <w:pPr>
        <w:pStyle w:val="a5"/>
        <w:ind w:right="-2"/>
        <w:rPr>
          <w:b/>
          <w:sz w:val="22"/>
          <w:szCs w:val="22"/>
          <w:lang w:val="ru-RU"/>
        </w:rPr>
      </w:pPr>
      <w:r w:rsidRPr="00A47BC3">
        <w:rPr>
          <w:b/>
          <w:sz w:val="22"/>
          <w:szCs w:val="22"/>
        </w:rPr>
        <w:t xml:space="preserve">Распределение больных сифилисом по </w:t>
      </w:r>
      <w:r w:rsidRPr="00A47BC3">
        <w:rPr>
          <w:b/>
          <w:sz w:val="22"/>
          <w:szCs w:val="22"/>
          <w:lang w:val="ru-RU"/>
        </w:rPr>
        <w:t>семейному положению, образованию в 2020г</w:t>
      </w:r>
    </w:p>
    <w:p w:rsidR="00630798" w:rsidRPr="00A47BC3" w:rsidRDefault="00630798" w:rsidP="00A47BC3">
      <w:pPr>
        <w:pStyle w:val="a5"/>
        <w:ind w:right="-2"/>
        <w:rPr>
          <w:b/>
          <w:sz w:val="22"/>
          <w:szCs w:val="22"/>
          <w:lang w:val="ru-RU"/>
        </w:rPr>
      </w:pPr>
    </w:p>
    <w:tbl>
      <w:tblPr>
        <w:tblW w:w="143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977"/>
        <w:gridCol w:w="2835"/>
        <w:gridCol w:w="1701"/>
        <w:gridCol w:w="2606"/>
        <w:gridCol w:w="2708"/>
      </w:tblGrid>
      <w:tr w:rsidR="00630798" w:rsidRPr="00A47BC3" w:rsidTr="00630798">
        <w:tc>
          <w:tcPr>
            <w:tcW w:w="4536" w:type="dxa"/>
            <w:gridSpan w:val="2"/>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по семейному положению</w:t>
            </w:r>
          </w:p>
        </w:tc>
        <w:tc>
          <w:tcPr>
            <w:tcW w:w="4536" w:type="dxa"/>
            <w:gridSpan w:val="2"/>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образованию</w:t>
            </w:r>
          </w:p>
        </w:tc>
        <w:tc>
          <w:tcPr>
            <w:tcW w:w="5314" w:type="dxa"/>
            <w:gridSpan w:val="2"/>
            <w:tcBorders>
              <w:top w:val="nil"/>
              <w:bottom w:val="nil"/>
            </w:tcBorders>
          </w:tcPr>
          <w:p w:rsidR="00630798" w:rsidRPr="00A47BC3" w:rsidRDefault="00630798" w:rsidP="00A47BC3">
            <w:pPr>
              <w:spacing w:after="0" w:line="240" w:lineRule="auto"/>
              <w:rPr>
                <w:rFonts w:ascii="Times New Roman" w:hAnsi="Times New Roman" w:cs="Times New Roman"/>
                <w:szCs w:val="24"/>
                <w:highlight w:val="yellow"/>
              </w:rPr>
            </w:pPr>
          </w:p>
        </w:tc>
      </w:tr>
      <w:tr w:rsidR="00630798" w:rsidRPr="00A47BC3" w:rsidTr="00630798">
        <w:tc>
          <w:tcPr>
            <w:tcW w:w="1559" w:type="dxa"/>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в браке</w:t>
            </w:r>
          </w:p>
        </w:tc>
        <w:tc>
          <w:tcPr>
            <w:tcW w:w="2977"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w:t>
            </w:r>
          </w:p>
        </w:tc>
        <w:tc>
          <w:tcPr>
            <w:tcW w:w="2835" w:type="dxa"/>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высшее</w:t>
            </w:r>
          </w:p>
        </w:tc>
        <w:tc>
          <w:tcPr>
            <w:tcW w:w="1701" w:type="dxa"/>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 xml:space="preserve">              1</w:t>
            </w:r>
          </w:p>
        </w:tc>
        <w:tc>
          <w:tcPr>
            <w:tcW w:w="2606" w:type="dxa"/>
            <w:vMerge w:val="restart"/>
            <w:tcBorders>
              <w:top w:val="nil"/>
              <w:bottom w:val="nil"/>
            </w:tcBorders>
          </w:tcPr>
          <w:p w:rsidR="00630798" w:rsidRPr="00A47BC3" w:rsidRDefault="00630798" w:rsidP="00A47BC3">
            <w:pPr>
              <w:spacing w:after="0" w:line="240" w:lineRule="auto"/>
              <w:jc w:val="center"/>
              <w:rPr>
                <w:rFonts w:ascii="Times New Roman" w:hAnsi="Times New Roman" w:cs="Times New Roman"/>
                <w:szCs w:val="24"/>
                <w:highlight w:val="yellow"/>
              </w:rPr>
            </w:pPr>
          </w:p>
        </w:tc>
        <w:tc>
          <w:tcPr>
            <w:tcW w:w="2708" w:type="dxa"/>
          </w:tcPr>
          <w:p w:rsidR="00630798" w:rsidRPr="00A47BC3" w:rsidRDefault="00630798" w:rsidP="00A47BC3">
            <w:pPr>
              <w:spacing w:after="0" w:line="240" w:lineRule="auto"/>
              <w:jc w:val="center"/>
              <w:rPr>
                <w:rFonts w:ascii="Times New Roman" w:hAnsi="Times New Roman" w:cs="Times New Roman"/>
                <w:szCs w:val="24"/>
                <w:highlight w:val="yellow"/>
              </w:rPr>
            </w:pPr>
            <w:r w:rsidRPr="00A47BC3">
              <w:rPr>
                <w:rFonts w:ascii="Times New Roman" w:hAnsi="Times New Roman" w:cs="Times New Roman"/>
                <w:szCs w:val="24"/>
                <w:highlight w:val="yellow"/>
              </w:rPr>
              <w:t>2</w:t>
            </w:r>
          </w:p>
        </w:tc>
      </w:tr>
      <w:tr w:rsidR="00630798" w:rsidRPr="00A47BC3" w:rsidTr="00630798">
        <w:tc>
          <w:tcPr>
            <w:tcW w:w="1559" w:type="dxa"/>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не в браке</w:t>
            </w:r>
          </w:p>
        </w:tc>
        <w:tc>
          <w:tcPr>
            <w:tcW w:w="2977"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w:t>
            </w:r>
          </w:p>
        </w:tc>
        <w:tc>
          <w:tcPr>
            <w:tcW w:w="2835" w:type="dxa"/>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сред. техническое</w:t>
            </w:r>
          </w:p>
        </w:tc>
        <w:tc>
          <w:tcPr>
            <w:tcW w:w="1701" w:type="dxa"/>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 xml:space="preserve">              2</w:t>
            </w:r>
          </w:p>
        </w:tc>
        <w:tc>
          <w:tcPr>
            <w:tcW w:w="2606" w:type="dxa"/>
            <w:vMerge/>
            <w:tcBorders>
              <w:top w:val="nil"/>
              <w:bottom w:val="nil"/>
            </w:tcBorders>
          </w:tcPr>
          <w:p w:rsidR="00630798" w:rsidRPr="00A47BC3" w:rsidRDefault="00630798" w:rsidP="00A47BC3">
            <w:pPr>
              <w:spacing w:after="0" w:line="240" w:lineRule="auto"/>
              <w:rPr>
                <w:rFonts w:ascii="Times New Roman" w:hAnsi="Times New Roman" w:cs="Times New Roman"/>
                <w:szCs w:val="24"/>
                <w:highlight w:val="yellow"/>
              </w:rPr>
            </w:pPr>
          </w:p>
        </w:tc>
        <w:tc>
          <w:tcPr>
            <w:tcW w:w="2708" w:type="dxa"/>
          </w:tcPr>
          <w:p w:rsidR="00630798" w:rsidRPr="00A47BC3" w:rsidRDefault="00630798" w:rsidP="00A47BC3">
            <w:pPr>
              <w:spacing w:after="0" w:line="240" w:lineRule="auto"/>
              <w:jc w:val="center"/>
              <w:rPr>
                <w:rFonts w:ascii="Times New Roman" w:hAnsi="Times New Roman" w:cs="Times New Roman"/>
                <w:szCs w:val="24"/>
                <w:highlight w:val="yellow"/>
              </w:rPr>
            </w:pPr>
            <w:r w:rsidRPr="00A47BC3">
              <w:rPr>
                <w:rFonts w:ascii="Times New Roman" w:hAnsi="Times New Roman" w:cs="Times New Roman"/>
                <w:szCs w:val="24"/>
                <w:highlight w:val="yellow"/>
              </w:rPr>
              <w:t>3</w:t>
            </w:r>
          </w:p>
        </w:tc>
      </w:tr>
      <w:tr w:rsidR="00630798" w:rsidRPr="00A47BC3" w:rsidTr="00630798">
        <w:tc>
          <w:tcPr>
            <w:tcW w:w="1559" w:type="dxa"/>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дети 0-14</w:t>
            </w:r>
          </w:p>
        </w:tc>
        <w:tc>
          <w:tcPr>
            <w:tcW w:w="2977" w:type="dxa"/>
          </w:tcPr>
          <w:p w:rsidR="00630798" w:rsidRPr="00A47BC3" w:rsidRDefault="00630798" w:rsidP="00A47BC3">
            <w:pPr>
              <w:spacing w:after="0" w:line="240" w:lineRule="auto"/>
              <w:jc w:val="center"/>
              <w:rPr>
                <w:rFonts w:ascii="Times New Roman" w:hAnsi="Times New Roman" w:cs="Times New Roman"/>
              </w:rPr>
            </w:pPr>
          </w:p>
        </w:tc>
        <w:tc>
          <w:tcPr>
            <w:tcW w:w="2835" w:type="dxa"/>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среднее</w:t>
            </w:r>
          </w:p>
        </w:tc>
        <w:tc>
          <w:tcPr>
            <w:tcW w:w="1701" w:type="dxa"/>
          </w:tcPr>
          <w:p w:rsidR="00630798" w:rsidRPr="00A47BC3" w:rsidRDefault="00630798" w:rsidP="00A47BC3">
            <w:pPr>
              <w:spacing w:after="0" w:line="240" w:lineRule="auto"/>
              <w:jc w:val="center"/>
              <w:rPr>
                <w:rFonts w:ascii="Times New Roman" w:hAnsi="Times New Roman" w:cs="Times New Roman"/>
                <w:highlight w:val="yellow"/>
              </w:rPr>
            </w:pPr>
          </w:p>
        </w:tc>
        <w:tc>
          <w:tcPr>
            <w:tcW w:w="2606" w:type="dxa"/>
            <w:vMerge/>
            <w:tcBorders>
              <w:top w:val="nil"/>
              <w:bottom w:val="nil"/>
            </w:tcBorders>
          </w:tcPr>
          <w:p w:rsidR="00630798" w:rsidRPr="00A47BC3" w:rsidRDefault="00630798" w:rsidP="00A47BC3">
            <w:pPr>
              <w:spacing w:after="0" w:line="240" w:lineRule="auto"/>
              <w:rPr>
                <w:rFonts w:ascii="Times New Roman" w:hAnsi="Times New Roman" w:cs="Times New Roman"/>
                <w:szCs w:val="24"/>
                <w:highlight w:val="yellow"/>
              </w:rPr>
            </w:pPr>
          </w:p>
        </w:tc>
        <w:tc>
          <w:tcPr>
            <w:tcW w:w="2708" w:type="dxa"/>
          </w:tcPr>
          <w:p w:rsidR="00630798" w:rsidRPr="00A47BC3" w:rsidRDefault="00630798" w:rsidP="00A47BC3">
            <w:pPr>
              <w:spacing w:after="0" w:line="240" w:lineRule="auto"/>
              <w:jc w:val="center"/>
              <w:rPr>
                <w:rFonts w:ascii="Times New Roman" w:hAnsi="Times New Roman" w:cs="Times New Roman"/>
                <w:szCs w:val="24"/>
                <w:highlight w:val="yellow"/>
              </w:rPr>
            </w:pPr>
            <w:r w:rsidRPr="00A47BC3">
              <w:rPr>
                <w:rFonts w:ascii="Times New Roman" w:hAnsi="Times New Roman" w:cs="Times New Roman"/>
                <w:szCs w:val="24"/>
                <w:highlight w:val="yellow"/>
              </w:rPr>
              <w:t>2</w:t>
            </w:r>
          </w:p>
        </w:tc>
      </w:tr>
      <w:tr w:rsidR="00630798" w:rsidRPr="00A47BC3" w:rsidTr="00630798">
        <w:tc>
          <w:tcPr>
            <w:tcW w:w="1559" w:type="dxa"/>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анонимно</w:t>
            </w:r>
          </w:p>
        </w:tc>
        <w:tc>
          <w:tcPr>
            <w:tcW w:w="2977" w:type="dxa"/>
          </w:tcPr>
          <w:p w:rsidR="00630798" w:rsidRPr="00A47BC3" w:rsidRDefault="00630798" w:rsidP="00A47BC3">
            <w:pPr>
              <w:spacing w:after="0" w:line="240" w:lineRule="auto"/>
              <w:jc w:val="center"/>
              <w:rPr>
                <w:rFonts w:ascii="Times New Roman" w:hAnsi="Times New Roman" w:cs="Times New Roman"/>
              </w:rPr>
            </w:pPr>
          </w:p>
        </w:tc>
        <w:tc>
          <w:tcPr>
            <w:tcW w:w="2835" w:type="dxa"/>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не законченное. сред.</w:t>
            </w:r>
          </w:p>
        </w:tc>
        <w:tc>
          <w:tcPr>
            <w:tcW w:w="1701" w:type="dxa"/>
          </w:tcPr>
          <w:p w:rsidR="00630798" w:rsidRPr="00A47BC3" w:rsidRDefault="00630798" w:rsidP="00A47BC3">
            <w:pPr>
              <w:spacing w:after="0" w:line="240" w:lineRule="auto"/>
              <w:jc w:val="center"/>
              <w:rPr>
                <w:rFonts w:ascii="Times New Roman" w:hAnsi="Times New Roman" w:cs="Times New Roman"/>
                <w:highlight w:val="yellow"/>
              </w:rPr>
            </w:pPr>
          </w:p>
        </w:tc>
        <w:tc>
          <w:tcPr>
            <w:tcW w:w="2606" w:type="dxa"/>
            <w:vMerge/>
            <w:tcBorders>
              <w:top w:val="nil"/>
              <w:bottom w:val="nil"/>
            </w:tcBorders>
          </w:tcPr>
          <w:p w:rsidR="00630798" w:rsidRPr="00A47BC3" w:rsidRDefault="00630798" w:rsidP="00A47BC3">
            <w:pPr>
              <w:spacing w:after="0" w:line="240" w:lineRule="auto"/>
              <w:rPr>
                <w:rFonts w:ascii="Times New Roman" w:hAnsi="Times New Roman" w:cs="Times New Roman"/>
                <w:szCs w:val="24"/>
                <w:highlight w:val="yellow"/>
              </w:rPr>
            </w:pPr>
          </w:p>
        </w:tc>
        <w:tc>
          <w:tcPr>
            <w:tcW w:w="2708" w:type="dxa"/>
          </w:tcPr>
          <w:p w:rsidR="00630798" w:rsidRPr="00A47BC3" w:rsidRDefault="00630798" w:rsidP="00A47BC3">
            <w:pPr>
              <w:spacing w:after="0" w:line="240" w:lineRule="auto"/>
              <w:jc w:val="center"/>
              <w:rPr>
                <w:rFonts w:ascii="Times New Roman" w:hAnsi="Times New Roman" w:cs="Times New Roman"/>
                <w:szCs w:val="24"/>
                <w:highlight w:val="yellow"/>
              </w:rPr>
            </w:pPr>
          </w:p>
        </w:tc>
      </w:tr>
      <w:tr w:rsidR="00630798" w:rsidRPr="00A47BC3" w:rsidTr="00630798">
        <w:tc>
          <w:tcPr>
            <w:tcW w:w="1559" w:type="dxa"/>
          </w:tcPr>
          <w:p w:rsidR="00630798" w:rsidRPr="00A47BC3" w:rsidRDefault="00630798" w:rsidP="00A47BC3">
            <w:pPr>
              <w:spacing w:after="0" w:line="240" w:lineRule="auto"/>
              <w:rPr>
                <w:rFonts w:ascii="Times New Roman" w:hAnsi="Times New Roman" w:cs="Times New Roman"/>
                <w:highlight w:val="yellow"/>
              </w:rPr>
            </w:pPr>
          </w:p>
        </w:tc>
        <w:tc>
          <w:tcPr>
            <w:tcW w:w="2977" w:type="dxa"/>
          </w:tcPr>
          <w:p w:rsidR="00630798" w:rsidRPr="00A47BC3" w:rsidRDefault="00630798" w:rsidP="00A47BC3">
            <w:pPr>
              <w:spacing w:after="0" w:line="240" w:lineRule="auto"/>
              <w:jc w:val="center"/>
              <w:rPr>
                <w:rFonts w:ascii="Times New Roman" w:hAnsi="Times New Roman" w:cs="Times New Roman"/>
              </w:rPr>
            </w:pPr>
          </w:p>
        </w:tc>
        <w:tc>
          <w:tcPr>
            <w:tcW w:w="2835" w:type="dxa"/>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дети 0-7</w:t>
            </w:r>
          </w:p>
        </w:tc>
        <w:tc>
          <w:tcPr>
            <w:tcW w:w="1701" w:type="dxa"/>
          </w:tcPr>
          <w:p w:rsidR="00630798" w:rsidRPr="00A47BC3" w:rsidRDefault="00630798" w:rsidP="00A47BC3">
            <w:pPr>
              <w:spacing w:after="0" w:line="240" w:lineRule="auto"/>
              <w:jc w:val="center"/>
              <w:rPr>
                <w:rFonts w:ascii="Times New Roman" w:hAnsi="Times New Roman" w:cs="Times New Roman"/>
                <w:highlight w:val="yellow"/>
              </w:rPr>
            </w:pPr>
          </w:p>
        </w:tc>
        <w:tc>
          <w:tcPr>
            <w:tcW w:w="2606" w:type="dxa"/>
            <w:vMerge/>
            <w:tcBorders>
              <w:top w:val="nil"/>
              <w:bottom w:val="nil"/>
            </w:tcBorders>
          </w:tcPr>
          <w:p w:rsidR="00630798" w:rsidRPr="00A47BC3" w:rsidRDefault="00630798" w:rsidP="00A47BC3">
            <w:pPr>
              <w:spacing w:after="0" w:line="240" w:lineRule="auto"/>
              <w:rPr>
                <w:rFonts w:ascii="Times New Roman" w:hAnsi="Times New Roman" w:cs="Times New Roman"/>
                <w:szCs w:val="24"/>
                <w:highlight w:val="yellow"/>
              </w:rPr>
            </w:pPr>
          </w:p>
        </w:tc>
        <w:tc>
          <w:tcPr>
            <w:tcW w:w="2708" w:type="dxa"/>
          </w:tcPr>
          <w:p w:rsidR="00630798" w:rsidRPr="00A47BC3" w:rsidRDefault="00630798" w:rsidP="00A47BC3">
            <w:pPr>
              <w:spacing w:after="0" w:line="240" w:lineRule="auto"/>
              <w:jc w:val="center"/>
              <w:rPr>
                <w:rFonts w:ascii="Times New Roman" w:hAnsi="Times New Roman" w:cs="Times New Roman"/>
                <w:szCs w:val="24"/>
                <w:highlight w:val="yellow"/>
              </w:rPr>
            </w:pPr>
          </w:p>
        </w:tc>
      </w:tr>
      <w:tr w:rsidR="00630798" w:rsidRPr="00A47BC3" w:rsidTr="00630798">
        <w:tc>
          <w:tcPr>
            <w:tcW w:w="1559" w:type="dxa"/>
          </w:tcPr>
          <w:p w:rsidR="00630798" w:rsidRPr="00A47BC3" w:rsidRDefault="00630798" w:rsidP="00A47BC3">
            <w:pPr>
              <w:spacing w:after="0" w:line="240" w:lineRule="auto"/>
              <w:rPr>
                <w:rFonts w:ascii="Times New Roman" w:hAnsi="Times New Roman" w:cs="Times New Roman"/>
                <w:highlight w:val="yellow"/>
              </w:rPr>
            </w:pPr>
          </w:p>
        </w:tc>
        <w:tc>
          <w:tcPr>
            <w:tcW w:w="2977" w:type="dxa"/>
          </w:tcPr>
          <w:p w:rsidR="00630798" w:rsidRPr="00A47BC3" w:rsidRDefault="00630798" w:rsidP="00A47BC3">
            <w:pPr>
              <w:spacing w:after="0" w:line="240" w:lineRule="auto"/>
              <w:jc w:val="center"/>
              <w:rPr>
                <w:rFonts w:ascii="Times New Roman" w:hAnsi="Times New Roman" w:cs="Times New Roman"/>
              </w:rPr>
            </w:pPr>
          </w:p>
        </w:tc>
        <w:tc>
          <w:tcPr>
            <w:tcW w:w="2835" w:type="dxa"/>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анонимно</w:t>
            </w:r>
          </w:p>
        </w:tc>
        <w:tc>
          <w:tcPr>
            <w:tcW w:w="1701" w:type="dxa"/>
          </w:tcPr>
          <w:p w:rsidR="00630798" w:rsidRPr="00A47BC3" w:rsidRDefault="00630798" w:rsidP="00A47BC3">
            <w:pPr>
              <w:spacing w:after="0" w:line="240" w:lineRule="auto"/>
              <w:jc w:val="center"/>
              <w:rPr>
                <w:rFonts w:ascii="Times New Roman" w:hAnsi="Times New Roman" w:cs="Times New Roman"/>
                <w:highlight w:val="yellow"/>
              </w:rPr>
            </w:pPr>
          </w:p>
        </w:tc>
        <w:tc>
          <w:tcPr>
            <w:tcW w:w="2606" w:type="dxa"/>
            <w:vMerge/>
            <w:tcBorders>
              <w:top w:val="nil"/>
              <w:bottom w:val="nil"/>
            </w:tcBorders>
          </w:tcPr>
          <w:p w:rsidR="00630798" w:rsidRPr="00A47BC3" w:rsidRDefault="00630798" w:rsidP="00A47BC3">
            <w:pPr>
              <w:spacing w:after="0" w:line="240" w:lineRule="auto"/>
              <w:rPr>
                <w:rFonts w:ascii="Times New Roman" w:hAnsi="Times New Roman" w:cs="Times New Roman"/>
                <w:szCs w:val="24"/>
                <w:highlight w:val="yellow"/>
              </w:rPr>
            </w:pPr>
          </w:p>
        </w:tc>
        <w:tc>
          <w:tcPr>
            <w:tcW w:w="2708" w:type="dxa"/>
          </w:tcPr>
          <w:p w:rsidR="00630798" w:rsidRPr="00A47BC3" w:rsidRDefault="00630798" w:rsidP="00A47BC3">
            <w:pPr>
              <w:spacing w:after="0" w:line="240" w:lineRule="auto"/>
              <w:jc w:val="center"/>
              <w:rPr>
                <w:rFonts w:ascii="Times New Roman" w:hAnsi="Times New Roman" w:cs="Times New Roman"/>
                <w:szCs w:val="24"/>
                <w:highlight w:val="yellow"/>
              </w:rPr>
            </w:pPr>
          </w:p>
        </w:tc>
      </w:tr>
      <w:tr w:rsidR="00630798" w:rsidRPr="00A47BC3" w:rsidTr="00630798">
        <w:tc>
          <w:tcPr>
            <w:tcW w:w="1559" w:type="dxa"/>
          </w:tcPr>
          <w:p w:rsidR="00630798" w:rsidRPr="00A47BC3" w:rsidRDefault="00630798" w:rsidP="00A47BC3">
            <w:pPr>
              <w:spacing w:after="0" w:line="240" w:lineRule="auto"/>
              <w:rPr>
                <w:rFonts w:ascii="Times New Roman" w:hAnsi="Times New Roman" w:cs="Times New Roman"/>
                <w:highlight w:val="yellow"/>
              </w:rPr>
            </w:pPr>
            <w:r w:rsidRPr="00A47BC3">
              <w:rPr>
                <w:rFonts w:ascii="Times New Roman" w:hAnsi="Times New Roman" w:cs="Times New Roman"/>
              </w:rPr>
              <w:t>Итого:</w:t>
            </w:r>
          </w:p>
        </w:tc>
        <w:tc>
          <w:tcPr>
            <w:tcW w:w="2977"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3</w:t>
            </w:r>
          </w:p>
        </w:tc>
        <w:tc>
          <w:tcPr>
            <w:tcW w:w="2835" w:type="dxa"/>
          </w:tcPr>
          <w:p w:rsidR="00630798" w:rsidRPr="00A47BC3" w:rsidRDefault="00630798" w:rsidP="00A47BC3">
            <w:pPr>
              <w:spacing w:after="0" w:line="240" w:lineRule="auto"/>
              <w:rPr>
                <w:rFonts w:ascii="Times New Roman" w:hAnsi="Times New Roman" w:cs="Times New Roman"/>
                <w:highlight w:val="yellow"/>
              </w:rPr>
            </w:pPr>
          </w:p>
        </w:tc>
        <w:tc>
          <w:tcPr>
            <w:tcW w:w="1701" w:type="dxa"/>
          </w:tcPr>
          <w:p w:rsidR="00630798" w:rsidRPr="00A47BC3" w:rsidRDefault="00630798" w:rsidP="00A47BC3">
            <w:pPr>
              <w:spacing w:after="0" w:line="240" w:lineRule="auto"/>
              <w:jc w:val="center"/>
              <w:rPr>
                <w:rFonts w:ascii="Times New Roman" w:hAnsi="Times New Roman" w:cs="Times New Roman"/>
                <w:highlight w:val="yellow"/>
              </w:rPr>
            </w:pPr>
            <w:r w:rsidRPr="00A47BC3">
              <w:rPr>
                <w:rFonts w:ascii="Times New Roman" w:hAnsi="Times New Roman" w:cs="Times New Roman"/>
              </w:rPr>
              <w:t>3</w:t>
            </w:r>
          </w:p>
        </w:tc>
        <w:tc>
          <w:tcPr>
            <w:tcW w:w="2606" w:type="dxa"/>
            <w:vMerge/>
            <w:tcBorders>
              <w:top w:val="nil"/>
              <w:bottom w:val="nil"/>
            </w:tcBorders>
          </w:tcPr>
          <w:p w:rsidR="00630798" w:rsidRPr="00A47BC3" w:rsidRDefault="00630798" w:rsidP="00A47BC3">
            <w:pPr>
              <w:spacing w:after="0" w:line="240" w:lineRule="auto"/>
              <w:rPr>
                <w:rFonts w:ascii="Times New Roman" w:hAnsi="Times New Roman" w:cs="Times New Roman"/>
                <w:szCs w:val="24"/>
                <w:highlight w:val="yellow"/>
              </w:rPr>
            </w:pPr>
          </w:p>
        </w:tc>
        <w:tc>
          <w:tcPr>
            <w:tcW w:w="2708" w:type="dxa"/>
          </w:tcPr>
          <w:p w:rsidR="00630798" w:rsidRPr="00A47BC3" w:rsidRDefault="00630798" w:rsidP="00A47BC3">
            <w:pPr>
              <w:spacing w:after="0" w:line="240" w:lineRule="auto"/>
              <w:jc w:val="center"/>
              <w:rPr>
                <w:rFonts w:ascii="Times New Roman" w:hAnsi="Times New Roman" w:cs="Times New Roman"/>
                <w:szCs w:val="24"/>
                <w:highlight w:val="yellow"/>
              </w:rPr>
            </w:pPr>
          </w:p>
        </w:tc>
      </w:tr>
    </w:tbl>
    <w:p w:rsidR="00630798" w:rsidRPr="00A47BC3" w:rsidRDefault="00630798" w:rsidP="00A47BC3">
      <w:pPr>
        <w:pStyle w:val="a5"/>
        <w:ind w:right="-2"/>
        <w:jc w:val="right"/>
        <w:rPr>
          <w:sz w:val="22"/>
          <w:szCs w:val="22"/>
        </w:rPr>
      </w:pPr>
    </w:p>
    <w:p w:rsidR="00630798" w:rsidRPr="00A47BC3" w:rsidRDefault="00630798" w:rsidP="00A47BC3">
      <w:pPr>
        <w:pStyle w:val="a5"/>
        <w:jc w:val="both"/>
        <w:rPr>
          <w:sz w:val="24"/>
          <w:szCs w:val="24"/>
          <w:lang w:val="ru-RU"/>
        </w:rPr>
      </w:pPr>
      <w:r w:rsidRPr="00A47BC3">
        <w:rPr>
          <w:sz w:val="24"/>
          <w:szCs w:val="24"/>
        </w:rPr>
        <w:t>Случаев заболеваемости сифилисом среди детей за период с 201</w:t>
      </w:r>
      <w:r w:rsidRPr="00A47BC3">
        <w:rPr>
          <w:sz w:val="24"/>
          <w:szCs w:val="24"/>
          <w:lang w:val="ru-RU"/>
        </w:rPr>
        <w:t>8</w:t>
      </w:r>
      <w:r w:rsidRPr="00A47BC3">
        <w:rPr>
          <w:sz w:val="24"/>
          <w:szCs w:val="24"/>
        </w:rPr>
        <w:t>-20</w:t>
      </w:r>
      <w:r w:rsidRPr="00A47BC3">
        <w:rPr>
          <w:sz w:val="24"/>
          <w:szCs w:val="24"/>
          <w:lang w:val="ru-RU"/>
        </w:rPr>
        <w:t>20</w:t>
      </w:r>
      <w:r w:rsidRPr="00A47BC3">
        <w:rPr>
          <w:sz w:val="24"/>
          <w:szCs w:val="24"/>
        </w:rPr>
        <w:t>гг. не зарегистрировано.</w:t>
      </w:r>
      <w:r w:rsidRPr="00A47BC3">
        <w:rPr>
          <w:sz w:val="24"/>
          <w:szCs w:val="24"/>
          <w:lang w:val="ru-RU"/>
        </w:rPr>
        <w:t xml:space="preserve"> В 2020г 100% заболевших-работники промышленности ( таблица № 26)</w:t>
      </w:r>
    </w:p>
    <w:p w:rsidR="00630798" w:rsidRPr="00A47BC3" w:rsidRDefault="00630798" w:rsidP="00A47BC3">
      <w:pPr>
        <w:pStyle w:val="a5"/>
        <w:jc w:val="both"/>
        <w:rPr>
          <w:sz w:val="24"/>
          <w:szCs w:val="24"/>
          <w:lang w:val="ru-RU"/>
        </w:rPr>
      </w:pPr>
    </w:p>
    <w:p w:rsidR="00630798" w:rsidRPr="00A47BC3" w:rsidRDefault="00630798" w:rsidP="00A47BC3">
      <w:pPr>
        <w:pStyle w:val="a5"/>
        <w:ind w:right="-2"/>
        <w:jc w:val="right"/>
        <w:rPr>
          <w:sz w:val="22"/>
          <w:szCs w:val="22"/>
          <w:lang w:val="ru-RU"/>
        </w:rPr>
      </w:pPr>
      <w:r w:rsidRPr="00A47BC3">
        <w:rPr>
          <w:sz w:val="22"/>
          <w:szCs w:val="22"/>
        </w:rPr>
        <w:t>Таблица № 2</w:t>
      </w:r>
      <w:r w:rsidRPr="00A47BC3">
        <w:rPr>
          <w:sz w:val="22"/>
          <w:szCs w:val="22"/>
          <w:lang w:val="ru-RU"/>
        </w:rPr>
        <w:t>6</w:t>
      </w:r>
    </w:p>
    <w:p w:rsidR="00630798" w:rsidRPr="00A47BC3" w:rsidRDefault="00630798" w:rsidP="00A47BC3">
      <w:pPr>
        <w:pStyle w:val="a5"/>
        <w:ind w:right="-2"/>
        <w:rPr>
          <w:b/>
          <w:sz w:val="22"/>
          <w:szCs w:val="22"/>
        </w:rPr>
      </w:pPr>
      <w:r w:rsidRPr="00A47BC3">
        <w:rPr>
          <w:b/>
          <w:sz w:val="22"/>
          <w:szCs w:val="22"/>
        </w:rPr>
        <w:t>Социальный состав больных сифилисом</w:t>
      </w:r>
    </w:p>
    <w:tbl>
      <w:tblPr>
        <w:tblW w:w="9489" w:type="dxa"/>
        <w:tblInd w:w="-34" w:type="dxa"/>
        <w:tblLayout w:type="fixed"/>
        <w:tblLook w:val="0000" w:firstRow="0" w:lastRow="0" w:firstColumn="0" w:lastColumn="0" w:noHBand="0" w:noVBand="0"/>
      </w:tblPr>
      <w:tblGrid>
        <w:gridCol w:w="3688"/>
        <w:gridCol w:w="966"/>
        <w:gridCol w:w="806"/>
        <w:gridCol w:w="1127"/>
        <w:gridCol w:w="968"/>
        <w:gridCol w:w="967"/>
        <w:gridCol w:w="967"/>
      </w:tblGrid>
      <w:tr w:rsidR="00630798" w:rsidRPr="00A47BC3" w:rsidTr="00630798">
        <w:trPr>
          <w:cantSplit/>
          <w:trHeight w:hRule="exact" w:val="367"/>
        </w:trPr>
        <w:tc>
          <w:tcPr>
            <w:tcW w:w="3688" w:type="dxa"/>
            <w:vMerge w:val="restart"/>
            <w:tcBorders>
              <w:top w:val="single" w:sz="4" w:space="0" w:color="000000"/>
              <w:left w:val="single" w:sz="4" w:space="0" w:color="000000"/>
              <w:bottom w:val="single" w:sz="4" w:space="0" w:color="000000"/>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Социальное положение</w:t>
            </w:r>
          </w:p>
        </w:tc>
        <w:tc>
          <w:tcPr>
            <w:tcW w:w="1772" w:type="dxa"/>
            <w:gridSpan w:val="2"/>
            <w:tcBorders>
              <w:top w:val="single" w:sz="4" w:space="0" w:color="000000"/>
              <w:left w:val="single" w:sz="4" w:space="0" w:color="000000"/>
              <w:bottom w:val="single" w:sz="4" w:space="0" w:color="000000"/>
              <w:right w:val="single" w:sz="4" w:space="0" w:color="000000"/>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2018 г.</w:t>
            </w:r>
          </w:p>
        </w:tc>
        <w:tc>
          <w:tcPr>
            <w:tcW w:w="2095" w:type="dxa"/>
            <w:gridSpan w:val="2"/>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2019 г.</w:t>
            </w:r>
          </w:p>
        </w:tc>
        <w:tc>
          <w:tcPr>
            <w:tcW w:w="1934" w:type="dxa"/>
            <w:gridSpan w:val="2"/>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2020 г.</w:t>
            </w:r>
          </w:p>
        </w:tc>
      </w:tr>
      <w:tr w:rsidR="00630798" w:rsidRPr="00A47BC3" w:rsidTr="00630798">
        <w:trPr>
          <w:cantSplit/>
          <w:trHeight w:val="152"/>
        </w:trPr>
        <w:tc>
          <w:tcPr>
            <w:tcW w:w="3688" w:type="dxa"/>
            <w:vMerge/>
            <w:tcBorders>
              <w:top w:val="single" w:sz="4" w:space="0" w:color="000000"/>
              <w:left w:val="single" w:sz="4" w:space="0" w:color="000000"/>
              <w:bottom w:val="single" w:sz="4" w:space="0" w:color="000000"/>
            </w:tcBorders>
            <w:vAlign w:val="center"/>
          </w:tcPr>
          <w:p w:rsidR="00630798" w:rsidRPr="00A47BC3" w:rsidRDefault="00630798" w:rsidP="00A47BC3">
            <w:pPr>
              <w:spacing w:after="0" w:line="240" w:lineRule="auto"/>
              <w:ind w:right="-2"/>
              <w:rPr>
                <w:rFonts w:ascii="Times New Roman" w:hAnsi="Times New Roman" w:cs="Times New Roman"/>
              </w:rPr>
            </w:pPr>
          </w:p>
        </w:tc>
        <w:tc>
          <w:tcPr>
            <w:tcW w:w="966" w:type="dxa"/>
            <w:tcBorders>
              <w:top w:val="single" w:sz="4" w:space="0" w:color="000000"/>
              <w:left w:val="single" w:sz="4" w:space="0" w:color="000000"/>
              <w:bottom w:val="single" w:sz="4" w:space="0" w:color="000000"/>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Абс. число</w:t>
            </w:r>
          </w:p>
        </w:tc>
        <w:tc>
          <w:tcPr>
            <w:tcW w:w="806" w:type="dxa"/>
            <w:tcBorders>
              <w:top w:val="single" w:sz="4" w:space="0" w:color="000000"/>
              <w:left w:val="single" w:sz="4" w:space="0" w:color="000000"/>
              <w:bottom w:val="single" w:sz="4" w:space="0" w:color="000000"/>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127"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Абс. число</w:t>
            </w:r>
          </w:p>
        </w:tc>
        <w:tc>
          <w:tcPr>
            <w:tcW w:w="968"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967"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Абс. число</w:t>
            </w:r>
          </w:p>
        </w:tc>
        <w:tc>
          <w:tcPr>
            <w:tcW w:w="967"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r>
      <w:tr w:rsidR="00630798" w:rsidRPr="00A47BC3" w:rsidTr="00630798">
        <w:trPr>
          <w:trHeight w:val="339"/>
        </w:trPr>
        <w:tc>
          <w:tcPr>
            <w:tcW w:w="3688" w:type="dxa"/>
            <w:tcBorders>
              <w:top w:val="single" w:sz="4" w:space="0" w:color="000000"/>
              <w:left w:val="single" w:sz="4" w:space="0" w:color="000000"/>
              <w:bottom w:val="single" w:sz="4" w:space="0" w:color="000000"/>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Промышленность</w:t>
            </w:r>
          </w:p>
        </w:tc>
        <w:tc>
          <w:tcPr>
            <w:tcW w:w="966"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3</w:t>
            </w:r>
          </w:p>
        </w:tc>
        <w:tc>
          <w:tcPr>
            <w:tcW w:w="806"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100</w:t>
            </w:r>
          </w:p>
        </w:tc>
        <w:tc>
          <w:tcPr>
            <w:tcW w:w="1127"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2</w:t>
            </w:r>
          </w:p>
        </w:tc>
        <w:tc>
          <w:tcPr>
            <w:tcW w:w="968"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28,6</w:t>
            </w:r>
          </w:p>
        </w:tc>
        <w:tc>
          <w:tcPr>
            <w:tcW w:w="967"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3</w:t>
            </w:r>
          </w:p>
        </w:tc>
        <w:tc>
          <w:tcPr>
            <w:tcW w:w="967"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100</w:t>
            </w:r>
          </w:p>
        </w:tc>
      </w:tr>
      <w:tr w:rsidR="00630798" w:rsidRPr="00A47BC3" w:rsidTr="00630798">
        <w:trPr>
          <w:trHeight w:val="61"/>
        </w:trPr>
        <w:tc>
          <w:tcPr>
            <w:tcW w:w="3688" w:type="dxa"/>
            <w:tcBorders>
              <w:top w:val="single" w:sz="4" w:space="0" w:color="000000"/>
              <w:left w:val="single" w:sz="4" w:space="0" w:color="000000"/>
              <w:bottom w:val="single" w:sz="4" w:space="0" w:color="000000"/>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Транспорт</w:t>
            </w:r>
          </w:p>
        </w:tc>
        <w:tc>
          <w:tcPr>
            <w:tcW w:w="966"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806"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1127"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968"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967"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967"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r>
      <w:tr w:rsidR="00630798" w:rsidRPr="00A47BC3" w:rsidTr="00630798">
        <w:trPr>
          <w:trHeight w:val="281"/>
        </w:trPr>
        <w:tc>
          <w:tcPr>
            <w:tcW w:w="3688" w:type="dxa"/>
            <w:tcBorders>
              <w:top w:val="single" w:sz="4" w:space="0" w:color="000000"/>
              <w:left w:val="single" w:sz="4" w:space="0" w:color="000000"/>
              <w:bottom w:val="single" w:sz="4" w:space="0" w:color="000000"/>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Строительство</w:t>
            </w:r>
          </w:p>
        </w:tc>
        <w:tc>
          <w:tcPr>
            <w:tcW w:w="966"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806"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1127"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968"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967"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967"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r>
      <w:tr w:rsidR="00630798" w:rsidRPr="00A47BC3" w:rsidTr="00630798">
        <w:trPr>
          <w:trHeight w:val="285"/>
        </w:trPr>
        <w:tc>
          <w:tcPr>
            <w:tcW w:w="3688" w:type="dxa"/>
            <w:tcBorders>
              <w:top w:val="single" w:sz="4" w:space="0" w:color="000000"/>
              <w:left w:val="single" w:sz="4" w:space="0" w:color="000000"/>
              <w:bottom w:val="single" w:sz="4" w:space="0" w:color="000000"/>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Торговля</w:t>
            </w:r>
          </w:p>
        </w:tc>
        <w:tc>
          <w:tcPr>
            <w:tcW w:w="966"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806"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1127"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2</w:t>
            </w:r>
          </w:p>
        </w:tc>
        <w:tc>
          <w:tcPr>
            <w:tcW w:w="968"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28,6</w:t>
            </w:r>
          </w:p>
        </w:tc>
        <w:tc>
          <w:tcPr>
            <w:tcW w:w="967"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967"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r>
      <w:tr w:rsidR="00630798" w:rsidRPr="00A47BC3" w:rsidTr="00630798">
        <w:trPr>
          <w:trHeight w:val="249"/>
        </w:trPr>
        <w:tc>
          <w:tcPr>
            <w:tcW w:w="3688" w:type="dxa"/>
            <w:tcBorders>
              <w:top w:val="single" w:sz="4" w:space="0" w:color="000000"/>
              <w:left w:val="single" w:sz="4" w:space="0" w:color="000000"/>
              <w:bottom w:val="single" w:sz="4" w:space="0" w:color="000000"/>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Бытовое обслуживание</w:t>
            </w:r>
          </w:p>
        </w:tc>
        <w:tc>
          <w:tcPr>
            <w:tcW w:w="966"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806"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1127"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968"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967"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967"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r>
      <w:tr w:rsidR="00630798" w:rsidRPr="00A47BC3" w:rsidTr="00630798">
        <w:trPr>
          <w:trHeight w:val="321"/>
        </w:trPr>
        <w:tc>
          <w:tcPr>
            <w:tcW w:w="3688" w:type="dxa"/>
            <w:tcBorders>
              <w:top w:val="single" w:sz="4" w:space="0" w:color="000000"/>
              <w:left w:val="single" w:sz="4" w:space="0" w:color="000000"/>
              <w:bottom w:val="single" w:sz="4" w:space="0" w:color="000000"/>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Здравоохранение и соц.обслуж.</w:t>
            </w:r>
          </w:p>
        </w:tc>
        <w:tc>
          <w:tcPr>
            <w:tcW w:w="966"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806"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1127"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968"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967"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967"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r>
      <w:tr w:rsidR="00630798" w:rsidRPr="00A47BC3" w:rsidTr="00630798">
        <w:trPr>
          <w:trHeight w:val="269"/>
        </w:trPr>
        <w:tc>
          <w:tcPr>
            <w:tcW w:w="3688" w:type="dxa"/>
            <w:tcBorders>
              <w:top w:val="single" w:sz="4" w:space="0" w:color="000000"/>
              <w:left w:val="single" w:sz="4" w:space="0" w:color="000000"/>
              <w:bottom w:val="single" w:sz="4" w:space="0" w:color="000000"/>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Народное образование</w:t>
            </w:r>
          </w:p>
        </w:tc>
        <w:tc>
          <w:tcPr>
            <w:tcW w:w="966"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806"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1127"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968"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967"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967"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r>
      <w:tr w:rsidR="00630798" w:rsidRPr="00A47BC3" w:rsidTr="00630798">
        <w:trPr>
          <w:trHeight w:val="292"/>
        </w:trPr>
        <w:tc>
          <w:tcPr>
            <w:tcW w:w="3688" w:type="dxa"/>
            <w:tcBorders>
              <w:top w:val="single" w:sz="4" w:space="0" w:color="000000"/>
              <w:left w:val="single" w:sz="4" w:space="0" w:color="000000"/>
              <w:bottom w:val="single" w:sz="4" w:space="0" w:color="000000"/>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Учащиеся и студенты</w:t>
            </w:r>
          </w:p>
        </w:tc>
        <w:tc>
          <w:tcPr>
            <w:tcW w:w="966"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806"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1127"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968"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967"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967"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r>
      <w:tr w:rsidR="00630798" w:rsidRPr="00A47BC3" w:rsidTr="00630798">
        <w:trPr>
          <w:trHeight w:val="283"/>
        </w:trPr>
        <w:tc>
          <w:tcPr>
            <w:tcW w:w="3688" w:type="dxa"/>
            <w:tcBorders>
              <w:top w:val="single" w:sz="4" w:space="0" w:color="000000"/>
              <w:left w:val="single" w:sz="4" w:space="0" w:color="000000"/>
              <w:bottom w:val="single" w:sz="4" w:space="0" w:color="000000"/>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Неработающие население</w:t>
            </w:r>
          </w:p>
        </w:tc>
        <w:tc>
          <w:tcPr>
            <w:tcW w:w="966"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806"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w:t>
            </w:r>
          </w:p>
        </w:tc>
        <w:tc>
          <w:tcPr>
            <w:tcW w:w="1127" w:type="dxa"/>
            <w:tcBorders>
              <w:top w:val="single" w:sz="4" w:space="0" w:color="000000"/>
              <w:left w:val="single" w:sz="4" w:space="0" w:color="000000"/>
              <w:bottom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3</w:t>
            </w:r>
          </w:p>
        </w:tc>
        <w:tc>
          <w:tcPr>
            <w:tcW w:w="968"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highlight w:val="yellow"/>
                <w:lang w:val="ru-RU" w:eastAsia="ru-RU"/>
              </w:rPr>
            </w:pPr>
            <w:r w:rsidRPr="00A47BC3">
              <w:rPr>
                <w:sz w:val="22"/>
                <w:szCs w:val="22"/>
              </w:rPr>
              <w:t>42,8</w:t>
            </w:r>
          </w:p>
        </w:tc>
        <w:tc>
          <w:tcPr>
            <w:tcW w:w="967"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967" w:type="dxa"/>
            <w:tcBorders>
              <w:top w:val="single" w:sz="4" w:space="0" w:color="000000"/>
              <w:left w:val="single" w:sz="4" w:space="0" w:color="000000"/>
              <w:bottom w:val="single" w:sz="4" w:space="0" w:color="000000"/>
              <w:right w:val="single" w:sz="4" w:space="0" w:color="000000"/>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r>
    </w:tbl>
    <w:p w:rsidR="00630798" w:rsidRPr="00A47BC3" w:rsidRDefault="00630798" w:rsidP="00A47BC3">
      <w:pPr>
        <w:pStyle w:val="a5"/>
        <w:ind w:firstLine="709"/>
        <w:jc w:val="both"/>
        <w:rPr>
          <w:sz w:val="24"/>
          <w:lang w:val="ru-RU"/>
        </w:rPr>
      </w:pPr>
      <w:r w:rsidRPr="00A47BC3">
        <w:rPr>
          <w:sz w:val="24"/>
        </w:rPr>
        <w:t xml:space="preserve">На протяжении </w:t>
      </w:r>
      <w:r w:rsidRPr="00A47BC3">
        <w:rPr>
          <w:sz w:val="24"/>
          <w:lang w:val="ru-RU"/>
        </w:rPr>
        <w:t>трех</w:t>
      </w:r>
      <w:r w:rsidRPr="00A47BC3">
        <w:rPr>
          <w:sz w:val="24"/>
        </w:rPr>
        <w:t xml:space="preserve"> лет лидирующие позиции среди заболевших – лица,  занятые в промышленном производстве, что соответствует индустриальной направленности региона.</w:t>
      </w:r>
    </w:p>
    <w:p w:rsidR="00630798" w:rsidRPr="00A47BC3" w:rsidRDefault="00630798" w:rsidP="00A47BC3">
      <w:pPr>
        <w:pStyle w:val="a5"/>
        <w:ind w:right="-144" w:firstLine="709"/>
        <w:jc w:val="right"/>
        <w:rPr>
          <w:sz w:val="22"/>
          <w:szCs w:val="22"/>
          <w:lang w:val="ru-RU"/>
        </w:rPr>
      </w:pPr>
    </w:p>
    <w:p w:rsidR="00630798" w:rsidRPr="00A47BC3" w:rsidRDefault="00630798" w:rsidP="00A47BC3">
      <w:pPr>
        <w:pStyle w:val="a5"/>
        <w:ind w:right="-2"/>
        <w:rPr>
          <w:sz w:val="22"/>
          <w:szCs w:val="22"/>
          <w:lang w:val="ru-RU"/>
        </w:rPr>
      </w:pPr>
      <w:r w:rsidRPr="00A47BC3">
        <w:rPr>
          <w:sz w:val="22"/>
          <w:szCs w:val="22"/>
          <w:lang w:val="ru-RU"/>
        </w:rPr>
        <w:t>В 2020г  на Д учете по г Пыть-Ях  состоит 35 человек заболевших, в том числе вторичный сифилис-5 чел, ранний скрытый-27 чел, ранний неуточненный- 3 чел ( таблтца № 27).</w:t>
      </w:r>
    </w:p>
    <w:p w:rsidR="00630798" w:rsidRPr="00A47BC3" w:rsidRDefault="00630798" w:rsidP="00A47BC3">
      <w:pPr>
        <w:pStyle w:val="a5"/>
        <w:ind w:right="-2"/>
        <w:rPr>
          <w:sz w:val="22"/>
          <w:szCs w:val="22"/>
          <w:lang w:val="ru-RU"/>
        </w:rPr>
      </w:pPr>
    </w:p>
    <w:p w:rsidR="00630798" w:rsidRPr="00A47BC3" w:rsidRDefault="00630798" w:rsidP="00A47BC3">
      <w:pPr>
        <w:pStyle w:val="a5"/>
        <w:ind w:right="-2"/>
        <w:jc w:val="right"/>
        <w:rPr>
          <w:sz w:val="22"/>
          <w:szCs w:val="22"/>
          <w:lang w:val="ru-RU"/>
        </w:rPr>
      </w:pPr>
      <w:r w:rsidRPr="00A47BC3">
        <w:rPr>
          <w:sz w:val="22"/>
          <w:szCs w:val="22"/>
          <w:lang w:val="ru-RU"/>
        </w:rPr>
        <w:t xml:space="preserve">Таблица № </w:t>
      </w:r>
      <w:r w:rsidRPr="00A47BC3">
        <w:rPr>
          <w:sz w:val="22"/>
          <w:szCs w:val="22"/>
        </w:rPr>
        <w:t>2</w:t>
      </w:r>
      <w:r w:rsidRPr="00A47BC3">
        <w:rPr>
          <w:sz w:val="22"/>
          <w:szCs w:val="22"/>
          <w:lang w:val="ru-RU"/>
        </w:rPr>
        <w:t>7</w:t>
      </w:r>
    </w:p>
    <w:p w:rsidR="00630798" w:rsidRPr="00A47BC3" w:rsidRDefault="00630798" w:rsidP="00A47BC3">
      <w:pPr>
        <w:pStyle w:val="a5"/>
        <w:ind w:right="-2"/>
        <w:rPr>
          <w:b/>
          <w:bCs/>
          <w:sz w:val="24"/>
          <w:szCs w:val="24"/>
          <w:lang w:val="ru-RU"/>
        </w:rPr>
      </w:pPr>
      <w:r w:rsidRPr="00A47BC3">
        <w:rPr>
          <w:b/>
          <w:bCs/>
          <w:sz w:val="22"/>
          <w:szCs w:val="22"/>
          <w:lang w:val="ru-RU"/>
        </w:rPr>
        <w:lastRenderedPageBreak/>
        <w:t xml:space="preserve">Количество лиц состоящих на диспансерном учете с </w:t>
      </w:r>
      <w:r w:rsidRPr="00A47BC3">
        <w:rPr>
          <w:b/>
          <w:bCs/>
          <w:sz w:val="22"/>
          <w:szCs w:val="22"/>
        </w:rPr>
        <w:t>Ds</w:t>
      </w:r>
      <w:r w:rsidRPr="00A47BC3">
        <w:rPr>
          <w:b/>
          <w:bCs/>
          <w:sz w:val="22"/>
          <w:szCs w:val="22"/>
          <w:lang w:val="ru-RU"/>
        </w:rPr>
        <w:t>: сифилис и имеющих серорезистеность</w:t>
      </w:r>
      <w:r w:rsidRPr="00A47BC3">
        <w:rPr>
          <w:b/>
          <w:bCs/>
          <w:sz w:val="24"/>
          <w:szCs w:val="24"/>
          <w:lang w:val="ru-RU"/>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1"/>
        <w:gridCol w:w="3405"/>
        <w:gridCol w:w="3246"/>
      </w:tblGrid>
      <w:tr w:rsidR="00630798" w:rsidRPr="00A47BC3" w:rsidTr="00630798">
        <w:trPr>
          <w:trHeight w:val="676"/>
        </w:trPr>
        <w:tc>
          <w:tcPr>
            <w:tcW w:w="4253" w:type="dxa"/>
          </w:tcPr>
          <w:p w:rsidR="00630798" w:rsidRPr="00A47BC3" w:rsidRDefault="00630798" w:rsidP="00A47BC3">
            <w:pPr>
              <w:spacing w:after="0" w:line="240" w:lineRule="auto"/>
              <w:rPr>
                <w:rFonts w:ascii="Times New Roman" w:hAnsi="Times New Roman" w:cs="Times New Roman"/>
                <w:szCs w:val="24"/>
              </w:rPr>
            </w:pPr>
            <w:r w:rsidRPr="00A47BC3">
              <w:rPr>
                <w:rFonts w:ascii="Times New Roman" w:hAnsi="Times New Roman" w:cs="Times New Roman"/>
                <w:szCs w:val="24"/>
              </w:rPr>
              <w:t xml:space="preserve">Диагноз </w:t>
            </w:r>
          </w:p>
        </w:tc>
        <w:tc>
          <w:tcPr>
            <w:tcW w:w="5600" w:type="dxa"/>
          </w:tcPr>
          <w:p w:rsidR="00630798" w:rsidRPr="00A47BC3" w:rsidRDefault="00630798" w:rsidP="00A47BC3">
            <w:pPr>
              <w:spacing w:after="0" w:line="240" w:lineRule="auto"/>
              <w:rPr>
                <w:rFonts w:ascii="Times New Roman" w:hAnsi="Times New Roman" w:cs="Times New Roman"/>
                <w:szCs w:val="24"/>
              </w:rPr>
            </w:pPr>
            <w:r w:rsidRPr="00A47BC3">
              <w:rPr>
                <w:rFonts w:ascii="Times New Roman" w:hAnsi="Times New Roman" w:cs="Times New Roman"/>
                <w:szCs w:val="24"/>
              </w:rPr>
              <w:t>Состоит на диспансерном учете всего (абс.число)</w:t>
            </w:r>
          </w:p>
        </w:tc>
        <w:tc>
          <w:tcPr>
            <w:tcW w:w="4889" w:type="dxa"/>
          </w:tcPr>
          <w:p w:rsidR="00630798" w:rsidRPr="00A47BC3" w:rsidRDefault="00630798" w:rsidP="00A47BC3">
            <w:pPr>
              <w:spacing w:after="0" w:line="240" w:lineRule="auto"/>
              <w:rPr>
                <w:rFonts w:ascii="Times New Roman" w:hAnsi="Times New Roman" w:cs="Times New Roman"/>
                <w:szCs w:val="24"/>
              </w:rPr>
            </w:pPr>
            <w:r w:rsidRPr="00A47BC3">
              <w:rPr>
                <w:rFonts w:ascii="Times New Roman" w:hAnsi="Times New Roman" w:cs="Times New Roman"/>
                <w:szCs w:val="24"/>
              </w:rPr>
              <w:t>Имеют серорезистеность из состоящих на учете (абс.число)</w:t>
            </w:r>
          </w:p>
        </w:tc>
      </w:tr>
      <w:tr w:rsidR="00630798" w:rsidRPr="00A47BC3" w:rsidTr="00630798">
        <w:tc>
          <w:tcPr>
            <w:tcW w:w="4253" w:type="dxa"/>
          </w:tcPr>
          <w:p w:rsidR="00630798" w:rsidRPr="00A47BC3" w:rsidRDefault="00630798" w:rsidP="00A47BC3">
            <w:pPr>
              <w:spacing w:after="0" w:line="240" w:lineRule="auto"/>
              <w:rPr>
                <w:rFonts w:ascii="Times New Roman" w:hAnsi="Times New Roman" w:cs="Times New Roman"/>
                <w:szCs w:val="24"/>
              </w:rPr>
            </w:pPr>
            <w:r w:rsidRPr="00A47BC3">
              <w:rPr>
                <w:rFonts w:ascii="Times New Roman" w:hAnsi="Times New Roman" w:cs="Times New Roman"/>
                <w:szCs w:val="24"/>
              </w:rPr>
              <w:t>Сифилис (все формы) всего</w:t>
            </w:r>
          </w:p>
        </w:tc>
        <w:tc>
          <w:tcPr>
            <w:tcW w:w="5600" w:type="dxa"/>
          </w:tcPr>
          <w:p w:rsidR="00630798" w:rsidRPr="00A47BC3" w:rsidRDefault="00630798" w:rsidP="00A47BC3">
            <w:pPr>
              <w:spacing w:after="0" w:line="240" w:lineRule="auto"/>
              <w:jc w:val="center"/>
              <w:rPr>
                <w:rFonts w:ascii="Times New Roman" w:hAnsi="Times New Roman" w:cs="Times New Roman"/>
                <w:szCs w:val="24"/>
              </w:rPr>
            </w:pPr>
            <w:r w:rsidRPr="00A47BC3">
              <w:rPr>
                <w:rFonts w:ascii="Times New Roman" w:hAnsi="Times New Roman" w:cs="Times New Roman"/>
                <w:szCs w:val="24"/>
              </w:rPr>
              <w:t>35</w:t>
            </w:r>
          </w:p>
        </w:tc>
        <w:tc>
          <w:tcPr>
            <w:tcW w:w="4889" w:type="dxa"/>
          </w:tcPr>
          <w:p w:rsidR="00630798" w:rsidRPr="00A47BC3" w:rsidRDefault="00630798" w:rsidP="00A47BC3">
            <w:pPr>
              <w:spacing w:after="0" w:line="240" w:lineRule="auto"/>
              <w:jc w:val="center"/>
              <w:rPr>
                <w:rFonts w:ascii="Times New Roman" w:hAnsi="Times New Roman" w:cs="Times New Roman"/>
                <w:szCs w:val="24"/>
              </w:rPr>
            </w:pPr>
            <w:r w:rsidRPr="00A47BC3">
              <w:rPr>
                <w:rFonts w:ascii="Times New Roman" w:hAnsi="Times New Roman" w:cs="Times New Roman"/>
                <w:szCs w:val="24"/>
              </w:rPr>
              <w:t>0</w:t>
            </w:r>
          </w:p>
        </w:tc>
      </w:tr>
      <w:tr w:rsidR="00630798" w:rsidRPr="00A47BC3" w:rsidTr="00630798">
        <w:tc>
          <w:tcPr>
            <w:tcW w:w="4253" w:type="dxa"/>
          </w:tcPr>
          <w:p w:rsidR="00630798" w:rsidRPr="00A47BC3" w:rsidRDefault="00630798" w:rsidP="00A47BC3">
            <w:pPr>
              <w:spacing w:after="0" w:line="240" w:lineRule="auto"/>
              <w:rPr>
                <w:rFonts w:ascii="Times New Roman" w:hAnsi="Times New Roman" w:cs="Times New Roman"/>
                <w:szCs w:val="24"/>
              </w:rPr>
            </w:pPr>
            <w:r w:rsidRPr="00A47BC3">
              <w:rPr>
                <w:rFonts w:ascii="Times New Roman" w:hAnsi="Times New Roman" w:cs="Times New Roman"/>
                <w:szCs w:val="24"/>
              </w:rPr>
              <w:t>Из них:  первичный</w:t>
            </w:r>
          </w:p>
        </w:tc>
        <w:tc>
          <w:tcPr>
            <w:tcW w:w="5600" w:type="dxa"/>
          </w:tcPr>
          <w:p w:rsidR="00630798" w:rsidRPr="00A47BC3" w:rsidRDefault="00630798" w:rsidP="00A47BC3">
            <w:pPr>
              <w:spacing w:after="0" w:line="240" w:lineRule="auto"/>
              <w:jc w:val="center"/>
              <w:rPr>
                <w:rFonts w:ascii="Times New Roman" w:hAnsi="Times New Roman" w:cs="Times New Roman"/>
                <w:szCs w:val="24"/>
              </w:rPr>
            </w:pPr>
            <w:r w:rsidRPr="00A47BC3">
              <w:rPr>
                <w:rFonts w:ascii="Times New Roman" w:hAnsi="Times New Roman" w:cs="Times New Roman"/>
                <w:szCs w:val="24"/>
              </w:rPr>
              <w:t>0</w:t>
            </w:r>
          </w:p>
        </w:tc>
        <w:tc>
          <w:tcPr>
            <w:tcW w:w="4889" w:type="dxa"/>
          </w:tcPr>
          <w:p w:rsidR="00630798" w:rsidRPr="00A47BC3" w:rsidRDefault="00630798" w:rsidP="00A47BC3">
            <w:pPr>
              <w:spacing w:after="0" w:line="240" w:lineRule="auto"/>
              <w:jc w:val="center"/>
              <w:rPr>
                <w:rFonts w:ascii="Times New Roman" w:hAnsi="Times New Roman" w:cs="Times New Roman"/>
                <w:szCs w:val="24"/>
              </w:rPr>
            </w:pPr>
            <w:r w:rsidRPr="00A47BC3">
              <w:rPr>
                <w:rFonts w:ascii="Times New Roman" w:hAnsi="Times New Roman" w:cs="Times New Roman"/>
                <w:szCs w:val="24"/>
              </w:rPr>
              <w:t>0</w:t>
            </w:r>
          </w:p>
        </w:tc>
      </w:tr>
      <w:tr w:rsidR="00630798" w:rsidRPr="00A47BC3" w:rsidTr="00630798">
        <w:tc>
          <w:tcPr>
            <w:tcW w:w="4253" w:type="dxa"/>
          </w:tcPr>
          <w:p w:rsidR="00630798" w:rsidRPr="00A47BC3" w:rsidRDefault="00630798" w:rsidP="00A47BC3">
            <w:pPr>
              <w:spacing w:after="0" w:line="240" w:lineRule="auto"/>
              <w:rPr>
                <w:rFonts w:ascii="Times New Roman" w:hAnsi="Times New Roman" w:cs="Times New Roman"/>
                <w:szCs w:val="24"/>
              </w:rPr>
            </w:pPr>
            <w:r w:rsidRPr="00A47BC3">
              <w:rPr>
                <w:rFonts w:ascii="Times New Roman" w:hAnsi="Times New Roman" w:cs="Times New Roman"/>
                <w:szCs w:val="24"/>
              </w:rPr>
              <w:t xml:space="preserve">              вторичный</w:t>
            </w:r>
          </w:p>
        </w:tc>
        <w:tc>
          <w:tcPr>
            <w:tcW w:w="5600" w:type="dxa"/>
          </w:tcPr>
          <w:p w:rsidR="00630798" w:rsidRPr="00A47BC3" w:rsidRDefault="00630798" w:rsidP="00A47BC3">
            <w:pPr>
              <w:spacing w:after="0" w:line="240" w:lineRule="auto"/>
              <w:jc w:val="center"/>
              <w:rPr>
                <w:rFonts w:ascii="Times New Roman" w:hAnsi="Times New Roman" w:cs="Times New Roman"/>
                <w:szCs w:val="24"/>
              </w:rPr>
            </w:pPr>
            <w:r w:rsidRPr="00A47BC3">
              <w:rPr>
                <w:rFonts w:ascii="Times New Roman" w:hAnsi="Times New Roman" w:cs="Times New Roman"/>
                <w:szCs w:val="24"/>
              </w:rPr>
              <w:t>5</w:t>
            </w:r>
          </w:p>
        </w:tc>
        <w:tc>
          <w:tcPr>
            <w:tcW w:w="4889" w:type="dxa"/>
          </w:tcPr>
          <w:p w:rsidR="00630798" w:rsidRPr="00A47BC3" w:rsidRDefault="00630798" w:rsidP="00A47BC3">
            <w:pPr>
              <w:spacing w:after="0" w:line="240" w:lineRule="auto"/>
              <w:jc w:val="center"/>
              <w:rPr>
                <w:rFonts w:ascii="Times New Roman" w:hAnsi="Times New Roman" w:cs="Times New Roman"/>
                <w:szCs w:val="24"/>
              </w:rPr>
            </w:pPr>
            <w:r w:rsidRPr="00A47BC3">
              <w:rPr>
                <w:rFonts w:ascii="Times New Roman" w:hAnsi="Times New Roman" w:cs="Times New Roman"/>
                <w:szCs w:val="24"/>
              </w:rPr>
              <w:t>0</w:t>
            </w:r>
          </w:p>
        </w:tc>
      </w:tr>
      <w:tr w:rsidR="00630798" w:rsidRPr="00A47BC3" w:rsidTr="00630798">
        <w:trPr>
          <w:trHeight w:val="130"/>
        </w:trPr>
        <w:tc>
          <w:tcPr>
            <w:tcW w:w="4253" w:type="dxa"/>
          </w:tcPr>
          <w:p w:rsidR="00630798" w:rsidRPr="00A47BC3" w:rsidRDefault="00630798" w:rsidP="00A47BC3">
            <w:pPr>
              <w:spacing w:after="0" w:line="240" w:lineRule="auto"/>
              <w:rPr>
                <w:rFonts w:ascii="Times New Roman" w:hAnsi="Times New Roman" w:cs="Times New Roman"/>
                <w:szCs w:val="24"/>
              </w:rPr>
            </w:pPr>
            <w:r w:rsidRPr="00A47BC3">
              <w:rPr>
                <w:rFonts w:ascii="Times New Roman" w:hAnsi="Times New Roman" w:cs="Times New Roman"/>
                <w:szCs w:val="24"/>
              </w:rPr>
              <w:t xml:space="preserve">              ранний скрытый</w:t>
            </w:r>
          </w:p>
        </w:tc>
        <w:tc>
          <w:tcPr>
            <w:tcW w:w="5600" w:type="dxa"/>
          </w:tcPr>
          <w:p w:rsidR="00630798" w:rsidRPr="00A47BC3" w:rsidRDefault="00630798" w:rsidP="00A47BC3">
            <w:pPr>
              <w:spacing w:after="0" w:line="240" w:lineRule="auto"/>
              <w:jc w:val="center"/>
              <w:rPr>
                <w:rFonts w:ascii="Times New Roman" w:hAnsi="Times New Roman" w:cs="Times New Roman"/>
                <w:szCs w:val="24"/>
              </w:rPr>
            </w:pPr>
            <w:r w:rsidRPr="00A47BC3">
              <w:rPr>
                <w:rFonts w:ascii="Times New Roman" w:hAnsi="Times New Roman" w:cs="Times New Roman"/>
                <w:szCs w:val="24"/>
              </w:rPr>
              <w:t>27</w:t>
            </w:r>
          </w:p>
        </w:tc>
        <w:tc>
          <w:tcPr>
            <w:tcW w:w="4889" w:type="dxa"/>
          </w:tcPr>
          <w:p w:rsidR="00630798" w:rsidRPr="00A47BC3" w:rsidRDefault="00630798" w:rsidP="00A47BC3">
            <w:pPr>
              <w:spacing w:after="0" w:line="240" w:lineRule="auto"/>
              <w:jc w:val="center"/>
              <w:rPr>
                <w:rFonts w:ascii="Times New Roman" w:hAnsi="Times New Roman" w:cs="Times New Roman"/>
                <w:szCs w:val="24"/>
              </w:rPr>
            </w:pPr>
            <w:r w:rsidRPr="00A47BC3">
              <w:rPr>
                <w:rFonts w:ascii="Times New Roman" w:hAnsi="Times New Roman" w:cs="Times New Roman"/>
                <w:szCs w:val="24"/>
              </w:rPr>
              <w:t>0</w:t>
            </w:r>
          </w:p>
        </w:tc>
      </w:tr>
      <w:tr w:rsidR="00630798" w:rsidRPr="00A47BC3" w:rsidTr="00630798">
        <w:tc>
          <w:tcPr>
            <w:tcW w:w="4253" w:type="dxa"/>
          </w:tcPr>
          <w:p w:rsidR="00630798" w:rsidRPr="00A47BC3" w:rsidRDefault="00630798" w:rsidP="00A47BC3">
            <w:pPr>
              <w:spacing w:after="0" w:line="240" w:lineRule="auto"/>
              <w:rPr>
                <w:rFonts w:ascii="Times New Roman" w:hAnsi="Times New Roman" w:cs="Times New Roman"/>
                <w:szCs w:val="24"/>
              </w:rPr>
            </w:pPr>
            <w:r w:rsidRPr="00A47BC3">
              <w:rPr>
                <w:rFonts w:ascii="Times New Roman" w:hAnsi="Times New Roman" w:cs="Times New Roman"/>
                <w:szCs w:val="24"/>
              </w:rPr>
              <w:t xml:space="preserve">     ранний неуточненный</w:t>
            </w:r>
          </w:p>
        </w:tc>
        <w:tc>
          <w:tcPr>
            <w:tcW w:w="5600" w:type="dxa"/>
          </w:tcPr>
          <w:p w:rsidR="00630798" w:rsidRPr="00A47BC3" w:rsidRDefault="00630798" w:rsidP="00A47BC3">
            <w:pPr>
              <w:spacing w:after="0" w:line="240" w:lineRule="auto"/>
              <w:jc w:val="center"/>
              <w:rPr>
                <w:rFonts w:ascii="Times New Roman" w:hAnsi="Times New Roman" w:cs="Times New Roman"/>
                <w:szCs w:val="24"/>
              </w:rPr>
            </w:pPr>
            <w:r w:rsidRPr="00A47BC3">
              <w:rPr>
                <w:rFonts w:ascii="Times New Roman" w:hAnsi="Times New Roman" w:cs="Times New Roman"/>
                <w:szCs w:val="24"/>
              </w:rPr>
              <w:t>3</w:t>
            </w:r>
          </w:p>
        </w:tc>
        <w:tc>
          <w:tcPr>
            <w:tcW w:w="4889" w:type="dxa"/>
          </w:tcPr>
          <w:p w:rsidR="00630798" w:rsidRPr="00A47BC3" w:rsidRDefault="00630798" w:rsidP="00A47BC3">
            <w:pPr>
              <w:spacing w:after="0" w:line="240" w:lineRule="auto"/>
              <w:jc w:val="center"/>
              <w:rPr>
                <w:rFonts w:ascii="Times New Roman" w:hAnsi="Times New Roman" w:cs="Times New Roman"/>
                <w:szCs w:val="24"/>
              </w:rPr>
            </w:pPr>
            <w:r w:rsidRPr="00A47BC3">
              <w:rPr>
                <w:rFonts w:ascii="Times New Roman" w:hAnsi="Times New Roman" w:cs="Times New Roman"/>
                <w:szCs w:val="24"/>
              </w:rPr>
              <w:t>0</w:t>
            </w:r>
          </w:p>
        </w:tc>
      </w:tr>
    </w:tbl>
    <w:p w:rsidR="00630798" w:rsidRPr="00A47BC3" w:rsidRDefault="00630798" w:rsidP="00A47BC3">
      <w:pPr>
        <w:pStyle w:val="a5"/>
        <w:ind w:right="-144" w:firstLine="709"/>
        <w:jc w:val="both"/>
        <w:rPr>
          <w:sz w:val="24"/>
          <w:szCs w:val="24"/>
        </w:rPr>
      </w:pPr>
      <w:r w:rsidRPr="00A47BC3">
        <w:rPr>
          <w:sz w:val="24"/>
          <w:szCs w:val="24"/>
        </w:rPr>
        <w:t>За последние 3 года повысилась активность выявления сифилиса в результате работы всех учреждений города, направленных на раннее выявление данной инфекции благодаря повышенной настороженности со стороны медицинских работников к данной инфекции, своевременное применение диагностических лабораторных методов обследования обратившихся за мед. помощью, улучшению качества дифференциальной диагностики.</w:t>
      </w:r>
    </w:p>
    <w:p w:rsidR="00630798" w:rsidRPr="00A47BC3" w:rsidRDefault="00630798" w:rsidP="00A47BC3">
      <w:pPr>
        <w:pStyle w:val="a5"/>
        <w:ind w:right="-144" w:firstLine="709"/>
        <w:rPr>
          <w:b/>
          <w:sz w:val="24"/>
          <w:szCs w:val="24"/>
          <w:lang w:val="ru-RU"/>
        </w:rPr>
      </w:pPr>
    </w:p>
    <w:p w:rsidR="00630798" w:rsidRPr="00A47BC3" w:rsidRDefault="00630798" w:rsidP="00A47BC3">
      <w:pPr>
        <w:pStyle w:val="a5"/>
        <w:ind w:right="-144" w:firstLine="709"/>
        <w:rPr>
          <w:b/>
          <w:sz w:val="24"/>
          <w:szCs w:val="24"/>
          <w:lang w:val="ru-RU"/>
        </w:rPr>
      </w:pPr>
      <w:r w:rsidRPr="00A47BC3">
        <w:rPr>
          <w:b/>
          <w:sz w:val="24"/>
          <w:szCs w:val="24"/>
          <w:lang w:val="ru-RU"/>
        </w:rPr>
        <w:t>Гонококковая инфекция</w:t>
      </w:r>
    </w:p>
    <w:p w:rsidR="00630798" w:rsidRPr="00A47BC3" w:rsidRDefault="00630798" w:rsidP="00A47BC3">
      <w:pPr>
        <w:pStyle w:val="a5"/>
        <w:ind w:right="-144" w:firstLine="709"/>
        <w:jc w:val="both"/>
        <w:rPr>
          <w:sz w:val="24"/>
          <w:szCs w:val="24"/>
          <w:lang w:val="ru-RU"/>
        </w:rPr>
      </w:pPr>
    </w:p>
    <w:p w:rsidR="00630798" w:rsidRPr="00A47BC3" w:rsidRDefault="00630798" w:rsidP="00A47BC3">
      <w:pPr>
        <w:pStyle w:val="a5"/>
        <w:ind w:right="-144" w:firstLine="709"/>
        <w:jc w:val="both"/>
        <w:rPr>
          <w:sz w:val="24"/>
          <w:szCs w:val="24"/>
          <w:lang w:val="ru-RU"/>
        </w:rPr>
      </w:pPr>
      <w:r w:rsidRPr="00A47BC3">
        <w:rPr>
          <w:sz w:val="24"/>
          <w:szCs w:val="24"/>
          <w:lang w:val="ru-RU"/>
        </w:rPr>
        <w:t>В 2020году по г. Пыть-Ях наблюдается рост заболеваемости гонококковой инфекции на 71%, интенсивный показатель составил 12,5, что выше окружных показателей на 131%( ( 5,40)  . В 2018 г. случаев заболеваемости гонококковой инфекции не зарегистрировано.</w:t>
      </w:r>
      <w:r w:rsidRPr="00A47BC3">
        <w:rPr>
          <w:sz w:val="24"/>
          <w:szCs w:val="24"/>
        </w:rPr>
        <w:t xml:space="preserve"> </w:t>
      </w:r>
      <w:r w:rsidRPr="00A47BC3">
        <w:rPr>
          <w:sz w:val="24"/>
          <w:szCs w:val="24"/>
          <w:lang w:val="ru-RU"/>
        </w:rPr>
        <w:t>В 2020 году зарегистрировано5 случаев,  в 2019г  3 случая гонококковой инфекции,.</w:t>
      </w:r>
    </w:p>
    <w:p w:rsidR="00630798" w:rsidRPr="00A47BC3" w:rsidRDefault="00630798" w:rsidP="00A47BC3">
      <w:pPr>
        <w:pStyle w:val="a5"/>
        <w:ind w:right="-144" w:firstLine="709"/>
        <w:jc w:val="both"/>
        <w:rPr>
          <w:sz w:val="24"/>
          <w:szCs w:val="24"/>
        </w:rPr>
      </w:pPr>
      <w:r w:rsidRPr="00A47BC3">
        <w:rPr>
          <w:sz w:val="24"/>
          <w:szCs w:val="24"/>
        </w:rPr>
        <w:t xml:space="preserve">Особенностью гонорейной инфекции в наши дни является скудность клинических и субъективных расстройств, что способствует хронизации процесса. </w:t>
      </w:r>
    </w:p>
    <w:p w:rsidR="00630798" w:rsidRPr="00A47BC3" w:rsidRDefault="00630798" w:rsidP="00A47BC3">
      <w:pPr>
        <w:pStyle w:val="a5"/>
        <w:ind w:right="-144" w:firstLine="709"/>
        <w:jc w:val="both"/>
        <w:rPr>
          <w:sz w:val="24"/>
          <w:szCs w:val="24"/>
        </w:rPr>
      </w:pPr>
    </w:p>
    <w:p w:rsidR="00630798" w:rsidRPr="00A47BC3" w:rsidRDefault="00630798" w:rsidP="00A47BC3">
      <w:pPr>
        <w:pStyle w:val="a5"/>
        <w:jc w:val="right"/>
        <w:rPr>
          <w:sz w:val="22"/>
          <w:szCs w:val="22"/>
          <w:lang w:val="ru-RU"/>
        </w:rPr>
      </w:pPr>
      <w:r w:rsidRPr="00A47BC3">
        <w:rPr>
          <w:sz w:val="22"/>
          <w:szCs w:val="22"/>
        </w:rPr>
        <w:t>Таблица № 2</w:t>
      </w:r>
      <w:r w:rsidRPr="00A47BC3">
        <w:rPr>
          <w:sz w:val="22"/>
          <w:szCs w:val="22"/>
          <w:lang w:val="ru-RU"/>
        </w:rPr>
        <w:t>8</w:t>
      </w:r>
    </w:p>
    <w:p w:rsidR="00630798" w:rsidRPr="00A47BC3" w:rsidRDefault="00630798" w:rsidP="00A47BC3">
      <w:pPr>
        <w:pStyle w:val="a5"/>
        <w:ind w:right="-2"/>
        <w:rPr>
          <w:b/>
          <w:sz w:val="22"/>
          <w:szCs w:val="22"/>
          <w:lang w:val="ru-RU"/>
        </w:rPr>
      </w:pPr>
      <w:r w:rsidRPr="00A47BC3">
        <w:rPr>
          <w:b/>
          <w:sz w:val="22"/>
          <w:szCs w:val="22"/>
        </w:rPr>
        <w:t xml:space="preserve">Распределение больных </w:t>
      </w:r>
      <w:r w:rsidRPr="00A47BC3">
        <w:rPr>
          <w:b/>
          <w:sz w:val="22"/>
          <w:szCs w:val="22"/>
          <w:lang w:val="ru-RU"/>
        </w:rPr>
        <w:t>гонореей</w:t>
      </w:r>
      <w:r w:rsidRPr="00A47BC3">
        <w:rPr>
          <w:b/>
          <w:sz w:val="22"/>
          <w:szCs w:val="22"/>
        </w:rPr>
        <w:t xml:space="preserve"> по </w:t>
      </w:r>
      <w:r w:rsidRPr="00A47BC3">
        <w:rPr>
          <w:b/>
          <w:sz w:val="22"/>
          <w:szCs w:val="22"/>
          <w:lang w:val="ru-RU"/>
        </w:rPr>
        <w:t>семейному положению, образованию.</w:t>
      </w:r>
    </w:p>
    <w:p w:rsidR="00630798" w:rsidRPr="00A47BC3" w:rsidRDefault="00630798" w:rsidP="00A47BC3">
      <w:pPr>
        <w:pStyle w:val="a5"/>
        <w:ind w:right="-2"/>
        <w:rPr>
          <w:b/>
          <w:sz w:val="22"/>
          <w:szCs w:val="22"/>
          <w:lang w:val="ru-RU"/>
        </w:rPr>
      </w:pPr>
    </w:p>
    <w:tbl>
      <w:tblPr>
        <w:tblW w:w="147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2835"/>
        <w:gridCol w:w="2268"/>
        <w:gridCol w:w="2693"/>
        <w:gridCol w:w="2748"/>
        <w:gridCol w:w="2708"/>
      </w:tblGrid>
      <w:tr w:rsidR="00630798" w:rsidRPr="00A47BC3" w:rsidTr="00630798">
        <w:tc>
          <w:tcPr>
            <w:tcW w:w="4325" w:type="dxa"/>
            <w:gridSpan w:val="2"/>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по семейному положению</w:t>
            </w:r>
          </w:p>
        </w:tc>
        <w:tc>
          <w:tcPr>
            <w:tcW w:w="4961" w:type="dxa"/>
            <w:gridSpan w:val="2"/>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образованию</w:t>
            </w:r>
          </w:p>
        </w:tc>
        <w:tc>
          <w:tcPr>
            <w:tcW w:w="5456" w:type="dxa"/>
            <w:gridSpan w:val="2"/>
            <w:tcBorders>
              <w:top w:val="nil"/>
              <w:bottom w:val="nil"/>
            </w:tcBorders>
          </w:tcPr>
          <w:p w:rsidR="00630798" w:rsidRPr="00A47BC3" w:rsidRDefault="00630798" w:rsidP="00A47BC3">
            <w:pPr>
              <w:spacing w:after="0" w:line="240" w:lineRule="auto"/>
              <w:rPr>
                <w:rFonts w:ascii="Times New Roman" w:hAnsi="Times New Roman" w:cs="Times New Roman"/>
                <w:szCs w:val="24"/>
              </w:rPr>
            </w:pPr>
          </w:p>
        </w:tc>
      </w:tr>
      <w:tr w:rsidR="00630798" w:rsidRPr="00A47BC3" w:rsidTr="00630798">
        <w:tc>
          <w:tcPr>
            <w:tcW w:w="1490" w:type="dxa"/>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в браке</w:t>
            </w:r>
          </w:p>
        </w:tc>
        <w:tc>
          <w:tcPr>
            <w:tcW w:w="2835"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2268" w:type="dxa"/>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высшее</w:t>
            </w:r>
          </w:p>
        </w:tc>
        <w:tc>
          <w:tcPr>
            <w:tcW w:w="2693" w:type="dxa"/>
          </w:tcPr>
          <w:p w:rsidR="00630798" w:rsidRPr="00A47BC3" w:rsidRDefault="00630798" w:rsidP="00A47BC3">
            <w:pPr>
              <w:spacing w:after="0" w:line="240" w:lineRule="auto"/>
              <w:jc w:val="center"/>
              <w:rPr>
                <w:rFonts w:ascii="Times New Roman" w:hAnsi="Times New Roman" w:cs="Times New Roman"/>
                <w:szCs w:val="24"/>
              </w:rPr>
            </w:pPr>
            <w:r w:rsidRPr="00A47BC3">
              <w:rPr>
                <w:rFonts w:ascii="Times New Roman" w:hAnsi="Times New Roman" w:cs="Times New Roman"/>
                <w:szCs w:val="24"/>
              </w:rPr>
              <w:t>1</w:t>
            </w:r>
          </w:p>
        </w:tc>
        <w:tc>
          <w:tcPr>
            <w:tcW w:w="2748" w:type="dxa"/>
            <w:vMerge w:val="restart"/>
            <w:tcBorders>
              <w:top w:val="nil"/>
              <w:bottom w:val="nil"/>
            </w:tcBorders>
          </w:tcPr>
          <w:p w:rsidR="00630798" w:rsidRPr="00A47BC3" w:rsidRDefault="00630798" w:rsidP="00A47BC3">
            <w:pPr>
              <w:spacing w:after="0" w:line="240" w:lineRule="auto"/>
              <w:jc w:val="center"/>
              <w:rPr>
                <w:rFonts w:ascii="Times New Roman" w:hAnsi="Times New Roman" w:cs="Times New Roman"/>
                <w:szCs w:val="24"/>
              </w:rPr>
            </w:pPr>
          </w:p>
        </w:tc>
        <w:tc>
          <w:tcPr>
            <w:tcW w:w="2708" w:type="dxa"/>
          </w:tcPr>
          <w:p w:rsidR="00630798" w:rsidRPr="00A47BC3" w:rsidRDefault="00630798" w:rsidP="00A47BC3">
            <w:pPr>
              <w:spacing w:after="0" w:line="240" w:lineRule="auto"/>
              <w:jc w:val="center"/>
              <w:rPr>
                <w:rFonts w:ascii="Times New Roman" w:hAnsi="Times New Roman" w:cs="Times New Roman"/>
                <w:szCs w:val="24"/>
              </w:rPr>
            </w:pPr>
            <w:r w:rsidRPr="00A47BC3">
              <w:rPr>
                <w:rFonts w:ascii="Times New Roman" w:hAnsi="Times New Roman" w:cs="Times New Roman"/>
                <w:szCs w:val="24"/>
              </w:rPr>
              <w:t>2</w:t>
            </w:r>
          </w:p>
        </w:tc>
      </w:tr>
      <w:tr w:rsidR="00630798" w:rsidRPr="00A47BC3" w:rsidTr="00630798">
        <w:tc>
          <w:tcPr>
            <w:tcW w:w="1490" w:type="dxa"/>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не в браке</w:t>
            </w:r>
          </w:p>
        </w:tc>
        <w:tc>
          <w:tcPr>
            <w:tcW w:w="2835"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5</w:t>
            </w:r>
          </w:p>
        </w:tc>
        <w:tc>
          <w:tcPr>
            <w:tcW w:w="2268" w:type="dxa"/>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сред. техническое</w:t>
            </w:r>
          </w:p>
        </w:tc>
        <w:tc>
          <w:tcPr>
            <w:tcW w:w="2693" w:type="dxa"/>
          </w:tcPr>
          <w:p w:rsidR="00630798" w:rsidRPr="00A47BC3" w:rsidRDefault="00630798" w:rsidP="00A47BC3">
            <w:pPr>
              <w:spacing w:after="0" w:line="240" w:lineRule="auto"/>
              <w:jc w:val="center"/>
              <w:rPr>
                <w:rFonts w:ascii="Times New Roman" w:hAnsi="Times New Roman" w:cs="Times New Roman"/>
                <w:szCs w:val="24"/>
              </w:rPr>
            </w:pPr>
            <w:r w:rsidRPr="00A47BC3">
              <w:rPr>
                <w:rFonts w:ascii="Times New Roman" w:hAnsi="Times New Roman" w:cs="Times New Roman"/>
                <w:szCs w:val="24"/>
              </w:rPr>
              <w:t>3</w:t>
            </w:r>
          </w:p>
        </w:tc>
        <w:tc>
          <w:tcPr>
            <w:tcW w:w="2748" w:type="dxa"/>
            <w:vMerge/>
            <w:tcBorders>
              <w:top w:val="nil"/>
              <w:bottom w:val="nil"/>
            </w:tcBorders>
          </w:tcPr>
          <w:p w:rsidR="00630798" w:rsidRPr="00A47BC3" w:rsidRDefault="00630798" w:rsidP="00A47BC3">
            <w:pPr>
              <w:spacing w:after="0" w:line="240" w:lineRule="auto"/>
              <w:rPr>
                <w:rFonts w:ascii="Times New Roman" w:hAnsi="Times New Roman" w:cs="Times New Roman"/>
                <w:szCs w:val="24"/>
              </w:rPr>
            </w:pPr>
          </w:p>
        </w:tc>
        <w:tc>
          <w:tcPr>
            <w:tcW w:w="2708" w:type="dxa"/>
          </w:tcPr>
          <w:p w:rsidR="00630798" w:rsidRPr="00A47BC3" w:rsidRDefault="00630798" w:rsidP="00A47BC3">
            <w:pPr>
              <w:spacing w:after="0" w:line="240" w:lineRule="auto"/>
              <w:jc w:val="center"/>
              <w:rPr>
                <w:rFonts w:ascii="Times New Roman" w:hAnsi="Times New Roman" w:cs="Times New Roman"/>
                <w:szCs w:val="24"/>
              </w:rPr>
            </w:pPr>
            <w:r w:rsidRPr="00A47BC3">
              <w:rPr>
                <w:rFonts w:ascii="Times New Roman" w:hAnsi="Times New Roman" w:cs="Times New Roman"/>
                <w:szCs w:val="24"/>
              </w:rPr>
              <w:t>3</w:t>
            </w:r>
          </w:p>
        </w:tc>
      </w:tr>
      <w:tr w:rsidR="00630798" w:rsidRPr="00A47BC3" w:rsidTr="00630798">
        <w:tc>
          <w:tcPr>
            <w:tcW w:w="1490" w:type="dxa"/>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дети 0-14</w:t>
            </w:r>
          </w:p>
        </w:tc>
        <w:tc>
          <w:tcPr>
            <w:tcW w:w="2835"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2268" w:type="dxa"/>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среднее</w:t>
            </w:r>
          </w:p>
        </w:tc>
        <w:tc>
          <w:tcPr>
            <w:tcW w:w="2693" w:type="dxa"/>
          </w:tcPr>
          <w:p w:rsidR="00630798" w:rsidRPr="00A47BC3" w:rsidRDefault="00630798" w:rsidP="00A47BC3">
            <w:pPr>
              <w:spacing w:after="0" w:line="240" w:lineRule="auto"/>
              <w:jc w:val="center"/>
              <w:rPr>
                <w:rFonts w:ascii="Times New Roman" w:hAnsi="Times New Roman" w:cs="Times New Roman"/>
                <w:szCs w:val="24"/>
              </w:rPr>
            </w:pPr>
            <w:r w:rsidRPr="00A47BC3">
              <w:rPr>
                <w:rFonts w:ascii="Times New Roman" w:hAnsi="Times New Roman" w:cs="Times New Roman"/>
                <w:szCs w:val="24"/>
              </w:rPr>
              <w:t>1</w:t>
            </w:r>
          </w:p>
        </w:tc>
        <w:tc>
          <w:tcPr>
            <w:tcW w:w="2748" w:type="dxa"/>
            <w:vMerge/>
            <w:tcBorders>
              <w:top w:val="nil"/>
              <w:bottom w:val="nil"/>
            </w:tcBorders>
          </w:tcPr>
          <w:p w:rsidR="00630798" w:rsidRPr="00A47BC3" w:rsidRDefault="00630798" w:rsidP="00A47BC3">
            <w:pPr>
              <w:spacing w:after="0" w:line="240" w:lineRule="auto"/>
              <w:rPr>
                <w:rFonts w:ascii="Times New Roman" w:hAnsi="Times New Roman" w:cs="Times New Roman"/>
                <w:szCs w:val="24"/>
              </w:rPr>
            </w:pPr>
          </w:p>
        </w:tc>
        <w:tc>
          <w:tcPr>
            <w:tcW w:w="2708" w:type="dxa"/>
          </w:tcPr>
          <w:p w:rsidR="00630798" w:rsidRPr="00A47BC3" w:rsidRDefault="00630798" w:rsidP="00A47BC3">
            <w:pPr>
              <w:spacing w:after="0" w:line="240" w:lineRule="auto"/>
              <w:jc w:val="center"/>
              <w:rPr>
                <w:rFonts w:ascii="Times New Roman" w:hAnsi="Times New Roman" w:cs="Times New Roman"/>
                <w:szCs w:val="24"/>
              </w:rPr>
            </w:pPr>
            <w:r w:rsidRPr="00A47BC3">
              <w:rPr>
                <w:rFonts w:ascii="Times New Roman" w:hAnsi="Times New Roman" w:cs="Times New Roman"/>
                <w:szCs w:val="24"/>
              </w:rPr>
              <w:t>2</w:t>
            </w:r>
          </w:p>
        </w:tc>
      </w:tr>
      <w:tr w:rsidR="00630798" w:rsidRPr="00A47BC3" w:rsidTr="00630798">
        <w:tc>
          <w:tcPr>
            <w:tcW w:w="1490" w:type="dxa"/>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анонимно</w:t>
            </w:r>
          </w:p>
        </w:tc>
        <w:tc>
          <w:tcPr>
            <w:tcW w:w="2835"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2268" w:type="dxa"/>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не законченное. сред.</w:t>
            </w:r>
          </w:p>
        </w:tc>
        <w:tc>
          <w:tcPr>
            <w:tcW w:w="2693" w:type="dxa"/>
          </w:tcPr>
          <w:p w:rsidR="00630798" w:rsidRPr="00A47BC3" w:rsidRDefault="00630798" w:rsidP="00A47BC3">
            <w:pPr>
              <w:spacing w:after="0" w:line="240" w:lineRule="auto"/>
              <w:jc w:val="center"/>
              <w:rPr>
                <w:rFonts w:ascii="Times New Roman" w:hAnsi="Times New Roman" w:cs="Times New Roman"/>
              </w:rPr>
            </w:pPr>
          </w:p>
        </w:tc>
        <w:tc>
          <w:tcPr>
            <w:tcW w:w="2748" w:type="dxa"/>
            <w:vMerge/>
            <w:tcBorders>
              <w:top w:val="nil"/>
              <w:bottom w:val="nil"/>
            </w:tcBorders>
          </w:tcPr>
          <w:p w:rsidR="00630798" w:rsidRPr="00A47BC3" w:rsidRDefault="00630798" w:rsidP="00A47BC3">
            <w:pPr>
              <w:spacing w:after="0" w:line="240" w:lineRule="auto"/>
              <w:rPr>
                <w:rFonts w:ascii="Times New Roman" w:hAnsi="Times New Roman" w:cs="Times New Roman"/>
                <w:szCs w:val="24"/>
              </w:rPr>
            </w:pPr>
          </w:p>
        </w:tc>
        <w:tc>
          <w:tcPr>
            <w:tcW w:w="2708" w:type="dxa"/>
          </w:tcPr>
          <w:p w:rsidR="00630798" w:rsidRPr="00A47BC3" w:rsidRDefault="00630798" w:rsidP="00A47BC3">
            <w:pPr>
              <w:spacing w:after="0" w:line="240" w:lineRule="auto"/>
              <w:jc w:val="center"/>
              <w:rPr>
                <w:rFonts w:ascii="Times New Roman" w:hAnsi="Times New Roman" w:cs="Times New Roman"/>
                <w:szCs w:val="24"/>
              </w:rPr>
            </w:pPr>
          </w:p>
        </w:tc>
      </w:tr>
      <w:tr w:rsidR="00630798" w:rsidRPr="00A47BC3" w:rsidTr="00630798">
        <w:tc>
          <w:tcPr>
            <w:tcW w:w="1490" w:type="dxa"/>
          </w:tcPr>
          <w:p w:rsidR="00630798" w:rsidRPr="00A47BC3" w:rsidRDefault="00630798" w:rsidP="00A47BC3">
            <w:pPr>
              <w:spacing w:after="0" w:line="240" w:lineRule="auto"/>
              <w:rPr>
                <w:rFonts w:ascii="Times New Roman" w:hAnsi="Times New Roman" w:cs="Times New Roman"/>
              </w:rPr>
            </w:pPr>
          </w:p>
        </w:tc>
        <w:tc>
          <w:tcPr>
            <w:tcW w:w="2835"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2268" w:type="dxa"/>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дети 0-7</w:t>
            </w:r>
          </w:p>
        </w:tc>
        <w:tc>
          <w:tcPr>
            <w:tcW w:w="2693" w:type="dxa"/>
          </w:tcPr>
          <w:p w:rsidR="00630798" w:rsidRPr="00A47BC3" w:rsidRDefault="00630798" w:rsidP="00A47BC3">
            <w:pPr>
              <w:spacing w:after="0" w:line="240" w:lineRule="auto"/>
              <w:jc w:val="center"/>
              <w:rPr>
                <w:rFonts w:ascii="Times New Roman" w:hAnsi="Times New Roman" w:cs="Times New Roman"/>
              </w:rPr>
            </w:pPr>
          </w:p>
        </w:tc>
        <w:tc>
          <w:tcPr>
            <w:tcW w:w="2748" w:type="dxa"/>
            <w:vMerge/>
            <w:tcBorders>
              <w:top w:val="nil"/>
              <w:bottom w:val="nil"/>
            </w:tcBorders>
          </w:tcPr>
          <w:p w:rsidR="00630798" w:rsidRPr="00A47BC3" w:rsidRDefault="00630798" w:rsidP="00A47BC3">
            <w:pPr>
              <w:spacing w:after="0" w:line="240" w:lineRule="auto"/>
              <w:rPr>
                <w:rFonts w:ascii="Times New Roman" w:hAnsi="Times New Roman" w:cs="Times New Roman"/>
                <w:szCs w:val="24"/>
              </w:rPr>
            </w:pPr>
          </w:p>
        </w:tc>
        <w:tc>
          <w:tcPr>
            <w:tcW w:w="2708" w:type="dxa"/>
          </w:tcPr>
          <w:p w:rsidR="00630798" w:rsidRPr="00A47BC3" w:rsidRDefault="00630798" w:rsidP="00A47BC3">
            <w:pPr>
              <w:spacing w:after="0" w:line="240" w:lineRule="auto"/>
              <w:jc w:val="center"/>
              <w:rPr>
                <w:rFonts w:ascii="Times New Roman" w:hAnsi="Times New Roman" w:cs="Times New Roman"/>
                <w:szCs w:val="24"/>
              </w:rPr>
            </w:pPr>
          </w:p>
        </w:tc>
      </w:tr>
      <w:tr w:rsidR="00630798" w:rsidRPr="00A47BC3" w:rsidTr="00630798">
        <w:tc>
          <w:tcPr>
            <w:tcW w:w="1490" w:type="dxa"/>
          </w:tcPr>
          <w:p w:rsidR="00630798" w:rsidRPr="00A47BC3" w:rsidRDefault="00630798" w:rsidP="00A47BC3">
            <w:pPr>
              <w:spacing w:after="0" w:line="240" w:lineRule="auto"/>
              <w:rPr>
                <w:rFonts w:ascii="Times New Roman" w:hAnsi="Times New Roman" w:cs="Times New Roman"/>
              </w:rPr>
            </w:pPr>
          </w:p>
        </w:tc>
        <w:tc>
          <w:tcPr>
            <w:tcW w:w="2835"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w:t>
            </w:r>
          </w:p>
        </w:tc>
        <w:tc>
          <w:tcPr>
            <w:tcW w:w="2268" w:type="dxa"/>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анонимно</w:t>
            </w:r>
          </w:p>
        </w:tc>
        <w:tc>
          <w:tcPr>
            <w:tcW w:w="2693" w:type="dxa"/>
          </w:tcPr>
          <w:p w:rsidR="00630798" w:rsidRPr="00A47BC3" w:rsidRDefault="00630798" w:rsidP="00A47BC3">
            <w:pPr>
              <w:spacing w:after="0" w:line="240" w:lineRule="auto"/>
              <w:jc w:val="center"/>
              <w:rPr>
                <w:rFonts w:ascii="Times New Roman" w:hAnsi="Times New Roman" w:cs="Times New Roman"/>
              </w:rPr>
            </w:pPr>
          </w:p>
        </w:tc>
        <w:tc>
          <w:tcPr>
            <w:tcW w:w="2748" w:type="dxa"/>
            <w:vMerge/>
            <w:tcBorders>
              <w:top w:val="nil"/>
              <w:bottom w:val="nil"/>
            </w:tcBorders>
          </w:tcPr>
          <w:p w:rsidR="00630798" w:rsidRPr="00A47BC3" w:rsidRDefault="00630798" w:rsidP="00A47BC3">
            <w:pPr>
              <w:spacing w:after="0" w:line="240" w:lineRule="auto"/>
              <w:rPr>
                <w:rFonts w:ascii="Times New Roman" w:hAnsi="Times New Roman" w:cs="Times New Roman"/>
                <w:szCs w:val="24"/>
              </w:rPr>
            </w:pPr>
          </w:p>
        </w:tc>
        <w:tc>
          <w:tcPr>
            <w:tcW w:w="2708" w:type="dxa"/>
          </w:tcPr>
          <w:p w:rsidR="00630798" w:rsidRPr="00A47BC3" w:rsidRDefault="00630798" w:rsidP="00A47BC3">
            <w:pPr>
              <w:spacing w:after="0" w:line="240" w:lineRule="auto"/>
              <w:jc w:val="center"/>
              <w:rPr>
                <w:rFonts w:ascii="Times New Roman" w:hAnsi="Times New Roman" w:cs="Times New Roman"/>
                <w:szCs w:val="24"/>
              </w:rPr>
            </w:pPr>
          </w:p>
        </w:tc>
      </w:tr>
      <w:tr w:rsidR="00630798" w:rsidRPr="00A47BC3" w:rsidTr="00630798">
        <w:tc>
          <w:tcPr>
            <w:tcW w:w="1490" w:type="dxa"/>
          </w:tcPr>
          <w:p w:rsidR="00630798" w:rsidRPr="00A47BC3" w:rsidRDefault="00630798" w:rsidP="00A47BC3">
            <w:pPr>
              <w:spacing w:after="0" w:line="240" w:lineRule="auto"/>
              <w:rPr>
                <w:rFonts w:ascii="Times New Roman" w:hAnsi="Times New Roman" w:cs="Times New Roman"/>
              </w:rPr>
            </w:pPr>
            <w:r w:rsidRPr="00A47BC3">
              <w:rPr>
                <w:rFonts w:ascii="Times New Roman" w:hAnsi="Times New Roman" w:cs="Times New Roman"/>
              </w:rPr>
              <w:t>Итого:</w:t>
            </w:r>
          </w:p>
        </w:tc>
        <w:tc>
          <w:tcPr>
            <w:tcW w:w="2835"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5</w:t>
            </w:r>
          </w:p>
        </w:tc>
        <w:tc>
          <w:tcPr>
            <w:tcW w:w="2268" w:type="dxa"/>
          </w:tcPr>
          <w:p w:rsidR="00630798" w:rsidRPr="00A47BC3" w:rsidRDefault="00630798" w:rsidP="00A47BC3">
            <w:pPr>
              <w:spacing w:after="0" w:line="240" w:lineRule="auto"/>
              <w:rPr>
                <w:rFonts w:ascii="Times New Roman" w:hAnsi="Times New Roman" w:cs="Times New Roman"/>
              </w:rPr>
            </w:pPr>
          </w:p>
        </w:tc>
        <w:tc>
          <w:tcPr>
            <w:tcW w:w="2693"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5</w:t>
            </w:r>
          </w:p>
        </w:tc>
        <w:tc>
          <w:tcPr>
            <w:tcW w:w="2748" w:type="dxa"/>
            <w:vMerge/>
            <w:tcBorders>
              <w:top w:val="nil"/>
              <w:bottom w:val="nil"/>
            </w:tcBorders>
          </w:tcPr>
          <w:p w:rsidR="00630798" w:rsidRPr="00A47BC3" w:rsidRDefault="00630798" w:rsidP="00A47BC3">
            <w:pPr>
              <w:spacing w:after="0" w:line="240" w:lineRule="auto"/>
              <w:rPr>
                <w:rFonts w:ascii="Times New Roman" w:hAnsi="Times New Roman" w:cs="Times New Roman"/>
                <w:szCs w:val="24"/>
              </w:rPr>
            </w:pPr>
          </w:p>
        </w:tc>
        <w:tc>
          <w:tcPr>
            <w:tcW w:w="2708" w:type="dxa"/>
          </w:tcPr>
          <w:p w:rsidR="00630798" w:rsidRPr="00A47BC3" w:rsidRDefault="00630798" w:rsidP="00A47BC3">
            <w:pPr>
              <w:spacing w:after="0" w:line="240" w:lineRule="auto"/>
              <w:jc w:val="center"/>
              <w:rPr>
                <w:rFonts w:ascii="Times New Roman" w:hAnsi="Times New Roman" w:cs="Times New Roman"/>
                <w:szCs w:val="24"/>
              </w:rPr>
            </w:pPr>
          </w:p>
        </w:tc>
      </w:tr>
    </w:tbl>
    <w:p w:rsidR="00630798" w:rsidRPr="00A47BC3" w:rsidRDefault="00630798" w:rsidP="00A47BC3">
      <w:pPr>
        <w:pStyle w:val="a5"/>
        <w:ind w:right="-2"/>
        <w:jc w:val="both"/>
        <w:rPr>
          <w:sz w:val="24"/>
          <w:szCs w:val="24"/>
          <w:lang w:val="ru-RU"/>
        </w:rPr>
      </w:pPr>
    </w:p>
    <w:p w:rsidR="00630798" w:rsidRPr="00A47BC3" w:rsidRDefault="00630798" w:rsidP="00A47BC3">
      <w:pPr>
        <w:pStyle w:val="a5"/>
        <w:ind w:right="-2"/>
        <w:jc w:val="both"/>
        <w:rPr>
          <w:sz w:val="24"/>
          <w:szCs w:val="24"/>
        </w:rPr>
      </w:pPr>
      <w:r w:rsidRPr="00A47BC3">
        <w:rPr>
          <w:sz w:val="24"/>
          <w:szCs w:val="24"/>
        </w:rPr>
        <w:t xml:space="preserve">Среди детей и подростков за последние 3 года заболеваемость гонореей не зарегистрирована </w:t>
      </w:r>
    </w:p>
    <w:p w:rsidR="00630798" w:rsidRPr="00A47BC3" w:rsidRDefault="00630798" w:rsidP="00A47BC3">
      <w:pPr>
        <w:pStyle w:val="a5"/>
        <w:ind w:right="-2"/>
        <w:jc w:val="both"/>
        <w:rPr>
          <w:sz w:val="24"/>
          <w:szCs w:val="24"/>
          <w:lang w:val="ru-RU"/>
        </w:rPr>
      </w:pPr>
      <w:r w:rsidRPr="00A47BC3">
        <w:rPr>
          <w:sz w:val="24"/>
          <w:szCs w:val="24"/>
          <w:lang w:val="ru-RU"/>
        </w:rPr>
        <w:t>В 2020г 100 % заболевших в браке не состоят, 60% от заболевших приходится на неработающее население и 40% работников промышленности, тогда как в 2019г-33,3%и 66.7%-работники промышленности  ( табл ;№ 28, табл № 29).</w:t>
      </w:r>
    </w:p>
    <w:p w:rsidR="00630798" w:rsidRPr="00A47BC3" w:rsidRDefault="00630798" w:rsidP="00A47BC3">
      <w:pPr>
        <w:pStyle w:val="a5"/>
        <w:ind w:right="-2" w:firstLine="709"/>
        <w:jc w:val="right"/>
        <w:rPr>
          <w:sz w:val="22"/>
          <w:szCs w:val="22"/>
          <w:lang w:val="ru-RU"/>
        </w:rPr>
      </w:pPr>
    </w:p>
    <w:p w:rsidR="00630798" w:rsidRPr="00A47BC3" w:rsidRDefault="00630798" w:rsidP="00A47BC3">
      <w:pPr>
        <w:pStyle w:val="a5"/>
        <w:ind w:right="-2" w:firstLine="709"/>
        <w:jc w:val="right"/>
        <w:rPr>
          <w:sz w:val="22"/>
          <w:szCs w:val="22"/>
          <w:lang w:val="ru-RU"/>
        </w:rPr>
      </w:pPr>
    </w:p>
    <w:p w:rsidR="00630798" w:rsidRPr="00A47BC3" w:rsidRDefault="00630798" w:rsidP="00A47BC3">
      <w:pPr>
        <w:pStyle w:val="a5"/>
        <w:ind w:right="-2" w:firstLine="709"/>
        <w:jc w:val="right"/>
        <w:rPr>
          <w:sz w:val="22"/>
          <w:szCs w:val="22"/>
          <w:lang w:val="ru-RU"/>
        </w:rPr>
      </w:pPr>
      <w:r w:rsidRPr="00A47BC3">
        <w:rPr>
          <w:sz w:val="22"/>
          <w:szCs w:val="22"/>
        </w:rPr>
        <w:t>Таблица № 2</w:t>
      </w:r>
      <w:r w:rsidRPr="00A47BC3">
        <w:rPr>
          <w:sz w:val="22"/>
          <w:szCs w:val="22"/>
          <w:lang w:val="ru-RU"/>
        </w:rPr>
        <w:t>9</w:t>
      </w:r>
    </w:p>
    <w:p w:rsidR="00630798" w:rsidRPr="00A47BC3" w:rsidRDefault="00630798" w:rsidP="00A47BC3">
      <w:pPr>
        <w:pStyle w:val="a5"/>
        <w:ind w:right="-2"/>
        <w:rPr>
          <w:b/>
          <w:bCs/>
          <w:sz w:val="22"/>
          <w:szCs w:val="22"/>
        </w:rPr>
      </w:pPr>
      <w:r w:rsidRPr="00A47BC3">
        <w:rPr>
          <w:b/>
          <w:bCs/>
          <w:sz w:val="22"/>
          <w:szCs w:val="22"/>
        </w:rPr>
        <w:t>Социальный состав больных гонореей</w:t>
      </w:r>
    </w:p>
    <w:tbl>
      <w:tblPr>
        <w:tblW w:w="9151" w:type="dxa"/>
        <w:tblInd w:w="250" w:type="dxa"/>
        <w:tblLayout w:type="fixed"/>
        <w:tblLook w:val="0000" w:firstRow="0" w:lastRow="0" w:firstColumn="0" w:lastColumn="0" w:noHBand="0" w:noVBand="0"/>
      </w:tblPr>
      <w:tblGrid>
        <w:gridCol w:w="3429"/>
        <w:gridCol w:w="1010"/>
        <w:gridCol w:w="1009"/>
        <w:gridCol w:w="1010"/>
        <w:gridCol w:w="841"/>
        <w:gridCol w:w="1010"/>
        <w:gridCol w:w="842"/>
      </w:tblGrid>
      <w:tr w:rsidR="00630798" w:rsidRPr="00A47BC3" w:rsidTr="00630798">
        <w:trPr>
          <w:cantSplit/>
          <w:trHeight w:hRule="exact" w:val="312"/>
        </w:trPr>
        <w:tc>
          <w:tcPr>
            <w:tcW w:w="3429" w:type="dxa"/>
            <w:tcBorders>
              <w:top w:val="single" w:sz="4" w:space="0" w:color="auto"/>
              <w:left w:val="single" w:sz="4" w:space="0" w:color="auto"/>
              <w:bottom w:val="single" w:sz="4" w:space="0" w:color="auto"/>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Социальное положение</w:t>
            </w:r>
          </w:p>
        </w:tc>
        <w:tc>
          <w:tcPr>
            <w:tcW w:w="2019" w:type="dxa"/>
            <w:gridSpan w:val="2"/>
            <w:tcBorders>
              <w:top w:val="single" w:sz="4" w:space="0" w:color="000000"/>
              <w:left w:val="single" w:sz="4" w:space="0" w:color="000000"/>
              <w:bottom w:val="single" w:sz="4" w:space="0" w:color="auto"/>
              <w:right w:val="single" w:sz="4" w:space="0" w:color="auto"/>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2018г.</w:t>
            </w:r>
          </w:p>
        </w:tc>
        <w:tc>
          <w:tcPr>
            <w:tcW w:w="1851" w:type="dxa"/>
            <w:gridSpan w:val="2"/>
            <w:tcBorders>
              <w:top w:val="single" w:sz="4" w:space="0" w:color="000000"/>
              <w:left w:val="single" w:sz="4" w:space="0" w:color="000000"/>
              <w:bottom w:val="single" w:sz="4" w:space="0" w:color="000000"/>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2019г.</w:t>
            </w:r>
          </w:p>
        </w:tc>
        <w:tc>
          <w:tcPr>
            <w:tcW w:w="1852" w:type="dxa"/>
            <w:gridSpan w:val="2"/>
            <w:tcBorders>
              <w:top w:val="single" w:sz="4" w:space="0" w:color="000000"/>
              <w:left w:val="single" w:sz="4" w:space="0" w:color="000000"/>
              <w:bottom w:val="single" w:sz="4" w:space="0" w:color="000000"/>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2020г.</w:t>
            </w:r>
          </w:p>
        </w:tc>
      </w:tr>
      <w:tr w:rsidR="00630798" w:rsidRPr="00A47BC3" w:rsidTr="00630798">
        <w:trPr>
          <w:cantSplit/>
          <w:trHeight w:val="146"/>
        </w:trPr>
        <w:tc>
          <w:tcPr>
            <w:tcW w:w="3429" w:type="dxa"/>
            <w:tcBorders>
              <w:top w:val="single" w:sz="4" w:space="0" w:color="auto"/>
              <w:left w:val="single" w:sz="4" w:space="0" w:color="auto"/>
              <w:bottom w:val="single" w:sz="4" w:space="0" w:color="auto"/>
              <w:right w:val="single" w:sz="4" w:space="0" w:color="auto"/>
            </w:tcBorders>
            <w:vAlign w:val="center"/>
          </w:tcPr>
          <w:p w:rsidR="00630798" w:rsidRPr="00A47BC3" w:rsidRDefault="00630798" w:rsidP="00A47BC3">
            <w:pPr>
              <w:pStyle w:val="a5"/>
              <w:snapToGrid w:val="0"/>
              <w:ind w:right="-2"/>
              <w:rPr>
                <w:sz w:val="22"/>
                <w:szCs w:val="22"/>
              </w:rPr>
            </w:pPr>
          </w:p>
        </w:tc>
        <w:tc>
          <w:tcPr>
            <w:tcW w:w="1010" w:type="dxa"/>
            <w:tcBorders>
              <w:top w:val="single" w:sz="4" w:space="0" w:color="auto"/>
              <w:left w:val="single" w:sz="4" w:space="0" w:color="auto"/>
              <w:bottom w:val="single" w:sz="4" w:space="0" w:color="auto"/>
              <w:right w:val="single" w:sz="4" w:space="0" w:color="auto"/>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Абс. число</w:t>
            </w:r>
          </w:p>
        </w:tc>
        <w:tc>
          <w:tcPr>
            <w:tcW w:w="1009" w:type="dxa"/>
            <w:tcBorders>
              <w:top w:val="single" w:sz="4" w:space="0" w:color="auto"/>
              <w:left w:val="single" w:sz="4" w:space="0" w:color="auto"/>
              <w:bottom w:val="single" w:sz="4" w:space="0" w:color="auto"/>
              <w:right w:val="single" w:sz="4" w:space="0" w:color="auto"/>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10" w:type="dxa"/>
            <w:tcBorders>
              <w:top w:val="single" w:sz="4" w:space="0" w:color="auto"/>
              <w:left w:val="single" w:sz="4" w:space="0" w:color="auto"/>
              <w:bottom w:val="single" w:sz="4" w:space="0" w:color="auto"/>
              <w:right w:val="single" w:sz="4" w:space="0" w:color="auto"/>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Абс. число</w:t>
            </w:r>
          </w:p>
        </w:tc>
        <w:tc>
          <w:tcPr>
            <w:tcW w:w="841" w:type="dxa"/>
            <w:tcBorders>
              <w:left w:val="single" w:sz="4" w:space="0" w:color="auto"/>
              <w:bottom w:val="single" w:sz="4" w:space="0" w:color="auto"/>
              <w:right w:val="single" w:sz="4" w:space="0" w:color="auto"/>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10" w:type="dxa"/>
            <w:tcBorders>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Абс. число</w:t>
            </w:r>
          </w:p>
        </w:tc>
        <w:tc>
          <w:tcPr>
            <w:tcW w:w="842" w:type="dxa"/>
            <w:tcBorders>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r>
      <w:tr w:rsidR="00630798" w:rsidRPr="00A47BC3" w:rsidTr="00630798">
        <w:trPr>
          <w:trHeight w:val="333"/>
        </w:trPr>
        <w:tc>
          <w:tcPr>
            <w:tcW w:w="3429"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Промышленность</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09"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2</w:t>
            </w:r>
          </w:p>
        </w:tc>
        <w:tc>
          <w:tcPr>
            <w:tcW w:w="841"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66,7</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2</w:t>
            </w:r>
          </w:p>
        </w:tc>
        <w:tc>
          <w:tcPr>
            <w:tcW w:w="842"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40</w:t>
            </w:r>
          </w:p>
        </w:tc>
      </w:tr>
      <w:tr w:rsidR="00630798" w:rsidRPr="00A47BC3" w:rsidTr="00630798">
        <w:trPr>
          <w:trHeight w:val="240"/>
        </w:trPr>
        <w:tc>
          <w:tcPr>
            <w:tcW w:w="3429"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Транспорт</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09"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841"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842"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r>
      <w:tr w:rsidR="00630798" w:rsidRPr="00A47BC3" w:rsidTr="00630798">
        <w:trPr>
          <w:trHeight w:val="240"/>
        </w:trPr>
        <w:tc>
          <w:tcPr>
            <w:tcW w:w="3429" w:type="dxa"/>
            <w:tcBorders>
              <w:top w:val="single" w:sz="4" w:space="0" w:color="auto"/>
              <w:left w:val="single" w:sz="4" w:space="0" w:color="auto"/>
              <w:bottom w:val="single" w:sz="4" w:space="0" w:color="auto"/>
              <w:right w:val="single" w:sz="4" w:space="0" w:color="auto"/>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Строительство</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09"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841"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842"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r>
      <w:tr w:rsidR="00630798" w:rsidRPr="00A47BC3" w:rsidTr="00630798">
        <w:trPr>
          <w:trHeight w:val="240"/>
        </w:trPr>
        <w:tc>
          <w:tcPr>
            <w:tcW w:w="3429" w:type="dxa"/>
            <w:tcBorders>
              <w:top w:val="single" w:sz="4" w:space="0" w:color="auto"/>
              <w:left w:val="single" w:sz="4" w:space="0" w:color="auto"/>
              <w:bottom w:val="single" w:sz="4" w:space="0" w:color="auto"/>
              <w:right w:val="single" w:sz="4" w:space="0" w:color="auto"/>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Торговля</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09"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841"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842"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r>
      <w:tr w:rsidR="00630798" w:rsidRPr="00A47BC3" w:rsidTr="00630798">
        <w:trPr>
          <w:trHeight w:val="240"/>
        </w:trPr>
        <w:tc>
          <w:tcPr>
            <w:tcW w:w="3429" w:type="dxa"/>
            <w:tcBorders>
              <w:top w:val="single" w:sz="4" w:space="0" w:color="auto"/>
              <w:left w:val="single" w:sz="4" w:space="0" w:color="auto"/>
              <w:bottom w:val="single" w:sz="4" w:space="0" w:color="auto"/>
              <w:right w:val="single" w:sz="4" w:space="0" w:color="auto"/>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Общепит</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09"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841"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842"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r>
      <w:tr w:rsidR="00630798" w:rsidRPr="00A47BC3" w:rsidTr="00630798">
        <w:trPr>
          <w:trHeight w:val="511"/>
        </w:trPr>
        <w:tc>
          <w:tcPr>
            <w:tcW w:w="3429" w:type="dxa"/>
            <w:tcBorders>
              <w:top w:val="single" w:sz="4" w:space="0" w:color="auto"/>
              <w:left w:val="single" w:sz="4" w:space="0" w:color="auto"/>
              <w:bottom w:val="single" w:sz="4" w:space="0" w:color="auto"/>
              <w:right w:val="single" w:sz="4" w:space="0" w:color="auto"/>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lastRenderedPageBreak/>
              <w:t>Жилищно- коммунальное хозяйство</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09"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841"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842"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r>
      <w:tr w:rsidR="00630798" w:rsidRPr="00A47BC3" w:rsidTr="00630798">
        <w:trPr>
          <w:trHeight w:val="240"/>
        </w:trPr>
        <w:tc>
          <w:tcPr>
            <w:tcW w:w="3429" w:type="dxa"/>
            <w:tcBorders>
              <w:top w:val="single" w:sz="4" w:space="0" w:color="auto"/>
              <w:left w:val="single" w:sz="4" w:space="0" w:color="auto"/>
              <w:bottom w:val="single" w:sz="4" w:space="0" w:color="auto"/>
              <w:right w:val="single" w:sz="4" w:space="0" w:color="auto"/>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Бытовое обслуживание</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09"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841"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842"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r>
      <w:tr w:rsidR="00630798" w:rsidRPr="00A47BC3" w:rsidTr="00630798">
        <w:trPr>
          <w:trHeight w:val="496"/>
        </w:trPr>
        <w:tc>
          <w:tcPr>
            <w:tcW w:w="3429" w:type="dxa"/>
            <w:tcBorders>
              <w:top w:val="single" w:sz="4" w:space="0" w:color="auto"/>
              <w:left w:val="single" w:sz="4" w:space="0" w:color="auto"/>
              <w:bottom w:val="single" w:sz="4" w:space="0" w:color="auto"/>
              <w:right w:val="single" w:sz="4" w:space="0" w:color="auto"/>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Здравоохранение и соц. обслуживание</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09"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841"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842"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r>
      <w:tr w:rsidR="00630798" w:rsidRPr="00A47BC3" w:rsidTr="00630798">
        <w:trPr>
          <w:trHeight w:val="215"/>
        </w:trPr>
        <w:tc>
          <w:tcPr>
            <w:tcW w:w="3429" w:type="dxa"/>
            <w:tcBorders>
              <w:top w:val="single" w:sz="4" w:space="0" w:color="auto"/>
              <w:left w:val="single" w:sz="4" w:space="0" w:color="auto"/>
              <w:bottom w:val="single" w:sz="4" w:space="0" w:color="auto"/>
              <w:right w:val="single" w:sz="4" w:space="0" w:color="auto"/>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Народное образование</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09"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841"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842"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r>
      <w:tr w:rsidR="00630798" w:rsidRPr="00A47BC3" w:rsidTr="00630798">
        <w:trPr>
          <w:trHeight w:val="21"/>
        </w:trPr>
        <w:tc>
          <w:tcPr>
            <w:tcW w:w="3429" w:type="dxa"/>
            <w:tcBorders>
              <w:top w:val="single" w:sz="4" w:space="0" w:color="auto"/>
              <w:left w:val="single" w:sz="4" w:space="0" w:color="auto"/>
              <w:right w:val="single" w:sz="4" w:space="0" w:color="auto"/>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Учащиеся и студенты</w:t>
            </w:r>
          </w:p>
        </w:tc>
        <w:tc>
          <w:tcPr>
            <w:tcW w:w="1010" w:type="dxa"/>
            <w:tcBorders>
              <w:top w:val="single" w:sz="4" w:space="0" w:color="auto"/>
              <w:left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09" w:type="dxa"/>
            <w:tcBorders>
              <w:top w:val="single" w:sz="4" w:space="0" w:color="auto"/>
              <w:left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10" w:type="dxa"/>
            <w:tcBorders>
              <w:top w:val="single" w:sz="4" w:space="0" w:color="auto"/>
              <w:left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841" w:type="dxa"/>
            <w:tcBorders>
              <w:top w:val="single" w:sz="4" w:space="0" w:color="auto"/>
              <w:left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10" w:type="dxa"/>
            <w:tcBorders>
              <w:top w:val="single" w:sz="4" w:space="0" w:color="auto"/>
              <w:left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842" w:type="dxa"/>
            <w:tcBorders>
              <w:top w:val="single" w:sz="4" w:space="0" w:color="auto"/>
              <w:left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r>
      <w:tr w:rsidR="00630798" w:rsidRPr="00A47BC3" w:rsidTr="00630798">
        <w:trPr>
          <w:trHeight w:val="256"/>
        </w:trPr>
        <w:tc>
          <w:tcPr>
            <w:tcW w:w="3429" w:type="dxa"/>
            <w:tcBorders>
              <w:top w:val="single" w:sz="4" w:space="0" w:color="auto"/>
              <w:left w:val="single" w:sz="4" w:space="0" w:color="auto"/>
              <w:bottom w:val="single" w:sz="4" w:space="0" w:color="auto"/>
              <w:right w:val="single" w:sz="4" w:space="0" w:color="auto"/>
            </w:tcBorders>
            <w:vAlign w:val="center"/>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Неработающее население</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09"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1</w:t>
            </w:r>
          </w:p>
        </w:tc>
        <w:tc>
          <w:tcPr>
            <w:tcW w:w="841"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33,3</w:t>
            </w:r>
          </w:p>
        </w:tc>
        <w:tc>
          <w:tcPr>
            <w:tcW w:w="1010"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3</w:t>
            </w:r>
          </w:p>
        </w:tc>
        <w:tc>
          <w:tcPr>
            <w:tcW w:w="842" w:type="dxa"/>
            <w:tcBorders>
              <w:top w:val="single" w:sz="4" w:space="0" w:color="auto"/>
              <w:left w:val="single" w:sz="4" w:space="0" w:color="auto"/>
              <w:bottom w:val="single" w:sz="4" w:space="0" w:color="auto"/>
              <w:right w:val="single" w:sz="4" w:space="0" w:color="auto"/>
            </w:tcBorders>
          </w:tcPr>
          <w:p w:rsidR="00630798" w:rsidRPr="00A47BC3" w:rsidRDefault="00630798" w:rsidP="00A47BC3">
            <w:pPr>
              <w:pStyle w:val="a5"/>
              <w:snapToGrid w:val="0"/>
              <w:ind w:right="-2"/>
              <w:rPr>
                <w:sz w:val="22"/>
                <w:szCs w:val="22"/>
                <w:lang w:val="ru-RU" w:eastAsia="ru-RU"/>
              </w:rPr>
            </w:pPr>
            <w:r w:rsidRPr="00A47BC3">
              <w:rPr>
                <w:sz w:val="22"/>
                <w:szCs w:val="22"/>
                <w:lang w:val="ru-RU" w:eastAsia="ru-RU"/>
              </w:rPr>
              <w:t>60</w:t>
            </w:r>
          </w:p>
        </w:tc>
      </w:tr>
    </w:tbl>
    <w:p w:rsidR="00630798" w:rsidRPr="00A47BC3" w:rsidRDefault="00630798" w:rsidP="00A47BC3">
      <w:pPr>
        <w:pStyle w:val="a5"/>
        <w:ind w:right="-144"/>
        <w:rPr>
          <w:sz w:val="22"/>
          <w:szCs w:val="22"/>
        </w:rPr>
      </w:pPr>
    </w:p>
    <w:p w:rsidR="00630798" w:rsidRPr="00A47BC3" w:rsidRDefault="00630798" w:rsidP="00A47BC3">
      <w:pPr>
        <w:pStyle w:val="a5"/>
        <w:ind w:firstLine="709"/>
        <w:rPr>
          <w:b/>
          <w:sz w:val="24"/>
          <w:szCs w:val="24"/>
          <w:highlight w:val="yellow"/>
          <w:lang w:val="ru-RU"/>
        </w:rPr>
      </w:pPr>
    </w:p>
    <w:p w:rsidR="00630798" w:rsidRPr="00A47BC3" w:rsidRDefault="00630798" w:rsidP="00A47BC3">
      <w:pPr>
        <w:pStyle w:val="a5"/>
        <w:ind w:firstLine="709"/>
        <w:rPr>
          <w:b/>
          <w:sz w:val="24"/>
          <w:szCs w:val="24"/>
        </w:rPr>
      </w:pPr>
      <w:r w:rsidRPr="00A47BC3">
        <w:rPr>
          <w:b/>
          <w:sz w:val="24"/>
          <w:szCs w:val="24"/>
        </w:rPr>
        <w:t>Туберкулез</w:t>
      </w:r>
    </w:p>
    <w:p w:rsidR="00630798" w:rsidRPr="00A47BC3" w:rsidRDefault="00630798" w:rsidP="00A47BC3">
      <w:pPr>
        <w:pStyle w:val="a5"/>
        <w:ind w:firstLine="709"/>
        <w:rPr>
          <w:b/>
          <w:sz w:val="24"/>
          <w:szCs w:val="24"/>
        </w:rPr>
      </w:pPr>
    </w:p>
    <w:p w:rsidR="00630798" w:rsidRPr="00A47BC3" w:rsidRDefault="00630798" w:rsidP="00A47BC3">
      <w:pPr>
        <w:pStyle w:val="a5"/>
        <w:ind w:firstLine="709"/>
        <w:jc w:val="both"/>
        <w:rPr>
          <w:sz w:val="24"/>
          <w:szCs w:val="24"/>
          <w:lang w:val="ru-RU"/>
        </w:rPr>
      </w:pPr>
      <w:r w:rsidRPr="00A47BC3">
        <w:rPr>
          <w:sz w:val="24"/>
          <w:szCs w:val="24"/>
          <w:lang w:val="ru-RU"/>
        </w:rPr>
        <w:t xml:space="preserve">В 2020году, по сравнению с 2019годом по г Пыть-Ях регистрируется снижение заболеваемости туберкулезом на  41,5%, в абсолютных случаях- на уровне 2018года. </w:t>
      </w:r>
      <w:r w:rsidRPr="00A47BC3">
        <w:rPr>
          <w:sz w:val="24"/>
          <w:szCs w:val="24"/>
        </w:rPr>
        <w:t>В 20</w:t>
      </w:r>
      <w:r w:rsidRPr="00A47BC3">
        <w:rPr>
          <w:sz w:val="24"/>
          <w:szCs w:val="24"/>
          <w:lang w:val="ru-RU"/>
        </w:rPr>
        <w:t xml:space="preserve">20 </w:t>
      </w:r>
      <w:r w:rsidRPr="00A47BC3">
        <w:rPr>
          <w:sz w:val="24"/>
          <w:szCs w:val="24"/>
        </w:rPr>
        <w:t>году  показател</w:t>
      </w:r>
      <w:r w:rsidRPr="00A47BC3">
        <w:rPr>
          <w:sz w:val="24"/>
          <w:szCs w:val="24"/>
          <w:lang w:val="ru-RU"/>
        </w:rPr>
        <w:t>ь</w:t>
      </w:r>
      <w:r w:rsidRPr="00A47BC3">
        <w:rPr>
          <w:sz w:val="24"/>
          <w:szCs w:val="24"/>
        </w:rPr>
        <w:t xml:space="preserve"> заболеваемости туберкулезом </w:t>
      </w:r>
      <w:r w:rsidRPr="00A47BC3">
        <w:rPr>
          <w:sz w:val="24"/>
          <w:szCs w:val="24"/>
          <w:lang w:val="ru-RU"/>
        </w:rPr>
        <w:t>составил 32.6, зарегистрировано 13 случаев ( в 2019г -23 случая показатель заболеваемости на 100 тыс.населения – 55,8; в 2018 г. – 13 случаев, показатель заболеваемости – 30,5 на 100 тыс.нас.( табл № 31).</w:t>
      </w:r>
    </w:p>
    <w:p w:rsidR="00630798" w:rsidRPr="00A47BC3" w:rsidRDefault="00630798" w:rsidP="00A47BC3">
      <w:pPr>
        <w:pStyle w:val="a5"/>
        <w:ind w:firstLine="709"/>
        <w:jc w:val="both"/>
        <w:rPr>
          <w:sz w:val="24"/>
          <w:szCs w:val="24"/>
          <w:lang w:val="ru-RU"/>
        </w:rPr>
      </w:pPr>
      <w:r w:rsidRPr="00A47BC3">
        <w:rPr>
          <w:sz w:val="24"/>
          <w:szCs w:val="24"/>
          <w:lang w:val="ru-RU"/>
        </w:rPr>
        <w:t xml:space="preserve">Показатель </w:t>
      </w:r>
      <w:r w:rsidRPr="00A47BC3">
        <w:rPr>
          <w:sz w:val="24"/>
          <w:szCs w:val="24"/>
        </w:rPr>
        <w:t>заболеваемост</w:t>
      </w:r>
      <w:r w:rsidRPr="00A47BC3">
        <w:rPr>
          <w:sz w:val="24"/>
          <w:szCs w:val="24"/>
          <w:lang w:val="ru-RU"/>
        </w:rPr>
        <w:t>и</w:t>
      </w:r>
      <w:r w:rsidRPr="00A47BC3">
        <w:rPr>
          <w:sz w:val="24"/>
          <w:szCs w:val="24"/>
        </w:rPr>
        <w:t xml:space="preserve"> туберкулезом в г. Пыть-Ях за</w:t>
      </w:r>
      <w:r w:rsidRPr="00A47BC3">
        <w:rPr>
          <w:sz w:val="24"/>
          <w:szCs w:val="24"/>
          <w:lang w:val="ru-RU"/>
        </w:rPr>
        <w:t xml:space="preserve"> 2020год незначительно  превышает окружной показатель( 29,93) на 8,9 % и составил 32,6 (</w:t>
      </w:r>
      <w:r w:rsidRPr="00A47BC3">
        <w:rPr>
          <w:sz w:val="24"/>
          <w:szCs w:val="24"/>
        </w:rPr>
        <w:t>201</w:t>
      </w:r>
      <w:r w:rsidRPr="00A47BC3">
        <w:rPr>
          <w:sz w:val="24"/>
          <w:szCs w:val="24"/>
          <w:lang w:val="ru-RU"/>
        </w:rPr>
        <w:t>9</w:t>
      </w:r>
      <w:r w:rsidRPr="00A47BC3">
        <w:rPr>
          <w:sz w:val="24"/>
          <w:szCs w:val="24"/>
        </w:rPr>
        <w:t xml:space="preserve"> г</w:t>
      </w:r>
      <w:r w:rsidRPr="00A47BC3">
        <w:rPr>
          <w:sz w:val="24"/>
          <w:szCs w:val="24"/>
          <w:lang w:val="ru-RU"/>
        </w:rPr>
        <w:t xml:space="preserve"> выше </w:t>
      </w:r>
      <w:r w:rsidRPr="00A47BC3">
        <w:rPr>
          <w:sz w:val="24"/>
          <w:szCs w:val="24"/>
        </w:rPr>
        <w:t>среднеокружн</w:t>
      </w:r>
      <w:r w:rsidRPr="00A47BC3">
        <w:rPr>
          <w:sz w:val="24"/>
          <w:szCs w:val="24"/>
          <w:lang w:val="ru-RU"/>
        </w:rPr>
        <w:t>ого</w:t>
      </w:r>
      <w:r w:rsidRPr="00A47BC3">
        <w:rPr>
          <w:sz w:val="24"/>
          <w:szCs w:val="24"/>
        </w:rPr>
        <w:t xml:space="preserve"> показател</w:t>
      </w:r>
      <w:r w:rsidRPr="00A47BC3">
        <w:rPr>
          <w:sz w:val="24"/>
          <w:szCs w:val="24"/>
          <w:lang w:val="ru-RU"/>
        </w:rPr>
        <w:t>я</w:t>
      </w:r>
      <w:r w:rsidRPr="00A47BC3">
        <w:rPr>
          <w:sz w:val="24"/>
          <w:szCs w:val="24"/>
        </w:rPr>
        <w:t xml:space="preserve"> на </w:t>
      </w:r>
      <w:r w:rsidRPr="00A47BC3">
        <w:rPr>
          <w:sz w:val="24"/>
          <w:szCs w:val="24"/>
          <w:lang w:val="ru-RU"/>
        </w:rPr>
        <w:t>50,0</w:t>
      </w:r>
      <w:r w:rsidRPr="00A47BC3">
        <w:rPr>
          <w:sz w:val="24"/>
          <w:szCs w:val="24"/>
        </w:rPr>
        <w:t xml:space="preserve">% </w:t>
      </w:r>
      <w:r w:rsidRPr="00A47BC3">
        <w:rPr>
          <w:sz w:val="24"/>
          <w:szCs w:val="24"/>
          <w:lang w:val="ru-RU"/>
        </w:rPr>
        <w:t>(37,2</w:t>
      </w:r>
      <w:r w:rsidRPr="00A47BC3">
        <w:rPr>
          <w:sz w:val="24"/>
          <w:szCs w:val="24"/>
        </w:rPr>
        <w:t>)</w:t>
      </w:r>
      <w:r w:rsidRPr="00A47BC3">
        <w:rPr>
          <w:sz w:val="24"/>
          <w:szCs w:val="24"/>
          <w:lang w:val="ru-RU"/>
        </w:rPr>
        <w:t>.</w:t>
      </w:r>
    </w:p>
    <w:p w:rsidR="00630798" w:rsidRPr="00A47BC3" w:rsidRDefault="00630798" w:rsidP="00A47BC3">
      <w:pPr>
        <w:pStyle w:val="33"/>
        <w:spacing w:line="240" w:lineRule="auto"/>
        <w:ind w:firstLine="708"/>
        <w:rPr>
          <w:sz w:val="24"/>
          <w:szCs w:val="24"/>
        </w:rPr>
      </w:pPr>
      <w:r w:rsidRPr="00A47BC3">
        <w:rPr>
          <w:sz w:val="24"/>
          <w:szCs w:val="24"/>
        </w:rPr>
        <w:t xml:space="preserve">На 215% в 2020году снизилось количество заболевших  с бациллярными формами с показателя 31.5( абс 13) до 10( абс4) в 2020году. </w:t>
      </w:r>
    </w:p>
    <w:p w:rsidR="00630798" w:rsidRPr="00A47BC3" w:rsidRDefault="00630798" w:rsidP="00A47BC3">
      <w:pPr>
        <w:pStyle w:val="33"/>
        <w:spacing w:line="240" w:lineRule="auto"/>
        <w:ind w:firstLine="708"/>
        <w:rPr>
          <w:sz w:val="24"/>
          <w:szCs w:val="24"/>
          <w:highlight w:val="yellow"/>
        </w:rPr>
      </w:pPr>
      <w:r w:rsidRPr="00A47BC3">
        <w:rPr>
          <w:spacing w:val="20"/>
          <w:sz w:val="24"/>
          <w:szCs w:val="24"/>
        </w:rPr>
        <w:t xml:space="preserve">В 2020 отчетном году, как и в  2019году  выявлено 3 случая заболеваемости среди детей  в возрастной группе 0-14 лет </w:t>
      </w:r>
    </w:p>
    <w:p w:rsidR="00630798" w:rsidRPr="00A47BC3" w:rsidRDefault="00630798" w:rsidP="00A47BC3">
      <w:pPr>
        <w:tabs>
          <w:tab w:val="left" w:pos="993"/>
        </w:tabs>
        <w:spacing w:after="0" w:line="240" w:lineRule="auto"/>
        <w:ind w:firstLine="709"/>
        <w:jc w:val="both"/>
        <w:rPr>
          <w:rFonts w:ascii="Times New Roman" w:hAnsi="Times New Roman" w:cs="Times New Roman"/>
          <w:sz w:val="24"/>
          <w:szCs w:val="24"/>
        </w:rPr>
      </w:pPr>
      <w:r w:rsidRPr="00A47BC3">
        <w:rPr>
          <w:rFonts w:ascii="Times New Roman" w:hAnsi="Times New Roman" w:cs="Times New Roman"/>
          <w:sz w:val="24"/>
          <w:szCs w:val="24"/>
        </w:rPr>
        <w:t>Двое детей,  прибывших из других территорий, одна из социально- неблагополучной семьи и вторая девочка прибыла из Чеченской республики, при проведении в школе туберкулинодиагностики в 2020 году, выявлены изменения, в связи с чем дообследована, 23.10.2020 установлен- ПТК, МБТ(-) 1 ГДН. Девочка с 10.2020 по настоящее время получает лечение по  фазе продолжения основного курса лечения в амбулаторных условиях.</w:t>
      </w:r>
    </w:p>
    <w:p w:rsidR="00630798" w:rsidRPr="00A47BC3" w:rsidRDefault="00630798" w:rsidP="00A47BC3">
      <w:pPr>
        <w:tabs>
          <w:tab w:val="left" w:pos="993"/>
        </w:tabs>
        <w:spacing w:after="0" w:line="240" w:lineRule="auto"/>
        <w:ind w:firstLine="709"/>
        <w:jc w:val="both"/>
        <w:rPr>
          <w:rFonts w:ascii="Times New Roman" w:hAnsi="Times New Roman" w:cs="Times New Roman"/>
          <w:sz w:val="24"/>
          <w:szCs w:val="24"/>
        </w:rPr>
      </w:pPr>
      <w:r w:rsidRPr="00A47BC3">
        <w:rPr>
          <w:rFonts w:ascii="Times New Roman" w:hAnsi="Times New Roman" w:cs="Times New Roman"/>
          <w:sz w:val="24"/>
          <w:szCs w:val="24"/>
        </w:rPr>
        <w:t xml:space="preserve">Заболеваемость среди подростков за 2020г отсутствует, этот показатель сохраняется на протяжении 3 лет. </w:t>
      </w:r>
    </w:p>
    <w:p w:rsidR="00630798" w:rsidRPr="00A47BC3" w:rsidRDefault="00630798" w:rsidP="00A47BC3">
      <w:pPr>
        <w:tabs>
          <w:tab w:val="left" w:pos="993"/>
        </w:tabs>
        <w:spacing w:after="0" w:line="240" w:lineRule="auto"/>
        <w:ind w:firstLine="709"/>
        <w:jc w:val="both"/>
        <w:rPr>
          <w:rFonts w:ascii="Times New Roman" w:hAnsi="Times New Roman" w:cs="Times New Roman"/>
          <w:sz w:val="24"/>
          <w:szCs w:val="24"/>
        </w:rPr>
      </w:pPr>
      <w:r w:rsidRPr="00A47BC3">
        <w:rPr>
          <w:rFonts w:ascii="Times New Roman" w:hAnsi="Times New Roman" w:cs="Times New Roman"/>
          <w:sz w:val="24"/>
          <w:szCs w:val="24"/>
        </w:rPr>
        <w:t>Распространенность (болезненность) по туберкулезу в городе за 2020 год уменьшилась на 53,8%( в 2019г по ср</w:t>
      </w:r>
      <w:r w:rsidR="00A47BC3" w:rsidRPr="00A47BC3">
        <w:rPr>
          <w:rFonts w:ascii="Times New Roman" w:hAnsi="Times New Roman" w:cs="Times New Roman"/>
          <w:sz w:val="24"/>
          <w:szCs w:val="24"/>
        </w:rPr>
        <w:t xml:space="preserve">авнению с 2018г увеличилась на </w:t>
      </w:r>
      <w:r w:rsidRPr="00A47BC3">
        <w:rPr>
          <w:rFonts w:ascii="Times New Roman" w:hAnsi="Times New Roman" w:cs="Times New Roman"/>
          <w:sz w:val="24"/>
          <w:szCs w:val="24"/>
        </w:rPr>
        <w:t>11.2%), что значительно улучшает эпидблагополучие в Пыть-Яхе, но уровни бацилловыделения и деструкции у больных туберкулезом выше по сравнению с 2019 годом. Основной причиной снижение болезненности является повышенная заболеваемость новой короновирусной инфекции Covid-19, в следствие этого показатель посещения и выявления значительно снижен.</w:t>
      </w:r>
    </w:p>
    <w:p w:rsidR="00630798" w:rsidRPr="00A47BC3" w:rsidRDefault="00630798" w:rsidP="00A47BC3">
      <w:pPr>
        <w:tabs>
          <w:tab w:val="left" w:pos="993"/>
        </w:tabs>
        <w:spacing w:after="0" w:line="240" w:lineRule="auto"/>
        <w:ind w:firstLine="709"/>
        <w:jc w:val="both"/>
        <w:rPr>
          <w:rFonts w:ascii="Times New Roman" w:hAnsi="Times New Roman" w:cs="Times New Roman"/>
          <w:sz w:val="24"/>
          <w:szCs w:val="24"/>
        </w:rPr>
      </w:pPr>
      <w:r w:rsidRPr="00A47BC3">
        <w:rPr>
          <w:rFonts w:ascii="Times New Roman" w:hAnsi="Times New Roman" w:cs="Times New Roman"/>
          <w:sz w:val="24"/>
          <w:szCs w:val="24"/>
        </w:rPr>
        <w:t>Контингенты больных туберкулезом в 2020г составили 35 человек, из которых 5 больных-14,2% пациенты с хроническим течением, 48,5%-17 человек контингентов с сочетанной ВИЧ-инфекцией, что ухудшает прогноз излечения больных в виду низкой приверженности к лечению, массой сопутствующих диагнозов, низким иммунным статусом.</w:t>
      </w:r>
    </w:p>
    <w:p w:rsidR="00630798" w:rsidRPr="00A47BC3" w:rsidRDefault="00630798" w:rsidP="00A47BC3">
      <w:pPr>
        <w:spacing w:after="0" w:line="240" w:lineRule="auto"/>
        <w:ind w:firstLine="709"/>
        <w:jc w:val="right"/>
        <w:rPr>
          <w:rFonts w:ascii="Times New Roman" w:hAnsi="Times New Roman" w:cs="Times New Roman"/>
        </w:rPr>
      </w:pPr>
      <w:r w:rsidRPr="00A47BC3">
        <w:rPr>
          <w:rFonts w:ascii="Times New Roman" w:hAnsi="Times New Roman" w:cs="Times New Roman"/>
        </w:rPr>
        <w:t>Таблица № 31</w:t>
      </w:r>
    </w:p>
    <w:p w:rsidR="00630798" w:rsidRPr="00A47BC3" w:rsidRDefault="00630798" w:rsidP="00A47BC3">
      <w:pPr>
        <w:spacing w:after="0" w:line="240" w:lineRule="auto"/>
        <w:jc w:val="center"/>
        <w:rPr>
          <w:rFonts w:ascii="Times New Roman" w:hAnsi="Times New Roman" w:cs="Times New Roman"/>
          <w:b/>
        </w:rPr>
      </w:pPr>
      <w:r w:rsidRPr="00A47BC3">
        <w:rPr>
          <w:rFonts w:ascii="Times New Roman" w:hAnsi="Times New Roman" w:cs="Times New Roman"/>
          <w:b/>
        </w:rPr>
        <w:t xml:space="preserve">Динамика основных эпидемиологических показателей </w:t>
      </w:r>
    </w:p>
    <w:p w:rsidR="00630798" w:rsidRPr="00A47BC3" w:rsidRDefault="00630798" w:rsidP="00A47BC3">
      <w:pPr>
        <w:spacing w:after="0" w:line="240" w:lineRule="auto"/>
        <w:jc w:val="center"/>
        <w:rPr>
          <w:rFonts w:ascii="Times New Roman" w:hAnsi="Times New Roman" w:cs="Times New Roman"/>
          <w:b/>
        </w:rPr>
      </w:pPr>
      <w:r w:rsidRPr="00A47BC3">
        <w:rPr>
          <w:rFonts w:ascii="Times New Roman" w:hAnsi="Times New Roman" w:cs="Times New Roman"/>
          <w:b/>
        </w:rPr>
        <w:t>по туберкулезу за 2018 – 2020 гг.</w:t>
      </w:r>
    </w:p>
    <w:p w:rsidR="00630798" w:rsidRPr="00A47BC3" w:rsidRDefault="00630798" w:rsidP="00A47BC3">
      <w:pPr>
        <w:spacing w:after="0" w:line="240" w:lineRule="auto"/>
        <w:jc w:val="center"/>
        <w:rPr>
          <w:rFonts w:ascii="Times New Roman" w:hAnsi="Times New Roman" w:cs="Times New Roman"/>
          <w:b/>
          <w:highlight w:val="yellow"/>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3148"/>
        <w:gridCol w:w="736"/>
        <w:gridCol w:w="1405"/>
        <w:gridCol w:w="894"/>
        <w:gridCol w:w="965"/>
        <w:gridCol w:w="1160"/>
        <w:gridCol w:w="966"/>
      </w:tblGrid>
      <w:tr w:rsidR="00630798" w:rsidRPr="00A47BC3" w:rsidTr="00630798">
        <w:trPr>
          <w:cantSplit/>
          <w:trHeight w:val="329"/>
        </w:trPr>
        <w:tc>
          <w:tcPr>
            <w:tcW w:w="3148" w:type="dxa"/>
            <w:vMerge w:val="restart"/>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 xml:space="preserve"> показатели</w:t>
            </w:r>
          </w:p>
        </w:tc>
        <w:tc>
          <w:tcPr>
            <w:tcW w:w="2141"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2018</w:t>
            </w:r>
          </w:p>
        </w:tc>
        <w:tc>
          <w:tcPr>
            <w:tcW w:w="1859" w:type="dxa"/>
            <w:gridSpan w:val="2"/>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2019</w:t>
            </w:r>
          </w:p>
        </w:tc>
        <w:tc>
          <w:tcPr>
            <w:tcW w:w="2126" w:type="dxa"/>
            <w:gridSpan w:val="2"/>
            <w:shd w:val="clear" w:color="auto" w:fill="auto"/>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2020</w:t>
            </w:r>
          </w:p>
        </w:tc>
      </w:tr>
      <w:tr w:rsidR="00630798" w:rsidRPr="00A47BC3" w:rsidTr="00630798">
        <w:trPr>
          <w:cantSplit/>
          <w:trHeight w:val="166"/>
        </w:trPr>
        <w:tc>
          <w:tcPr>
            <w:tcW w:w="3148" w:type="dxa"/>
            <w:vMerge/>
          </w:tcPr>
          <w:p w:rsidR="00630798" w:rsidRPr="00A47BC3" w:rsidRDefault="00630798" w:rsidP="00A47BC3">
            <w:pPr>
              <w:spacing w:after="0" w:line="240" w:lineRule="auto"/>
              <w:jc w:val="center"/>
              <w:rPr>
                <w:rFonts w:ascii="Times New Roman" w:hAnsi="Times New Roman" w:cs="Times New Roman"/>
              </w:rPr>
            </w:pPr>
          </w:p>
        </w:tc>
        <w:tc>
          <w:tcPr>
            <w:tcW w:w="736"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Абс.</w:t>
            </w:r>
          </w:p>
        </w:tc>
        <w:tc>
          <w:tcPr>
            <w:tcW w:w="1405"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Пок.</w:t>
            </w:r>
          </w:p>
        </w:tc>
        <w:tc>
          <w:tcPr>
            <w:tcW w:w="894"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Абс.</w:t>
            </w:r>
          </w:p>
        </w:tc>
        <w:tc>
          <w:tcPr>
            <w:tcW w:w="965"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Пок.</w:t>
            </w:r>
          </w:p>
        </w:tc>
        <w:tc>
          <w:tcPr>
            <w:tcW w:w="1160" w:type="dxa"/>
            <w:shd w:val="clear" w:color="auto" w:fill="auto"/>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Абс.</w:t>
            </w:r>
          </w:p>
        </w:tc>
        <w:tc>
          <w:tcPr>
            <w:tcW w:w="966" w:type="dxa"/>
            <w:shd w:val="clear" w:color="auto" w:fill="auto"/>
          </w:tcPr>
          <w:p w:rsidR="00630798" w:rsidRPr="00A47BC3" w:rsidRDefault="00630798" w:rsidP="00A47BC3">
            <w:pPr>
              <w:spacing w:after="0" w:line="240" w:lineRule="auto"/>
              <w:jc w:val="center"/>
              <w:rPr>
                <w:rFonts w:ascii="Times New Roman" w:hAnsi="Times New Roman" w:cs="Times New Roman"/>
                <w:highlight w:val="yellow"/>
              </w:rPr>
            </w:pPr>
            <w:r w:rsidRPr="00A47BC3">
              <w:rPr>
                <w:rFonts w:ascii="Times New Roman" w:hAnsi="Times New Roman" w:cs="Times New Roman"/>
              </w:rPr>
              <w:t>Пок.</w:t>
            </w:r>
          </w:p>
        </w:tc>
      </w:tr>
      <w:tr w:rsidR="00630798" w:rsidRPr="00A47BC3" w:rsidTr="00630798">
        <w:trPr>
          <w:cantSplit/>
          <w:trHeight w:val="329"/>
        </w:trPr>
        <w:tc>
          <w:tcPr>
            <w:tcW w:w="3148"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болезненность</w:t>
            </w:r>
          </w:p>
        </w:tc>
        <w:tc>
          <w:tcPr>
            <w:tcW w:w="736"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51</w:t>
            </w:r>
          </w:p>
        </w:tc>
        <w:tc>
          <w:tcPr>
            <w:tcW w:w="1405"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120</w:t>
            </w:r>
          </w:p>
        </w:tc>
        <w:tc>
          <w:tcPr>
            <w:tcW w:w="894"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55</w:t>
            </w:r>
          </w:p>
        </w:tc>
        <w:tc>
          <w:tcPr>
            <w:tcW w:w="965"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133,4</w:t>
            </w:r>
          </w:p>
        </w:tc>
        <w:tc>
          <w:tcPr>
            <w:tcW w:w="1160"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35</w:t>
            </w:r>
          </w:p>
        </w:tc>
        <w:tc>
          <w:tcPr>
            <w:tcW w:w="966" w:type="dxa"/>
          </w:tcPr>
          <w:p w:rsidR="00630798" w:rsidRPr="00A47BC3" w:rsidRDefault="00630798" w:rsidP="00A47BC3">
            <w:pPr>
              <w:spacing w:after="0" w:line="240" w:lineRule="auto"/>
              <w:jc w:val="center"/>
              <w:rPr>
                <w:rFonts w:ascii="Times New Roman" w:hAnsi="Times New Roman" w:cs="Times New Roman"/>
                <w:highlight w:val="yellow"/>
              </w:rPr>
            </w:pPr>
            <w:r w:rsidRPr="00A47BC3">
              <w:rPr>
                <w:rFonts w:ascii="Times New Roman" w:hAnsi="Times New Roman" w:cs="Times New Roman"/>
              </w:rPr>
              <w:t>87,8</w:t>
            </w:r>
          </w:p>
        </w:tc>
      </w:tr>
      <w:tr w:rsidR="00630798" w:rsidRPr="00A47BC3" w:rsidTr="00630798">
        <w:trPr>
          <w:cantSplit/>
          <w:trHeight w:val="329"/>
        </w:trPr>
        <w:tc>
          <w:tcPr>
            <w:tcW w:w="3148"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Заболеваемость</w:t>
            </w:r>
          </w:p>
        </w:tc>
        <w:tc>
          <w:tcPr>
            <w:tcW w:w="736"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13</w:t>
            </w:r>
          </w:p>
        </w:tc>
        <w:tc>
          <w:tcPr>
            <w:tcW w:w="1405"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30,5</w:t>
            </w:r>
          </w:p>
        </w:tc>
        <w:tc>
          <w:tcPr>
            <w:tcW w:w="894"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23</w:t>
            </w:r>
          </w:p>
        </w:tc>
        <w:tc>
          <w:tcPr>
            <w:tcW w:w="965"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55,8</w:t>
            </w:r>
          </w:p>
        </w:tc>
        <w:tc>
          <w:tcPr>
            <w:tcW w:w="1160"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13</w:t>
            </w:r>
          </w:p>
        </w:tc>
        <w:tc>
          <w:tcPr>
            <w:tcW w:w="966"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32,6</w:t>
            </w:r>
          </w:p>
        </w:tc>
      </w:tr>
      <w:tr w:rsidR="00630798" w:rsidRPr="00A47BC3" w:rsidTr="00630798">
        <w:trPr>
          <w:cantSplit/>
          <w:trHeight w:val="348"/>
        </w:trPr>
        <w:tc>
          <w:tcPr>
            <w:tcW w:w="3148"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В т.ч. ВК+</w:t>
            </w:r>
          </w:p>
        </w:tc>
        <w:tc>
          <w:tcPr>
            <w:tcW w:w="736"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6</w:t>
            </w:r>
          </w:p>
        </w:tc>
        <w:tc>
          <w:tcPr>
            <w:tcW w:w="1405"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14,1</w:t>
            </w:r>
          </w:p>
        </w:tc>
        <w:tc>
          <w:tcPr>
            <w:tcW w:w="894"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13</w:t>
            </w:r>
          </w:p>
        </w:tc>
        <w:tc>
          <w:tcPr>
            <w:tcW w:w="965"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13,5</w:t>
            </w:r>
          </w:p>
        </w:tc>
        <w:tc>
          <w:tcPr>
            <w:tcW w:w="1160"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4</w:t>
            </w:r>
          </w:p>
        </w:tc>
        <w:tc>
          <w:tcPr>
            <w:tcW w:w="966" w:type="dxa"/>
          </w:tcPr>
          <w:p w:rsidR="00630798" w:rsidRPr="00A47BC3" w:rsidRDefault="00630798" w:rsidP="00A47BC3">
            <w:pPr>
              <w:spacing w:after="0" w:line="240" w:lineRule="auto"/>
              <w:jc w:val="center"/>
              <w:rPr>
                <w:rFonts w:ascii="Times New Roman" w:hAnsi="Times New Roman" w:cs="Times New Roman"/>
              </w:rPr>
            </w:pPr>
            <w:r w:rsidRPr="00A47BC3">
              <w:rPr>
                <w:rFonts w:ascii="Times New Roman" w:hAnsi="Times New Roman" w:cs="Times New Roman"/>
              </w:rPr>
              <w:t>10,0</w:t>
            </w:r>
          </w:p>
        </w:tc>
      </w:tr>
    </w:tbl>
    <w:p w:rsidR="00630798" w:rsidRPr="00A47BC3" w:rsidRDefault="00630798" w:rsidP="00A47BC3">
      <w:pPr>
        <w:spacing w:after="0" w:line="240" w:lineRule="auto"/>
        <w:ind w:firstLine="708"/>
        <w:jc w:val="both"/>
        <w:rPr>
          <w:rFonts w:ascii="Times New Roman" w:hAnsi="Times New Roman" w:cs="Times New Roman"/>
          <w:sz w:val="24"/>
          <w:szCs w:val="24"/>
        </w:rPr>
      </w:pPr>
      <w:r w:rsidRPr="00A47BC3">
        <w:rPr>
          <w:rFonts w:ascii="Times New Roman" w:hAnsi="Times New Roman" w:cs="Times New Roman"/>
          <w:sz w:val="24"/>
          <w:szCs w:val="24"/>
        </w:rPr>
        <w:lastRenderedPageBreak/>
        <w:t>В структуре заболевания в 2020 году  преобладает очаговый (14,2%) и диссеминированный (11,4%) туберкулёз. Среди заболевания туберкулезом с сочетанной с ВИЧ-инфекцией 8,5% составляет диссеминированный туберкулёз легких. В отчетном году выявлена генерализованная форма туберкулеза с сочетанной ВИЧ- инфекцией,  прибыл из ИТУ. Смертности от туберкулеза в отчетном году в г.Пыть-Ях – не было. Умерло больных активным туберкулезом от других причин: всего 6 случаев, из которых 5  умерло от ВИЧ/СПИД и 1 случай смерти от ОСН.</w:t>
      </w:r>
    </w:p>
    <w:p w:rsidR="00630798" w:rsidRPr="00A47BC3" w:rsidRDefault="00630798" w:rsidP="00A47BC3">
      <w:pPr>
        <w:pStyle w:val="33"/>
        <w:spacing w:line="240" w:lineRule="auto"/>
        <w:ind w:firstLine="708"/>
        <w:rPr>
          <w:sz w:val="24"/>
          <w:szCs w:val="24"/>
        </w:rPr>
      </w:pPr>
      <w:r w:rsidRPr="00A47BC3">
        <w:rPr>
          <w:sz w:val="24"/>
          <w:szCs w:val="24"/>
        </w:rPr>
        <w:t>Показатель охвата детей туберкулинодиагностикой в 2020г незначительно вырос и составил 99,02 % от числа подлежащих (в 2019г-98,9%,в  2018 году - 98,5%). Все медотводы обоснованы, отказы родителей зарегистрированы.</w:t>
      </w:r>
    </w:p>
    <w:p w:rsidR="00630798" w:rsidRPr="00A47BC3" w:rsidRDefault="00630798" w:rsidP="00A47BC3">
      <w:pPr>
        <w:spacing w:after="0" w:line="240" w:lineRule="auto"/>
        <w:ind w:firstLine="708"/>
        <w:jc w:val="both"/>
        <w:rPr>
          <w:rFonts w:ascii="Times New Roman" w:hAnsi="Times New Roman" w:cs="Times New Roman"/>
          <w:sz w:val="24"/>
          <w:szCs w:val="24"/>
        </w:rPr>
      </w:pPr>
      <w:r w:rsidRPr="00A47BC3">
        <w:rPr>
          <w:rFonts w:ascii="Times New Roman" w:hAnsi="Times New Roman" w:cs="Times New Roman"/>
          <w:sz w:val="24"/>
          <w:szCs w:val="24"/>
        </w:rPr>
        <w:t>На учёте в тубкабинете на конец 2020 года состоит 40 детей с риском по заболеваемости туберкулезом и 26 детей из семейных контактов, из них 6 детей из бациллярных очагов, которые регулярно обследуются и получают контролируемое лечение:</w:t>
      </w:r>
    </w:p>
    <w:p w:rsidR="00630798" w:rsidRPr="00A47BC3" w:rsidRDefault="00630798" w:rsidP="00A47BC3">
      <w:pPr>
        <w:spacing w:after="0" w:line="240" w:lineRule="auto"/>
        <w:ind w:firstLine="708"/>
        <w:jc w:val="both"/>
        <w:rPr>
          <w:rFonts w:ascii="Times New Roman" w:hAnsi="Times New Roman" w:cs="Times New Roman"/>
          <w:sz w:val="24"/>
          <w:szCs w:val="24"/>
        </w:rPr>
      </w:pPr>
      <w:r w:rsidRPr="00A47BC3">
        <w:rPr>
          <w:rFonts w:ascii="Times New Roman" w:hAnsi="Times New Roman" w:cs="Times New Roman"/>
          <w:sz w:val="24"/>
          <w:szCs w:val="24"/>
        </w:rPr>
        <w:t>Количество детей с виражом тубпроб в  2020г-11 ( 0,13%), 2019 г. - 7 чел. (0,08 %) (2018 г.-14 (0,14 %), с нарастание пробы вв 2020г-0,  2019 г. – 19 чел. (0,2 %) .</w:t>
      </w:r>
    </w:p>
    <w:p w:rsidR="00630798" w:rsidRPr="00A47BC3" w:rsidRDefault="00630798" w:rsidP="00A47BC3">
      <w:pPr>
        <w:spacing w:after="0" w:line="240" w:lineRule="auto"/>
        <w:ind w:firstLine="708"/>
        <w:jc w:val="both"/>
        <w:rPr>
          <w:rFonts w:ascii="Times New Roman" w:hAnsi="Times New Roman" w:cs="Times New Roman"/>
          <w:sz w:val="24"/>
          <w:szCs w:val="24"/>
        </w:rPr>
      </w:pPr>
      <w:r w:rsidRPr="00A47BC3">
        <w:rPr>
          <w:rFonts w:ascii="Times New Roman" w:hAnsi="Times New Roman" w:cs="Times New Roman"/>
          <w:sz w:val="24"/>
          <w:szCs w:val="24"/>
        </w:rPr>
        <w:t>В 2020 г. процент вакцинации от туберкулеза новорожденных составил 91,06%, (в 2019г-92,2 % ,в 2018г.-97,6%).</w:t>
      </w:r>
    </w:p>
    <w:p w:rsidR="00630798" w:rsidRPr="00A47BC3" w:rsidRDefault="00630798" w:rsidP="00A47BC3">
      <w:pPr>
        <w:spacing w:after="0" w:line="240" w:lineRule="auto"/>
        <w:ind w:firstLine="708"/>
        <w:jc w:val="both"/>
        <w:rPr>
          <w:rFonts w:ascii="Times New Roman" w:hAnsi="Times New Roman" w:cs="Times New Roman"/>
          <w:sz w:val="24"/>
          <w:szCs w:val="24"/>
        </w:rPr>
      </w:pPr>
      <w:r w:rsidRPr="00A47BC3">
        <w:rPr>
          <w:rFonts w:ascii="Times New Roman" w:hAnsi="Times New Roman" w:cs="Times New Roman"/>
          <w:spacing w:val="20"/>
          <w:sz w:val="24"/>
          <w:szCs w:val="24"/>
        </w:rPr>
        <w:t xml:space="preserve">Ревакцинация детей 6-7 лет: </w:t>
      </w:r>
    </w:p>
    <w:p w:rsidR="00630798" w:rsidRPr="00A47BC3" w:rsidRDefault="00630798" w:rsidP="00A47BC3">
      <w:pPr>
        <w:spacing w:after="0" w:line="240" w:lineRule="auto"/>
        <w:ind w:firstLine="708"/>
        <w:jc w:val="both"/>
        <w:rPr>
          <w:rFonts w:ascii="Times New Roman" w:hAnsi="Times New Roman" w:cs="Times New Roman"/>
          <w:spacing w:val="20"/>
          <w:sz w:val="24"/>
          <w:szCs w:val="24"/>
        </w:rPr>
      </w:pPr>
      <w:r w:rsidRPr="00A47BC3">
        <w:rPr>
          <w:rFonts w:ascii="Times New Roman" w:hAnsi="Times New Roman" w:cs="Times New Roman"/>
          <w:spacing w:val="20"/>
          <w:sz w:val="24"/>
          <w:szCs w:val="24"/>
        </w:rPr>
        <w:t>За 2018г - 109 детей имеют отрицательную р. Манту, ревакцинирован 51 человек, что составило 46,7% от подлежащих.</w:t>
      </w:r>
    </w:p>
    <w:p w:rsidR="00630798" w:rsidRPr="00A47BC3" w:rsidRDefault="00630798" w:rsidP="00A47BC3">
      <w:pPr>
        <w:spacing w:after="0" w:line="240" w:lineRule="auto"/>
        <w:ind w:firstLine="708"/>
        <w:jc w:val="both"/>
        <w:rPr>
          <w:rFonts w:ascii="Times New Roman" w:hAnsi="Times New Roman" w:cs="Times New Roman"/>
          <w:spacing w:val="20"/>
          <w:sz w:val="24"/>
          <w:szCs w:val="24"/>
        </w:rPr>
      </w:pPr>
      <w:r w:rsidRPr="00A47BC3">
        <w:rPr>
          <w:rFonts w:ascii="Times New Roman" w:hAnsi="Times New Roman" w:cs="Times New Roman"/>
          <w:spacing w:val="20"/>
          <w:sz w:val="24"/>
          <w:szCs w:val="24"/>
        </w:rPr>
        <w:t>За 2019</w:t>
      </w:r>
      <w:r w:rsidR="00A47BC3">
        <w:rPr>
          <w:rFonts w:ascii="Times New Roman" w:hAnsi="Times New Roman" w:cs="Times New Roman"/>
          <w:spacing w:val="20"/>
          <w:sz w:val="24"/>
          <w:szCs w:val="24"/>
        </w:rPr>
        <w:t xml:space="preserve">г - </w:t>
      </w:r>
      <w:r w:rsidRPr="00A47BC3">
        <w:rPr>
          <w:rFonts w:ascii="Times New Roman" w:hAnsi="Times New Roman" w:cs="Times New Roman"/>
          <w:spacing w:val="20"/>
          <w:sz w:val="24"/>
          <w:szCs w:val="24"/>
        </w:rPr>
        <w:t xml:space="preserve">128 детей имеют отрицательную р. Манту, ревакцинированы 40 человек, что составило 32,1% от подлежащих. </w:t>
      </w:r>
    </w:p>
    <w:p w:rsidR="00630798" w:rsidRPr="00A47BC3" w:rsidRDefault="00630798" w:rsidP="00A47BC3">
      <w:pPr>
        <w:spacing w:after="0" w:line="240" w:lineRule="auto"/>
        <w:ind w:firstLine="708"/>
        <w:jc w:val="both"/>
        <w:rPr>
          <w:rFonts w:ascii="Times New Roman" w:hAnsi="Times New Roman" w:cs="Times New Roman"/>
          <w:sz w:val="24"/>
          <w:szCs w:val="24"/>
        </w:rPr>
      </w:pPr>
      <w:r w:rsidRPr="00A47BC3">
        <w:rPr>
          <w:rFonts w:ascii="Times New Roman" w:hAnsi="Times New Roman" w:cs="Times New Roman"/>
          <w:sz w:val="24"/>
          <w:szCs w:val="24"/>
        </w:rPr>
        <w:t xml:space="preserve">За 2020г - 81 ребенок имеет отрицательную р Манту, ревакцинированы  77 чел, что составило 95,7%. </w:t>
      </w:r>
    </w:p>
    <w:p w:rsidR="00630798" w:rsidRPr="00A47BC3" w:rsidRDefault="00630798" w:rsidP="00A47BC3">
      <w:pPr>
        <w:shd w:val="clear" w:color="auto" w:fill="FFFFFF"/>
        <w:spacing w:after="0" w:line="240" w:lineRule="auto"/>
        <w:ind w:right="-438"/>
        <w:jc w:val="both"/>
        <w:rPr>
          <w:rFonts w:ascii="Times New Roman" w:hAnsi="Times New Roman" w:cs="Times New Roman"/>
          <w:sz w:val="24"/>
          <w:szCs w:val="24"/>
        </w:rPr>
      </w:pPr>
      <w:r w:rsidRPr="00A47BC3">
        <w:rPr>
          <w:rFonts w:ascii="Times New Roman" w:hAnsi="Times New Roman" w:cs="Times New Roman"/>
          <w:sz w:val="24"/>
          <w:szCs w:val="24"/>
        </w:rPr>
        <w:t>Заключительная дезинфекция в 2020 г  проведена в100% случаев - 13 очагах, включая камерную дезинфекцию (в 2019-20, в 2018г.-в 13 очагах,).</w:t>
      </w:r>
    </w:p>
    <w:p w:rsidR="00630798" w:rsidRPr="00A47BC3" w:rsidRDefault="00630798" w:rsidP="00A47BC3">
      <w:pPr>
        <w:spacing w:after="0" w:line="240" w:lineRule="auto"/>
        <w:ind w:firstLine="708"/>
        <w:jc w:val="both"/>
        <w:rPr>
          <w:rFonts w:ascii="Times New Roman" w:hAnsi="Times New Roman" w:cs="Times New Roman"/>
          <w:sz w:val="24"/>
          <w:szCs w:val="24"/>
        </w:rPr>
      </w:pPr>
      <w:r w:rsidRPr="00A47BC3">
        <w:rPr>
          <w:rFonts w:ascii="Times New Roman" w:hAnsi="Times New Roman" w:cs="Times New Roman"/>
          <w:sz w:val="24"/>
          <w:szCs w:val="24"/>
        </w:rPr>
        <w:t>Процент охвата населения флюорографическим обследованием в 202году ниже, чем в 2019году на 1,8% ( в 2019 г. составил 99,3 %,  что ниже  на 0,1 % чем в   2018 году (99,4%).</w:t>
      </w:r>
    </w:p>
    <w:p w:rsidR="00630798" w:rsidRPr="00A47BC3" w:rsidRDefault="00630798" w:rsidP="00A47BC3">
      <w:pPr>
        <w:shd w:val="clear" w:color="auto" w:fill="FFFFFF"/>
        <w:suppressAutoHyphens/>
        <w:spacing w:after="0" w:line="240" w:lineRule="auto"/>
        <w:ind w:right="-438" w:firstLine="708"/>
        <w:jc w:val="both"/>
        <w:rPr>
          <w:rFonts w:ascii="Times New Roman" w:hAnsi="Times New Roman" w:cs="Times New Roman"/>
          <w:sz w:val="24"/>
          <w:szCs w:val="24"/>
        </w:rPr>
      </w:pPr>
      <w:r w:rsidRPr="00A47BC3">
        <w:rPr>
          <w:rFonts w:ascii="Times New Roman" w:hAnsi="Times New Roman" w:cs="Times New Roman"/>
          <w:noProof/>
          <w:sz w:val="24"/>
          <w:szCs w:val="24"/>
          <w:lang w:eastAsia="ru-RU"/>
        </w:rPr>
        <w:drawing>
          <wp:anchor distT="0" distB="0" distL="114300" distR="114300" simplePos="0" relativeHeight="251673600" behindDoc="0" locked="0" layoutInCell="1" allowOverlap="1">
            <wp:simplePos x="0" y="0"/>
            <wp:positionH relativeFrom="column">
              <wp:posOffset>333375</wp:posOffset>
            </wp:positionH>
            <wp:positionV relativeFrom="paragraph">
              <wp:posOffset>1183005</wp:posOffset>
            </wp:positionV>
            <wp:extent cx="6069965" cy="2346960"/>
            <wp:effectExtent l="0" t="0" r="1905" b="1905"/>
            <wp:wrapTopAndBottom/>
            <wp:docPr id="30" name="Диаграмма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page">
              <wp14:pctWidth>0</wp14:pctWidth>
            </wp14:sizeRelH>
            <wp14:sizeRelV relativeFrom="page">
              <wp14:pctHeight>0</wp14:pctHeight>
            </wp14:sizeRelV>
          </wp:anchor>
        </w:drawing>
      </w:r>
      <w:r w:rsidRPr="00A47BC3">
        <w:rPr>
          <w:rFonts w:ascii="Times New Roman" w:hAnsi="Times New Roman" w:cs="Times New Roman"/>
          <w:noProof/>
          <w:sz w:val="24"/>
          <w:szCs w:val="24"/>
        </w:rPr>
        <w:t>Эпид. неблагополучие по туберкулезу</w:t>
      </w:r>
      <w:r w:rsidRPr="00A47BC3">
        <w:rPr>
          <w:rFonts w:ascii="Times New Roman" w:hAnsi="Times New Roman" w:cs="Times New Roman"/>
          <w:sz w:val="24"/>
          <w:szCs w:val="24"/>
        </w:rPr>
        <w:t xml:space="preserve"> обуславливается: отсутствием у большинства больных в том числе и БК + изолированной жилой площади, отсутствием противотуберкулезного диспансерного отделения в городе,  дефицитом противотуберкулезных препаратов нового поколения, действующих на резистентные штаммы микобактерий туберкулеза.</w:t>
      </w:r>
    </w:p>
    <w:p w:rsidR="00630798" w:rsidRPr="00A47BC3" w:rsidRDefault="00630798" w:rsidP="00A47BC3">
      <w:pPr>
        <w:spacing w:after="0" w:line="240" w:lineRule="auto"/>
        <w:ind w:firstLine="708"/>
        <w:jc w:val="center"/>
        <w:rPr>
          <w:rFonts w:ascii="Times New Roman" w:hAnsi="Times New Roman" w:cs="Times New Roman"/>
          <w:sz w:val="24"/>
          <w:szCs w:val="24"/>
          <w:highlight w:val="yellow"/>
        </w:rPr>
      </w:pPr>
      <w:r w:rsidRPr="00A47BC3">
        <w:rPr>
          <w:rFonts w:ascii="Times New Roman" w:hAnsi="Times New Roman" w:cs="Times New Roman"/>
          <w:sz w:val="24"/>
          <w:szCs w:val="24"/>
        </w:rPr>
        <w:t>Рис. № 9. Флюорографическое обследование населения</w:t>
      </w:r>
    </w:p>
    <w:p w:rsidR="00A47BC3" w:rsidRDefault="00A47BC3" w:rsidP="00630798">
      <w:pPr>
        <w:ind w:firstLine="708"/>
        <w:jc w:val="right"/>
        <w:rPr>
          <w:rFonts w:ascii="Times New Roman" w:hAnsi="Times New Roman" w:cs="Times New Roman"/>
          <w:sz w:val="24"/>
          <w:szCs w:val="24"/>
        </w:rPr>
      </w:pPr>
    </w:p>
    <w:p w:rsidR="00A47BC3" w:rsidRDefault="00A47BC3" w:rsidP="00630798">
      <w:pPr>
        <w:ind w:firstLine="708"/>
        <w:jc w:val="right"/>
        <w:rPr>
          <w:rFonts w:ascii="Times New Roman" w:hAnsi="Times New Roman" w:cs="Times New Roman"/>
          <w:sz w:val="24"/>
          <w:szCs w:val="24"/>
        </w:rPr>
      </w:pPr>
    </w:p>
    <w:p w:rsidR="00A47BC3" w:rsidRDefault="00A47BC3" w:rsidP="00630798">
      <w:pPr>
        <w:ind w:firstLine="708"/>
        <w:jc w:val="right"/>
        <w:rPr>
          <w:rFonts w:ascii="Times New Roman" w:hAnsi="Times New Roman" w:cs="Times New Roman"/>
          <w:sz w:val="24"/>
          <w:szCs w:val="24"/>
        </w:rPr>
      </w:pPr>
    </w:p>
    <w:p w:rsidR="00630798" w:rsidRPr="00A47BC3" w:rsidRDefault="00630798" w:rsidP="00630798">
      <w:pPr>
        <w:ind w:firstLine="708"/>
        <w:jc w:val="right"/>
        <w:rPr>
          <w:rFonts w:ascii="Times New Roman" w:hAnsi="Times New Roman" w:cs="Times New Roman"/>
          <w:sz w:val="24"/>
          <w:szCs w:val="24"/>
        </w:rPr>
      </w:pPr>
      <w:r w:rsidRPr="00A47BC3">
        <w:rPr>
          <w:rFonts w:ascii="Times New Roman" w:hAnsi="Times New Roman" w:cs="Times New Roman"/>
          <w:sz w:val="24"/>
          <w:szCs w:val="24"/>
        </w:rPr>
        <w:lastRenderedPageBreak/>
        <w:t>Таблица № 32</w:t>
      </w:r>
    </w:p>
    <w:p w:rsidR="00630798" w:rsidRPr="00A47BC3" w:rsidRDefault="00630798" w:rsidP="00630798">
      <w:pPr>
        <w:pStyle w:val="a5"/>
        <w:rPr>
          <w:b/>
          <w:sz w:val="24"/>
          <w:szCs w:val="24"/>
        </w:rPr>
      </w:pPr>
      <w:r w:rsidRPr="00A47BC3">
        <w:rPr>
          <w:b/>
          <w:sz w:val="24"/>
          <w:szCs w:val="24"/>
        </w:rPr>
        <w:t>Заболеваемость туберкулезом среди социальных групп населения</w:t>
      </w:r>
    </w:p>
    <w:p w:rsidR="00630798" w:rsidRPr="00A47BC3" w:rsidRDefault="00630798" w:rsidP="00630798">
      <w:pPr>
        <w:pStyle w:val="a5"/>
        <w:rPr>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2933"/>
        <w:gridCol w:w="1866"/>
        <w:gridCol w:w="1867"/>
        <w:gridCol w:w="1869"/>
      </w:tblGrid>
      <w:tr w:rsidR="00630798" w:rsidRPr="00582568" w:rsidTr="00630798">
        <w:tc>
          <w:tcPr>
            <w:tcW w:w="817" w:type="dxa"/>
          </w:tcPr>
          <w:p w:rsidR="00630798" w:rsidRPr="009270A3" w:rsidRDefault="00630798" w:rsidP="00630798">
            <w:pPr>
              <w:pStyle w:val="a5"/>
              <w:rPr>
                <w:sz w:val="22"/>
                <w:szCs w:val="22"/>
                <w:lang w:val="ru-RU" w:eastAsia="ru-RU"/>
              </w:rPr>
            </w:pPr>
            <w:r w:rsidRPr="009270A3">
              <w:rPr>
                <w:sz w:val="22"/>
                <w:szCs w:val="22"/>
                <w:lang w:val="ru-RU" w:eastAsia="ru-RU"/>
              </w:rPr>
              <w:t>№ п/п</w:t>
            </w:r>
          </w:p>
        </w:tc>
        <w:tc>
          <w:tcPr>
            <w:tcW w:w="2949" w:type="dxa"/>
          </w:tcPr>
          <w:p w:rsidR="00630798" w:rsidRPr="009270A3" w:rsidRDefault="00630798" w:rsidP="00630798">
            <w:pPr>
              <w:pStyle w:val="a5"/>
              <w:rPr>
                <w:sz w:val="22"/>
                <w:szCs w:val="22"/>
                <w:lang w:val="ru-RU" w:eastAsia="ru-RU"/>
              </w:rPr>
            </w:pPr>
            <w:r w:rsidRPr="009270A3">
              <w:rPr>
                <w:sz w:val="22"/>
                <w:szCs w:val="22"/>
                <w:lang w:val="ru-RU" w:eastAsia="ru-RU"/>
              </w:rPr>
              <w:t>Социальная группа</w:t>
            </w:r>
          </w:p>
        </w:tc>
        <w:tc>
          <w:tcPr>
            <w:tcW w:w="1883" w:type="dxa"/>
            <w:vAlign w:val="center"/>
          </w:tcPr>
          <w:p w:rsidR="00630798" w:rsidRPr="009270A3" w:rsidRDefault="00630798" w:rsidP="00630798">
            <w:pPr>
              <w:pStyle w:val="a5"/>
              <w:rPr>
                <w:sz w:val="22"/>
                <w:szCs w:val="22"/>
                <w:lang w:val="ru-RU" w:eastAsia="ru-RU"/>
              </w:rPr>
            </w:pPr>
            <w:r w:rsidRPr="009270A3">
              <w:rPr>
                <w:sz w:val="22"/>
                <w:szCs w:val="22"/>
                <w:lang w:val="ru-RU" w:eastAsia="ru-RU"/>
              </w:rPr>
              <w:t>2018г.</w:t>
            </w:r>
          </w:p>
        </w:tc>
        <w:tc>
          <w:tcPr>
            <w:tcW w:w="1884" w:type="dxa"/>
            <w:vAlign w:val="center"/>
          </w:tcPr>
          <w:p w:rsidR="00630798" w:rsidRPr="009270A3" w:rsidRDefault="00630798" w:rsidP="00630798">
            <w:pPr>
              <w:pStyle w:val="a5"/>
              <w:rPr>
                <w:sz w:val="22"/>
                <w:szCs w:val="22"/>
                <w:lang w:val="ru-RU" w:eastAsia="ru-RU"/>
              </w:rPr>
            </w:pPr>
            <w:r w:rsidRPr="009270A3">
              <w:rPr>
                <w:sz w:val="22"/>
                <w:szCs w:val="22"/>
                <w:lang w:val="ru-RU" w:eastAsia="ru-RU"/>
              </w:rPr>
              <w:t>2019г.</w:t>
            </w:r>
          </w:p>
        </w:tc>
        <w:tc>
          <w:tcPr>
            <w:tcW w:w="1884" w:type="dxa"/>
            <w:vAlign w:val="center"/>
          </w:tcPr>
          <w:p w:rsidR="00630798" w:rsidRPr="00582568" w:rsidRDefault="00630798" w:rsidP="00630798">
            <w:pPr>
              <w:pStyle w:val="a5"/>
              <w:rPr>
                <w:sz w:val="22"/>
                <w:szCs w:val="22"/>
                <w:highlight w:val="yellow"/>
                <w:lang w:val="ru-RU" w:eastAsia="ru-RU"/>
              </w:rPr>
            </w:pPr>
            <w:r w:rsidRPr="00B52483">
              <w:rPr>
                <w:sz w:val="22"/>
                <w:szCs w:val="22"/>
                <w:lang w:val="ru-RU" w:eastAsia="ru-RU"/>
              </w:rPr>
              <w:t>2020г.</w:t>
            </w:r>
          </w:p>
        </w:tc>
      </w:tr>
      <w:tr w:rsidR="00630798" w:rsidRPr="00582568" w:rsidTr="00630798">
        <w:tc>
          <w:tcPr>
            <w:tcW w:w="817" w:type="dxa"/>
          </w:tcPr>
          <w:p w:rsidR="00630798" w:rsidRPr="009270A3" w:rsidRDefault="00630798" w:rsidP="00630798">
            <w:pPr>
              <w:pStyle w:val="a5"/>
              <w:rPr>
                <w:sz w:val="22"/>
                <w:szCs w:val="22"/>
                <w:lang w:val="ru-RU" w:eastAsia="ru-RU"/>
              </w:rPr>
            </w:pPr>
            <w:r w:rsidRPr="009270A3">
              <w:rPr>
                <w:sz w:val="22"/>
                <w:szCs w:val="22"/>
                <w:lang w:val="ru-RU" w:eastAsia="ru-RU"/>
              </w:rPr>
              <w:t>1</w:t>
            </w:r>
          </w:p>
        </w:tc>
        <w:tc>
          <w:tcPr>
            <w:tcW w:w="2949" w:type="dxa"/>
          </w:tcPr>
          <w:p w:rsidR="00630798" w:rsidRPr="009270A3" w:rsidRDefault="00630798" w:rsidP="00630798">
            <w:pPr>
              <w:pStyle w:val="a5"/>
              <w:rPr>
                <w:sz w:val="22"/>
                <w:szCs w:val="22"/>
                <w:lang w:val="ru-RU" w:eastAsia="ru-RU"/>
              </w:rPr>
            </w:pPr>
            <w:r w:rsidRPr="009270A3">
              <w:rPr>
                <w:sz w:val="22"/>
                <w:szCs w:val="22"/>
                <w:lang w:val="ru-RU" w:eastAsia="ru-RU"/>
              </w:rPr>
              <w:t>Рабочие</w:t>
            </w:r>
          </w:p>
        </w:tc>
        <w:tc>
          <w:tcPr>
            <w:tcW w:w="1883" w:type="dxa"/>
          </w:tcPr>
          <w:p w:rsidR="00630798" w:rsidRPr="009270A3" w:rsidRDefault="00630798" w:rsidP="00630798">
            <w:pPr>
              <w:pStyle w:val="a5"/>
              <w:rPr>
                <w:sz w:val="22"/>
                <w:szCs w:val="22"/>
                <w:lang w:val="ru-RU" w:eastAsia="ru-RU"/>
              </w:rPr>
            </w:pPr>
            <w:r w:rsidRPr="009270A3">
              <w:rPr>
                <w:sz w:val="22"/>
                <w:szCs w:val="22"/>
              </w:rPr>
              <w:t>3</w:t>
            </w:r>
          </w:p>
        </w:tc>
        <w:tc>
          <w:tcPr>
            <w:tcW w:w="1884" w:type="dxa"/>
          </w:tcPr>
          <w:p w:rsidR="00630798" w:rsidRPr="009270A3" w:rsidRDefault="00630798" w:rsidP="00630798">
            <w:pPr>
              <w:pStyle w:val="a5"/>
              <w:rPr>
                <w:sz w:val="22"/>
                <w:szCs w:val="22"/>
                <w:lang w:val="ru-RU" w:eastAsia="ru-RU"/>
              </w:rPr>
            </w:pPr>
            <w:r w:rsidRPr="009270A3">
              <w:rPr>
                <w:sz w:val="22"/>
                <w:szCs w:val="22"/>
              </w:rPr>
              <w:t>4</w:t>
            </w:r>
          </w:p>
        </w:tc>
        <w:tc>
          <w:tcPr>
            <w:tcW w:w="1884" w:type="dxa"/>
            <w:tcBorders>
              <w:top w:val="single" w:sz="4" w:space="0" w:color="auto"/>
              <w:left w:val="single" w:sz="4" w:space="0" w:color="000000"/>
              <w:bottom w:val="single" w:sz="4" w:space="0" w:color="000000"/>
              <w:right w:val="single" w:sz="4" w:space="0" w:color="000000"/>
            </w:tcBorders>
          </w:tcPr>
          <w:p w:rsidR="00630798" w:rsidRPr="00AF600D" w:rsidRDefault="00630798" w:rsidP="00630798">
            <w:pPr>
              <w:snapToGrid w:val="0"/>
              <w:jc w:val="center"/>
              <w:rPr>
                <w:sz w:val="28"/>
                <w:szCs w:val="28"/>
              </w:rPr>
            </w:pPr>
            <w:r w:rsidRPr="00AF600D">
              <w:rPr>
                <w:sz w:val="28"/>
                <w:szCs w:val="28"/>
              </w:rPr>
              <w:t>1</w:t>
            </w:r>
          </w:p>
        </w:tc>
      </w:tr>
      <w:tr w:rsidR="00630798" w:rsidRPr="00582568" w:rsidTr="00630798">
        <w:tc>
          <w:tcPr>
            <w:tcW w:w="817" w:type="dxa"/>
          </w:tcPr>
          <w:p w:rsidR="00630798" w:rsidRPr="009270A3" w:rsidRDefault="00630798" w:rsidP="00630798">
            <w:pPr>
              <w:pStyle w:val="a5"/>
              <w:rPr>
                <w:sz w:val="22"/>
                <w:szCs w:val="22"/>
                <w:lang w:val="ru-RU" w:eastAsia="ru-RU"/>
              </w:rPr>
            </w:pPr>
            <w:r w:rsidRPr="009270A3">
              <w:rPr>
                <w:sz w:val="22"/>
                <w:szCs w:val="22"/>
                <w:lang w:val="ru-RU" w:eastAsia="ru-RU"/>
              </w:rPr>
              <w:t>2</w:t>
            </w:r>
          </w:p>
        </w:tc>
        <w:tc>
          <w:tcPr>
            <w:tcW w:w="2949" w:type="dxa"/>
          </w:tcPr>
          <w:p w:rsidR="00630798" w:rsidRPr="009270A3" w:rsidRDefault="00630798" w:rsidP="00630798">
            <w:pPr>
              <w:pStyle w:val="a5"/>
              <w:rPr>
                <w:sz w:val="22"/>
                <w:szCs w:val="22"/>
                <w:lang w:val="ru-RU" w:eastAsia="ru-RU"/>
              </w:rPr>
            </w:pPr>
            <w:r w:rsidRPr="009270A3">
              <w:rPr>
                <w:sz w:val="22"/>
                <w:szCs w:val="22"/>
                <w:lang w:val="ru-RU" w:eastAsia="ru-RU"/>
              </w:rPr>
              <w:t>Служащие</w:t>
            </w:r>
          </w:p>
        </w:tc>
        <w:tc>
          <w:tcPr>
            <w:tcW w:w="1883" w:type="dxa"/>
          </w:tcPr>
          <w:p w:rsidR="00630798" w:rsidRPr="009270A3" w:rsidRDefault="00630798" w:rsidP="00630798">
            <w:pPr>
              <w:pStyle w:val="a5"/>
              <w:rPr>
                <w:sz w:val="22"/>
                <w:szCs w:val="22"/>
                <w:lang w:val="ru-RU" w:eastAsia="ru-RU"/>
              </w:rPr>
            </w:pPr>
            <w:r w:rsidRPr="009270A3">
              <w:rPr>
                <w:sz w:val="22"/>
                <w:szCs w:val="22"/>
              </w:rPr>
              <w:t>0</w:t>
            </w:r>
          </w:p>
        </w:tc>
        <w:tc>
          <w:tcPr>
            <w:tcW w:w="1884" w:type="dxa"/>
          </w:tcPr>
          <w:p w:rsidR="00630798" w:rsidRPr="009270A3" w:rsidRDefault="00630798" w:rsidP="00630798">
            <w:pPr>
              <w:pStyle w:val="a5"/>
              <w:rPr>
                <w:sz w:val="22"/>
                <w:szCs w:val="22"/>
                <w:lang w:val="ru-RU" w:eastAsia="ru-RU"/>
              </w:rPr>
            </w:pPr>
            <w:r w:rsidRPr="009270A3">
              <w:rPr>
                <w:sz w:val="22"/>
                <w:szCs w:val="22"/>
              </w:rPr>
              <w:t>0</w:t>
            </w:r>
          </w:p>
        </w:tc>
        <w:tc>
          <w:tcPr>
            <w:tcW w:w="1884" w:type="dxa"/>
            <w:tcBorders>
              <w:left w:val="single" w:sz="4" w:space="0" w:color="000000"/>
              <w:bottom w:val="single" w:sz="4" w:space="0" w:color="000000"/>
              <w:right w:val="single" w:sz="4" w:space="0" w:color="auto"/>
            </w:tcBorders>
          </w:tcPr>
          <w:p w:rsidR="00630798" w:rsidRPr="00AF600D" w:rsidRDefault="00630798" w:rsidP="00630798">
            <w:pPr>
              <w:snapToGrid w:val="0"/>
              <w:jc w:val="center"/>
              <w:rPr>
                <w:sz w:val="28"/>
                <w:szCs w:val="28"/>
              </w:rPr>
            </w:pPr>
          </w:p>
        </w:tc>
      </w:tr>
      <w:tr w:rsidR="00630798" w:rsidRPr="00582568" w:rsidTr="00630798">
        <w:tc>
          <w:tcPr>
            <w:tcW w:w="817" w:type="dxa"/>
          </w:tcPr>
          <w:p w:rsidR="00630798" w:rsidRPr="009270A3" w:rsidRDefault="00630798" w:rsidP="00630798">
            <w:pPr>
              <w:pStyle w:val="a5"/>
              <w:rPr>
                <w:sz w:val="22"/>
                <w:szCs w:val="22"/>
                <w:lang w:val="ru-RU" w:eastAsia="ru-RU"/>
              </w:rPr>
            </w:pPr>
            <w:r w:rsidRPr="009270A3">
              <w:rPr>
                <w:sz w:val="22"/>
                <w:szCs w:val="22"/>
                <w:lang w:val="ru-RU" w:eastAsia="ru-RU"/>
              </w:rPr>
              <w:t>3</w:t>
            </w:r>
          </w:p>
        </w:tc>
        <w:tc>
          <w:tcPr>
            <w:tcW w:w="2949" w:type="dxa"/>
          </w:tcPr>
          <w:p w:rsidR="00630798" w:rsidRPr="009270A3" w:rsidRDefault="00630798" w:rsidP="00630798">
            <w:pPr>
              <w:pStyle w:val="a5"/>
              <w:rPr>
                <w:sz w:val="22"/>
                <w:szCs w:val="22"/>
                <w:lang w:val="ru-RU" w:eastAsia="ru-RU"/>
              </w:rPr>
            </w:pPr>
            <w:r w:rsidRPr="009270A3">
              <w:rPr>
                <w:sz w:val="22"/>
                <w:szCs w:val="22"/>
                <w:lang w:val="ru-RU" w:eastAsia="ru-RU"/>
              </w:rPr>
              <w:t>Учащиеся школ, ВУЗов</w:t>
            </w:r>
          </w:p>
        </w:tc>
        <w:tc>
          <w:tcPr>
            <w:tcW w:w="1883" w:type="dxa"/>
          </w:tcPr>
          <w:p w:rsidR="00630798" w:rsidRPr="009270A3" w:rsidRDefault="00630798" w:rsidP="00630798">
            <w:pPr>
              <w:pStyle w:val="a5"/>
              <w:rPr>
                <w:sz w:val="22"/>
                <w:szCs w:val="22"/>
                <w:lang w:val="ru-RU" w:eastAsia="ru-RU"/>
              </w:rPr>
            </w:pPr>
            <w:r w:rsidRPr="009270A3">
              <w:rPr>
                <w:sz w:val="22"/>
                <w:szCs w:val="22"/>
              </w:rPr>
              <w:t>0</w:t>
            </w:r>
          </w:p>
        </w:tc>
        <w:tc>
          <w:tcPr>
            <w:tcW w:w="1884" w:type="dxa"/>
          </w:tcPr>
          <w:p w:rsidR="00630798" w:rsidRPr="009270A3" w:rsidRDefault="00630798" w:rsidP="00630798">
            <w:pPr>
              <w:pStyle w:val="a5"/>
              <w:rPr>
                <w:sz w:val="22"/>
                <w:szCs w:val="22"/>
                <w:lang w:val="ru-RU" w:eastAsia="ru-RU"/>
              </w:rPr>
            </w:pPr>
            <w:r w:rsidRPr="009270A3">
              <w:rPr>
                <w:sz w:val="22"/>
                <w:szCs w:val="22"/>
              </w:rPr>
              <w:t>2</w:t>
            </w:r>
          </w:p>
        </w:tc>
        <w:tc>
          <w:tcPr>
            <w:tcW w:w="1884" w:type="dxa"/>
            <w:tcBorders>
              <w:right w:val="single" w:sz="4" w:space="0" w:color="auto"/>
            </w:tcBorders>
          </w:tcPr>
          <w:p w:rsidR="00630798" w:rsidRPr="00AF600D" w:rsidRDefault="00630798" w:rsidP="00630798">
            <w:pPr>
              <w:snapToGrid w:val="0"/>
              <w:jc w:val="center"/>
              <w:rPr>
                <w:sz w:val="28"/>
                <w:szCs w:val="28"/>
              </w:rPr>
            </w:pPr>
            <w:r>
              <w:rPr>
                <w:sz w:val="28"/>
                <w:szCs w:val="28"/>
              </w:rPr>
              <w:t>1</w:t>
            </w:r>
          </w:p>
        </w:tc>
      </w:tr>
      <w:tr w:rsidR="00630798" w:rsidRPr="00582568" w:rsidTr="00630798">
        <w:tc>
          <w:tcPr>
            <w:tcW w:w="817" w:type="dxa"/>
          </w:tcPr>
          <w:p w:rsidR="00630798" w:rsidRPr="009270A3" w:rsidRDefault="00630798" w:rsidP="00630798">
            <w:pPr>
              <w:pStyle w:val="a5"/>
              <w:rPr>
                <w:sz w:val="22"/>
                <w:szCs w:val="22"/>
                <w:lang w:val="ru-RU" w:eastAsia="ru-RU"/>
              </w:rPr>
            </w:pPr>
            <w:r w:rsidRPr="009270A3">
              <w:rPr>
                <w:sz w:val="22"/>
                <w:szCs w:val="22"/>
                <w:lang w:val="ru-RU" w:eastAsia="ru-RU"/>
              </w:rPr>
              <w:t>4</w:t>
            </w:r>
          </w:p>
        </w:tc>
        <w:tc>
          <w:tcPr>
            <w:tcW w:w="2949" w:type="dxa"/>
          </w:tcPr>
          <w:p w:rsidR="00630798" w:rsidRPr="009270A3" w:rsidRDefault="00630798" w:rsidP="00630798">
            <w:pPr>
              <w:pStyle w:val="a5"/>
              <w:rPr>
                <w:sz w:val="22"/>
                <w:szCs w:val="22"/>
                <w:lang w:val="ru-RU" w:eastAsia="ru-RU"/>
              </w:rPr>
            </w:pPr>
            <w:r w:rsidRPr="009270A3">
              <w:rPr>
                <w:sz w:val="22"/>
                <w:szCs w:val="22"/>
                <w:lang w:val="ru-RU" w:eastAsia="ru-RU"/>
              </w:rPr>
              <w:t>Работники пищевой промышленности, торговли</w:t>
            </w:r>
          </w:p>
        </w:tc>
        <w:tc>
          <w:tcPr>
            <w:tcW w:w="1883" w:type="dxa"/>
          </w:tcPr>
          <w:p w:rsidR="00630798" w:rsidRPr="009270A3" w:rsidRDefault="00630798" w:rsidP="00630798">
            <w:pPr>
              <w:pStyle w:val="a5"/>
              <w:rPr>
                <w:sz w:val="22"/>
                <w:szCs w:val="22"/>
                <w:lang w:val="ru-RU" w:eastAsia="ru-RU"/>
              </w:rPr>
            </w:pPr>
            <w:r w:rsidRPr="009270A3">
              <w:rPr>
                <w:sz w:val="22"/>
                <w:szCs w:val="22"/>
              </w:rPr>
              <w:t>0</w:t>
            </w:r>
          </w:p>
        </w:tc>
        <w:tc>
          <w:tcPr>
            <w:tcW w:w="1884" w:type="dxa"/>
          </w:tcPr>
          <w:p w:rsidR="00630798" w:rsidRPr="009270A3" w:rsidRDefault="00630798" w:rsidP="00630798">
            <w:pPr>
              <w:pStyle w:val="a5"/>
              <w:rPr>
                <w:sz w:val="22"/>
                <w:szCs w:val="22"/>
                <w:lang w:val="ru-RU" w:eastAsia="ru-RU"/>
              </w:rPr>
            </w:pPr>
            <w:r w:rsidRPr="009270A3">
              <w:rPr>
                <w:sz w:val="22"/>
                <w:szCs w:val="22"/>
              </w:rPr>
              <w:t>0</w:t>
            </w:r>
          </w:p>
        </w:tc>
        <w:tc>
          <w:tcPr>
            <w:tcW w:w="1884" w:type="dxa"/>
            <w:tcBorders>
              <w:top w:val="single" w:sz="4" w:space="0" w:color="000000"/>
              <w:left w:val="single" w:sz="4" w:space="0" w:color="000000"/>
              <w:bottom w:val="single" w:sz="4" w:space="0" w:color="000000"/>
              <w:right w:val="single" w:sz="4" w:space="0" w:color="000000"/>
            </w:tcBorders>
          </w:tcPr>
          <w:p w:rsidR="00630798" w:rsidRPr="00AF600D" w:rsidRDefault="00630798" w:rsidP="00630798">
            <w:pPr>
              <w:snapToGrid w:val="0"/>
              <w:jc w:val="center"/>
              <w:rPr>
                <w:sz w:val="28"/>
                <w:szCs w:val="28"/>
              </w:rPr>
            </w:pPr>
            <w:r w:rsidRPr="00AF600D">
              <w:rPr>
                <w:sz w:val="28"/>
                <w:szCs w:val="28"/>
              </w:rPr>
              <w:t>0</w:t>
            </w:r>
          </w:p>
        </w:tc>
      </w:tr>
      <w:tr w:rsidR="00630798" w:rsidRPr="00582568" w:rsidTr="00630798">
        <w:tc>
          <w:tcPr>
            <w:tcW w:w="817" w:type="dxa"/>
          </w:tcPr>
          <w:p w:rsidR="00630798" w:rsidRPr="009270A3" w:rsidRDefault="00630798" w:rsidP="00630798">
            <w:pPr>
              <w:pStyle w:val="a5"/>
              <w:rPr>
                <w:sz w:val="22"/>
                <w:szCs w:val="22"/>
                <w:lang w:val="ru-RU" w:eastAsia="ru-RU"/>
              </w:rPr>
            </w:pPr>
            <w:r w:rsidRPr="009270A3">
              <w:rPr>
                <w:sz w:val="22"/>
                <w:szCs w:val="22"/>
                <w:lang w:val="ru-RU" w:eastAsia="ru-RU"/>
              </w:rPr>
              <w:t>5</w:t>
            </w:r>
          </w:p>
        </w:tc>
        <w:tc>
          <w:tcPr>
            <w:tcW w:w="2949" w:type="dxa"/>
          </w:tcPr>
          <w:p w:rsidR="00630798" w:rsidRPr="009270A3" w:rsidRDefault="00630798" w:rsidP="00630798">
            <w:pPr>
              <w:pStyle w:val="a5"/>
              <w:rPr>
                <w:sz w:val="22"/>
                <w:szCs w:val="22"/>
                <w:lang w:val="ru-RU" w:eastAsia="ru-RU"/>
              </w:rPr>
            </w:pPr>
            <w:r w:rsidRPr="009270A3">
              <w:rPr>
                <w:sz w:val="22"/>
                <w:szCs w:val="22"/>
                <w:lang w:val="ru-RU" w:eastAsia="ru-RU"/>
              </w:rPr>
              <w:t>Работники коммунальных предприятий</w:t>
            </w:r>
          </w:p>
        </w:tc>
        <w:tc>
          <w:tcPr>
            <w:tcW w:w="1883" w:type="dxa"/>
          </w:tcPr>
          <w:p w:rsidR="00630798" w:rsidRPr="009270A3" w:rsidRDefault="00630798" w:rsidP="00630798">
            <w:pPr>
              <w:pStyle w:val="a5"/>
              <w:rPr>
                <w:sz w:val="22"/>
                <w:szCs w:val="22"/>
                <w:lang w:val="ru-RU" w:eastAsia="ru-RU"/>
              </w:rPr>
            </w:pPr>
            <w:r w:rsidRPr="009270A3">
              <w:rPr>
                <w:sz w:val="22"/>
                <w:szCs w:val="22"/>
              </w:rPr>
              <w:t>1</w:t>
            </w:r>
          </w:p>
        </w:tc>
        <w:tc>
          <w:tcPr>
            <w:tcW w:w="1884" w:type="dxa"/>
          </w:tcPr>
          <w:p w:rsidR="00630798" w:rsidRPr="009270A3" w:rsidRDefault="00630798" w:rsidP="00630798">
            <w:pPr>
              <w:pStyle w:val="a5"/>
              <w:rPr>
                <w:sz w:val="22"/>
                <w:szCs w:val="22"/>
                <w:lang w:val="ru-RU" w:eastAsia="ru-RU"/>
              </w:rPr>
            </w:pPr>
            <w:r w:rsidRPr="009270A3">
              <w:rPr>
                <w:sz w:val="22"/>
                <w:szCs w:val="22"/>
              </w:rPr>
              <w:t>0</w:t>
            </w:r>
          </w:p>
        </w:tc>
        <w:tc>
          <w:tcPr>
            <w:tcW w:w="1884" w:type="dxa"/>
            <w:tcBorders>
              <w:left w:val="single" w:sz="4" w:space="0" w:color="000000"/>
              <w:bottom w:val="single" w:sz="4" w:space="0" w:color="000000"/>
              <w:right w:val="single" w:sz="4" w:space="0" w:color="000000"/>
            </w:tcBorders>
          </w:tcPr>
          <w:p w:rsidR="00630798" w:rsidRPr="00AF600D" w:rsidRDefault="00630798" w:rsidP="00630798">
            <w:pPr>
              <w:snapToGrid w:val="0"/>
              <w:jc w:val="center"/>
              <w:rPr>
                <w:sz w:val="28"/>
                <w:szCs w:val="28"/>
              </w:rPr>
            </w:pPr>
            <w:r w:rsidRPr="00AF600D">
              <w:rPr>
                <w:sz w:val="28"/>
                <w:szCs w:val="28"/>
              </w:rPr>
              <w:t>0</w:t>
            </w:r>
          </w:p>
        </w:tc>
      </w:tr>
      <w:tr w:rsidR="00630798" w:rsidRPr="00582568" w:rsidTr="00630798">
        <w:tc>
          <w:tcPr>
            <w:tcW w:w="817" w:type="dxa"/>
          </w:tcPr>
          <w:p w:rsidR="00630798" w:rsidRPr="009270A3" w:rsidRDefault="00630798" w:rsidP="00630798">
            <w:pPr>
              <w:pStyle w:val="a5"/>
              <w:rPr>
                <w:sz w:val="22"/>
                <w:szCs w:val="22"/>
                <w:lang w:val="ru-RU" w:eastAsia="ru-RU"/>
              </w:rPr>
            </w:pPr>
            <w:r w:rsidRPr="009270A3">
              <w:rPr>
                <w:sz w:val="22"/>
                <w:szCs w:val="22"/>
                <w:lang w:val="ru-RU" w:eastAsia="ru-RU"/>
              </w:rPr>
              <w:t>6</w:t>
            </w:r>
          </w:p>
        </w:tc>
        <w:tc>
          <w:tcPr>
            <w:tcW w:w="2949" w:type="dxa"/>
          </w:tcPr>
          <w:p w:rsidR="00630798" w:rsidRPr="009270A3" w:rsidRDefault="00630798" w:rsidP="00630798">
            <w:pPr>
              <w:pStyle w:val="a5"/>
              <w:rPr>
                <w:sz w:val="22"/>
                <w:szCs w:val="22"/>
                <w:lang w:val="ru-RU" w:eastAsia="ru-RU"/>
              </w:rPr>
            </w:pPr>
            <w:r w:rsidRPr="009270A3">
              <w:rPr>
                <w:sz w:val="22"/>
                <w:szCs w:val="22"/>
                <w:lang w:val="ru-RU" w:eastAsia="ru-RU"/>
              </w:rPr>
              <w:t>Не работающие, пенсионеры, н/о дети</w:t>
            </w:r>
          </w:p>
        </w:tc>
        <w:tc>
          <w:tcPr>
            <w:tcW w:w="1883" w:type="dxa"/>
          </w:tcPr>
          <w:p w:rsidR="00630798" w:rsidRPr="009270A3" w:rsidRDefault="00630798" w:rsidP="00630798">
            <w:pPr>
              <w:pStyle w:val="a5"/>
              <w:rPr>
                <w:sz w:val="22"/>
                <w:szCs w:val="22"/>
                <w:lang w:val="ru-RU" w:eastAsia="ru-RU"/>
              </w:rPr>
            </w:pPr>
            <w:r w:rsidRPr="009270A3">
              <w:rPr>
                <w:sz w:val="22"/>
                <w:szCs w:val="22"/>
              </w:rPr>
              <w:t>9</w:t>
            </w:r>
          </w:p>
        </w:tc>
        <w:tc>
          <w:tcPr>
            <w:tcW w:w="1884" w:type="dxa"/>
          </w:tcPr>
          <w:p w:rsidR="00630798" w:rsidRPr="009270A3" w:rsidRDefault="00630798" w:rsidP="00630798">
            <w:pPr>
              <w:pStyle w:val="a5"/>
              <w:rPr>
                <w:sz w:val="22"/>
                <w:szCs w:val="22"/>
                <w:lang w:val="ru-RU" w:eastAsia="ru-RU"/>
              </w:rPr>
            </w:pPr>
            <w:r w:rsidRPr="009270A3">
              <w:rPr>
                <w:sz w:val="22"/>
                <w:szCs w:val="22"/>
              </w:rPr>
              <w:t>16</w:t>
            </w:r>
          </w:p>
        </w:tc>
        <w:tc>
          <w:tcPr>
            <w:tcW w:w="1884" w:type="dxa"/>
            <w:tcBorders>
              <w:left w:val="single" w:sz="4" w:space="0" w:color="000000"/>
              <w:bottom w:val="single" w:sz="4" w:space="0" w:color="000000"/>
              <w:right w:val="single" w:sz="4" w:space="0" w:color="000000"/>
            </w:tcBorders>
          </w:tcPr>
          <w:p w:rsidR="00630798" w:rsidRPr="00AF600D" w:rsidRDefault="00630798" w:rsidP="00630798">
            <w:pPr>
              <w:snapToGrid w:val="0"/>
              <w:jc w:val="center"/>
              <w:rPr>
                <w:sz w:val="28"/>
                <w:szCs w:val="28"/>
              </w:rPr>
            </w:pPr>
            <w:r>
              <w:rPr>
                <w:sz w:val="28"/>
                <w:szCs w:val="28"/>
              </w:rPr>
              <w:t>5</w:t>
            </w:r>
            <w:r w:rsidRPr="00AF600D">
              <w:rPr>
                <w:sz w:val="28"/>
                <w:szCs w:val="28"/>
              </w:rPr>
              <w:t>+1+1</w:t>
            </w:r>
          </w:p>
        </w:tc>
      </w:tr>
      <w:tr w:rsidR="00630798" w:rsidRPr="00582568" w:rsidTr="00630798">
        <w:tc>
          <w:tcPr>
            <w:tcW w:w="817" w:type="dxa"/>
          </w:tcPr>
          <w:p w:rsidR="00630798" w:rsidRPr="009270A3" w:rsidRDefault="00630798" w:rsidP="00630798">
            <w:pPr>
              <w:pStyle w:val="a5"/>
              <w:rPr>
                <w:sz w:val="22"/>
                <w:szCs w:val="22"/>
                <w:lang w:val="ru-RU" w:eastAsia="ru-RU"/>
              </w:rPr>
            </w:pPr>
            <w:r w:rsidRPr="009270A3">
              <w:rPr>
                <w:sz w:val="22"/>
                <w:szCs w:val="22"/>
                <w:lang w:val="ru-RU" w:eastAsia="ru-RU"/>
              </w:rPr>
              <w:t>7</w:t>
            </w:r>
          </w:p>
        </w:tc>
        <w:tc>
          <w:tcPr>
            <w:tcW w:w="2949" w:type="dxa"/>
          </w:tcPr>
          <w:p w:rsidR="00630798" w:rsidRPr="009270A3" w:rsidRDefault="00630798" w:rsidP="00630798">
            <w:pPr>
              <w:pStyle w:val="a5"/>
              <w:rPr>
                <w:sz w:val="22"/>
                <w:szCs w:val="22"/>
                <w:lang w:val="ru-RU" w:eastAsia="ru-RU"/>
              </w:rPr>
            </w:pPr>
            <w:r w:rsidRPr="009270A3">
              <w:rPr>
                <w:sz w:val="22"/>
                <w:szCs w:val="22"/>
                <w:lang w:val="ru-RU" w:eastAsia="ru-RU"/>
              </w:rPr>
              <w:t>Лица БОМЖ</w:t>
            </w:r>
          </w:p>
        </w:tc>
        <w:tc>
          <w:tcPr>
            <w:tcW w:w="1883" w:type="dxa"/>
          </w:tcPr>
          <w:p w:rsidR="00630798" w:rsidRPr="009270A3" w:rsidRDefault="00630798" w:rsidP="00630798">
            <w:pPr>
              <w:pStyle w:val="a5"/>
              <w:rPr>
                <w:sz w:val="22"/>
                <w:szCs w:val="22"/>
                <w:lang w:val="ru-RU" w:eastAsia="ru-RU"/>
              </w:rPr>
            </w:pPr>
            <w:r w:rsidRPr="009270A3">
              <w:rPr>
                <w:sz w:val="22"/>
                <w:szCs w:val="22"/>
              </w:rPr>
              <w:t>0</w:t>
            </w:r>
          </w:p>
        </w:tc>
        <w:tc>
          <w:tcPr>
            <w:tcW w:w="1884" w:type="dxa"/>
          </w:tcPr>
          <w:p w:rsidR="00630798" w:rsidRPr="009270A3" w:rsidRDefault="00630798" w:rsidP="00630798">
            <w:pPr>
              <w:pStyle w:val="a5"/>
              <w:rPr>
                <w:sz w:val="22"/>
                <w:szCs w:val="22"/>
                <w:lang w:val="ru-RU" w:eastAsia="ru-RU"/>
              </w:rPr>
            </w:pPr>
            <w:r w:rsidRPr="009270A3">
              <w:rPr>
                <w:sz w:val="22"/>
                <w:szCs w:val="22"/>
              </w:rPr>
              <w:t>0</w:t>
            </w:r>
          </w:p>
        </w:tc>
        <w:tc>
          <w:tcPr>
            <w:tcW w:w="1884" w:type="dxa"/>
            <w:tcBorders>
              <w:left w:val="single" w:sz="4" w:space="0" w:color="000000"/>
              <w:bottom w:val="single" w:sz="4" w:space="0" w:color="000000"/>
              <w:right w:val="single" w:sz="4" w:space="0" w:color="000000"/>
            </w:tcBorders>
          </w:tcPr>
          <w:p w:rsidR="00630798" w:rsidRPr="00AF600D" w:rsidRDefault="00630798" w:rsidP="00630798">
            <w:pPr>
              <w:snapToGrid w:val="0"/>
              <w:jc w:val="center"/>
              <w:rPr>
                <w:sz w:val="28"/>
                <w:szCs w:val="28"/>
              </w:rPr>
            </w:pPr>
            <w:r w:rsidRPr="00AF600D">
              <w:rPr>
                <w:sz w:val="28"/>
                <w:szCs w:val="28"/>
              </w:rPr>
              <w:t>0</w:t>
            </w:r>
          </w:p>
        </w:tc>
      </w:tr>
      <w:tr w:rsidR="00630798" w:rsidRPr="00582568" w:rsidTr="00630798">
        <w:tc>
          <w:tcPr>
            <w:tcW w:w="817" w:type="dxa"/>
          </w:tcPr>
          <w:p w:rsidR="00630798" w:rsidRPr="009270A3" w:rsidRDefault="00630798" w:rsidP="00630798">
            <w:pPr>
              <w:pStyle w:val="a5"/>
              <w:rPr>
                <w:sz w:val="22"/>
                <w:szCs w:val="22"/>
                <w:lang w:val="ru-RU" w:eastAsia="ru-RU"/>
              </w:rPr>
            </w:pPr>
            <w:r w:rsidRPr="009270A3">
              <w:rPr>
                <w:sz w:val="22"/>
                <w:szCs w:val="22"/>
                <w:lang w:val="ru-RU" w:eastAsia="ru-RU"/>
              </w:rPr>
              <w:t>8</w:t>
            </w:r>
          </w:p>
        </w:tc>
        <w:tc>
          <w:tcPr>
            <w:tcW w:w="2949" w:type="dxa"/>
          </w:tcPr>
          <w:p w:rsidR="00630798" w:rsidRPr="009270A3" w:rsidRDefault="00630798" w:rsidP="00630798">
            <w:pPr>
              <w:pStyle w:val="a5"/>
              <w:rPr>
                <w:sz w:val="22"/>
                <w:szCs w:val="22"/>
                <w:lang w:val="ru-RU" w:eastAsia="ru-RU"/>
              </w:rPr>
            </w:pPr>
            <w:r w:rsidRPr="009270A3">
              <w:rPr>
                <w:sz w:val="22"/>
                <w:szCs w:val="22"/>
                <w:lang w:val="ru-RU" w:eastAsia="ru-RU"/>
              </w:rPr>
              <w:t>Медицинские работники</w:t>
            </w:r>
          </w:p>
        </w:tc>
        <w:tc>
          <w:tcPr>
            <w:tcW w:w="1883" w:type="dxa"/>
          </w:tcPr>
          <w:p w:rsidR="00630798" w:rsidRPr="009270A3" w:rsidRDefault="00630798" w:rsidP="00630798">
            <w:pPr>
              <w:pStyle w:val="a5"/>
              <w:rPr>
                <w:sz w:val="22"/>
                <w:szCs w:val="22"/>
                <w:lang w:val="ru-RU" w:eastAsia="ru-RU"/>
              </w:rPr>
            </w:pPr>
            <w:r w:rsidRPr="009270A3">
              <w:rPr>
                <w:sz w:val="22"/>
                <w:szCs w:val="22"/>
              </w:rPr>
              <w:t>0</w:t>
            </w:r>
          </w:p>
        </w:tc>
        <w:tc>
          <w:tcPr>
            <w:tcW w:w="1884" w:type="dxa"/>
          </w:tcPr>
          <w:p w:rsidR="00630798" w:rsidRPr="009270A3" w:rsidRDefault="00630798" w:rsidP="00630798">
            <w:pPr>
              <w:pStyle w:val="a5"/>
              <w:rPr>
                <w:sz w:val="22"/>
                <w:szCs w:val="22"/>
                <w:lang w:val="ru-RU" w:eastAsia="ru-RU"/>
              </w:rPr>
            </w:pPr>
            <w:r w:rsidRPr="009270A3">
              <w:rPr>
                <w:sz w:val="22"/>
                <w:szCs w:val="22"/>
              </w:rPr>
              <w:t>0</w:t>
            </w:r>
          </w:p>
        </w:tc>
        <w:tc>
          <w:tcPr>
            <w:tcW w:w="1884" w:type="dxa"/>
            <w:tcBorders>
              <w:left w:val="single" w:sz="4" w:space="0" w:color="000000"/>
              <w:bottom w:val="single" w:sz="4" w:space="0" w:color="000000"/>
              <w:right w:val="single" w:sz="4" w:space="0" w:color="000000"/>
            </w:tcBorders>
          </w:tcPr>
          <w:p w:rsidR="00630798" w:rsidRPr="00AF600D" w:rsidRDefault="00630798" w:rsidP="00630798">
            <w:pPr>
              <w:snapToGrid w:val="0"/>
              <w:jc w:val="center"/>
              <w:rPr>
                <w:sz w:val="28"/>
                <w:szCs w:val="28"/>
              </w:rPr>
            </w:pPr>
            <w:r w:rsidRPr="00AF600D">
              <w:rPr>
                <w:sz w:val="28"/>
                <w:szCs w:val="28"/>
              </w:rPr>
              <w:t>0</w:t>
            </w:r>
          </w:p>
        </w:tc>
      </w:tr>
      <w:tr w:rsidR="00630798" w:rsidRPr="00582568" w:rsidTr="00630798">
        <w:tc>
          <w:tcPr>
            <w:tcW w:w="817" w:type="dxa"/>
          </w:tcPr>
          <w:p w:rsidR="00630798" w:rsidRPr="009270A3" w:rsidRDefault="00630798" w:rsidP="00630798">
            <w:pPr>
              <w:pStyle w:val="a5"/>
              <w:rPr>
                <w:sz w:val="22"/>
                <w:szCs w:val="22"/>
                <w:lang w:val="ru-RU" w:eastAsia="ru-RU"/>
              </w:rPr>
            </w:pPr>
            <w:r w:rsidRPr="009270A3">
              <w:rPr>
                <w:sz w:val="22"/>
                <w:szCs w:val="22"/>
                <w:lang w:val="ru-RU" w:eastAsia="ru-RU"/>
              </w:rPr>
              <w:t>9</w:t>
            </w:r>
          </w:p>
        </w:tc>
        <w:tc>
          <w:tcPr>
            <w:tcW w:w="2949" w:type="dxa"/>
          </w:tcPr>
          <w:p w:rsidR="00630798" w:rsidRPr="009270A3" w:rsidRDefault="00630798" w:rsidP="00630798">
            <w:pPr>
              <w:pStyle w:val="a5"/>
              <w:rPr>
                <w:sz w:val="22"/>
                <w:szCs w:val="22"/>
                <w:lang w:val="ru-RU" w:eastAsia="ru-RU"/>
              </w:rPr>
            </w:pPr>
            <w:r w:rsidRPr="009270A3">
              <w:rPr>
                <w:sz w:val="22"/>
                <w:szCs w:val="22"/>
                <w:lang w:val="ru-RU" w:eastAsia="ru-RU"/>
              </w:rPr>
              <w:t>Работники ДДУ</w:t>
            </w:r>
          </w:p>
        </w:tc>
        <w:tc>
          <w:tcPr>
            <w:tcW w:w="1883" w:type="dxa"/>
          </w:tcPr>
          <w:p w:rsidR="00630798" w:rsidRPr="009270A3" w:rsidRDefault="00630798" w:rsidP="00630798">
            <w:pPr>
              <w:pStyle w:val="a5"/>
              <w:rPr>
                <w:sz w:val="22"/>
                <w:szCs w:val="22"/>
                <w:lang w:val="ru-RU" w:eastAsia="ru-RU"/>
              </w:rPr>
            </w:pPr>
            <w:r w:rsidRPr="009270A3">
              <w:rPr>
                <w:sz w:val="22"/>
                <w:szCs w:val="22"/>
              </w:rPr>
              <w:t>0</w:t>
            </w:r>
          </w:p>
        </w:tc>
        <w:tc>
          <w:tcPr>
            <w:tcW w:w="1884" w:type="dxa"/>
          </w:tcPr>
          <w:p w:rsidR="00630798" w:rsidRPr="009270A3" w:rsidRDefault="00630798" w:rsidP="00630798">
            <w:pPr>
              <w:pStyle w:val="a5"/>
              <w:rPr>
                <w:sz w:val="22"/>
                <w:szCs w:val="22"/>
                <w:lang w:val="ru-RU" w:eastAsia="ru-RU"/>
              </w:rPr>
            </w:pPr>
            <w:r w:rsidRPr="009270A3">
              <w:rPr>
                <w:sz w:val="22"/>
                <w:szCs w:val="22"/>
              </w:rPr>
              <w:t>0</w:t>
            </w:r>
          </w:p>
        </w:tc>
        <w:tc>
          <w:tcPr>
            <w:tcW w:w="1884" w:type="dxa"/>
            <w:tcBorders>
              <w:left w:val="single" w:sz="4" w:space="0" w:color="000000"/>
              <w:bottom w:val="single" w:sz="4" w:space="0" w:color="000000"/>
              <w:right w:val="single" w:sz="4" w:space="0" w:color="000000"/>
            </w:tcBorders>
          </w:tcPr>
          <w:p w:rsidR="00630798" w:rsidRPr="00AF600D" w:rsidRDefault="00630798" w:rsidP="00630798">
            <w:pPr>
              <w:snapToGrid w:val="0"/>
              <w:jc w:val="center"/>
              <w:rPr>
                <w:sz w:val="28"/>
                <w:szCs w:val="28"/>
              </w:rPr>
            </w:pPr>
            <w:r w:rsidRPr="00AF600D">
              <w:rPr>
                <w:sz w:val="28"/>
                <w:szCs w:val="28"/>
              </w:rPr>
              <w:t>2</w:t>
            </w:r>
          </w:p>
        </w:tc>
      </w:tr>
      <w:tr w:rsidR="00630798" w:rsidRPr="00582568" w:rsidTr="00630798">
        <w:tc>
          <w:tcPr>
            <w:tcW w:w="817" w:type="dxa"/>
          </w:tcPr>
          <w:p w:rsidR="00630798" w:rsidRPr="009270A3" w:rsidRDefault="00630798" w:rsidP="00630798">
            <w:pPr>
              <w:pStyle w:val="a5"/>
              <w:rPr>
                <w:sz w:val="22"/>
                <w:szCs w:val="22"/>
                <w:lang w:val="ru-RU" w:eastAsia="ru-RU"/>
              </w:rPr>
            </w:pPr>
            <w:r w:rsidRPr="009270A3">
              <w:rPr>
                <w:sz w:val="22"/>
                <w:szCs w:val="22"/>
                <w:lang w:val="ru-RU" w:eastAsia="ru-RU"/>
              </w:rPr>
              <w:t>10</w:t>
            </w:r>
          </w:p>
        </w:tc>
        <w:tc>
          <w:tcPr>
            <w:tcW w:w="2949" w:type="dxa"/>
          </w:tcPr>
          <w:p w:rsidR="00630798" w:rsidRPr="009270A3" w:rsidRDefault="00630798" w:rsidP="00630798">
            <w:pPr>
              <w:pStyle w:val="a5"/>
              <w:rPr>
                <w:sz w:val="22"/>
                <w:szCs w:val="22"/>
                <w:lang w:val="ru-RU" w:eastAsia="ru-RU"/>
              </w:rPr>
            </w:pPr>
            <w:r w:rsidRPr="009270A3">
              <w:rPr>
                <w:sz w:val="22"/>
                <w:szCs w:val="22"/>
                <w:lang w:val="ru-RU" w:eastAsia="ru-RU"/>
              </w:rPr>
              <w:t>Работники школ</w:t>
            </w:r>
          </w:p>
        </w:tc>
        <w:tc>
          <w:tcPr>
            <w:tcW w:w="1883" w:type="dxa"/>
          </w:tcPr>
          <w:p w:rsidR="00630798" w:rsidRPr="009270A3" w:rsidRDefault="00630798" w:rsidP="00630798">
            <w:pPr>
              <w:pStyle w:val="a5"/>
              <w:rPr>
                <w:sz w:val="22"/>
                <w:szCs w:val="22"/>
                <w:lang w:val="ru-RU" w:eastAsia="ru-RU"/>
              </w:rPr>
            </w:pPr>
            <w:r w:rsidRPr="009270A3">
              <w:rPr>
                <w:sz w:val="22"/>
                <w:szCs w:val="22"/>
              </w:rPr>
              <w:t>0</w:t>
            </w:r>
          </w:p>
        </w:tc>
        <w:tc>
          <w:tcPr>
            <w:tcW w:w="1884" w:type="dxa"/>
          </w:tcPr>
          <w:p w:rsidR="00630798" w:rsidRPr="009270A3" w:rsidRDefault="00630798" w:rsidP="00630798">
            <w:pPr>
              <w:pStyle w:val="a5"/>
              <w:rPr>
                <w:sz w:val="22"/>
                <w:szCs w:val="22"/>
                <w:lang w:val="ru-RU" w:eastAsia="ru-RU"/>
              </w:rPr>
            </w:pPr>
            <w:r w:rsidRPr="009270A3">
              <w:rPr>
                <w:sz w:val="22"/>
                <w:szCs w:val="22"/>
              </w:rPr>
              <w:t>0</w:t>
            </w:r>
          </w:p>
        </w:tc>
        <w:tc>
          <w:tcPr>
            <w:tcW w:w="1884" w:type="dxa"/>
            <w:tcBorders>
              <w:left w:val="single" w:sz="4" w:space="0" w:color="000000"/>
              <w:bottom w:val="single" w:sz="4" w:space="0" w:color="000000"/>
              <w:right w:val="single" w:sz="4" w:space="0" w:color="000000"/>
            </w:tcBorders>
          </w:tcPr>
          <w:p w:rsidR="00630798" w:rsidRPr="00AF600D" w:rsidRDefault="00630798" w:rsidP="00630798">
            <w:pPr>
              <w:snapToGrid w:val="0"/>
              <w:jc w:val="center"/>
              <w:rPr>
                <w:sz w:val="28"/>
                <w:szCs w:val="28"/>
              </w:rPr>
            </w:pPr>
            <w:r w:rsidRPr="00AF600D">
              <w:rPr>
                <w:sz w:val="28"/>
                <w:szCs w:val="28"/>
              </w:rPr>
              <w:t>0</w:t>
            </w:r>
          </w:p>
        </w:tc>
      </w:tr>
      <w:tr w:rsidR="00630798" w:rsidRPr="00582568" w:rsidTr="00630798">
        <w:tc>
          <w:tcPr>
            <w:tcW w:w="817" w:type="dxa"/>
          </w:tcPr>
          <w:p w:rsidR="00630798" w:rsidRPr="009270A3" w:rsidRDefault="00630798" w:rsidP="00630798">
            <w:pPr>
              <w:pStyle w:val="a5"/>
              <w:rPr>
                <w:sz w:val="22"/>
                <w:szCs w:val="22"/>
                <w:lang w:val="ru-RU" w:eastAsia="ru-RU"/>
              </w:rPr>
            </w:pPr>
            <w:r w:rsidRPr="009270A3">
              <w:rPr>
                <w:sz w:val="22"/>
                <w:szCs w:val="22"/>
                <w:lang w:val="ru-RU" w:eastAsia="ru-RU"/>
              </w:rPr>
              <w:t>11</w:t>
            </w:r>
          </w:p>
        </w:tc>
        <w:tc>
          <w:tcPr>
            <w:tcW w:w="2949" w:type="dxa"/>
          </w:tcPr>
          <w:p w:rsidR="00630798" w:rsidRPr="009270A3" w:rsidRDefault="00630798" w:rsidP="00630798">
            <w:pPr>
              <w:pStyle w:val="a5"/>
              <w:rPr>
                <w:sz w:val="22"/>
                <w:szCs w:val="22"/>
                <w:lang w:val="ru-RU" w:eastAsia="ru-RU"/>
              </w:rPr>
            </w:pPr>
            <w:r w:rsidRPr="009270A3">
              <w:rPr>
                <w:sz w:val="22"/>
                <w:szCs w:val="22"/>
                <w:lang w:val="ru-RU" w:eastAsia="ru-RU"/>
              </w:rPr>
              <w:t>Дети организованные</w:t>
            </w:r>
          </w:p>
        </w:tc>
        <w:tc>
          <w:tcPr>
            <w:tcW w:w="1883" w:type="dxa"/>
          </w:tcPr>
          <w:p w:rsidR="00630798" w:rsidRPr="009270A3" w:rsidRDefault="00630798" w:rsidP="00630798">
            <w:pPr>
              <w:pStyle w:val="a5"/>
              <w:rPr>
                <w:sz w:val="22"/>
                <w:szCs w:val="22"/>
                <w:lang w:val="ru-RU" w:eastAsia="ru-RU"/>
              </w:rPr>
            </w:pPr>
          </w:p>
        </w:tc>
        <w:tc>
          <w:tcPr>
            <w:tcW w:w="1884" w:type="dxa"/>
          </w:tcPr>
          <w:p w:rsidR="00630798" w:rsidRPr="009270A3" w:rsidRDefault="00630798" w:rsidP="00630798">
            <w:pPr>
              <w:pStyle w:val="a5"/>
              <w:rPr>
                <w:sz w:val="22"/>
                <w:szCs w:val="22"/>
                <w:lang w:val="ru-RU" w:eastAsia="ru-RU"/>
              </w:rPr>
            </w:pPr>
            <w:r w:rsidRPr="009270A3">
              <w:rPr>
                <w:sz w:val="22"/>
                <w:szCs w:val="22"/>
              </w:rPr>
              <w:t>1</w:t>
            </w:r>
          </w:p>
        </w:tc>
        <w:tc>
          <w:tcPr>
            <w:tcW w:w="1884" w:type="dxa"/>
            <w:tcBorders>
              <w:top w:val="single" w:sz="4" w:space="0" w:color="auto"/>
              <w:left w:val="single" w:sz="4" w:space="0" w:color="000000"/>
              <w:bottom w:val="single" w:sz="4" w:space="0" w:color="000000"/>
              <w:right w:val="single" w:sz="4" w:space="0" w:color="000000"/>
            </w:tcBorders>
          </w:tcPr>
          <w:p w:rsidR="00630798" w:rsidRPr="00AF600D" w:rsidRDefault="00630798" w:rsidP="00630798">
            <w:pPr>
              <w:snapToGrid w:val="0"/>
              <w:jc w:val="center"/>
              <w:rPr>
                <w:sz w:val="28"/>
                <w:szCs w:val="28"/>
              </w:rPr>
            </w:pPr>
            <w:r>
              <w:rPr>
                <w:sz w:val="28"/>
                <w:szCs w:val="28"/>
              </w:rPr>
              <w:t>2</w:t>
            </w:r>
          </w:p>
        </w:tc>
      </w:tr>
      <w:tr w:rsidR="00630798" w:rsidRPr="00582568" w:rsidTr="00630798">
        <w:tc>
          <w:tcPr>
            <w:tcW w:w="817" w:type="dxa"/>
          </w:tcPr>
          <w:p w:rsidR="00630798" w:rsidRPr="009270A3" w:rsidRDefault="00630798" w:rsidP="00630798">
            <w:pPr>
              <w:pStyle w:val="a5"/>
              <w:rPr>
                <w:sz w:val="22"/>
                <w:szCs w:val="22"/>
                <w:lang w:val="ru-RU" w:eastAsia="ru-RU"/>
              </w:rPr>
            </w:pPr>
          </w:p>
        </w:tc>
        <w:tc>
          <w:tcPr>
            <w:tcW w:w="2949" w:type="dxa"/>
          </w:tcPr>
          <w:p w:rsidR="00630798" w:rsidRPr="009270A3" w:rsidRDefault="00630798" w:rsidP="00630798">
            <w:pPr>
              <w:pStyle w:val="a5"/>
              <w:rPr>
                <w:sz w:val="22"/>
                <w:szCs w:val="22"/>
                <w:lang w:val="ru-RU" w:eastAsia="ru-RU"/>
              </w:rPr>
            </w:pPr>
            <w:r w:rsidRPr="009270A3">
              <w:rPr>
                <w:sz w:val="22"/>
                <w:szCs w:val="22"/>
                <w:lang w:val="ru-RU" w:eastAsia="ru-RU"/>
              </w:rPr>
              <w:t>ВСЕГО:</w:t>
            </w:r>
          </w:p>
        </w:tc>
        <w:tc>
          <w:tcPr>
            <w:tcW w:w="1883" w:type="dxa"/>
          </w:tcPr>
          <w:p w:rsidR="00630798" w:rsidRPr="009270A3" w:rsidRDefault="00630798" w:rsidP="00630798">
            <w:pPr>
              <w:pStyle w:val="a5"/>
              <w:rPr>
                <w:sz w:val="22"/>
                <w:szCs w:val="22"/>
                <w:lang w:val="ru-RU" w:eastAsia="ru-RU"/>
              </w:rPr>
            </w:pPr>
            <w:r w:rsidRPr="009270A3">
              <w:rPr>
                <w:sz w:val="22"/>
                <w:szCs w:val="22"/>
              </w:rPr>
              <w:t>13</w:t>
            </w:r>
          </w:p>
        </w:tc>
        <w:tc>
          <w:tcPr>
            <w:tcW w:w="1884" w:type="dxa"/>
          </w:tcPr>
          <w:p w:rsidR="00630798" w:rsidRPr="009270A3" w:rsidRDefault="00630798" w:rsidP="00630798">
            <w:pPr>
              <w:pStyle w:val="a5"/>
              <w:rPr>
                <w:sz w:val="22"/>
                <w:szCs w:val="22"/>
                <w:lang w:val="ru-RU" w:eastAsia="ru-RU"/>
              </w:rPr>
            </w:pPr>
            <w:r w:rsidRPr="009270A3">
              <w:rPr>
                <w:sz w:val="22"/>
                <w:szCs w:val="22"/>
              </w:rPr>
              <w:t>23</w:t>
            </w:r>
          </w:p>
        </w:tc>
        <w:tc>
          <w:tcPr>
            <w:tcW w:w="1884" w:type="dxa"/>
            <w:tcBorders>
              <w:left w:val="single" w:sz="4" w:space="0" w:color="000000"/>
              <w:bottom w:val="single" w:sz="4" w:space="0" w:color="000000"/>
              <w:right w:val="single" w:sz="4" w:space="0" w:color="auto"/>
            </w:tcBorders>
          </w:tcPr>
          <w:p w:rsidR="00630798" w:rsidRPr="00AF600D" w:rsidRDefault="00630798" w:rsidP="00630798">
            <w:pPr>
              <w:snapToGrid w:val="0"/>
              <w:jc w:val="center"/>
              <w:rPr>
                <w:sz w:val="28"/>
                <w:szCs w:val="28"/>
              </w:rPr>
            </w:pPr>
            <w:r>
              <w:rPr>
                <w:sz w:val="28"/>
                <w:szCs w:val="28"/>
              </w:rPr>
              <w:t>13</w:t>
            </w:r>
          </w:p>
        </w:tc>
      </w:tr>
    </w:tbl>
    <w:p w:rsidR="00630798" w:rsidRPr="00582568" w:rsidRDefault="00630798" w:rsidP="00630798">
      <w:pPr>
        <w:pStyle w:val="a5"/>
        <w:rPr>
          <w:sz w:val="22"/>
          <w:szCs w:val="22"/>
          <w:highlight w:val="yellow"/>
        </w:rPr>
      </w:pPr>
    </w:p>
    <w:p w:rsidR="00630798" w:rsidRPr="00A47BC3" w:rsidRDefault="00630798" w:rsidP="00A47BC3">
      <w:pPr>
        <w:tabs>
          <w:tab w:val="left" w:pos="993"/>
        </w:tabs>
        <w:spacing w:after="0" w:line="240" w:lineRule="auto"/>
        <w:ind w:firstLine="709"/>
        <w:jc w:val="both"/>
        <w:rPr>
          <w:rFonts w:ascii="Times New Roman" w:hAnsi="Times New Roman" w:cs="Times New Roman"/>
          <w:sz w:val="24"/>
          <w:szCs w:val="24"/>
        </w:rPr>
      </w:pPr>
      <w:r w:rsidRPr="00A47BC3">
        <w:rPr>
          <w:rFonts w:ascii="Times New Roman" w:hAnsi="Times New Roman" w:cs="Times New Roman"/>
          <w:sz w:val="24"/>
          <w:szCs w:val="24"/>
        </w:rPr>
        <w:t>Из таблицы видно, что по социальной структуре большая часть  больных (53,8 %) приходится на неработающее население, лица ограниченные в средствах к существованию, проживающих в домах (балках),  плохо пригодных к проживанию. Доля выявленных при профосмотре остается на высоком уровне 64,2% (предыдущий год 50%)</w:t>
      </w:r>
    </w:p>
    <w:p w:rsidR="00630798" w:rsidRPr="00A47BC3" w:rsidRDefault="00630798" w:rsidP="00A47BC3">
      <w:pPr>
        <w:tabs>
          <w:tab w:val="left" w:pos="993"/>
        </w:tabs>
        <w:spacing w:after="0" w:line="240" w:lineRule="auto"/>
        <w:ind w:firstLine="709"/>
        <w:jc w:val="both"/>
        <w:rPr>
          <w:rFonts w:ascii="Times New Roman" w:hAnsi="Times New Roman" w:cs="Times New Roman"/>
          <w:sz w:val="24"/>
          <w:szCs w:val="24"/>
        </w:rPr>
      </w:pPr>
      <w:r w:rsidRPr="00A47BC3">
        <w:rPr>
          <w:rFonts w:ascii="Times New Roman" w:hAnsi="Times New Roman" w:cs="Times New Roman"/>
          <w:sz w:val="24"/>
          <w:szCs w:val="24"/>
        </w:rPr>
        <w:t xml:space="preserve">Выявляемость при прохождении профилактической ФЛГ  0,03 на 1 тыс. населения против 0,4 в 2019 году, что подтверждает  широкое ежегодное обследование флюорографией одних и тех же слоев населения города, а незначительная часть наиболее угрожаемого контингента не обследуется.  </w:t>
      </w:r>
    </w:p>
    <w:p w:rsidR="00630798" w:rsidRPr="00A47BC3" w:rsidRDefault="00630798" w:rsidP="00A47BC3">
      <w:pPr>
        <w:spacing w:after="0" w:line="240" w:lineRule="auto"/>
        <w:ind w:firstLine="709"/>
        <w:jc w:val="both"/>
        <w:rPr>
          <w:rFonts w:ascii="Times New Roman" w:hAnsi="Times New Roman" w:cs="Times New Roman"/>
          <w:sz w:val="24"/>
          <w:szCs w:val="24"/>
        </w:rPr>
      </w:pPr>
      <w:r w:rsidRPr="00A47BC3">
        <w:rPr>
          <w:rFonts w:ascii="Times New Roman" w:hAnsi="Times New Roman" w:cs="Times New Roman"/>
          <w:sz w:val="24"/>
          <w:szCs w:val="24"/>
        </w:rPr>
        <w:t>Задачи в работе на 2021г:</w:t>
      </w:r>
    </w:p>
    <w:p w:rsidR="00630798" w:rsidRPr="00A47BC3" w:rsidRDefault="00630798" w:rsidP="00A47BC3">
      <w:pPr>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 Создание базы лиц, фактически проживающих в городе и уклоняющихся от ФГ обследования. Привлечение к обследованию на туберкулез с помощью правоохранительных органов. Включить выполнение по привлечению данной категории лиц к обследованию в критерии качества работы уч</w:t>
      </w:r>
      <w:r w:rsidR="00A47BC3">
        <w:rPr>
          <w:rFonts w:ascii="Times New Roman" w:hAnsi="Times New Roman" w:cs="Times New Roman"/>
          <w:sz w:val="24"/>
          <w:szCs w:val="24"/>
        </w:rPr>
        <w:t>.</w:t>
      </w:r>
      <w:r w:rsidRPr="00A47BC3">
        <w:rPr>
          <w:rFonts w:ascii="Times New Roman" w:hAnsi="Times New Roman" w:cs="Times New Roman"/>
          <w:sz w:val="24"/>
          <w:szCs w:val="24"/>
        </w:rPr>
        <w:t xml:space="preserve"> терапевтов.</w:t>
      </w:r>
    </w:p>
    <w:p w:rsidR="00630798" w:rsidRPr="00A47BC3" w:rsidRDefault="00630798" w:rsidP="00A47BC3">
      <w:pPr>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 Включить в ежемесячный отчет участковых терапевтов данные о лицах, про</w:t>
      </w:r>
      <w:r w:rsidR="00A47BC3">
        <w:rPr>
          <w:rFonts w:ascii="Times New Roman" w:hAnsi="Times New Roman" w:cs="Times New Roman"/>
          <w:sz w:val="24"/>
          <w:szCs w:val="24"/>
        </w:rPr>
        <w:t xml:space="preserve">живающих на участке, прошедших </w:t>
      </w:r>
      <w:r w:rsidRPr="00A47BC3">
        <w:rPr>
          <w:rFonts w:ascii="Times New Roman" w:hAnsi="Times New Roman" w:cs="Times New Roman"/>
          <w:sz w:val="24"/>
          <w:szCs w:val="24"/>
        </w:rPr>
        <w:t>обследования на туберкулез методом ФГ, а для ограниченного контингента бактериоскопические исследования биологического материала.</w:t>
      </w:r>
    </w:p>
    <w:p w:rsidR="00630798" w:rsidRPr="00A47BC3" w:rsidRDefault="00630798" w:rsidP="00A47BC3">
      <w:pPr>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 Проводить разборы с ОЛС случаев выявления туберкулеза у лиц, уклоняющихся от ФГ свыше 2-х лет, по факту выявления в течение 14 дней.</w:t>
      </w:r>
    </w:p>
    <w:p w:rsidR="00630798" w:rsidRPr="00A47BC3" w:rsidRDefault="00630798" w:rsidP="00A47BC3">
      <w:pPr>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 xml:space="preserve">- Организовать проведение сан-просвет работы по профилактике туберкулеза с родителями как в организованных коллективах, так и в СМИ силами педиатров ОЛС. </w:t>
      </w:r>
    </w:p>
    <w:p w:rsidR="00630798" w:rsidRPr="00A47BC3" w:rsidRDefault="00630798" w:rsidP="00630798">
      <w:pPr>
        <w:jc w:val="both"/>
        <w:rPr>
          <w:rFonts w:ascii="Times New Roman" w:hAnsi="Times New Roman" w:cs="Times New Roman"/>
          <w:sz w:val="24"/>
          <w:szCs w:val="24"/>
        </w:rPr>
      </w:pPr>
      <w:r w:rsidRPr="00A47BC3">
        <w:rPr>
          <w:rFonts w:ascii="Times New Roman" w:hAnsi="Times New Roman" w:cs="Times New Roman"/>
          <w:sz w:val="24"/>
          <w:szCs w:val="24"/>
        </w:rPr>
        <w:t>- Шире использовать новый препарат в диагностике туберкулеза –Диаскинтест как единственный наиболее современный метод выявления раннего инфицирования и риска заболевания туберкулезом среди детей старше 7 лет.</w:t>
      </w:r>
    </w:p>
    <w:p w:rsidR="00630798" w:rsidRPr="00A47BC3" w:rsidRDefault="00630798" w:rsidP="00A47BC3">
      <w:pPr>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 xml:space="preserve">- Планирование к ревакцинации декретированных детей 6-7 лет путем создания списков данных лиц с отрицательными р Манту по 2018г, строгий учет м\о, переноса ревакцинации </w:t>
      </w:r>
      <w:r w:rsidRPr="00A47BC3">
        <w:rPr>
          <w:rFonts w:ascii="Times New Roman" w:hAnsi="Times New Roman" w:cs="Times New Roman"/>
          <w:sz w:val="24"/>
          <w:szCs w:val="24"/>
        </w:rPr>
        <w:lastRenderedPageBreak/>
        <w:t>от 2-х до 6 мес, с регистрацией в отдельном журнале с целью достижения более эффективных результатов.</w:t>
      </w:r>
    </w:p>
    <w:p w:rsidR="00630798" w:rsidRPr="00A47BC3" w:rsidRDefault="00630798" w:rsidP="00A47BC3">
      <w:pPr>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 Назначить ответственного дезинфектора в проведении контроля качества проводимых заключительных дезинфекционнных мероприятий в очагах туберкулеза.</w:t>
      </w:r>
    </w:p>
    <w:p w:rsidR="00630798" w:rsidRPr="00A47BC3" w:rsidRDefault="00630798" w:rsidP="00A47BC3">
      <w:pPr>
        <w:spacing w:after="0" w:line="240" w:lineRule="auto"/>
        <w:jc w:val="both"/>
        <w:rPr>
          <w:rFonts w:ascii="Times New Roman" w:hAnsi="Times New Roman" w:cs="Times New Roman"/>
          <w:sz w:val="24"/>
          <w:szCs w:val="24"/>
        </w:rPr>
      </w:pPr>
      <w:r w:rsidRPr="00A47BC3">
        <w:rPr>
          <w:rFonts w:ascii="Times New Roman" w:hAnsi="Times New Roman" w:cs="Times New Roman"/>
          <w:sz w:val="24"/>
          <w:szCs w:val="24"/>
        </w:rPr>
        <w:t>- Проводить обследование на туберкулез ВИЧ-инфицированного населения 2 раза в год всеми методами, шире использовать противотуберкулезные препараты у данной категории больных для химиопрофилактики при наличии прямых и косвенных показаний (учитывая сложившуюся эпидситуацию) в условиях СПИД-центра и имеющимися в наличии у них препаратами.</w:t>
      </w:r>
    </w:p>
    <w:p w:rsidR="00630798" w:rsidRPr="00335D41" w:rsidRDefault="00630798" w:rsidP="00335D41">
      <w:pPr>
        <w:spacing w:after="0" w:line="240" w:lineRule="auto"/>
        <w:ind w:firstLine="709"/>
        <w:jc w:val="center"/>
        <w:rPr>
          <w:rFonts w:ascii="Times New Roman" w:hAnsi="Times New Roman" w:cs="Times New Roman"/>
          <w:b/>
          <w:sz w:val="24"/>
          <w:szCs w:val="24"/>
        </w:rPr>
      </w:pPr>
      <w:r w:rsidRPr="00335D41">
        <w:rPr>
          <w:rFonts w:ascii="Times New Roman" w:hAnsi="Times New Roman" w:cs="Times New Roman"/>
          <w:b/>
          <w:sz w:val="24"/>
          <w:szCs w:val="24"/>
        </w:rPr>
        <w:t>ВИЧ – инфекция</w:t>
      </w:r>
    </w:p>
    <w:p w:rsidR="00630798" w:rsidRPr="00335D41" w:rsidRDefault="00630798" w:rsidP="00335D41">
      <w:pPr>
        <w:spacing w:after="0" w:line="240" w:lineRule="auto"/>
        <w:ind w:firstLine="709"/>
        <w:rPr>
          <w:rFonts w:ascii="Times New Roman" w:hAnsi="Times New Roman" w:cs="Times New Roman"/>
          <w:sz w:val="24"/>
          <w:szCs w:val="24"/>
        </w:rPr>
      </w:pPr>
    </w:p>
    <w:p w:rsidR="00630798" w:rsidRPr="00335D41" w:rsidRDefault="00630798" w:rsidP="00335D41">
      <w:pPr>
        <w:spacing w:after="0" w:line="240" w:lineRule="auto"/>
        <w:ind w:firstLine="709"/>
        <w:rPr>
          <w:rFonts w:ascii="Times New Roman" w:hAnsi="Times New Roman" w:cs="Times New Roman"/>
          <w:b/>
          <w:sz w:val="24"/>
          <w:szCs w:val="24"/>
        </w:rPr>
      </w:pPr>
      <w:r w:rsidRPr="00335D41">
        <w:rPr>
          <w:rFonts w:ascii="Times New Roman" w:hAnsi="Times New Roman" w:cs="Times New Roman"/>
          <w:sz w:val="24"/>
          <w:szCs w:val="24"/>
        </w:rPr>
        <w:t xml:space="preserve">Эпидемиологическая ситуация по ВИЧ-инфекции в Российской Федерации, в том числе и в ХМАО  остается напряженной. Регистрируется рост новых выявленных случаев инфицирования. </w:t>
      </w:r>
    </w:p>
    <w:p w:rsidR="00630798" w:rsidRPr="00335D41" w:rsidRDefault="00630798" w:rsidP="00335D41">
      <w:pPr>
        <w:spacing w:after="0" w:line="240" w:lineRule="auto"/>
        <w:ind w:firstLine="708"/>
        <w:jc w:val="both"/>
        <w:rPr>
          <w:rFonts w:ascii="Times New Roman" w:hAnsi="Times New Roman" w:cs="Times New Roman"/>
          <w:sz w:val="24"/>
          <w:szCs w:val="24"/>
        </w:rPr>
      </w:pPr>
      <w:r w:rsidRPr="00335D41">
        <w:rPr>
          <w:rFonts w:ascii="Times New Roman" w:hAnsi="Times New Roman" w:cs="Times New Roman"/>
          <w:sz w:val="24"/>
          <w:szCs w:val="24"/>
        </w:rPr>
        <w:t xml:space="preserve"> В 2020году по территории г Пыть-Ях зарегистрировано   16 случаев заболевания ВИЧ-инфекцией, показатель заболеваемости на 100тыс населения составил 40,2, регистрируется снижение по абсолютным случаям на 50%, по сравнению с 2019 годом, что не превышает окружной показатель - 48,57. В 2019 году зарегистрировано 32 новых случаев ВИЧ-инфекции (пок.заб. 77,6 на 100 тыс.нас.),  что на 5,4 % ниже, чем в 2018 году (35случаев, показатель заболеваемости – 82,0 на 100 тыс.нас.). популяции Характерно волнообразное течение заболеваемости: 3 года рост, 3 года-снижение заболеваемости. .</w:t>
      </w:r>
    </w:p>
    <w:p w:rsidR="00630798" w:rsidRPr="00335D41" w:rsidRDefault="00630798" w:rsidP="00335D41">
      <w:pPr>
        <w:spacing w:after="0" w:line="240" w:lineRule="auto"/>
        <w:ind w:firstLine="708"/>
        <w:jc w:val="both"/>
        <w:rPr>
          <w:rFonts w:ascii="Times New Roman" w:hAnsi="Times New Roman" w:cs="Times New Roman"/>
          <w:sz w:val="24"/>
          <w:szCs w:val="24"/>
        </w:rPr>
      </w:pPr>
      <w:r w:rsidRPr="00335D41">
        <w:rPr>
          <w:rFonts w:ascii="Times New Roman" w:hAnsi="Times New Roman" w:cs="Times New Roman"/>
          <w:sz w:val="24"/>
          <w:szCs w:val="24"/>
        </w:rPr>
        <w:t>За анализируемые периоды в возрастной категории 15 - 17 лет (подростки), случаев заболевания ВИЧ - инфекцией, зарегистрировано не было. 2019 г. на территории г. Пыть - Ях зарегистрирован 1 случай (2,2%) инфицирования ребенка (0 - 14 лет), ребенок выбыл в Советский район ХМАО - Югры.</w:t>
      </w:r>
    </w:p>
    <w:p w:rsidR="00630798" w:rsidRPr="00335D41" w:rsidRDefault="00630798" w:rsidP="00335D41">
      <w:pPr>
        <w:spacing w:after="0" w:line="240" w:lineRule="auto"/>
        <w:ind w:firstLine="708"/>
        <w:jc w:val="both"/>
        <w:rPr>
          <w:rFonts w:ascii="Times New Roman" w:hAnsi="Times New Roman" w:cs="Times New Roman"/>
          <w:sz w:val="24"/>
          <w:szCs w:val="24"/>
          <w:highlight w:val="yellow"/>
        </w:rPr>
      </w:pPr>
      <w:r w:rsidRPr="00335D41">
        <w:rPr>
          <w:rFonts w:ascii="Times New Roman" w:hAnsi="Times New Roman" w:cs="Times New Roman"/>
          <w:sz w:val="24"/>
          <w:szCs w:val="24"/>
        </w:rPr>
        <w:t>Преимущественно в 2020 г. ВИЧ - инфекция диагностировалась в возрасте 30 - 49 лет (69,4 % новых случаев).</w:t>
      </w:r>
    </w:p>
    <w:p w:rsidR="00630798" w:rsidRPr="00335D41" w:rsidRDefault="00630798" w:rsidP="00335D41">
      <w:pPr>
        <w:spacing w:after="0" w:line="240" w:lineRule="auto"/>
        <w:ind w:firstLine="708"/>
        <w:jc w:val="both"/>
        <w:rPr>
          <w:rFonts w:ascii="Times New Roman" w:hAnsi="Times New Roman" w:cs="Times New Roman"/>
          <w:sz w:val="24"/>
          <w:szCs w:val="24"/>
        </w:rPr>
      </w:pPr>
      <w:r w:rsidRPr="00335D41">
        <w:rPr>
          <w:rFonts w:ascii="Times New Roman" w:hAnsi="Times New Roman" w:cs="Times New Roman"/>
          <w:sz w:val="24"/>
          <w:szCs w:val="24"/>
        </w:rPr>
        <w:t xml:space="preserve"> Отмечается снижению заболеваемости в возрастной категории 30 - 39 лет (с 42% в 2018 г. до 38,9% в 2020 г.) и 40 - 49 лет (с 32% в 2018 г. до 30,5% в 2020 г.).  Наблюдается тенденция роста заболеваемости в категории 50 лет и старше (с 13% в 2018 г. до 16,7% в 2020 г.).</w:t>
      </w:r>
    </w:p>
    <w:p w:rsidR="00630798" w:rsidRPr="00335D41" w:rsidRDefault="00630798" w:rsidP="00335D41">
      <w:pPr>
        <w:spacing w:after="0" w:line="240" w:lineRule="auto"/>
        <w:jc w:val="right"/>
        <w:rPr>
          <w:rFonts w:ascii="Times New Roman" w:hAnsi="Times New Roman" w:cs="Times New Roman"/>
          <w:sz w:val="24"/>
          <w:szCs w:val="24"/>
        </w:rPr>
      </w:pPr>
      <w:r w:rsidRPr="00335D41">
        <w:rPr>
          <w:rFonts w:ascii="Times New Roman" w:hAnsi="Times New Roman" w:cs="Times New Roman"/>
          <w:sz w:val="24"/>
          <w:szCs w:val="24"/>
        </w:rPr>
        <w:t>Таблица № 33</w:t>
      </w:r>
    </w:p>
    <w:p w:rsidR="00630798" w:rsidRPr="00335D41" w:rsidRDefault="00630798" w:rsidP="00335D41">
      <w:pPr>
        <w:jc w:val="center"/>
        <w:rPr>
          <w:rFonts w:ascii="Times New Roman" w:hAnsi="Times New Roman" w:cs="Times New Roman"/>
          <w:b/>
          <w:sz w:val="24"/>
          <w:szCs w:val="24"/>
        </w:rPr>
      </w:pPr>
      <w:r w:rsidRPr="00335D41">
        <w:rPr>
          <w:rFonts w:ascii="Times New Roman" w:hAnsi="Times New Roman" w:cs="Times New Roman"/>
          <w:b/>
          <w:sz w:val="24"/>
          <w:szCs w:val="24"/>
        </w:rPr>
        <w:t>Заболеваемость ВИЧ - инфекцией в г. Пыть - Яхе в сравнении со среднеокружными данными2018-2020гг</w:t>
      </w:r>
      <w:r w:rsidR="00335D41">
        <w:rPr>
          <w:rFonts w:ascii="Times New Roman" w:hAnsi="Times New Roman" w:cs="Times New Roman"/>
          <w:b/>
          <w:sz w:val="24"/>
          <w:szCs w:val="24"/>
        </w:rPr>
        <w:t xml:space="preserve">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441"/>
        <w:gridCol w:w="2441"/>
        <w:gridCol w:w="2441"/>
      </w:tblGrid>
      <w:tr w:rsidR="00630798" w:rsidRPr="00335D41" w:rsidTr="00630798">
        <w:trPr>
          <w:trHeight w:val="150"/>
        </w:trPr>
        <w:tc>
          <w:tcPr>
            <w:tcW w:w="2440" w:type="dxa"/>
          </w:tcPr>
          <w:p w:rsidR="00630798" w:rsidRPr="00335D41" w:rsidRDefault="00630798" w:rsidP="00335D41">
            <w:pPr>
              <w:spacing w:after="0" w:line="240" w:lineRule="auto"/>
              <w:jc w:val="right"/>
              <w:rPr>
                <w:rFonts w:ascii="Times New Roman" w:hAnsi="Times New Roman" w:cs="Times New Roman"/>
                <w:sz w:val="24"/>
                <w:szCs w:val="24"/>
              </w:rPr>
            </w:pPr>
          </w:p>
        </w:tc>
        <w:tc>
          <w:tcPr>
            <w:tcW w:w="2441" w:type="dxa"/>
          </w:tcPr>
          <w:p w:rsidR="00630798" w:rsidRPr="00335D41" w:rsidRDefault="00630798" w:rsidP="00335D41">
            <w:pPr>
              <w:spacing w:after="0" w:line="240" w:lineRule="auto"/>
              <w:jc w:val="center"/>
              <w:rPr>
                <w:rFonts w:ascii="Times New Roman" w:hAnsi="Times New Roman" w:cs="Times New Roman"/>
                <w:sz w:val="24"/>
                <w:szCs w:val="24"/>
              </w:rPr>
            </w:pPr>
            <w:r w:rsidRPr="00335D41">
              <w:rPr>
                <w:rFonts w:ascii="Times New Roman" w:hAnsi="Times New Roman" w:cs="Times New Roman"/>
                <w:sz w:val="24"/>
                <w:szCs w:val="24"/>
              </w:rPr>
              <w:t>2018</w:t>
            </w:r>
          </w:p>
        </w:tc>
        <w:tc>
          <w:tcPr>
            <w:tcW w:w="2441" w:type="dxa"/>
          </w:tcPr>
          <w:p w:rsidR="00630798" w:rsidRPr="00335D41" w:rsidRDefault="00630798" w:rsidP="00335D41">
            <w:pPr>
              <w:spacing w:after="0" w:line="240" w:lineRule="auto"/>
              <w:jc w:val="center"/>
              <w:rPr>
                <w:rFonts w:ascii="Times New Roman" w:hAnsi="Times New Roman" w:cs="Times New Roman"/>
                <w:sz w:val="24"/>
                <w:szCs w:val="24"/>
              </w:rPr>
            </w:pPr>
            <w:r w:rsidRPr="00335D41">
              <w:rPr>
                <w:rFonts w:ascii="Times New Roman" w:hAnsi="Times New Roman" w:cs="Times New Roman"/>
                <w:sz w:val="24"/>
                <w:szCs w:val="24"/>
              </w:rPr>
              <w:t>2019</w:t>
            </w:r>
          </w:p>
        </w:tc>
        <w:tc>
          <w:tcPr>
            <w:tcW w:w="2441" w:type="dxa"/>
          </w:tcPr>
          <w:p w:rsidR="00630798" w:rsidRPr="00335D41" w:rsidRDefault="00630798" w:rsidP="00335D41">
            <w:pPr>
              <w:spacing w:after="0" w:line="240" w:lineRule="auto"/>
              <w:jc w:val="center"/>
              <w:rPr>
                <w:rFonts w:ascii="Times New Roman" w:hAnsi="Times New Roman" w:cs="Times New Roman"/>
                <w:sz w:val="24"/>
                <w:szCs w:val="24"/>
              </w:rPr>
            </w:pPr>
            <w:r w:rsidRPr="00335D41">
              <w:rPr>
                <w:rFonts w:ascii="Times New Roman" w:hAnsi="Times New Roman" w:cs="Times New Roman"/>
                <w:sz w:val="24"/>
                <w:szCs w:val="24"/>
              </w:rPr>
              <w:t>2020</w:t>
            </w:r>
          </w:p>
        </w:tc>
      </w:tr>
      <w:tr w:rsidR="00630798" w:rsidRPr="00335D41" w:rsidTr="00630798">
        <w:trPr>
          <w:trHeight w:val="150"/>
        </w:trPr>
        <w:tc>
          <w:tcPr>
            <w:tcW w:w="2440" w:type="dxa"/>
          </w:tcPr>
          <w:p w:rsidR="00630798" w:rsidRPr="00335D41" w:rsidRDefault="00630798" w:rsidP="00335D41">
            <w:pPr>
              <w:spacing w:after="0" w:line="240" w:lineRule="auto"/>
              <w:jc w:val="center"/>
              <w:rPr>
                <w:rFonts w:ascii="Times New Roman" w:hAnsi="Times New Roman" w:cs="Times New Roman"/>
                <w:sz w:val="24"/>
                <w:szCs w:val="24"/>
              </w:rPr>
            </w:pPr>
            <w:r w:rsidRPr="00335D41">
              <w:rPr>
                <w:rFonts w:ascii="Times New Roman" w:hAnsi="Times New Roman" w:cs="Times New Roman"/>
                <w:sz w:val="24"/>
                <w:szCs w:val="24"/>
              </w:rPr>
              <w:t>ХМАО - Югра</w:t>
            </w:r>
          </w:p>
        </w:tc>
        <w:tc>
          <w:tcPr>
            <w:tcW w:w="2441" w:type="dxa"/>
          </w:tcPr>
          <w:p w:rsidR="00630798" w:rsidRPr="00335D41" w:rsidRDefault="00630798" w:rsidP="00335D41">
            <w:pPr>
              <w:spacing w:after="0" w:line="240" w:lineRule="auto"/>
              <w:jc w:val="center"/>
              <w:rPr>
                <w:rFonts w:ascii="Times New Roman" w:hAnsi="Times New Roman" w:cs="Times New Roman"/>
                <w:sz w:val="24"/>
                <w:szCs w:val="24"/>
              </w:rPr>
            </w:pPr>
            <w:r w:rsidRPr="00335D41">
              <w:rPr>
                <w:rFonts w:ascii="Times New Roman" w:hAnsi="Times New Roman" w:cs="Times New Roman"/>
                <w:sz w:val="24"/>
                <w:szCs w:val="24"/>
              </w:rPr>
              <w:t>82,6</w:t>
            </w:r>
          </w:p>
        </w:tc>
        <w:tc>
          <w:tcPr>
            <w:tcW w:w="2441" w:type="dxa"/>
          </w:tcPr>
          <w:p w:rsidR="00630798" w:rsidRPr="00335D41" w:rsidRDefault="00630798" w:rsidP="00335D41">
            <w:pPr>
              <w:spacing w:after="0" w:line="240" w:lineRule="auto"/>
              <w:jc w:val="center"/>
              <w:rPr>
                <w:rFonts w:ascii="Times New Roman" w:hAnsi="Times New Roman" w:cs="Times New Roman"/>
                <w:sz w:val="24"/>
                <w:szCs w:val="24"/>
              </w:rPr>
            </w:pPr>
            <w:r w:rsidRPr="00335D41">
              <w:rPr>
                <w:rFonts w:ascii="Times New Roman" w:hAnsi="Times New Roman" w:cs="Times New Roman"/>
                <w:sz w:val="24"/>
                <w:szCs w:val="24"/>
              </w:rPr>
              <w:t>71,9</w:t>
            </w:r>
          </w:p>
        </w:tc>
        <w:tc>
          <w:tcPr>
            <w:tcW w:w="2441" w:type="dxa"/>
          </w:tcPr>
          <w:p w:rsidR="00630798" w:rsidRPr="00335D41" w:rsidRDefault="00630798" w:rsidP="00335D41">
            <w:pPr>
              <w:spacing w:after="0" w:line="240" w:lineRule="auto"/>
              <w:jc w:val="center"/>
              <w:rPr>
                <w:rFonts w:ascii="Times New Roman" w:hAnsi="Times New Roman" w:cs="Times New Roman"/>
                <w:sz w:val="24"/>
                <w:szCs w:val="24"/>
              </w:rPr>
            </w:pPr>
            <w:r w:rsidRPr="00335D41">
              <w:rPr>
                <w:rFonts w:ascii="Times New Roman" w:hAnsi="Times New Roman" w:cs="Times New Roman"/>
                <w:sz w:val="24"/>
                <w:szCs w:val="24"/>
              </w:rPr>
              <w:t>48,57</w:t>
            </w:r>
          </w:p>
        </w:tc>
      </w:tr>
      <w:tr w:rsidR="00630798" w:rsidRPr="00335D41" w:rsidTr="00630798">
        <w:trPr>
          <w:trHeight w:val="150"/>
        </w:trPr>
        <w:tc>
          <w:tcPr>
            <w:tcW w:w="2440" w:type="dxa"/>
          </w:tcPr>
          <w:p w:rsidR="00630798" w:rsidRPr="00335D41" w:rsidRDefault="00630798" w:rsidP="00335D41">
            <w:pPr>
              <w:spacing w:after="0" w:line="240" w:lineRule="auto"/>
              <w:jc w:val="center"/>
              <w:rPr>
                <w:rFonts w:ascii="Times New Roman" w:hAnsi="Times New Roman" w:cs="Times New Roman"/>
                <w:sz w:val="24"/>
                <w:szCs w:val="24"/>
              </w:rPr>
            </w:pPr>
            <w:r w:rsidRPr="00335D41">
              <w:rPr>
                <w:rFonts w:ascii="Times New Roman" w:hAnsi="Times New Roman" w:cs="Times New Roman"/>
                <w:sz w:val="24"/>
                <w:szCs w:val="24"/>
              </w:rPr>
              <w:t>город Пыть - Ях</w:t>
            </w:r>
          </w:p>
        </w:tc>
        <w:tc>
          <w:tcPr>
            <w:tcW w:w="2441" w:type="dxa"/>
          </w:tcPr>
          <w:p w:rsidR="00630798" w:rsidRPr="00335D41" w:rsidRDefault="00630798" w:rsidP="00335D41">
            <w:pPr>
              <w:spacing w:after="0" w:line="240" w:lineRule="auto"/>
              <w:jc w:val="center"/>
              <w:rPr>
                <w:rFonts w:ascii="Times New Roman" w:hAnsi="Times New Roman" w:cs="Times New Roman"/>
                <w:sz w:val="24"/>
                <w:szCs w:val="24"/>
              </w:rPr>
            </w:pPr>
            <w:r w:rsidRPr="00335D41">
              <w:rPr>
                <w:rFonts w:ascii="Times New Roman" w:hAnsi="Times New Roman" w:cs="Times New Roman"/>
                <w:sz w:val="24"/>
                <w:szCs w:val="24"/>
              </w:rPr>
              <w:t>82,0</w:t>
            </w:r>
          </w:p>
        </w:tc>
        <w:tc>
          <w:tcPr>
            <w:tcW w:w="2441" w:type="dxa"/>
          </w:tcPr>
          <w:p w:rsidR="00630798" w:rsidRPr="00335D41" w:rsidRDefault="00630798" w:rsidP="00335D41">
            <w:pPr>
              <w:spacing w:after="0" w:line="240" w:lineRule="auto"/>
              <w:jc w:val="center"/>
              <w:rPr>
                <w:rFonts w:ascii="Times New Roman" w:hAnsi="Times New Roman" w:cs="Times New Roman"/>
                <w:sz w:val="24"/>
                <w:szCs w:val="24"/>
              </w:rPr>
            </w:pPr>
            <w:r w:rsidRPr="00335D41">
              <w:rPr>
                <w:rFonts w:ascii="Times New Roman" w:hAnsi="Times New Roman" w:cs="Times New Roman"/>
                <w:sz w:val="24"/>
                <w:szCs w:val="24"/>
              </w:rPr>
              <w:t>77,6</w:t>
            </w:r>
          </w:p>
        </w:tc>
        <w:tc>
          <w:tcPr>
            <w:tcW w:w="2441" w:type="dxa"/>
          </w:tcPr>
          <w:p w:rsidR="00630798" w:rsidRPr="00335D41" w:rsidRDefault="00630798" w:rsidP="00335D41">
            <w:pPr>
              <w:spacing w:after="0" w:line="240" w:lineRule="auto"/>
              <w:jc w:val="center"/>
              <w:rPr>
                <w:rFonts w:ascii="Times New Roman" w:hAnsi="Times New Roman" w:cs="Times New Roman"/>
                <w:sz w:val="24"/>
                <w:szCs w:val="24"/>
              </w:rPr>
            </w:pPr>
            <w:r w:rsidRPr="00335D41">
              <w:rPr>
                <w:rFonts w:ascii="Times New Roman" w:hAnsi="Times New Roman" w:cs="Times New Roman"/>
                <w:sz w:val="24"/>
                <w:szCs w:val="24"/>
              </w:rPr>
              <w:t>40,2</w:t>
            </w:r>
          </w:p>
        </w:tc>
      </w:tr>
    </w:tbl>
    <w:p w:rsidR="00630798" w:rsidRPr="00335D41" w:rsidRDefault="00630798" w:rsidP="00335D41">
      <w:pPr>
        <w:spacing w:after="0" w:line="240" w:lineRule="auto"/>
        <w:ind w:firstLine="709"/>
        <w:jc w:val="both"/>
        <w:rPr>
          <w:rFonts w:ascii="Times New Roman" w:hAnsi="Times New Roman" w:cs="Times New Roman"/>
          <w:sz w:val="24"/>
          <w:szCs w:val="24"/>
          <w:highlight w:val="yellow"/>
        </w:rPr>
      </w:pPr>
    </w:p>
    <w:p w:rsidR="00630798" w:rsidRPr="00335D41" w:rsidRDefault="00630798" w:rsidP="00335D41">
      <w:pPr>
        <w:spacing w:after="0" w:line="240" w:lineRule="auto"/>
        <w:ind w:firstLine="708"/>
        <w:jc w:val="both"/>
        <w:rPr>
          <w:rFonts w:ascii="Times New Roman" w:hAnsi="Times New Roman" w:cs="Times New Roman"/>
          <w:sz w:val="24"/>
          <w:szCs w:val="24"/>
        </w:rPr>
      </w:pPr>
      <w:r w:rsidRPr="00335D41">
        <w:rPr>
          <w:rFonts w:ascii="Times New Roman" w:hAnsi="Times New Roman" w:cs="Times New Roman"/>
          <w:sz w:val="24"/>
          <w:szCs w:val="24"/>
        </w:rPr>
        <w:t>Город Пыть - Ях в 2020г занимает 3 ранговое место по пораженности населения ХМАО –Югры за городами Мегион, Урай. Несмотря на значительное снижение заболеваемости в сравнении с прошлым годом, ситуация по ВИЧ - инфекции в целом, оценивается как напряженная, уровень пораженности населения города Пыть - Яха остается высоким -1,3%, (пораженность более 1% населения, свидетельствует о генерализации эпидемии и выхода ее за пределы уязвимых групп населения и распространения в общей популяции).</w:t>
      </w:r>
    </w:p>
    <w:p w:rsidR="00630798" w:rsidRPr="00C52AA6" w:rsidRDefault="00630798" w:rsidP="00335D41">
      <w:pPr>
        <w:spacing w:after="0" w:line="240" w:lineRule="auto"/>
        <w:jc w:val="right"/>
      </w:pPr>
      <w:r w:rsidRPr="00C52AA6">
        <w:t>Таблица № 34</w:t>
      </w:r>
    </w:p>
    <w:p w:rsidR="00630798" w:rsidRPr="00335D41" w:rsidRDefault="00630798" w:rsidP="00335D41">
      <w:pPr>
        <w:spacing w:after="0" w:line="240" w:lineRule="auto"/>
        <w:jc w:val="center"/>
        <w:rPr>
          <w:b/>
        </w:rPr>
      </w:pPr>
      <w:r w:rsidRPr="00C52AA6">
        <w:rPr>
          <w:b/>
        </w:rPr>
        <w:t>Распределение ВИЧ – инфицированных по полу за 2018-2</w:t>
      </w:r>
      <w:r w:rsidR="00335D41">
        <w:rPr>
          <w:b/>
        </w:rPr>
        <w:t>020гг. по территории г. Пыть-Ях</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888"/>
        <w:gridCol w:w="1888"/>
        <w:gridCol w:w="2484"/>
      </w:tblGrid>
      <w:tr w:rsidR="00630798" w:rsidRPr="00335D41" w:rsidTr="00630798">
        <w:trPr>
          <w:trHeight w:val="368"/>
        </w:trPr>
        <w:tc>
          <w:tcPr>
            <w:tcW w:w="3376" w:type="dxa"/>
            <w:vMerge w:val="restart"/>
            <w:noWrap/>
            <w:hideMark/>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Пол</w:t>
            </w:r>
          </w:p>
        </w:tc>
        <w:tc>
          <w:tcPr>
            <w:tcW w:w="6260" w:type="dxa"/>
            <w:gridSpan w:val="3"/>
            <w:noWrap/>
            <w:hideMark/>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Отчетный период (в %)</w:t>
            </w:r>
          </w:p>
        </w:tc>
      </w:tr>
      <w:tr w:rsidR="00630798" w:rsidRPr="00335D41" w:rsidTr="00630798">
        <w:trPr>
          <w:trHeight w:val="368"/>
        </w:trPr>
        <w:tc>
          <w:tcPr>
            <w:tcW w:w="3376" w:type="dxa"/>
            <w:vMerge/>
            <w:hideMark/>
          </w:tcPr>
          <w:p w:rsidR="00630798" w:rsidRPr="00335D41" w:rsidRDefault="00630798" w:rsidP="00335D41">
            <w:pPr>
              <w:spacing w:after="0" w:line="240" w:lineRule="auto"/>
              <w:jc w:val="center"/>
              <w:rPr>
                <w:rFonts w:ascii="Times New Roman" w:hAnsi="Times New Roman" w:cs="Times New Roman"/>
                <w:highlight w:val="yellow"/>
              </w:rPr>
            </w:pPr>
          </w:p>
        </w:tc>
        <w:tc>
          <w:tcPr>
            <w:tcW w:w="1888" w:type="dxa"/>
            <w:noWrap/>
          </w:tcPr>
          <w:p w:rsidR="00630798" w:rsidRPr="00335D41" w:rsidRDefault="00630798" w:rsidP="00335D41">
            <w:pPr>
              <w:spacing w:after="0" w:line="240" w:lineRule="auto"/>
              <w:jc w:val="center"/>
              <w:rPr>
                <w:rFonts w:ascii="Times New Roman" w:hAnsi="Times New Roman" w:cs="Times New Roman"/>
                <w:highlight w:val="yellow"/>
              </w:rPr>
            </w:pPr>
            <w:r w:rsidRPr="00335D41">
              <w:rPr>
                <w:rFonts w:ascii="Times New Roman" w:hAnsi="Times New Roman" w:cs="Times New Roman"/>
              </w:rPr>
              <w:t>2018</w:t>
            </w:r>
          </w:p>
        </w:tc>
        <w:tc>
          <w:tcPr>
            <w:tcW w:w="1888" w:type="dxa"/>
            <w:noWrap/>
            <w:hideMark/>
          </w:tcPr>
          <w:p w:rsidR="00630798" w:rsidRPr="00335D41" w:rsidRDefault="00630798" w:rsidP="00335D41">
            <w:pPr>
              <w:spacing w:after="0" w:line="240" w:lineRule="auto"/>
              <w:jc w:val="center"/>
              <w:rPr>
                <w:rFonts w:ascii="Times New Roman" w:hAnsi="Times New Roman" w:cs="Times New Roman"/>
                <w:highlight w:val="yellow"/>
              </w:rPr>
            </w:pPr>
            <w:r w:rsidRPr="00335D41">
              <w:rPr>
                <w:rFonts w:ascii="Times New Roman" w:hAnsi="Times New Roman" w:cs="Times New Roman"/>
              </w:rPr>
              <w:t>2019</w:t>
            </w:r>
          </w:p>
        </w:tc>
        <w:tc>
          <w:tcPr>
            <w:tcW w:w="2484" w:type="dxa"/>
            <w:hideMark/>
          </w:tcPr>
          <w:p w:rsidR="00630798" w:rsidRPr="00335D41" w:rsidRDefault="00630798" w:rsidP="00335D41">
            <w:pPr>
              <w:spacing w:after="0" w:line="240" w:lineRule="auto"/>
              <w:jc w:val="center"/>
              <w:rPr>
                <w:rFonts w:ascii="Times New Roman" w:hAnsi="Times New Roman" w:cs="Times New Roman"/>
                <w:highlight w:val="red"/>
              </w:rPr>
            </w:pPr>
            <w:r w:rsidRPr="00335D41">
              <w:rPr>
                <w:rFonts w:ascii="Times New Roman" w:hAnsi="Times New Roman" w:cs="Times New Roman"/>
              </w:rPr>
              <w:t>2020</w:t>
            </w:r>
          </w:p>
        </w:tc>
      </w:tr>
      <w:tr w:rsidR="00630798" w:rsidRPr="00335D41" w:rsidTr="00630798">
        <w:trPr>
          <w:trHeight w:val="368"/>
        </w:trPr>
        <w:tc>
          <w:tcPr>
            <w:tcW w:w="3376" w:type="dxa"/>
            <w:noWrap/>
            <w:hideMark/>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мужчины</w:t>
            </w:r>
          </w:p>
        </w:tc>
        <w:tc>
          <w:tcPr>
            <w:tcW w:w="1888" w:type="dxa"/>
            <w:noWrap/>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21</w:t>
            </w:r>
          </w:p>
        </w:tc>
        <w:tc>
          <w:tcPr>
            <w:tcW w:w="1888" w:type="dxa"/>
            <w:noWrap/>
            <w:hideMark/>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21</w:t>
            </w:r>
          </w:p>
        </w:tc>
        <w:tc>
          <w:tcPr>
            <w:tcW w:w="2484" w:type="dxa"/>
            <w:noWrap/>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6</w:t>
            </w:r>
          </w:p>
        </w:tc>
      </w:tr>
      <w:tr w:rsidR="00630798" w:rsidRPr="00335D41" w:rsidTr="00630798">
        <w:trPr>
          <w:trHeight w:val="368"/>
        </w:trPr>
        <w:tc>
          <w:tcPr>
            <w:tcW w:w="3376" w:type="dxa"/>
            <w:noWrap/>
            <w:hideMark/>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женщины</w:t>
            </w:r>
          </w:p>
        </w:tc>
        <w:tc>
          <w:tcPr>
            <w:tcW w:w="1888" w:type="dxa"/>
            <w:noWrap/>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14</w:t>
            </w:r>
          </w:p>
        </w:tc>
        <w:tc>
          <w:tcPr>
            <w:tcW w:w="1888" w:type="dxa"/>
            <w:noWrap/>
            <w:hideMark/>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11</w:t>
            </w:r>
          </w:p>
        </w:tc>
        <w:tc>
          <w:tcPr>
            <w:tcW w:w="2484" w:type="dxa"/>
            <w:noWrap/>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10</w:t>
            </w:r>
          </w:p>
        </w:tc>
      </w:tr>
    </w:tbl>
    <w:p w:rsidR="00630798" w:rsidRPr="00335D41" w:rsidRDefault="00630798" w:rsidP="00335D41">
      <w:pPr>
        <w:spacing w:after="0" w:line="240" w:lineRule="auto"/>
        <w:ind w:firstLine="709"/>
        <w:jc w:val="both"/>
        <w:rPr>
          <w:rFonts w:ascii="Times New Roman" w:hAnsi="Times New Roman" w:cs="Times New Roman"/>
          <w:szCs w:val="24"/>
          <w:highlight w:val="yellow"/>
        </w:rPr>
      </w:pPr>
    </w:p>
    <w:p w:rsidR="00630798" w:rsidRPr="00335D41" w:rsidRDefault="00630798" w:rsidP="00335D41">
      <w:pPr>
        <w:spacing w:after="0" w:line="240" w:lineRule="auto"/>
        <w:ind w:firstLine="720"/>
        <w:jc w:val="both"/>
        <w:rPr>
          <w:rFonts w:ascii="Times New Roman" w:hAnsi="Times New Roman" w:cs="Times New Roman"/>
          <w:szCs w:val="24"/>
        </w:rPr>
      </w:pPr>
      <w:r w:rsidRPr="00335D41">
        <w:rPr>
          <w:rFonts w:ascii="Times New Roman" w:hAnsi="Times New Roman" w:cs="Times New Roman"/>
          <w:szCs w:val="24"/>
        </w:rPr>
        <w:lastRenderedPageBreak/>
        <w:t xml:space="preserve">В  2020году в половой структуре ВИЧ - инфицированных наибольший удельный вес составляет женское  население -62,5%, хотя в 2019-2018г-преобладало мужское население  , на долю женщин приходится 37,5% (за счет активизации полового пути передачи, все больше увеличивается число ВИЧ - инфицированных женщин, в т.ч. детородного возраста). </w:t>
      </w:r>
    </w:p>
    <w:p w:rsidR="00630798" w:rsidRPr="00335D41" w:rsidRDefault="00630798" w:rsidP="00335D41">
      <w:pPr>
        <w:spacing w:after="0" w:line="240" w:lineRule="auto"/>
        <w:ind w:firstLine="709"/>
        <w:jc w:val="both"/>
        <w:rPr>
          <w:rFonts w:ascii="Times New Roman" w:hAnsi="Times New Roman" w:cs="Times New Roman"/>
          <w:szCs w:val="24"/>
        </w:rPr>
      </w:pPr>
      <w:r w:rsidRPr="00335D41">
        <w:rPr>
          <w:rFonts w:ascii="Times New Roman" w:hAnsi="Times New Roman" w:cs="Times New Roman"/>
          <w:szCs w:val="24"/>
        </w:rPr>
        <w:t xml:space="preserve">Основным путем инфицирования для мужчин является употребление наркотических веществ внутривенно, женщины заражаются главным образом при половых контактах с ВИЧ-инфицированными мужчинами( табл № 35). </w:t>
      </w:r>
    </w:p>
    <w:p w:rsidR="00630798" w:rsidRPr="00335D41" w:rsidRDefault="00630798" w:rsidP="00335D41">
      <w:pPr>
        <w:spacing w:after="0" w:line="240" w:lineRule="auto"/>
        <w:jc w:val="right"/>
        <w:rPr>
          <w:rFonts w:ascii="Times New Roman" w:hAnsi="Times New Roman" w:cs="Times New Roman"/>
        </w:rPr>
      </w:pPr>
      <w:r w:rsidRPr="00335D41">
        <w:rPr>
          <w:rFonts w:ascii="Times New Roman" w:hAnsi="Times New Roman" w:cs="Times New Roman"/>
        </w:rPr>
        <w:t>Таблица № 35</w:t>
      </w:r>
    </w:p>
    <w:p w:rsidR="00630798" w:rsidRPr="00335D41" w:rsidRDefault="00630798" w:rsidP="00335D41">
      <w:pPr>
        <w:spacing w:after="0" w:line="240" w:lineRule="auto"/>
        <w:jc w:val="center"/>
        <w:rPr>
          <w:rFonts w:ascii="Times New Roman" w:hAnsi="Times New Roman" w:cs="Times New Roman"/>
          <w:b/>
        </w:rPr>
      </w:pPr>
      <w:r w:rsidRPr="00335D41">
        <w:rPr>
          <w:rFonts w:ascii="Times New Roman" w:hAnsi="Times New Roman" w:cs="Times New Roman"/>
          <w:b/>
        </w:rPr>
        <w:t>Пути заражения ВИЧ – инфекцией среди населения г. Пыть-Ях за 2018-2020 гг.</w:t>
      </w:r>
    </w:p>
    <w:p w:rsidR="00630798" w:rsidRPr="00335D41" w:rsidRDefault="00630798" w:rsidP="00335D41">
      <w:pPr>
        <w:spacing w:after="0" w:line="240" w:lineRule="auto"/>
        <w:jc w:val="right"/>
        <w:rPr>
          <w:rFonts w:ascii="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1650"/>
        <w:gridCol w:w="1650"/>
        <w:gridCol w:w="2043"/>
      </w:tblGrid>
      <w:tr w:rsidR="00630798" w:rsidRPr="00335D41" w:rsidTr="00630798">
        <w:trPr>
          <w:trHeight w:val="246"/>
        </w:trPr>
        <w:tc>
          <w:tcPr>
            <w:tcW w:w="4263" w:type="dxa"/>
            <w:vMerge w:val="restart"/>
            <w:noWrap/>
            <w:hideMark/>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Путь передачи</w:t>
            </w:r>
          </w:p>
        </w:tc>
        <w:tc>
          <w:tcPr>
            <w:tcW w:w="5343" w:type="dxa"/>
            <w:gridSpan w:val="3"/>
            <w:noWrap/>
            <w:hideMark/>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Отчетный период (в %)</w:t>
            </w:r>
          </w:p>
        </w:tc>
      </w:tr>
      <w:tr w:rsidR="00630798" w:rsidRPr="00335D41" w:rsidTr="00630798">
        <w:trPr>
          <w:trHeight w:val="246"/>
        </w:trPr>
        <w:tc>
          <w:tcPr>
            <w:tcW w:w="4263" w:type="dxa"/>
            <w:vMerge/>
            <w:hideMark/>
          </w:tcPr>
          <w:p w:rsidR="00630798" w:rsidRPr="00335D41" w:rsidRDefault="00630798" w:rsidP="00335D41">
            <w:pPr>
              <w:spacing w:after="0" w:line="240" w:lineRule="auto"/>
              <w:jc w:val="center"/>
              <w:rPr>
                <w:rFonts w:ascii="Times New Roman" w:hAnsi="Times New Roman" w:cs="Times New Roman"/>
              </w:rPr>
            </w:pPr>
          </w:p>
        </w:tc>
        <w:tc>
          <w:tcPr>
            <w:tcW w:w="1650" w:type="dxa"/>
            <w:noWrap/>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2018</w:t>
            </w:r>
          </w:p>
        </w:tc>
        <w:tc>
          <w:tcPr>
            <w:tcW w:w="1650" w:type="dxa"/>
            <w:noWrap/>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2019</w:t>
            </w:r>
          </w:p>
        </w:tc>
        <w:tc>
          <w:tcPr>
            <w:tcW w:w="2043" w:type="dxa"/>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2020</w:t>
            </w:r>
          </w:p>
        </w:tc>
      </w:tr>
      <w:tr w:rsidR="00630798" w:rsidRPr="00335D41" w:rsidTr="00630798">
        <w:trPr>
          <w:trHeight w:val="246"/>
        </w:trPr>
        <w:tc>
          <w:tcPr>
            <w:tcW w:w="4263" w:type="dxa"/>
            <w:noWrap/>
            <w:hideMark/>
          </w:tcPr>
          <w:p w:rsidR="00630798" w:rsidRPr="00335D41" w:rsidRDefault="00630798" w:rsidP="00335D41">
            <w:pPr>
              <w:spacing w:after="0" w:line="240" w:lineRule="auto"/>
              <w:rPr>
                <w:rFonts w:ascii="Times New Roman" w:hAnsi="Times New Roman" w:cs="Times New Roman"/>
              </w:rPr>
            </w:pPr>
            <w:r w:rsidRPr="00335D41">
              <w:rPr>
                <w:rFonts w:ascii="Times New Roman" w:hAnsi="Times New Roman" w:cs="Times New Roman"/>
              </w:rPr>
              <w:t>Вертикальный</w:t>
            </w:r>
          </w:p>
        </w:tc>
        <w:tc>
          <w:tcPr>
            <w:tcW w:w="1650" w:type="dxa"/>
            <w:noWrap/>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w:t>
            </w:r>
          </w:p>
        </w:tc>
        <w:tc>
          <w:tcPr>
            <w:tcW w:w="1650" w:type="dxa"/>
            <w:noWrap/>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w:t>
            </w:r>
          </w:p>
        </w:tc>
        <w:tc>
          <w:tcPr>
            <w:tcW w:w="2043" w:type="dxa"/>
            <w:noWrap/>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w:t>
            </w:r>
          </w:p>
        </w:tc>
      </w:tr>
      <w:tr w:rsidR="00630798" w:rsidRPr="00335D41" w:rsidTr="00630798">
        <w:trPr>
          <w:trHeight w:val="246"/>
        </w:trPr>
        <w:tc>
          <w:tcPr>
            <w:tcW w:w="4263" w:type="dxa"/>
            <w:noWrap/>
            <w:hideMark/>
          </w:tcPr>
          <w:p w:rsidR="00630798" w:rsidRPr="00335D41" w:rsidRDefault="00630798" w:rsidP="00335D41">
            <w:pPr>
              <w:spacing w:after="0" w:line="240" w:lineRule="auto"/>
              <w:rPr>
                <w:rFonts w:ascii="Times New Roman" w:hAnsi="Times New Roman" w:cs="Times New Roman"/>
              </w:rPr>
            </w:pPr>
            <w:r w:rsidRPr="00335D41">
              <w:rPr>
                <w:rFonts w:ascii="Times New Roman" w:hAnsi="Times New Roman" w:cs="Times New Roman"/>
              </w:rPr>
              <w:t>Наркотический</w:t>
            </w:r>
          </w:p>
        </w:tc>
        <w:tc>
          <w:tcPr>
            <w:tcW w:w="1650" w:type="dxa"/>
            <w:noWrap/>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28,6</w:t>
            </w:r>
          </w:p>
        </w:tc>
        <w:tc>
          <w:tcPr>
            <w:tcW w:w="1650" w:type="dxa"/>
            <w:noWrap/>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24,0</w:t>
            </w:r>
          </w:p>
        </w:tc>
        <w:tc>
          <w:tcPr>
            <w:tcW w:w="2043" w:type="dxa"/>
            <w:noWrap/>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25,0</w:t>
            </w:r>
          </w:p>
        </w:tc>
      </w:tr>
      <w:tr w:rsidR="00630798" w:rsidRPr="00335D41" w:rsidTr="00630798">
        <w:trPr>
          <w:trHeight w:val="246"/>
        </w:trPr>
        <w:tc>
          <w:tcPr>
            <w:tcW w:w="4263" w:type="dxa"/>
            <w:noWrap/>
            <w:hideMark/>
          </w:tcPr>
          <w:p w:rsidR="00630798" w:rsidRPr="00335D41" w:rsidRDefault="00630798" w:rsidP="00335D41">
            <w:pPr>
              <w:spacing w:after="0" w:line="240" w:lineRule="auto"/>
              <w:rPr>
                <w:rFonts w:ascii="Times New Roman" w:hAnsi="Times New Roman" w:cs="Times New Roman"/>
              </w:rPr>
            </w:pPr>
            <w:r w:rsidRPr="00335D41">
              <w:rPr>
                <w:rFonts w:ascii="Times New Roman" w:hAnsi="Times New Roman" w:cs="Times New Roman"/>
              </w:rPr>
              <w:t>Половой</w:t>
            </w:r>
          </w:p>
        </w:tc>
        <w:tc>
          <w:tcPr>
            <w:tcW w:w="1650" w:type="dxa"/>
            <w:noWrap/>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68,6</w:t>
            </w:r>
          </w:p>
        </w:tc>
        <w:tc>
          <w:tcPr>
            <w:tcW w:w="1650" w:type="dxa"/>
            <w:noWrap/>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76,0</w:t>
            </w:r>
          </w:p>
        </w:tc>
        <w:tc>
          <w:tcPr>
            <w:tcW w:w="2043" w:type="dxa"/>
            <w:noWrap/>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72,2</w:t>
            </w:r>
          </w:p>
        </w:tc>
      </w:tr>
    </w:tbl>
    <w:p w:rsidR="00630798" w:rsidRPr="00582568" w:rsidRDefault="00630798" w:rsidP="00630798">
      <w:pPr>
        <w:ind w:firstLine="709"/>
        <w:jc w:val="both"/>
        <w:rPr>
          <w:szCs w:val="24"/>
          <w:highlight w:val="yellow"/>
        </w:rPr>
      </w:pPr>
    </w:p>
    <w:p w:rsidR="00630798" w:rsidRPr="00335D41" w:rsidRDefault="00630798" w:rsidP="00335D41">
      <w:pPr>
        <w:spacing w:after="0" w:line="240" w:lineRule="auto"/>
        <w:ind w:firstLine="708"/>
        <w:jc w:val="both"/>
        <w:rPr>
          <w:rFonts w:ascii="Times New Roman" w:hAnsi="Times New Roman" w:cs="Times New Roman"/>
          <w:sz w:val="24"/>
          <w:szCs w:val="24"/>
        </w:rPr>
      </w:pPr>
      <w:r w:rsidRPr="00335D41">
        <w:rPr>
          <w:rFonts w:ascii="Times New Roman" w:hAnsi="Times New Roman" w:cs="Times New Roman"/>
          <w:sz w:val="24"/>
          <w:szCs w:val="24"/>
        </w:rPr>
        <w:t>Большинство пациентов, впервые выявленных в 2020 г., инфицировались при гетеросексуальных контактах - 72,2%, доля инфицированных ВИЧ при употреблении наркотиков снизилась до 25%. В 2020 г. зарегистрирован 1 случай посмертного установления диагноза, при котором путь передачи установить не удалось. Лиц с вертикальным путем передачи (от матери - ребенку), за анализируемый 2020 г., зарегистрировано не было. У ребенка (0 - 14 лет) выявленного в 2019 г., инфицирование произошло половым путем.</w:t>
      </w:r>
    </w:p>
    <w:p w:rsidR="00630798" w:rsidRPr="00335D41" w:rsidRDefault="00630798" w:rsidP="00335D41">
      <w:pPr>
        <w:spacing w:after="0" w:line="240" w:lineRule="auto"/>
        <w:ind w:firstLine="708"/>
        <w:jc w:val="both"/>
        <w:rPr>
          <w:rFonts w:ascii="Times New Roman" w:hAnsi="Times New Roman" w:cs="Times New Roman"/>
          <w:sz w:val="24"/>
          <w:szCs w:val="24"/>
        </w:rPr>
      </w:pPr>
      <w:r w:rsidRPr="00335D41">
        <w:rPr>
          <w:rFonts w:ascii="Times New Roman" w:hAnsi="Times New Roman" w:cs="Times New Roman"/>
          <w:sz w:val="24"/>
          <w:szCs w:val="24"/>
        </w:rPr>
        <w:t>В 2020 г. родилось</w:t>
      </w:r>
      <w:r w:rsidRPr="00335D41">
        <w:rPr>
          <w:rFonts w:ascii="Times New Roman" w:hAnsi="Times New Roman" w:cs="Times New Roman"/>
          <w:color w:val="FF0000"/>
          <w:sz w:val="24"/>
          <w:szCs w:val="24"/>
        </w:rPr>
        <w:t xml:space="preserve"> </w:t>
      </w:r>
      <w:r w:rsidRPr="00335D41">
        <w:rPr>
          <w:rFonts w:ascii="Times New Roman" w:hAnsi="Times New Roman" w:cs="Times New Roman"/>
          <w:sz w:val="24"/>
          <w:szCs w:val="24"/>
        </w:rPr>
        <w:t>10 детей (10 родов) от ВИЧ - позитивных матерей, что на 30% больше, чем в 2019году За анализируемый период 2019г родилось</w:t>
      </w:r>
      <w:r w:rsidRPr="00335D41">
        <w:rPr>
          <w:rFonts w:ascii="Times New Roman" w:hAnsi="Times New Roman" w:cs="Times New Roman"/>
          <w:color w:val="FF0000"/>
          <w:sz w:val="24"/>
          <w:szCs w:val="24"/>
        </w:rPr>
        <w:t xml:space="preserve"> </w:t>
      </w:r>
      <w:r w:rsidRPr="00335D41">
        <w:rPr>
          <w:rFonts w:ascii="Times New Roman" w:hAnsi="Times New Roman" w:cs="Times New Roman"/>
          <w:sz w:val="24"/>
          <w:szCs w:val="24"/>
        </w:rPr>
        <w:t>7 детей (6 родов), 2018 г. - родилось 10 детей (10 родов), Детей с вертикальным путем инфицирования за анализируемые периоды 2018 г. - 2020 г.  не  зарегистрировано.</w:t>
      </w:r>
    </w:p>
    <w:p w:rsidR="00630798" w:rsidRPr="00335D41" w:rsidRDefault="00630798" w:rsidP="00335D41">
      <w:pPr>
        <w:spacing w:after="0" w:line="240" w:lineRule="auto"/>
        <w:jc w:val="both"/>
        <w:rPr>
          <w:rFonts w:ascii="Times New Roman" w:hAnsi="Times New Roman" w:cs="Times New Roman"/>
          <w:sz w:val="24"/>
          <w:szCs w:val="24"/>
        </w:rPr>
      </w:pPr>
      <w:r w:rsidRPr="00335D41">
        <w:rPr>
          <w:rFonts w:ascii="Times New Roman" w:hAnsi="Times New Roman" w:cs="Times New Roman"/>
          <w:sz w:val="24"/>
          <w:szCs w:val="24"/>
        </w:rPr>
        <w:t>Дородовая химиопрофилактика беременным женщинам проведена на 90% (не проведена в 1 случае (10%), по причине письменного отказа), в родах на 90% (не проведена в 1 случае (10%), по причине письменного отказа) и новорожденным детям проведена на 90% (не проведена 1 ребенку (10%), по причине письменного отказа матери). За отчетный период детей с установленным диагнозом ВИЧ - инфекция зарегистрировано не было. Частота вертикальной передачи инфекции за весь период наблюдения снизилась с 4,5% в 2019 г. до 4,3% в 2020 г.</w:t>
      </w:r>
    </w:p>
    <w:p w:rsidR="00630798" w:rsidRPr="00335D41" w:rsidRDefault="00630798" w:rsidP="00335D41">
      <w:pPr>
        <w:spacing w:after="0" w:line="240" w:lineRule="auto"/>
        <w:ind w:firstLine="708"/>
        <w:jc w:val="both"/>
        <w:rPr>
          <w:rFonts w:ascii="Times New Roman" w:hAnsi="Times New Roman" w:cs="Times New Roman"/>
          <w:sz w:val="24"/>
          <w:szCs w:val="24"/>
        </w:rPr>
      </w:pPr>
      <w:r w:rsidRPr="00335D41">
        <w:rPr>
          <w:rFonts w:ascii="Times New Roman" w:hAnsi="Times New Roman" w:cs="Times New Roman"/>
          <w:sz w:val="24"/>
          <w:szCs w:val="24"/>
        </w:rPr>
        <w:t>В 2020 г. на антитела к ВИЧ обследовано 11587 российских граждан, с учетом иностранных граждан - 11741 (29,19% - постоянного населения города Пыть - Яха). По сравнению с аналогичным периодом прошедшего года наблюдается снижение охвата скринингом на ВИЧ - инфекцию в динамике на 18,66%. ( в 2019г-снижение на 3,15%) В 2020 г. необходимо было обследовать 35% населения округа.</w:t>
      </w:r>
    </w:p>
    <w:p w:rsidR="00630798" w:rsidRPr="00335D41" w:rsidRDefault="00630798" w:rsidP="00335D41">
      <w:pPr>
        <w:spacing w:after="0" w:line="240" w:lineRule="auto"/>
        <w:ind w:firstLine="708"/>
        <w:jc w:val="both"/>
        <w:rPr>
          <w:rFonts w:ascii="Times New Roman" w:hAnsi="Times New Roman" w:cs="Times New Roman"/>
          <w:sz w:val="24"/>
          <w:szCs w:val="24"/>
        </w:rPr>
      </w:pPr>
      <w:r w:rsidRPr="00335D41">
        <w:rPr>
          <w:rFonts w:ascii="Times New Roman" w:hAnsi="Times New Roman" w:cs="Times New Roman"/>
          <w:sz w:val="24"/>
          <w:szCs w:val="24"/>
        </w:rPr>
        <w:t>На 01.01.2020 г. в местах лишения свободы находятся 17 ВИЧ – инфицированных( в 2019г-29 чел). Доля ВИЧ - инфицированных осужденных составляет 1,4% от всех выявленных за время эпидемии (с 1997 года) или 3,2% от всех лиц, проживающих с ВИЧ - положительным статусом (т.е. временно потеряны для диспансерного наблюдения).</w:t>
      </w:r>
    </w:p>
    <w:p w:rsidR="00630798" w:rsidRPr="00335D41" w:rsidRDefault="00630798" w:rsidP="00335D41">
      <w:pPr>
        <w:spacing w:after="0" w:line="240" w:lineRule="auto"/>
        <w:ind w:firstLine="708"/>
        <w:jc w:val="both"/>
        <w:rPr>
          <w:rFonts w:ascii="Times New Roman" w:hAnsi="Times New Roman" w:cs="Times New Roman"/>
          <w:sz w:val="24"/>
          <w:szCs w:val="24"/>
        </w:rPr>
      </w:pPr>
      <w:r w:rsidRPr="00335D41">
        <w:rPr>
          <w:rFonts w:ascii="Times New Roman" w:hAnsi="Times New Roman" w:cs="Times New Roman"/>
          <w:sz w:val="24"/>
          <w:szCs w:val="24"/>
        </w:rPr>
        <w:t>По итогам отчетного периода 2020 г. отмечается снижение показателя смертности в динамике на 14,2% (с показателя 17,6 в 2019 г. до 15,1 в 2020 г.) и показателя летальности на 8,3% (с показателя 1,2 в 2019 г. до 1,1 в 2020 г.)</w:t>
      </w:r>
    </w:p>
    <w:p w:rsidR="00630798" w:rsidRPr="00335D41" w:rsidRDefault="00630798" w:rsidP="00335D41">
      <w:pPr>
        <w:spacing w:after="0" w:line="240" w:lineRule="auto"/>
        <w:ind w:firstLine="708"/>
        <w:jc w:val="both"/>
        <w:rPr>
          <w:rFonts w:ascii="Times New Roman" w:hAnsi="Times New Roman" w:cs="Times New Roman"/>
          <w:sz w:val="24"/>
          <w:szCs w:val="24"/>
        </w:rPr>
      </w:pPr>
      <w:r w:rsidRPr="00335D41">
        <w:rPr>
          <w:rFonts w:ascii="Times New Roman" w:hAnsi="Times New Roman" w:cs="Times New Roman"/>
          <w:sz w:val="24"/>
          <w:szCs w:val="24"/>
        </w:rPr>
        <w:t>Основной причиной смерти среди инфицированных ВИЧ в 2020 г. являются: заболевания сердечно - сосудистой системы - 26,9%. На заболевания органов дыхания, несчастные случаи приходится по 15,4%, СПИД - туберкулез, СПИД по 11,5%, хронические гепатиты/цирроз печени, онкологические заболевания по 7,7%, насильственная смерть - 3,9%.</w:t>
      </w:r>
    </w:p>
    <w:p w:rsidR="00630798" w:rsidRPr="00335D41" w:rsidRDefault="00630798" w:rsidP="00335D41">
      <w:pPr>
        <w:spacing w:after="0" w:line="240" w:lineRule="auto"/>
        <w:ind w:firstLine="708"/>
        <w:jc w:val="both"/>
        <w:rPr>
          <w:rFonts w:ascii="Times New Roman" w:hAnsi="Times New Roman" w:cs="Times New Roman"/>
          <w:sz w:val="24"/>
          <w:szCs w:val="24"/>
        </w:rPr>
      </w:pPr>
      <w:r w:rsidRPr="00335D41">
        <w:rPr>
          <w:rFonts w:ascii="Times New Roman" w:hAnsi="Times New Roman" w:cs="Times New Roman"/>
          <w:sz w:val="24"/>
          <w:szCs w:val="24"/>
        </w:rPr>
        <w:t>За весь период эпидемии в г. Пыть - Яхе умерло 344 ВИЧ - инфицированных, от вторичных СПИД - ассоциируемых заболеваний - 108. В 2020 г. умерло - 26 человек, от вторичных СПИД - ассоциируемых заболеваний - 6.</w:t>
      </w:r>
    </w:p>
    <w:p w:rsidR="00630798" w:rsidRPr="00335D41" w:rsidRDefault="00630798" w:rsidP="00335D41">
      <w:pPr>
        <w:spacing w:after="0" w:line="240" w:lineRule="auto"/>
        <w:jc w:val="right"/>
        <w:rPr>
          <w:rFonts w:ascii="Times New Roman" w:hAnsi="Times New Roman" w:cs="Times New Roman"/>
          <w:sz w:val="24"/>
          <w:szCs w:val="24"/>
        </w:rPr>
      </w:pPr>
      <w:r w:rsidRPr="00335D41">
        <w:rPr>
          <w:rFonts w:ascii="Times New Roman" w:hAnsi="Times New Roman" w:cs="Times New Roman"/>
          <w:sz w:val="24"/>
          <w:szCs w:val="24"/>
        </w:rPr>
        <w:t>Таблица № 36</w:t>
      </w:r>
    </w:p>
    <w:p w:rsidR="00630798" w:rsidRPr="00335D41" w:rsidRDefault="00630798" w:rsidP="00335D41">
      <w:pPr>
        <w:spacing w:after="0" w:line="240" w:lineRule="auto"/>
        <w:jc w:val="right"/>
        <w:rPr>
          <w:rFonts w:ascii="Times New Roman" w:hAnsi="Times New Roman" w:cs="Times New Roman"/>
          <w:b/>
          <w:sz w:val="24"/>
          <w:szCs w:val="24"/>
        </w:rPr>
      </w:pPr>
    </w:p>
    <w:p w:rsidR="00630798" w:rsidRPr="00335D41" w:rsidRDefault="00630798" w:rsidP="00335D41">
      <w:pPr>
        <w:spacing w:after="0" w:line="240" w:lineRule="auto"/>
        <w:jc w:val="center"/>
        <w:rPr>
          <w:rFonts w:ascii="Times New Roman" w:hAnsi="Times New Roman" w:cs="Times New Roman"/>
          <w:b/>
          <w:sz w:val="24"/>
          <w:szCs w:val="24"/>
        </w:rPr>
      </w:pPr>
      <w:r w:rsidRPr="00335D41">
        <w:rPr>
          <w:rFonts w:ascii="Times New Roman" w:hAnsi="Times New Roman" w:cs="Times New Roman"/>
          <w:b/>
          <w:sz w:val="24"/>
          <w:szCs w:val="24"/>
        </w:rPr>
        <w:t>Основные причины смерти ВИЧ-инфицированных (в %) в 2020 г.</w:t>
      </w:r>
    </w:p>
    <w:p w:rsidR="00630798" w:rsidRPr="00335D41" w:rsidRDefault="00630798" w:rsidP="00335D41">
      <w:pPr>
        <w:spacing w:after="0" w:line="240" w:lineRule="auto"/>
        <w:rPr>
          <w:rFonts w:ascii="Times New Roman" w:hAnsi="Times New Roman" w:cs="Times New Roman"/>
          <w:sz w:val="24"/>
          <w:szCs w:val="24"/>
          <w:highlight w:val="yellow"/>
        </w:rPr>
      </w:pPr>
      <w:r w:rsidRPr="00335D41">
        <w:rPr>
          <w:rFonts w:ascii="Times New Roman" w:hAnsi="Times New Roman" w:cs="Times New Roman"/>
          <w:sz w:val="24"/>
          <w:szCs w:val="24"/>
          <w:highlight w:val="yellow"/>
        </w:rPr>
        <w:fldChar w:fldCharType="begin"/>
      </w:r>
      <w:r w:rsidRPr="00335D41">
        <w:rPr>
          <w:rFonts w:ascii="Times New Roman" w:hAnsi="Times New Roman" w:cs="Times New Roman"/>
          <w:sz w:val="24"/>
          <w:szCs w:val="24"/>
          <w:highlight w:val="yellow"/>
        </w:rPr>
        <w:instrText xml:space="preserve"> LINK Excel.Sheet.12 "C:\\Users\\21\\Desktop\\Ответ на запрос УРПН ответ до 01.02.2016 г\\Книга1.xlsx" Лист1!R4C2:R10C3 \a \f 4 \h  \* MERGEFORMAT </w:instrText>
      </w:r>
      <w:r w:rsidRPr="00335D41">
        <w:rPr>
          <w:rFonts w:ascii="Times New Roman" w:hAnsi="Times New Roman" w:cs="Times New Roman"/>
          <w:sz w:val="24"/>
          <w:szCs w:val="24"/>
          <w:highlight w:val="yellow"/>
        </w:rPr>
        <w:fldChar w:fldCharType="separate"/>
      </w:r>
    </w:p>
    <w:tbl>
      <w:tblPr>
        <w:tblW w:w="9476" w:type="dxa"/>
        <w:tblInd w:w="108" w:type="dxa"/>
        <w:shd w:val="clear" w:color="auto" w:fill="FFFFFF"/>
        <w:tblLook w:val="04A0" w:firstRow="1" w:lastRow="0" w:firstColumn="1" w:lastColumn="0" w:noHBand="0" w:noVBand="1"/>
      </w:tblPr>
      <w:tblGrid>
        <w:gridCol w:w="5707"/>
        <w:gridCol w:w="3769"/>
      </w:tblGrid>
      <w:tr w:rsidR="00630798" w:rsidRPr="00335D41" w:rsidTr="00630798">
        <w:trPr>
          <w:trHeight w:val="607"/>
        </w:trPr>
        <w:tc>
          <w:tcPr>
            <w:tcW w:w="5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798" w:rsidRPr="00335D41" w:rsidRDefault="00630798" w:rsidP="00335D41">
            <w:pPr>
              <w:spacing w:after="0" w:line="240" w:lineRule="auto"/>
              <w:jc w:val="center"/>
              <w:rPr>
                <w:rFonts w:ascii="Times New Roman" w:hAnsi="Times New Roman" w:cs="Times New Roman"/>
                <w:bCs/>
                <w:sz w:val="24"/>
                <w:szCs w:val="24"/>
              </w:rPr>
            </w:pPr>
            <w:r w:rsidRPr="00335D41">
              <w:rPr>
                <w:rFonts w:ascii="Times New Roman" w:hAnsi="Times New Roman" w:cs="Times New Roman"/>
                <w:bCs/>
                <w:sz w:val="24"/>
                <w:szCs w:val="24"/>
              </w:rPr>
              <w:t>Причина смерти</w:t>
            </w:r>
          </w:p>
        </w:tc>
        <w:tc>
          <w:tcPr>
            <w:tcW w:w="3769" w:type="dxa"/>
            <w:tcBorders>
              <w:top w:val="single" w:sz="4" w:space="0" w:color="auto"/>
              <w:left w:val="nil"/>
              <w:bottom w:val="single" w:sz="4" w:space="0" w:color="auto"/>
              <w:right w:val="single" w:sz="4" w:space="0" w:color="auto"/>
            </w:tcBorders>
            <w:shd w:val="clear" w:color="auto" w:fill="auto"/>
            <w:vAlign w:val="center"/>
            <w:hideMark/>
          </w:tcPr>
          <w:p w:rsidR="00630798" w:rsidRPr="00335D41" w:rsidRDefault="00630798" w:rsidP="00335D41">
            <w:pPr>
              <w:spacing w:after="0" w:line="240" w:lineRule="auto"/>
              <w:jc w:val="center"/>
              <w:rPr>
                <w:rFonts w:ascii="Times New Roman" w:hAnsi="Times New Roman" w:cs="Times New Roman"/>
                <w:bCs/>
                <w:sz w:val="24"/>
                <w:szCs w:val="24"/>
              </w:rPr>
            </w:pPr>
            <w:r w:rsidRPr="00335D41">
              <w:rPr>
                <w:rFonts w:ascii="Times New Roman" w:hAnsi="Times New Roman" w:cs="Times New Roman"/>
                <w:bCs/>
                <w:sz w:val="24"/>
                <w:szCs w:val="24"/>
              </w:rPr>
              <w:t xml:space="preserve">Процентное соотношение 2020год </w:t>
            </w:r>
            <w:proofErr w:type="gramStart"/>
            <w:r w:rsidRPr="00335D41">
              <w:rPr>
                <w:rFonts w:ascii="Times New Roman" w:hAnsi="Times New Roman" w:cs="Times New Roman"/>
                <w:bCs/>
                <w:sz w:val="24"/>
                <w:szCs w:val="24"/>
              </w:rPr>
              <w:t>( 2019</w:t>
            </w:r>
            <w:proofErr w:type="gramEnd"/>
            <w:r w:rsidRPr="00335D41">
              <w:rPr>
                <w:rFonts w:ascii="Times New Roman" w:hAnsi="Times New Roman" w:cs="Times New Roman"/>
                <w:bCs/>
                <w:sz w:val="24"/>
                <w:szCs w:val="24"/>
              </w:rPr>
              <w:t>год)</w:t>
            </w:r>
          </w:p>
        </w:tc>
      </w:tr>
      <w:tr w:rsidR="00630798" w:rsidRPr="00335D41" w:rsidTr="00630798">
        <w:trPr>
          <w:trHeight w:val="317"/>
        </w:trPr>
        <w:tc>
          <w:tcPr>
            <w:tcW w:w="5707" w:type="dxa"/>
            <w:tcBorders>
              <w:top w:val="nil"/>
              <w:left w:val="single" w:sz="4" w:space="0" w:color="auto"/>
              <w:bottom w:val="single" w:sz="4" w:space="0" w:color="auto"/>
              <w:right w:val="single" w:sz="4" w:space="0" w:color="auto"/>
            </w:tcBorders>
            <w:shd w:val="clear" w:color="auto" w:fill="auto"/>
            <w:noWrap/>
            <w:vAlign w:val="bottom"/>
            <w:hideMark/>
          </w:tcPr>
          <w:p w:rsidR="00630798" w:rsidRPr="00335D41" w:rsidRDefault="00630798" w:rsidP="00335D41">
            <w:pPr>
              <w:spacing w:after="0" w:line="240" w:lineRule="auto"/>
              <w:rPr>
                <w:rFonts w:ascii="Times New Roman" w:hAnsi="Times New Roman" w:cs="Times New Roman"/>
                <w:bCs/>
                <w:sz w:val="24"/>
                <w:szCs w:val="24"/>
              </w:rPr>
            </w:pPr>
            <w:r w:rsidRPr="00335D41">
              <w:rPr>
                <w:rFonts w:ascii="Times New Roman" w:hAnsi="Times New Roman" w:cs="Times New Roman"/>
                <w:bCs/>
                <w:sz w:val="24"/>
                <w:szCs w:val="24"/>
              </w:rPr>
              <w:t xml:space="preserve">Заболевания ССС </w:t>
            </w:r>
          </w:p>
        </w:tc>
        <w:tc>
          <w:tcPr>
            <w:tcW w:w="3769" w:type="dxa"/>
            <w:tcBorders>
              <w:top w:val="nil"/>
              <w:left w:val="nil"/>
              <w:bottom w:val="single" w:sz="4" w:space="0" w:color="auto"/>
              <w:right w:val="single" w:sz="4" w:space="0" w:color="auto"/>
            </w:tcBorders>
            <w:shd w:val="clear" w:color="auto" w:fill="auto"/>
            <w:noWrap/>
            <w:vAlign w:val="bottom"/>
          </w:tcPr>
          <w:p w:rsidR="00630798" w:rsidRPr="00335D41" w:rsidRDefault="00630798" w:rsidP="00335D41">
            <w:pPr>
              <w:spacing w:after="0" w:line="240" w:lineRule="auto"/>
              <w:jc w:val="center"/>
              <w:rPr>
                <w:rFonts w:ascii="Times New Roman" w:hAnsi="Times New Roman" w:cs="Times New Roman"/>
                <w:sz w:val="24"/>
                <w:szCs w:val="24"/>
              </w:rPr>
            </w:pPr>
            <w:r w:rsidRPr="00335D41">
              <w:rPr>
                <w:rFonts w:ascii="Times New Roman" w:hAnsi="Times New Roman" w:cs="Times New Roman"/>
                <w:sz w:val="24"/>
                <w:szCs w:val="24"/>
              </w:rPr>
              <w:t>26,9( 17,5)</w:t>
            </w:r>
          </w:p>
        </w:tc>
      </w:tr>
      <w:tr w:rsidR="00630798" w:rsidRPr="00335D41" w:rsidTr="00630798">
        <w:trPr>
          <w:trHeight w:val="317"/>
        </w:trPr>
        <w:tc>
          <w:tcPr>
            <w:tcW w:w="5707" w:type="dxa"/>
            <w:tcBorders>
              <w:top w:val="nil"/>
              <w:left w:val="single" w:sz="4" w:space="0" w:color="auto"/>
              <w:bottom w:val="single" w:sz="4" w:space="0" w:color="auto"/>
              <w:right w:val="single" w:sz="4" w:space="0" w:color="auto"/>
            </w:tcBorders>
            <w:shd w:val="clear" w:color="auto" w:fill="auto"/>
            <w:noWrap/>
            <w:vAlign w:val="bottom"/>
          </w:tcPr>
          <w:p w:rsidR="00630798" w:rsidRPr="00335D41" w:rsidRDefault="00630798" w:rsidP="00335D41">
            <w:pPr>
              <w:spacing w:after="0" w:line="240" w:lineRule="auto"/>
              <w:rPr>
                <w:rFonts w:ascii="Times New Roman" w:hAnsi="Times New Roman" w:cs="Times New Roman"/>
                <w:bCs/>
                <w:sz w:val="24"/>
                <w:szCs w:val="24"/>
              </w:rPr>
            </w:pPr>
            <w:r w:rsidRPr="00335D41">
              <w:rPr>
                <w:rFonts w:ascii="Times New Roman" w:hAnsi="Times New Roman" w:cs="Times New Roman"/>
                <w:bCs/>
                <w:sz w:val="24"/>
                <w:szCs w:val="24"/>
              </w:rPr>
              <w:t xml:space="preserve">Онкозаболевания </w:t>
            </w:r>
          </w:p>
        </w:tc>
        <w:tc>
          <w:tcPr>
            <w:tcW w:w="3769" w:type="dxa"/>
            <w:tcBorders>
              <w:top w:val="nil"/>
              <w:left w:val="nil"/>
              <w:bottom w:val="single" w:sz="4" w:space="0" w:color="auto"/>
              <w:right w:val="single" w:sz="4" w:space="0" w:color="auto"/>
            </w:tcBorders>
            <w:shd w:val="clear" w:color="auto" w:fill="auto"/>
            <w:noWrap/>
            <w:vAlign w:val="bottom"/>
          </w:tcPr>
          <w:p w:rsidR="00630798" w:rsidRPr="00335D41" w:rsidRDefault="00630798" w:rsidP="00335D41">
            <w:pPr>
              <w:spacing w:after="0" w:line="240" w:lineRule="auto"/>
              <w:jc w:val="center"/>
              <w:rPr>
                <w:rFonts w:ascii="Times New Roman" w:hAnsi="Times New Roman" w:cs="Times New Roman"/>
                <w:sz w:val="24"/>
                <w:szCs w:val="24"/>
              </w:rPr>
            </w:pPr>
            <w:r w:rsidRPr="00335D41">
              <w:rPr>
                <w:rFonts w:ascii="Times New Roman" w:hAnsi="Times New Roman" w:cs="Times New Roman"/>
                <w:sz w:val="24"/>
                <w:szCs w:val="24"/>
              </w:rPr>
              <w:t>7,7 (5,8)</w:t>
            </w:r>
          </w:p>
        </w:tc>
      </w:tr>
      <w:tr w:rsidR="00630798" w:rsidRPr="00335D41" w:rsidTr="00630798">
        <w:trPr>
          <w:trHeight w:val="317"/>
        </w:trPr>
        <w:tc>
          <w:tcPr>
            <w:tcW w:w="5707" w:type="dxa"/>
            <w:tcBorders>
              <w:top w:val="nil"/>
              <w:left w:val="single" w:sz="4" w:space="0" w:color="auto"/>
              <w:bottom w:val="single" w:sz="4" w:space="0" w:color="auto"/>
              <w:right w:val="single" w:sz="4" w:space="0" w:color="auto"/>
            </w:tcBorders>
            <w:shd w:val="clear" w:color="auto" w:fill="auto"/>
            <w:noWrap/>
            <w:vAlign w:val="bottom"/>
            <w:hideMark/>
          </w:tcPr>
          <w:p w:rsidR="00630798" w:rsidRPr="00335D41" w:rsidRDefault="00630798" w:rsidP="00335D41">
            <w:pPr>
              <w:spacing w:after="0" w:line="240" w:lineRule="auto"/>
              <w:rPr>
                <w:rFonts w:ascii="Times New Roman" w:hAnsi="Times New Roman" w:cs="Times New Roman"/>
                <w:bCs/>
                <w:sz w:val="24"/>
                <w:szCs w:val="24"/>
              </w:rPr>
            </w:pPr>
            <w:r w:rsidRPr="00335D41">
              <w:rPr>
                <w:rFonts w:ascii="Times New Roman" w:hAnsi="Times New Roman" w:cs="Times New Roman"/>
                <w:bCs/>
                <w:sz w:val="24"/>
                <w:szCs w:val="24"/>
              </w:rPr>
              <w:t>Несчастный случай</w:t>
            </w:r>
          </w:p>
        </w:tc>
        <w:tc>
          <w:tcPr>
            <w:tcW w:w="3769" w:type="dxa"/>
            <w:tcBorders>
              <w:top w:val="nil"/>
              <w:left w:val="nil"/>
              <w:bottom w:val="single" w:sz="4" w:space="0" w:color="auto"/>
              <w:right w:val="single" w:sz="4" w:space="0" w:color="auto"/>
            </w:tcBorders>
            <w:shd w:val="clear" w:color="auto" w:fill="auto"/>
            <w:noWrap/>
            <w:vAlign w:val="bottom"/>
          </w:tcPr>
          <w:p w:rsidR="00630798" w:rsidRPr="00335D41" w:rsidRDefault="00630798" w:rsidP="00335D41">
            <w:pPr>
              <w:spacing w:after="0" w:line="240" w:lineRule="auto"/>
              <w:jc w:val="center"/>
              <w:rPr>
                <w:rFonts w:ascii="Times New Roman" w:hAnsi="Times New Roman" w:cs="Times New Roman"/>
                <w:sz w:val="24"/>
                <w:szCs w:val="24"/>
              </w:rPr>
            </w:pPr>
            <w:r w:rsidRPr="00335D41">
              <w:rPr>
                <w:rFonts w:ascii="Times New Roman" w:hAnsi="Times New Roman" w:cs="Times New Roman"/>
                <w:sz w:val="24"/>
                <w:szCs w:val="24"/>
              </w:rPr>
              <w:t>15.4 (5,8)</w:t>
            </w:r>
          </w:p>
        </w:tc>
      </w:tr>
      <w:tr w:rsidR="00630798" w:rsidRPr="00335D41" w:rsidTr="00630798">
        <w:trPr>
          <w:trHeight w:val="317"/>
        </w:trPr>
        <w:tc>
          <w:tcPr>
            <w:tcW w:w="5707" w:type="dxa"/>
            <w:tcBorders>
              <w:top w:val="nil"/>
              <w:left w:val="single" w:sz="4" w:space="0" w:color="auto"/>
              <w:bottom w:val="single" w:sz="4" w:space="0" w:color="auto"/>
              <w:right w:val="single" w:sz="4" w:space="0" w:color="auto"/>
            </w:tcBorders>
            <w:shd w:val="clear" w:color="auto" w:fill="auto"/>
            <w:noWrap/>
            <w:vAlign w:val="bottom"/>
          </w:tcPr>
          <w:p w:rsidR="00630798" w:rsidRPr="00335D41" w:rsidRDefault="00630798" w:rsidP="00335D41">
            <w:pPr>
              <w:spacing w:after="0" w:line="240" w:lineRule="auto"/>
              <w:rPr>
                <w:rFonts w:ascii="Times New Roman" w:hAnsi="Times New Roman" w:cs="Times New Roman"/>
                <w:bCs/>
                <w:sz w:val="24"/>
                <w:szCs w:val="24"/>
              </w:rPr>
            </w:pPr>
            <w:r w:rsidRPr="00335D41">
              <w:rPr>
                <w:rFonts w:ascii="Times New Roman" w:hAnsi="Times New Roman" w:cs="Times New Roman"/>
                <w:bCs/>
                <w:sz w:val="24"/>
                <w:szCs w:val="24"/>
              </w:rPr>
              <w:t>Заболевания органов дыхания</w:t>
            </w:r>
          </w:p>
        </w:tc>
        <w:tc>
          <w:tcPr>
            <w:tcW w:w="3769" w:type="dxa"/>
            <w:tcBorders>
              <w:top w:val="nil"/>
              <w:left w:val="nil"/>
              <w:bottom w:val="single" w:sz="4" w:space="0" w:color="auto"/>
              <w:right w:val="single" w:sz="4" w:space="0" w:color="auto"/>
            </w:tcBorders>
            <w:shd w:val="clear" w:color="auto" w:fill="auto"/>
            <w:noWrap/>
            <w:vAlign w:val="bottom"/>
          </w:tcPr>
          <w:p w:rsidR="00630798" w:rsidRPr="00335D41" w:rsidRDefault="00630798" w:rsidP="00335D41">
            <w:pPr>
              <w:spacing w:after="0" w:line="240" w:lineRule="auto"/>
              <w:jc w:val="center"/>
              <w:rPr>
                <w:rFonts w:ascii="Times New Roman" w:hAnsi="Times New Roman" w:cs="Times New Roman"/>
                <w:sz w:val="24"/>
                <w:szCs w:val="24"/>
              </w:rPr>
            </w:pPr>
            <w:r w:rsidRPr="00335D41">
              <w:rPr>
                <w:rFonts w:ascii="Times New Roman" w:hAnsi="Times New Roman" w:cs="Times New Roman"/>
                <w:sz w:val="24"/>
                <w:szCs w:val="24"/>
              </w:rPr>
              <w:t>15.4(11,7)</w:t>
            </w:r>
          </w:p>
        </w:tc>
      </w:tr>
      <w:tr w:rsidR="00630798" w:rsidRPr="00335D41" w:rsidTr="00630798">
        <w:trPr>
          <w:trHeight w:val="317"/>
        </w:trPr>
        <w:tc>
          <w:tcPr>
            <w:tcW w:w="5707" w:type="dxa"/>
            <w:tcBorders>
              <w:top w:val="nil"/>
              <w:left w:val="single" w:sz="4" w:space="0" w:color="auto"/>
              <w:bottom w:val="single" w:sz="4" w:space="0" w:color="auto"/>
              <w:right w:val="single" w:sz="4" w:space="0" w:color="auto"/>
            </w:tcBorders>
            <w:shd w:val="clear" w:color="auto" w:fill="auto"/>
            <w:noWrap/>
            <w:vAlign w:val="bottom"/>
            <w:hideMark/>
          </w:tcPr>
          <w:p w:rsidR="00630798" w:rsidRPr="00335D41" w:rsidRDefault="00630798" w:rsidP="00335D41">
            <w:pPr>
              <w:spacing w:after="0" w:line="240" w:lineRule="auto"/>
              <w:rPr>
                <w:rFonts w:ascii="Times New Roman" w:hAnsi="Times New Roman" w:cs="Times New Roman"/>
                <w:bCs/>
                <w:sz w:val="24"/>
                <w:szCs w:val="24"/>
              </w:rPr>
            </w:pPr>
            <w:r w:rsidRPr="00335D41">
              <w:rPr>
                <w:rFonts w:ascii="Times New Roman" w:hAnsi="Times New Roman" w:cs="Times New Roman"/>
                <w:bCs/>
                <w:sz w:val="24"/>
                <w:szCs w:val="24"/>
              </w:rPr>
              <w:t>Хронические гепатиты, цирроз печени</w:t>
            </w:r>
          </w:p>
        </w:tc>
        <w:tc>
          <w:tcPr>
            <w:tcW w:w="3769" w:type="dxa"/>
            <w:tcBorders>
              <w:top w:val="nil"/>
              <w:left w:val="nil"/>
              <w:bottom w:val="single" w:sz="4" w:space="0" w:color="auto"/>
              <w:right w:val="single" w:sz="4" w:space="0" w:color="auto"/>
            </w:tcBorders>
            <w:shd w:val="clear" w:color="auto" w:fill="auto"/>
            <w:noWrap/>
            <w:vAlign w:val="bottom"/>
          </w:tcPr>
          <w:p w:rsidR="00630798" w:rsidRPr="00335D41" w:rsidRDefault="00630798" w:rsidP="00335D41">
            <w:pPr>
              <w:spacing w:after="0" w:line="240" w:lineRule="auto"/>
              <w:jc w:val="center"/>
              <w:rPr>
                <w:rFonts w:ascii="Times New Roman" w:hAnsi="Times New Roman" w:cs="Times New Roman"/>
                <w:sz w:val="24"/>
                <w:szCs w:val="24"/>
              </w:rPr>
            </w:pPr>
            <w:r w:rsidRPr="00335D41">
              <w:rPr>
                <w:rFonts w:ascii="Times New Roman" w:hAnsi="Times New Roman" w:cs="Times New Roman"/>
                <w:sz w:val="24"/>
                <w:szCs w:val="24"/>
              </w:rPr>
              <w:t>7,7(11,7)</w:t>
            </w:r>
          </w:p>
        </w:tc>
      </w:tr>
      <w:tr w:rsidR="00630798" w:rsidRPr="00335D41" w:rsidTr="00630798">
        <w:trPr>
          <w:trHeight w:val="317"/>
        </w:trPr>
        <w:tc>
          <w:tcPr>
            <w:tcW w:w="5707" w:type="dxa"/>
            <w:tcBorders>
              <w:top w:val="nil"/>
              <w:left w:val="single" w:sz="4" w:space="0" w:color="auto"/>
              <w:bottom w:val="single" w:sz="4" w:space="0" w:color="auto"/>
              <w:right w:val="single" w:sz="4" w:space="0" w:color="auto"/>
            </w:tcBorders>
            <w:shd w:val="clear" w:color="auto" w:fill="auto"/>
            <w:noWrap/>
            <w:vAlign w:val="bottom"/>
            <w:hideMark/>
          </w:tcPr>
          <w:p w:rsidR="00630798" w:rsidRPr="00335D41" w:rsidRDefault="00630798" w:rsidP="00335D41">
            <w:pPr>
              <w:spacing w:after="0" w:line="240" w:lineRule="auto"/>
              <w:rPr>
                <w:rFonts w:ascii="Times New Roman" w:hAnsi="Times New Roman" w:cs="Times New Roman"/>
                <w:bCs/>
                <w:sz w:val="24"/>
                <w:szCs w:val="24"/>
              </w:rPr>
            </w:pPr>
            <w:r w:rsidRPr="00335D41">
              <w:rPr>
                <w:rFonts w:ascii="Times New Roman" w:hAnsi="Times New Roman" w:cs="Times New Roman"/>
                <w:bCs/>
                <w:sz w:val="24"/>
                <w:szCs w:val="24"/>
              </w:rPr>
              <w:t>СПИД</w:t>
            </w:r>
          </w:p>
        </w:tc>
        <w:tc>
          <w:tcPr>
            <w:tcW w:w="3769" w:type="dxa"/>
            <w:tcBorders>
              <w:top w:val="nil"/>
              <w:left w:val="nil"/>
              <w:bottom w:val="single" w:sz="4" w:space="0" w:color="auto"/>
              <w:right w:val="single" w:sz="4" w:space="0" w:color="auto"/>
            </w:tcBorders>
            <w:shd w:val="clear" w:color="auto" w:fill="auto"/>
            <w:noWrap/>
            <w:vAlign w:val="bottom"/>
          </w:tcPr>
          <w:p w:rsidR="00630798" w:rsidRPr="00335D41" w:rsidRDefault="00630798" w:rsidP="00335D41">
            <w:pPr>
              <w:spacing w:after="0" w:line="240" w:lineRule="auto"/>
              <w:jc w:val="center"/>
              <w:rPr>
                <w:rFonts w:ascii="Times New Roman" w:hAnsi="Times New Roman" w:cs="Times New Roman"/>
                <w:sz w:val="24"/>
                <w:szCs w:val="24"/>
              </w:rPr>
            </w:pPr>
            <w:r w:rsidRPr="00335D41">
              <w:rPr>
                <w:rFonts w:ascii="Times New Roman" w:hAnsi="Times New Roman" w:cs="Times New Roman"/>
                <w:sz w:val="24"/>
                <w:szCs w:val="24"/>
              </w:rPr>
              <w:t>11,5 (11,7)</w:t>
            </w:r>
          </w:p>
        </w:tc>
      </w:tr>
      <w:tr w:rsidR="00630798" w:rsidRPr="00335D41" w:rsidTr="00630798">
        <w:trPr>
          <w:trHeight w:val="317"/>
        </w:trPr>
        <w:tc>
          <w:tcPr>
            <w:tcW w:w="5707" w:type="dxa"/>
            <w:tcBorders>
              <w:top w:val="nil"/>
              <w:left w:val="single" w:sz="4" w:space="0" w:color="auto"/>
              <w:bottom w:val="single" w:sz="4" w:space="0" w:color="auto"/>
              <w:right w:val="single" w:sz="4" w:space="0" w:color="auto"/>
            </w:tcBorders>
            <w:shd w:val="clear" w:color="auto" w:fill="auto"/>
            <w:noWrap/>
            <w:vAlign w:val="bottom"/>
            <w:hideMark/>
          </w:tcPr>
          <w:p w:rsidR="00630798" w:rsidRPr="00335D41" w:rsidRDefault="00630798" w:rsidP="00335D41">
            <w:pPr>
              <w:spacing w:after="0" w:line="240" w:lineRule="auto"/>
              <w:rPr>
                <w:rFonts w:ascii="Times New Roman" w:hAnsi="Times New Roman" w:cs="Times New Roman"/>
                <w:bCs/>
                <w:sz w:val="24"/>
                <w:szCs w:val="24"/>
              </w:rPr>
            </w:pPr>
            <w:r w:rsidRPr="00335D41">
              <w:rPr>
                <w:rFonts w:ascii="Times New Roman" w:hAnsi="Times New Roman" w:cs="Times New Roman"/>
                <w:bCs/>
                <w:sz w:val="24"/>
                <w:szCs w:val="24"/>
              </w:rPr>
              <w:t xml:space="preserve"> в т.ч. СПИД - туберкулез</w:t>
            </w:r>
          </w:p>
        </w:tc>
        <w:tc>
          <w:tcPr>
            <w:tcW w:w="3769" w:type="dxa"/>
            <w:tcBorders>
              <w:top w:val="nil"/>
              <w:left w:val="nil"/>
              <w:bottom w:val="single" w:sz="4" w:space="0" w:color="auto"/>
              <w:right w:val="single" w:sz="4" w:space="0" w:color="auto"/>
            </w:tcBorders>
            <w:shd w:val="clear" w:color="auto" w:fill="auto"/>
            <w:noWrap/>
            <w:vAlign w:val="bottom"/>
          </w:tcPr>
          <w:p w:rsidR="00630798" w:rsidRPr="00335D41" w:rsidRDefault="00630798" w:rsidP="00335D41">
            <w:pPr>
              <w:spacing w:after="0" w:line="240" w:lineRule="auto"/>
              <w:jc w:val="center"/>
              <w:rPr>
                <w:rFonts w:ascii="Times New Roman" w:hAnsi="Times New Roman" w:cs="Times New Roman"/>
                <w:sz w:val="24"/>
                <w:szCs w:val="24"/>
              </w:rPr>
            </w:pPr>
            <w:r w:rsidRPr="00335D41">
              <w:rPr>
                <w:rFonts w:ascii="Times New Roman" w:hAnsi="Times New Roman" w:cs="Times New Roman"/>
                <w:sz w:val="24"/>
                <w:szCs w:val="24"/>
              </w:rPr>
              <w:t>11,5 (30,0)</w:t>
            </w:r>
          </w:p>
        </w:tc>
      </w:tr>
      <w:tr w:rsidR="00630798" w:rsidRPr="00335D41" w:rsidTr="00630798">
        <w:trPr>
          <w:trHeight w:val="317"/>
        </w:trPr>
        <w:tc>
          <w:tcPr>
            <w:tcW w:w="5707" w:type="dxa"/>
            <w:tcBorders>
              <w:top w:val="nil"/>
              <w:left w:val="single" w:sz="4" w:space="0" w:color="auto"/>
              <w:bottom w:val="nil"/>
              <w:right w:val="single" w:sz="4" w:space="0" w:color="auto"/>
            </w:tcBorders>
            <w:shd w:val="clear" w:color="auto" w:fill="auto"/>
            <w:noWrap/>
            <w:vAlign w:val="bottom"/>
          </w:tcPr>
          <w:p w:rsidR="00630798" w:rsidRPr="00335D41" w:rsidRDefault="00630798" w:rsidP="00335D41">
            <w:pPr>
              <w:spacing w:after="0" w:line="240" w:lineRule="auto"/>
              <w:rPr>
                <w:rFonts w:ascii="Times New Roman" w:hAnsi="Times New Roman" w:cs="Times New Roman"/>
                <w:bCs/>
                <w:sz w:val="24"/>
                <w:szCs w:val="24"/>
              </w:rPr>
            </w:pPr>
            <w:r w:rsidRPr="00335D41">
              <w:rPr>
                <w:rFonts w:ascii="Times New Roman" w:hAnsi="Times New Roman" w:cs="Times New Roman"/>
                <w:bCs/>
                <w:sz w:val="24"/>
                <w:szCs w:val="24"/>
              </w:rPr>
              <w:t>Насильственная смерть</w:t>
            </w:r>
          </w:p>
        </w:tc>
        <w:tc>
          <w:tcPr>
            <w:tcW w:w="3769" w:type="dxa"/>
            <w:tcBorders>
              <w:top w:val="nil"/>
              <w:left w:val="nil"/>
              <w:bottom w:val="nil"/>
              <w:right w:val="single" w:sz="4" w:space="0" w:color="auto"/>
            </w:tcBorders>
            <w:shd w:val="clear" w:color="auto" w:fill="auto"/>
            <w:noWrap/>
            <w:vAlign w:val="bottom"/>
          </w:tcPr>
          <w:p w:rsidR="00630798" w:rsidRPr="00335D41" w:rsidRDefault="00630798" w:rsidP="00335D41">
            <w:pPr>
              <w:spacing w:after="0" w:line="240" w:lineRule="auto"/>
              <w:jc w:val="center"/>
              <w:rPr>
                <w:rFonts w:ascii="Times New Roman" w:hAnsi="Times New Roman" w:cs="Times New Roman"/>
                <w:sz w:val="24"/>
                <w:szCs w:val="24"/>
              </w:rPr>
            </w:pPr>
            <w:r w:rsidRPr="00335D41">
              <w:rPr>
                <w:rFonts w:ascii="Times New Roman" w:hAnsi="Times New Roman" w:cs="Times New Roman"/>
                <w:sz w:val="24"/>
                <w:szCs w:val="24"/>
              </w:rPr>
              <w:t>3.9 (5,8 заболевание почек)</w:t>
            </w:r>
          </w:p>
        </w:tc>
      </w:tr>
      <w:tr w:rsidR="00630798" w:rsidRPr="00335D41" w:rsidTr="00630798">
        <w:trPr>
          <w:trHeight w:val="317"/>
        </w:trPr>
        <w:tc>
          <w:tcPr>
            <w:tcW w:w="5707" w:type="dxa"/>
            <w:tcBorders>
              <w:top w:val="nil"/>
              <w:left w:val="single" w:sz="4" w:space="0" w:color="auto"/>
              <w:bottom w:val="single" w:sz="4" w:space="0" w:color="auto"/>
              <w:right w:val="single" w:sz="4" w:space="0" w:color="auto"/>
            </w:tcBorders>
            <w:shd w:val="clear" w:color="auto" w:fill="auto"/>
            <w:noWrap/>
            <w:vAlign w:val="bottom"/>
          </w:tcPr>
          <w:p w:rsidR="00630798" w:rsidRPr="00335D41" w:rsidRDefault="00630798" w:rsidP="00335D41">
            <w:pPr>
              <w:spacing w:after="0" w:line="240" w:lineRule="auto"/>
              <w:rPr>
                <w:rFonts w:ascii="Times New Roman" w:hAnsi="Times New Roman" w:cs="Times New Roman"/>
                <w:bCs/>
                <w:sz w:val="24"/>
                <w:szCs w:val="24"/>
                <w:highlight w:val="yellow"/>
              </w:rPr>
            </w:pPr>
          </w:p>
        </w:tc>
        <w:tc>
          <w:tcPr>
            <w:tcW w:w="3769" w:type="dxa"/>
            <w:tcBorders>
              <w:top w:val="nil"/>
              <w:left w:val="nil"/>
              <w:bottom w:val="single" w:sz="4" w:space="0" w:color="auto"/>
              <w:right w:val="single" w:sz="4" w:space="0" w:color="auto"/>
            </w:tcBorders>
            <w:shd w:val="clear" w:color="auto" w:fill="auto"/>
            <w:noWrap/>
            <w:vAlign w:val="bottom"/>
          </w:tcPr>
          <w:p w:rsidR="00630798" w:rsidRPr="00335D41" w:rsidRDefault="00630798" w:rsidP="00335D41">
            <w:pPr>
              <w:spacing w:after="0" w:line="240" w:lineRule="auto"/>
              <w:jc w:val="center"/>
              <w:rPr>
                <w:rFonts w:ascii="Times New Roman" w:hAnsi="Times New Roman" w:cs="Times New Roman"/>
                <w:sz w:val="24"/>
                <w:szCs w:val="24"/>
                <w:highlight w:val="yellow"/>
              </w:rPr>
            </w:pPr>
          </w:p>
        </w:tc>
      </w:tr>
    </w:tbl>
    <w:p w:rsidR="00630798" w:rsidRDefault="00630798" w:rsidP="00335D41">
      <w:pPr>
        <w:spacing w:after="0" w:line="240" w:lineRule="auto"/>
        <w:rPr>
          <w:highlight w:val="yellow"/>
        </w:rPr>
      </w:pPr>
      <w:r w:rsidRPr="00335D41">
        <w:rPr>
          <w:rFonts w:ascii="Times New Roman" w:hAnsi="Times New Roman" w:cs="Times New Roman"/>
          <w:sz w:val="24"/>
          <w:szCs w:val="24"/>
          <w:highlight w:val="yellow"/>
        </w:rPr>
        <w:fldChar w:fldCharType="end"/>
      </w:r>
    </w:p>
    <w:p w:rsidR="00630798" w:rsidRDefault="00630798" w:rsidP="00630798">
      <w:pPr>
        <w:rPr>
          <w:highlight w:val="yellow"/>
        </w:rPr>
      </w:pPr>
      <w:r w:rsidRPr="00582568">
        <w:rPr>
          <w:noProof/>
          <w:sz w:val="28"/>
          <w:szCs w:val="28"/>
          <w:highlight w:val="yellow"/>
          <w:lang w:eastAsia="ru-RU"/>
        </w:rPr>
        <w:drawing>
          <wp:anchor distT="0" distB="0" distL="114300" distR="114300" simplePos="0" relativeHeight="251675648" behindDoc="0" locked="0" layoutInCell="1" allowOverlap="1">
            <wp:simplePos x="0" y="0"/>
            <wp:positionH relativeFrom="column">
              <wp:posOffset>47625</wp:posOffset>
            </wp:positionH>
            <wp:positionV relativeFrom="paragraph">
              <wp:posOffset>138430</wp:posOffset>
            </wp:positionV>
            <wp:extent cx="5982335" cy="3398520"/>
            <wp:effectExtent l="0" t="1270" r="3810" b="635"/>
            <wp:wrapNone/>
            <wp:docPr id="29" name="Диаграмма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page">
              <wp14:pctWidth>0</wp14:pctWidth>
            </wp14:sizeRelH>
            <wp14:sizeRelV relativeFrom="page">
              <wp14:pctHeight>0</wp14:pctHeight>
            </wp14:sizeRelV>
          </wp:anchor>
        </w:drawing>
      </w:r>
    </w:p>
    <w:p w:rsidR="00630798" w:rsidRDefault="00630798" w:rsidP="00630798">
      <w:pPr>
        <w:rPr>
          <w:highlight w:val="yellow"/>
        </w:rPr>
      </w:pPr>
    </w:p>
    <w:p w:rsidR="00630798" w:rsidRDefault="00630798" w:rsidP="00630798">
      <w:pPr>
        <w:rPr>
          <w:highlight w:val="yellow"/>
        </w:rPr>
      </w:pPr>
    </w:p>
    <w:p w:rsidR="00630798" w:rsidRDefault="00630798" w:rsidP="00630798">
      <w:pPr>
        <w:rPr>
          <w:highlight w:val="yellow"/>
        </w:rPr>
      </w:pPr>
    </w:p>
    <w:p w:rsidR="00630798" w:rsidRDefault="00630798" w:rsidP="00630798">
      <w:pPr>
        <w:rPr>
          <w:highlight w:val="yellow"/>
        </w:rPr>
      </w:pPr>
    </w:p>
    <w:p w:rsidR="00630798" w:rsidRDefault="00630798" w:rsidP="00630798">
      <w:pPr>
        <w:rPr>
          <w:highlight w:val="yellow"/>
        </w:rPr>
      </w:pPr>
    </w:p>
    <w:p w:rsidR="00630798" w:rsidRDefault="00630798" w:rsidP="00630798">
      <w:pPr>
        <w:rPr>
          <w:highlight w:val="yellow"/>
        </w:rPr>
      </w:pPr>
    </w:p>
    <w:p w:rsidR="00630798" w:rsidRDefault="00630798" w:rsidP="00630798">
      <w:pPr>
        <w:rPr>
          <w:highlight w:val="yellow"/>
        </w:rPr>
      </w:pPr>
    </w:p>
    <w:p w:rsidR="00630798" w:rsidRDefault="00630798" w:rsidP="00630798">
      <w:pPr>
        <w:rPr>
          <w:highlight w:val="yellow"/>
        </w:rPr>
      </w:pPr>
    </w:p>
    <w:p w:rsidR="00630798" w:rsidRDefault="00630798" w:rsidP="00630798">
      <w:pPr>
        <w:rPr>
          <w:highlight w:val="yellow"/>
        </w:rPr>
      </w:pPr>
    </w:p>
    <w:p w:rsidR="00630798" w:rsidRDefault="00630798" w:rsidP="00630798">
      <w:pPr>
        <w:rPr>
          <w:highlight w:val="yellow"/>
        </w:rPr>
      </w:pPr>
    </w:p>
    <w:p w:rsidR="00630798" w:rsidRDefault="00630798" w:rsidP="00630798">
      <w:pPr>
        <w:rPr>
          <w:highlight w:val="yellow"/>
        </w:rPr>
      </w:pPr>
    </w:p>
    <w:p w:rsidR="00630798" w:rsidRDefault="00630798" w:rsidP="00630798">
      <w:pPr>
        <w:rPr>
          <w:highlight w:val="yellow"/>
        </w:rPr>
      </w:pPr>
    </w:p>
    <w:p w:rsidR="00630798" w:rsidRPr="00DD2F5D" w:rsidRDefault="00335D41" w:rsidP="00630798">
      <w:pPr>
        <w:ind w:firstLine="708"/>
        <w:jc w:val="center"/>
      </w:pPr>
      <w:r>
        <w:t>Р</w:t>
      </w:r>
      <w:r w:rsidR="00630798" w:rsidRPr="00DD2F5D">
        <w:t>ис. № 10. Основные причины смерти ВИЧ-инфицированных в 2020г. (%).</w:t>
      </w:r>
    </w:p>
    <w:p w:rsidR="00630798" w:rsidRPr="00335D41" w:rsidRDefault="00630798" w:rsidP="00335D41">
      <w:pPr>
        <w:spacing w:after="0" w:line="240" w:lineRule="auto"/>
        <w:ind w:firstLine="708"/>
        <w:jc w:val="both"/>
        <w:rPr>
          <w:rFonts w:ascii="Times New Roman" w:hAnsi="Times New Roman" w:cs="Times New Roman"/>
          <w:sz w:val="24"/>
          <w:szCs w:val="24"/>
        </w:rPr>
      </w:pPr>
      <w:r w:rsidRPr="00335D41">
        <w:rPr>
          <w:rFonts w:ascii="Times New Roman" w:hAnsi="Times New Roman" w:cs="Times New Roman"/>
          <w:sz w:val="24"/>
          <w:szCs w:val="24"/>
        </w:rPr>
        <w:t xml:space="preserve">Из таблицы № 37 и рис.№ 11 видно, что преимущественно болеют ВИЧ- инфекцией </w:t>
      </w:r>
    </w:p>
    <w:p w:rsidR="00630798" w:rsidRPr="00335D41" w:rsidRDefault="00630798" w:rsidP="00335D41">
      <w:pPr>
        <w:spacing w:after="0" w:line="240" w:lineRule="auto"/>
        <w:jc w:val="both"/>
        <w:rPr>
          <w:rFonts w:ascii="Times New Roman" w:hAnsi="Times New Roman" w:cs="Times New Roman"/>
          <w:sz w:val="24"/>
          <w:szCs w:val="24"/>
        </w:rPr>
      </w:pPr>
      <w:r w:rsidRPr="00335D41">
        <w:rPr>
          <w:rFonts w:ascii="Times New Roman" w:hAnsi="Times New Roman" w:cs="Times New Roman"/>
          <w:sz w:val="24"/>
          <w:szCs w:val="24"/>
        </w:rPr>
        <w:t xml:space="preserve">неработающие люди, люди рабочих специальностей. Это связано с низкой информированностью населения по проблемам ВИЧ-инфекции, снижение ценностей отношения к своему здоровью, здоровому образу жизни. В настоящее время в эпидемиологический процесс вовлечены все слои населения, в том числе социально благополучные. </w:t>
      </w:r>
    </w:p>
    <w:p w:rsidR="00630798" w:rsidRPr="00335D41" w:rsidRDefault="00630798" w:rsidP="00335D41">
      <w:pPr>
        <w:spacing w:after="0" w:line="240" w:lineRule="auto"/>
        <w:jc w:val="right"/>
        <w:rPr>
          <w:rFonts w:ascii="Times New Roman" w:hAnsi="Times New Roman" w:cs="Times New Roman"/>
          <w:sz w:val="24"/>
          <w:szCs w:val="24"/>
        </w:rPr>
      </w:pPr>
      <w:r w:rsidRPr="00335D41">
        <w:rPr>
          <w:rFonts w:ascii="Times New Roman" w:hAnsi="Times New Roman" w:cs="Times New Roman"/>
          <w:sz w:val="24"/>
          <w:szCs w:val="24"/>
        </w:rPr>
        <w:t>Таблица № 37</w:t>
      </w:r>
    </w:p>
    <w:p w:rsidR="00630798" w:rsidRPr="00335D41" w:rsidRDefault="00630798" w:rsidP="00335D41">
      <w:pPr>
        <w:spacing w:after="0" w:line="240" w:lineRule="auto"/>
        <w:jc w:val="center"/>
        <w:rPr>
          <w:rFonts w:ascii="Times New Roman" w:hAnsi="Times New Roman" w:cs="Times New Roman"/>
          <w:b/>
          <w:sz w:val="24"/>
          <w:szCs w:val="24"/>
        </w:rPr>
      </w:pPr>
      <w:r w:rsidRPr="00335D41">
        <w:rPr>
          <w:rFonts w:ascii="Times New Roman" w:hAnsi="Times New Roman" w:cs="Times New Roman"/>
          <w:b/>
          <w:sz w:val="24"/>
          <w:szCs w:val="24"/>
        </w:rPr>
        <w:t>Социально – профессиональный состав ВИЧ – инфицированных в городе Пыть-Яхе (в %) в 2020 г.</w:t>
      </w:r>
    </w:p>
    <w:p w:rsidR="00630798" w:rsidRPr="0050778C" w:rsidRDefault="00630798" w:rsidP="00630798">
      <w:r w:rsidRPr="0050778C">
        <w:fldChar w:fldCharType="begin"/>
      </w:r>
      <w:r w:rsidRPr="0050778C">
        <w:instrText xml:space="preserve"> LINK Excel.SheetBinaryMacroEnabled.12 "C:\\Users\\21\\AppData\\Roaming\\Microsoft\\Excel\\Книга1 (version 1).xlsb" "Соц-професс. состав!R3C2:R14C3" \a \f 4 \h  \* MERGEFORMAT </w:instrText>
      </w:r>
      <w:r w:rsidRPr="0050778C">
        <w:fldChar w:fldCharType="separate"/>
      </w:r>
    </w:p>
    <w:tbl>
      <w:tblPr>
        <w:tblW w:w="9550" w:type="dxa"/>
        <w:tblInd w:w="108" w:type="dxa"/>
        <w:tblLook w:val="04A0" w:firstRow="1" w:lastRow="0" w:firstColumn="1" w:lastColumn="0" w:noHBand="0" w:noVBand="1"/>
      </w:tblPr>
      <w:tblGrid>
        <w:gridCol w:w="4993"/>
        <w:gridCol w:w="4557"/>
      </w:tblGrid>
      <w:tr w:rsidR="00630798" w:rsidRPr="0050778C" w:rsidTr="00630798">
        <w:trPr>
          <w:trHeight w:val="453"/>
        </w:trPr>
        <w:tc>
          <w:tcPr>
            <w:tcW w:w="4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798" w:rsidRPr="00335D41" w:rsidRDefault="00630798" w:rsidP="00630798">
            <w:pPr>
              <w:jc w:val="center"/>
              <w:rPr>
                <w:rFonts w:ascii="Times New Roman" w:hAnsi="Times New Roman" w:cs="Times New Roman"/>
                <w:bCs/>
                <w:color w:val="000000"/>
              </w:rPr>
            </w:pPr>
            <w:r w:rsidRPr="00335D41">
              <w:rPr>
                <w:rFonts w:ascii="Times New Roman" w:hAnsi="Times New Roman" w:cs="Times New Roman"/>
                <w:bCs/>
                <w:color w:val="000000"/>
              </w:rPr>
              <w:t>Социально-профессиональный состав</w:t>
            </w:r>
          </w:p>
        </w:tc>
        <w:tc>
          <w:tcPr>
            <w:tcW w:w="4557" w:type="dxa"/>
            <w:tcBorders>
              <w:top w:val="single" w:sz="4" w:space="0" w:color="auto"/>
              <w:left w:val="nil"/>
              <w:bottom w:val="single" w:sz="4" w:space="0" w:color="auto"/>
              <w:right w:val="single" w:sz="4" w:space="0" w:color="auto"/>
            </w:tcBorders>
            <w:shd w:val="clear" w:color="auto" w:fill="auto"/>
            <w:vAlign w:val="center"/>
            <w:hideMark/>
          </w:tcPr>
          <w:p w:rsidR="00630798" w:rsidRPr="00335D41" w:rsidRDefault="00630798" w:rsidP="00630798">
            <w:pPr>
              <w:jc w:val="center"/>
              <w:rPr>
                <w:rFonts w:ascii="Times New Roman" w:hAnsi="Times New Roman" w:cs="Times New Roman"/>
                <w:bCs/>
                <w:color w:val="000000"/>
              </w:rPr>
            </w:pPr>
            <w:r w:rsidRPr="00335D41">
              <w:rPr>
                <w:rFonts w:ascii="Times New Roman" w:hAnsi="Times New Roman" w:cs="Times New Roman"/>
                <w:bCs/>
                <w:color w:val="000000"/>
              </w:rPr>
              <w:t>Процентное соотношение</w:t>
            </w:r>
          </w:p>
        </w:tc>
      </w:tr>
      <w:tr w:rsidR="00630798" w:rsidRPr="0050778C" w:rsidTr="00630798">
        <w:trPr>
          <w:trHeight w:val="449"/>
        </w:trPr>
        <w:tc>
          <w:tcPr>
            <w:tcW w:w="4993" w:type="dxa"/>
            <w:tcBorders>
              <w:top w:val="nil"/>
              <w:left w:val="single" w:sz="4" w:space="0" w:color="auto"/>
              <w:bottom w:val="single" w:sz="4" w:space="0" w:color="auto"/>
              <w:right w:val="single" w:sz="4" w:space="0" w:color="auto"/>
            </w:tcBorders>
            <w:shd w:val="clear" w:color="auto" w:fill="auto"/>
            <w:vAlign w:val="center"/>
          </w:tcPr>
          <w:p w:rsidR="00630798" w:rsidRPr="00335D41" w:rsidRDefault="00630798" w:rsidP="00630798">
            <w:pPr>
              <w:rPr>
                <w:rFonts w:ascii="Times New Roman" w:hAnsi="Times New Roman" w:cs="Times New Roman"/>
                <w:bCs/>
                <w:color w:val="000000"/>
              </w:rPr>
            </w:pPr>
            <w:r w:rsidRPr="00335D41">
              <w:rPr>
                <w:rFonts w:ascii="Times New Roman" w:hAnsi="Times New Roman" w:cs="Times New Roman"/>
                <w:bCs/>
                <w:color w:val="000000"/>
              </w:rPr>
              <w:t>Инвалиды</w:t>
            </w:r>
          </w:p>
        </w:tc>
        <w:tc>
          <w:tcPr>
            <w:tcW w:w="4557" w:type="dxa"/>
            <w:tcBorders>
              <w:top w:val="nil"/>
              <w:left w:val="nil"/>
              <w:bottom w:val="single" w:sz="4" w:space="0" w:color="auto"/>
              <w:right w:val="single" w:sz="4" w:space="0" w:color="auto"/>
            </w:tcBorders>
            <w:shd w:val="clear" w:color="auto" w:fill="auto"/>
            <w:noWrap/>
            <w:vAlign w:val="center"/>
          </w:tcPr>
          <w:p w:rsidR="00630798" w:rsidRPr="00335D41" w:rsidRDefault="00630798" w:rsidP="00335D41">
            <w:pPr>
              <w:spacing w:after="0" w:line="240" w:lineRule="auto"/>
              <w:jc w:val="center"/>
              <w:rPr>
                <w:rFonts w:ascii="Times New Roman" w:hAnsi="Times New Roman" w:cs="Times New Roman"/>
                <w:color w:val="000000"/>
              </w:rPr>
            </w:pPr>
            <w:r w:rsidRPr="00335D41">
              <w:rPr>
                <w:rFonts w:ascii="Times New Roman" w:hAnsi="Times New Roman" w:cs="Times New Roman"/>
                <w:color w:val="000000"/>
              </w:rPr>
              <w:t>2,8</w:t>
            </w:r>
          </w:p>
        </w:tc>
      </w:tr>
      <w:tr w:rsidR="00630798" w:rsidRPr="0050778C" w:rsidTr="00630798">
        <w:trPr>
          <w:trHeight w:val="449"/>
        </w:trPr>
        <w:tc>
          <w:tcPr>
            <w:tcW w:w="4993" w:type="dxa"/>
            <w:tcBorders>
              <w:top w:val="nil"/>
              <w:left w:val="single" w:sz="4" w:space="0" w:color="auto"/>
              <w:bottom w:val="single" w:sz="4" w:space="0" w:color="auto"/>
              <w:right w:val="single" w:sz="4" w:space="0" w:color="auto"/>
            </w:tcBorders>
            <w:shd w:val="clear" w:color="auto" w:fill="auto"/>
            <w:vAlign w:val="center"/>
          </w:tcPr>
          <w:p w:rsidR="00630798" w:rsidRPr="00335D41" w:rsidRDefault="00630798" w:rsidP="00630798">
            <w:pPr>
              <w:rPr>
                <w:rFonts w:ascii="Times New Roman" w:hAnsi="Times New Roman" w:cs="Times New Roman"/>
                <w:bCs/>
                <w:color w:val="000000"/>
              </w:rPr>
            </w:pPr>
            <w:r w:rsidRPr="00335D41">
              <w:rPr>
                <w:rFonts w:ascii="Times New Roman" w:hAnsi="Times New Roman" w:cs="Times New Roman"/>
                <w:bCs/>
                <w:color w:val="000000"/>
              </w:rPr>
              <w:lastRenderedPageBreak/>
              <w:t>Медицинские работники</w:t>
            </w:r>
          </w:p>
        </w:tc>
        <w:tc>
          <w:tcPr>
            <w:tcW w:w="4557" w:type="dxa"/>
            <w:tcBorders>
              <w:top w:val="nil"/>
              <w:left w:val="nil"/>
              <w:bottom w:val="single" w:sz="4" w:space="0" w:color="auto"/>
              <w:right w:val="single" w:sz="4" w:space="0" w:color="auto"/>
            </w:tcBorders>
            <w:shd w:val="clear" w:color="auto" w:fill="auto"/>
            <w:noWrap/>
            <w:vAlign w:val="center"/>
          </w:tcPr>
          <w:p w:rsidR="00630798" w:rsidRPr="00335D41" w:rsidRDefault="00630798" w:rsidP="00630798">
            <w:pPr>
              <w:jc w:val="center"/>
              <w:rPr>
                <w:rFonts w:ascii="Times New Roman" w:hAnsi="Times New Roman" w:cs="Times New Roman"/>
                <w:color w:val="000000"/>
              </w:rPr>
            </w:pPr>
            <w:r w:rsidRPr="00335D41">
              <w:rPr>
                <w:rFonts w:ascii="Times New Roman" w:hAnsi="Times New Roman" w:cs="Times New Roman"/>
                <w:color w:val="000000"/>
              </w:rPr>
              <w:t>2,8</w:t>
            </w:r>
          </w:p>
        </w:tc>
      </w:tr>
      <w:tr w:rsidR="00630798" w:rsidRPr="0050778C" w:rsidTr="00630798">
        <w:trPr>
          <w:trHeight w:val="449"/>
        </w:trPr>
        <w:tc>
          <w:tcPr>
            <w:tcW w:w="4993" w:type="dxa"/>
            <w:tcBorders>
              <w:top w:val="nil"/>
              <w:left w:val="single" w:sz="4" w:space="0" w:color="auto"/>
              <w:bottom w:val="single" w:sz="4" w:space="0" w:color="auto"/>
              <w:right w:val="single" w:sz="4" w:space="0" w:color="auto"/>
            </w:tcBorders>
            <w:shd w:val="clear" w:color="auto" w:fill="auto"/>
            <w:vAlign w:val="center"/>
            <w:hideMark/>
          </w:tcPr>
          <w:p w:rsidR="00630798" w:rsidRPr="00335D41" w:rsidRDefault="00630798" w:rsidP="00630798">
            <w:pPr>
              <w:rPr>
                <w:rFonts w:ascii="Times New Roman" w:hAnsi="Times New Roman" w:cs="Times New Roman"/>
                <w:bCs/>
                <w:color w:val="000000"/>
              </w:rPr>
            </w:pPr>
            <w:r w:rsidRPr="00335D41">
              <w:rPr>
                <w:rFonts w:ascii="Times New Roman" w:hAnsi="Times New Roman" w:cs="Times New Roman"/>
                <w:bCs/>
                <w:color w:val="000000"/>
              </w:rPr>
              <w:t>Не работают</w:t>
            </w:r>
          </w:p>
        </w:tc>
        <w:tc>
          <w:tcPr>
            <w:tcW w:w="4557" w:type="dxa"/>
            <w:tcBorders>
              <w:top w:val="nil"/>
              <w:left w:val="nil"/>
              <w:bottom w:val="single" w:sz="4" w:space="0" w:color="auto"/>
              <w:right w:val="single" w:sz="4" w:space="0" w:color="auto"/>
            </w:tcBorders>
            <w:shd w:val="clear" w:color="auto" w:fill="auto"/>
            <w:noWrap/>
            <w:vAlign w:val="center"/>
          </w:tcPr>
          <w:p w:rsidR="00630798" w:rsidRPr="00335D41" w:rsidRDefault="00630798" w:rsidP="00630798">
            <w:pPr>
              <w:jc w:val="center"/>
              <w:rPr>
                <w:rFonts w:ascii="Times New Roman" w:hAnsi="Times New Roman" w:cs="Times New Roman"/>
                <w:color w:val="000000"/>
              </w:rPr>
            </w:pPr>
            <w:r w:rsidRPr="00335D41">
              <w:rPr>
                <w:rFonts w:ascii="Times New Roman" w:hAnsi="Times New Roman" w:cs="Times New Roman"/>
                <w:color w:val="000000"/>
              </w:rPr>
              <w:t>44,4</w:t>
            </w:r>
          </w:p>
        </w:tc>
      </w:tr>
      <w:tr w:rsidR="00630798" w:rsidRPr="0050778C" w:rsidTr="00630798">
        <w:trPr>
          <w:trHeight w:val="449"/>
        </w:trPr>
        <w:tc>
          <w:tcPr>
            <w:tcW w:w="4993" w:type="dxa"/>
            <w:tcBorders>
              <w:top w:val="nil"/>
              <w:left w:val="single" w:sz="4" w:space="0" w:color="auto"/>
              <w:bottom w:val="single" w:sz="4" w:space="0" w:color="auto"/>
              <w:right w:val="single" w:sz="4" w:space="0" w:color="auto"/>
            </w:tcBorders>
            <w:shd w:val="clear" w:color="auto" w:fill="auto"/>
            <w:vAlign w:val="center"/>
          </w:tcPr>
          <w:p w:rsidR="00630798" w:rsidRPr="00335D41" w:rsidRDefault="00630798" w:rsidP="00630798">
            <w:pPr>
              <w:rPr>
                <w:rFonts w:ascii="Times New Roman" w:hAnsi="Times New Roman" w:cs="Times New Roman"/>
                <w:bCs/>
                <w:color w:val="000000"/>
              </w:rPr>
            </w:pPr>
            <w:r w:rsidRPr="00335D41">
              <w:rPr>
                <w:rFonts w:ascii="Times New Roman" w:hAnsi="Times New Roman" w:cs="Times New Roman"/>
                <w:bCs/>
                <w:color w:val="000000"/>
              </w:rPr>
              <w:t xml:space="preserve">Работники сферы обслуживания </w:t>
            </w:r>
          </w:p>
        </w:tc>
        <w:tc>
          <w:tcPr>
            <w:tcW w:w="4557" w:type="dxa"/>
            <w:tcBorders>
              <w:top w:val="nil"/>
              <w:left w:val="nil"/>
              <w:bottom w:val="single" w:sz="4" w:space="0" w:color="auto"/>
              <w:right w:val="single" w:sz="4" w:space="0" w:color="auto"/>
            </w:tcBorders>
            <w:shd w:val="clear" w:color="auto" w:fill="auto"/>
            <w:noWrap/>
            <w:vAlign w:val="center"/>
          </w:tcPr>
          <w:p w:rsidR="00630798" w:rsidRPr="00335D41" w:rsidRDefault="00630798" w:rsidP="00630798">
            <w:pPr>
              <w:jc w:val="center"/>
              <w:rPr>
                <w:rFonts w:ascii="Times New Roman" w:hAnsi="Times New Roman" w:cs="Times New Roman"/>
                <w:color w:val="000000"/>
              </w:rPr>
            </w:pPr>
            <w:r w:rsidRPr="00335D41">
              <w:rPr>
                <w:rFonts w:ascii="Times New Roman" w:hAnsi="Times New Roman" w:cs="Times New Roman"/>
                <w:color w:val="000000"/>
              </w:rPr>
              <w:t>5,6</w:t>
            </w:r>
          </w:p>
        </w:tc>
      </w:tr>
      <w:tr w:rsidR="00630798" w:rsidRPr="0050778C" w:rsidTr="00630798">
        <w:trPr>
          <w:trHeight w:val="449"/>
        </w:trPr>
        <w:tc>
          <w:tcPr>
            <w:tcW w:w="4993" w:type="dxa"/>
            <w:tcBorders>
              <w:top w:val="nil"/>
              <w:left w:val="single" w:sz="4" w:space="0" w:color="auto"/>
              <w:bottom w:val="single" w:sz="4" w:space="0" w:color="auto"/>
              <w:right w:val="single" w:sz="4" w:space="0" w:color="auto"/>
            </w:tcBorders>
            <w:shd w:val="clear" w:color="auto" w:fill="auto"/>
            <w:vAlign w:val="center"/>
            <w:hideMark/>
          </w:tcPr>
          <w:p w:rsidR="00630798" w:rsidRPr="00335D41" w:rsidRDefault="00630798" w:rsidP="00630798">
            <w:pPr>
              <w:rPr>
                <w:rFonts w:ascii="Times New Roman" w:hAnsi="Times New Roman" w:cs="Times New Roman"/>
                <w:bCs/>
                <w:color w:val="000000"/>
              </w:rPr>
            </w:pPr>
            <w:r w:rsidRPr="00335D41">
              <w:rPr>
                <w:rFonts w:ascii="Times New Roman" w:hAnsi="Times New Roman" w:cs="Times New Roman"/>
                <w:bCs/>
                <w:color w:val="000000"/>
              </w:rPr>
              <w:t>Пенсионеры</w:t>
            </w:r>
          </w:p>
        </w:tc>
        <w:tc>
          <w:tcPr>
            <w:tcW w:w="4557" w:type="dxa"/>
            <w:tcBorders>
              <w:top w:val="nil"/>
              <w:left w:val="nil"/>
              <w:bottom w:val="single" w:sz="4" w:space="0" w:color="auto"/>
              <w:right w:val="single" w:sz="4" w:space="0" w:color="auto"/>
            </w:tcBorders>
            <w:shd w:val="clear" w:color="auto" w:fill="auto"/>
            <w:noWrap/>
            <w:vAlign w:val="center"/>
          </w:tcPr>
          <w:p w:rsidR="00630798" w:rsidRPr="00335D41" w:rsidRDefault="00630798" w:rsidP="00630798">
            <w:pPr>
              <w:jc w:val="center"/>
              <w:rPr>
                <w:rFonts w:ascii="Times New Roman" w:hAnsi="Times New Roman" w:cs="Times New Roman"/>
                <w:color w:val="000000"/>
              </w:rPr>
            </w:pPr>
            <w:r w:rsidRPr="00335D41">
              <w:rPr>
                <w:rFonts w:ascii="Times New Roman" w:hAnsi="Times New Roman" w:cs="Times New Roman"/>
                <w:color w:val="000000"/>
              </w:rPr>
              <w:t>5.6</w:t>
            </w:r>
          </w:p>
        </w:tc>
      </w:tr>
      <w:tr w:rsidR="00630798" w:rsidRPr="0050778C" w:rsidTr="00630798">
        <w:trPr>
          <w:trHeight w:val="419"/>
        </w:trPr>
        <w:tc>
          <w:tcPr>
            <w:tcW w:w="4993" w:type="dxa"/>
            <w:tcBorders>
              <w:top w:val="nil"/>
              <w:left w:val="single" w:sz="4" w:space="0" w:color="auto"/>
              <w:bottom w:val="single" w:sz="4" w:space="0" w:color="auto"/>
              <w:right w:val="single" w:sz="4" w:space="0" w:color="auto"/>
            </w:tcBorders>
            <w:shd w:val="clear" w:color="auto" w:fill="auto"/>
            <w:vAlign w:val="center"/>
            <w:hideMark/>
          </w:tcPr>
          <w:p w:rsidR="00630798" w:rsidRPr="00335D41" w:rsidRDefault="00630798" w:rsidP="00630798">
            <w:pPr>
              <w:rPr>
                <w:rFonts w:ascii="Times New Roman" w:hAnsi="Times New Roman" w:cs="Times New Roman"/>
                <w:bCs/>
                <w:color w:val="000000"/>
              </w:rPr>
            </w:pPr>
            <w:r w:rsidRPr="00335D41">
              <w:rPr>
                <w:rFonts w:ascii="Times New Roman" w:hAnsi="Times New Roman" w:cs="Times New Roman"/>
                <w:bCs/>
                <w:color w:val="000000"/>
              </w:rPr>
              <w:t xml:space="preserve">Работник коммерческих структур, </w:t>
            </w:r>
          </w:p>
        </w:tc>
        <w:tc>
          <w:tcPr>
            <w:tcW w:w="4557" w:type="dxa"/>
            <w:tcBorders>
              <w:top w:val="nil"/>
              <w:left w:val="nil"/>
              <w:bottom w:val="single" w:sz="4" w:space="0" w:color="auto"/>
              <w:right w:val="single" w:sz="4" w:space="0" w:color="auto"/>
            </w:tcBorders>
            <w:shd w:val="clear" w:color="auto" w:fill="auto"/>
            <w:noWrap/>
            <w:vAlign w:val="center"/>
          </w:tcPr>
          <w:p w:rsidR="00630798" w:rsidRPr="00335D41" w:rsidRDefault="00630798" w:rsidP="00630798">
            <w:pPr>
              <w:jc w:val="center"/>
              <w:rPr>
                <w:rFonts w:ascii="Times New Roman" w:hAnsi="Times New Roman" w:cs="Times New Roman"/>
                <w:color w:val="000000"/>
              </w:rPr>
            </w:pPr>
            <w:r w:rsidRPr="00335D41">
              <w:rPr>
                <w:rFonts w:ascii="Times New Roman" w:hAnsi="Times New Roman" w:cs="Times New Roman"/>
                <w:color w:val="000000"/>
              </w:rPr>
              <w:t>2,8</w:t>
            </w:r>
          </w:p>
        </w:tc>
      </w:tr>
      <w:tr w:rsidR="00630798" w:rsidRPr="0050778C" w:rsidTr="00630798">
        <w:trPr>
          <w:trHeight w:val="449"/>
        </w:trPr>
        <w:tc>
          <w:tcPr>
            <w:tcW w:w="4993" w:type="dxa"/>
            <w:tcBorders>
              <w:top w:val="nil"/>
              <w:left w:val="single" w:sz="4" w:space="0" w:color="auto"/>
              <w:bottom w:val="single" w:sz="4" w:space="0" w:color="auto"/>
              <w:right w:val="single" w:sz="4" w:space="0" w:color="auto"/>
            </w:tcBorders>
            <w:shd w:val="clear" w:color="auto" w:fill="auto"/>
            <w:vAlign w:val="center"/>
            <w:hideMark/>
          </w:tcPr>
          <w:p w:rsidR="00630798" w:rsidRPr="00335D41" w:rsidRDefault="00630798" w:rsidP="00630798">
            <w:pPr>
              <w:rPr>
                <w:rFonts w:ascii="Times New Roman" w:hAnsi="Times New Roman" w:cs="Times New Roman"/>
                <w:bCs/>
                <w:color w:val="000000"/>
              </w:rPr>
            </w:pPr>
            <w:r w:rsidRPr="00335D41">
              <w:rPr>
                <w:rFonts w:ascii="Times New Roman" w:hAnsi="Times New Roman" w:cs="Times New Roman"/>
                <w:bCs/>
                <w:color w:val="000000"/>
              </w:rPr>
              <w:t>Студенты ВУЗ, СУЗ</w:t>
            </w:r>
          </w:p>
        </w:tc>
        <w:tc>
          <w:tcPr>
            <w:tcW w:w="4557" w:type="dxa"/>
            <w:tcBorders>
              <w:top w:val="nil"/>
              <w:left w:val="nil"/>
              <w:bottom w:val="single" w:sz="4" w:space="0" w:color="auto"/>
              <w:right w:val="single" w:sz="4" w:space="0" w:color="auto"/>
            </w:tcBorders>
            <w:shd w:val="clear" w:color="auto" w:fill="auto"/>
            <w:noWrap/>
            <w:vAlign w:val="center"/>
          </w:tcPr>
          <w:p w:rsidR="00630798" w:rsidRPr="00335D41" w:rsidRDefault="00630798" w:rsidP="00630798">
            <w:pPr>
              <w:jc w:val="center"/>
              <w:rPr>
                <w:rFonts w:ascii="Times New Roman" w:hAnsi="Times New Roman" w:cs="Times New Roman"/>
                <w:color w:val="000000"/>
              </w:rPr>
            </w:pPr>
            <w:r w:rsidRPr="00335D41">
              <w:rPr>
                <w:rFonts w:ascii="Times New Roman" w:hAnsi="Times New Roman" w:cs="Times New Roman"/>
                <w:color w:val="000000"/>
              </w:rPr>
              <w:t>8,3</w:t>
            </w:r>
          </w:p>
        </w:tc>
      </w:tr>
      <w:tr w:rsidR="00630798" w:rsidRPr="0050778C" w:rsidTr="00630798">
        <w:trPr>
          <w:trHeight w:val="449"/>
        </w:trPr>
        <w:tc>
          <w:tcPr>
            <w:tcW w:w="4993" w:type="dxa"/>
            <w:tcBorders>
              <w:top w:val="nil"/>
              <w:left w:val="single" w:sz="4" w:space="0" w:color="auto"/>
              <w:bottom w:val="single" w:sz="4" w:space="0" w:color="auto"/>
              <w:right w:val="single" w:sz="4" w:space="0" w:color="auto"/>
            </w:tcBorders>
            <w:shd w:val="clear" w:color="auto" w:fill="auto"/>
            <w:vAlign w:val="center"/>
          </w:tcPr>
          <w:p w:rsidR="00630798" w:rsidRPr="00335D41" w:rsidRDefault="00630798" w:rsidP="00630798">
            <w:pPr>
              <w:rPr>
                <w:rFonts w:ascii="Times New Roman" w:hAnsi="Times New Roman" w:cs="Times New Roman"/>
                <w:bCs/>
                <w:color w:val="000000"/>
              </w:rPr>
            </w:pPr>
            <w:r w:rsidRPr="00335D41">
              <w:rPr>
                <w:rFonts w:ascii="Times New Roman" w:hAnsi="Times New Roman" w:cs="Times New Roman"/>
                <w:bCs/>
                <w:color w:val="000000"/>
              </w:rPr>
              <w:t>ИТР</w:t>
            </w:r>
          </w:p>
        </w:tc>
        <w:tc>
          <w:tcPr>
            <w:tcW w:w="4557" w:type="dxa"/>
            <w:tcBorders>
              <w:top w:val="nil"/>
              <w:left w:val="nil"/>
              <w:bottom w:val="single" w:sz="4" w:space="0" w:color="auto"/>
              <w:right w:val="single" w:sz="4" w:space="0" w:color="auto"/>
            </w:tcBorders>
            <w:shd w:val="clear" w:color="auto" w:fill="auto"/>
            <w:noWrap/>
            <w:vAlign w:val="center"/>
          </w:tcPr>
          <w:p w:rsidR="00630798" w:rsidRPr="00335D41" w:rsidRDefault="00630798" w:rsidP="00630798">
            <w:pPr>
              <w:jc w:val="center"/>
              <w:rPr>
                <w:rFonts w:ascii="Times New Roman" w:hAnsi="Times New Roman" w:cs="Times New Roman"/>
                <w:color w:val="000000"/>
              </w:rPr>
            </w:pPr>
            <w:r w:rsidRPr="00335D41">
              <w:rPr>
                <w:rFonts w:ascii="Times New Roman" w:hAnsi="Times New Roman" w:cs="Times New Roman"/>
                <w:color w:val="000000"/>
              </w:rPr>
              <w:t>8,3</w:t>
            </w:r>
          </w:p>
        </w:tc>
      </w:tr>
      <w:tr w:rsidR="00630798" w:rsidRPr="0050778C" w:rsidTr="00630798">
        <w:trPr>
          <w:trHeight w:val="449"/>
        </w:trPr>
        <w:tc>
          <w:tcPr>
            <w:tcW w:w="4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798" w:rsidRPr="00335D41" w:rsidRDefault="00630798" w:rsidP="00630798">
            <w:pPr>
              <w:rPr>
                <w:rFonts w:ascii="Times New Roman" w:hAnsi="Times New Roman" w:cs="Times New Roman"/>
                <w:bCs/>
                <w:color w:val="000000"/>
              </w:rPr>
            </w:pPr>
            <w:r w:rsidRPr="00335D41">
              <w:rPr>
                <w:rFonts w:ascii="Times New Roman" w:hAnsi="Times New Roman" w:cs="Times New Roman"/>
                <w:bCs/>
                <w:color w:val="000000"/>
              </w:rPr>
              <w:t>Рабочие</w:t>
            </w:r>
          </w:p>
        </w:tc>
        <w:tc>
          <w:tcPr>
            <w:tcW w:w="4557" w:type="dxa"/>
            <w:tcBorders>
              <w:top w:val="single" w:sz="4" w:space="0" w:color="auto"/>
              <w:left w:val="nil"/>
              <w:bottom w:val="single" w:sz="4" w:space="0" w:color="auto"/>
              <w:right w:val="single" w:sz="4" w:space="0" w:color="auto"/>
            </w:tcBorders>
            <w:shd w:val="clear" w:color="auto" w:fill="auto"/>
            <w:noWrap/>
            <w:vAlign w:val="center"/>
          </w:tcPr>
          <w:p w:rsidR="00630798" w:rsidRPr="00335D41" w:rsidRDefault="00630798" w:rsidP="00630798">
            <w:pPr>
              <w:jc w:val="center"/>
              <w:rPr>
                <w:rFonts w:ascii="Times New Roman" w:hAnsi="Times New Roman" w:cs="Times New Roman"/>
                <w:color w:val="000000"/>
              </w:rPr>
            </w:pPr>
            <w:r w:rsidRPr="00335D41">
              <w:rPr>
                <w:rFonts w:ascii="Times New Roman" w:hAnsi="Times New Roman" w:cs="Times New Roman"/>
                <w:color w:val="000000"/>
              </w:rPr>
              <w:t>19,4</w:t>
            </w:r>
          </w:p>
        </w:tc>
      </w:tr>
    </w:tbl>
    <w:p w:rsidR="00630798" w:rsidRDefault="00630798" w:rsidP="00630798">
      <w:r w:rsidRPr="0050778C">
        <w:fldChar w:fldCharType="end"/>
      </w:r>
    </w:p>
    <w:p w:rsidR="00630798" w:rsidRDefault="00630798" w:rsidP="00630798">
      <w:r w:rsidRPr="0050778C">
        <w:rPr>
          <w:noProof/>
          <w:lang w:eastAsia="ru-RU"/>
        </w:rPr>
        <w:drawing>
          <wp:anchor distT="0" distB="0" distL="114300" distR="114300" simplePos="0" relativeHeight="251674624" behindDoc="0" locked="0" layoutInCell="1" allowOverlap="1">
            <wp:simplePos x="0" y="0"/>
            <wp:positionH relativeFrom="column">
              <wp:posOffset>60960</wp:posOffset>
            </wp:positionH>
            <wp:positionV relativeFrom="paragraph">
              <wp:posOffset>103505</wp:posOffset>
            </wp:positionV>
            <wp:extent cx="5922645" cy="3611245"/>
            <wp:effectExtent l="0" t="2540" r="2540" b="0"/>
            <wp:wrapNone/>
            <wp:docPr id="28" name="Диаграмма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page">
              <wp14:pctWidth>0</wp14:pctWidth>
            </wp14:sizeRelH>
            <wp14:sizeRelV relativeFrom="page">
              <wp14:pctHeight>0</wp14:pctHeight>
            </wp14:sizeRelV>
          </wp:anchor>
        </w:drawing>
      </w:r>
    </w:p>
    <w:p w:rsidR="00630798" w:rsidRDefault="00630798" w:rsidP="00630798">
      <w:pPr>
        <w:rPr>
          <w:highlight w:val="yellow"/>
        </w:rPr>
      </w:pPr>
    </w:p>
    <w:p w:rsidR="00630798" w:rsidRDefault="00630798" w:rsidP="00630798">
      <w:pPr>
        <w:rPr>
          <w:highlight w:val="yellow"/>
        </w:rPr>
      </w:pPr>
    </w:p>
    <w:p w:rsidR="00630798" w:rsidRDefault="00630798" w:rsidP="00630798">
      <w:pPr>
        <w:rPr>
          <w:highlight w:val="yellow"/>
        </w:rPr>
      </w:pPr>
    </w:p>
    <w:p w:rsidR="00630798" w:rsidRDefault="00630798" w:rsidP="00630798">
      <w:pPr>
        <w:rPr>
          <w:highlight w:val="yellow"/>
        </w:rPr>
      </w:pPr>
    </w:p>
    <w:p w:rsidR="00630798" w:rsidRDefault="00630798" w:rsidP="00630798">
      <w:pPr>
        <w:rPr>
          <w:highlight w:val="yellow"/>
        </w:rPr>
      </w:pPr>
    </w:p>
    <w:p w:rsidR="00630798" w:rsidRDefault="00630798" w:rsidP="00630798">
      <w:pPr>
        <w:rPr>
          <w:highlight w:val="yellow"/>
        </w:rPr>
      </w:pPr>
    </w:p>
    <w:p w:rsidR="00630798" w:rsidRDefault="00630798" w:rsidP="00630798">
      <w:pPr>
        <w:rPr>
          <w:highlight w:val="yellow"/>
        </w:rPr>
      </w:pPr>
    </w:p>
    <w:p w:rsidR="00630798" w:rsidRPr="00582568" w:rsidRDefault="00630798" w:rsidP="00630798">
      <w:pPr>
        <w:rPr>
          <w:highlight w:val="yellow"/>
        </w:rPr>
      </w:pPr>
    </w:p>
    <w:p w:rsidR="00630798" w:rsidRPr="00582568" w:rsidRDefault="00630798" w:rsidP="00630798">
      <w:pPr>
        <w:rPr>
          <w:highlight w:val="yellow"/>
        </w:rPr>
      </w:pPr>
    </w:p>
    <w:p w:rsidR="00630798" w:rsidRPr="00582568" w:rsidRDefault="00630798" w:rsidP="00630798">
      <w:pPr>
        <w:rPr>
          <w:highlight w:val="yellow"/>
        </w:rPr>
      </w:pPr>
    </w:p>
    <w:p w:rsidR="00630798" w:rsidRPr="00582568" w:rsidRDefault="00630798" w:rsidP="00630798">
      <w:pPr>
        <w:rPr>
          <w:highlight w:val="yellow"/>
        </w:rPr>
      </w:pPr>
    </w:p>
    <w:p w:rsidR="00630798" w:rsidRPr="00582568" w:rsidRDefault="00630798" w:rsidP="00630798">
      <w:pPr>
        <w:rPr>
          <w:highlight w:val="yellow"/>
        </w:rPr>
      </w:pPr>
    </w:p>
    <w:p w:rsidR="00630798" w:rsidRPr="002E7479" w:rsidRDefault="00335D41" w:rsidP="00630798">
      <w:pPr>
        <w:ind w:firstLine="708"/>
        <w:jc w:val="center"/>
      </w:pPr>
      <w:r>
        <w:t>Р</w:t>
      </w:r>
      <w:r w:rsidR="00630798" w:rsidRPr="002E7479">
        <w:t xml:space="preserve">ис. № 11. Социально – профессиональный состав ВИЧ – инфицированных в городе Пыть-Яхе </w:t>
      </w:r>
      <w:r w:rsidR="00630798">
        <w:t xml:space="preserve">в 2020г </w:t>
      </w:r>
      <w:r w:rsidR="00630798" w:rsidRPr="002E7479">
        <w:t>(в %).</w:t>
      </w:r>
    </w:p>
    <w:p w:rsidR="00630798" w:rsidRPr="00335D41" w:rsidRDefault="00630798" w:rsidP="00335D41">
      <w:pPr>
        <w:spacing w:after="0" w:line="240" w:lineRule="auto"/>
        <w:jc w:val="both"/>
        <w:rPr>
          <w:rFonts w:ascii="Times New Roman" w:hAnsi="Times New Roman" w:cs="Times New Roman"/>
          <w:sz w:val="24"/>
          <w:szCs w:val="24"/>
        </w:rPr>
      </w:pPr>
      <w:r w:rsidRPr="002E7479">
        <w:tab/>
      </w:r>
      <w:r w:rsidRPr="00335D41">
        <w:rPr>
          <w:rFonts w:ascii="Times New Roman" w:hAnsi="Times New Roman" w:cs="Times New Roman"/>
          <w:sz w:val="24"/>
          <w:szCs w:val="24"/>
        </w:rPr>
        <w:t>Антиретровирусные препараты для химиопрофилактики вертикального пути  передачи, на случай аварийных ситуаций у мед. работников   имеются в достаточном количестве.</w:t>
      </w:r>
    </w:p>
    <w:p w:rsidR="00630798" w:rsidRPr="00335D41" w:rsidRDefault="00630798" w:rsidP="00335D41">
      <w:pPr>
        <w:spacing w:after="0" w:line="240" w:lineRule="auto"/>
        <w:ind w:firstLine="708"/>
        <w:jc w:val="both"/>
        <w:rPr>
          <w:rFonts w:ascii="Times New Roman" w:hAnsi="Times New Roman" w:cs="Times New Roman"/>
          <w:sz w:val="24"/>
          <w:szCs w:val="24"/>
        </w:rPr>
      </w:pPr>
      <w:r w:rsidRPr="00335D41">
        <w:rPr>
          <w:rFonts w:ascii="Times New Roman" w:hAnsi="Times New Roman" w:cs="Times New Roman"/>
          <w:sz w:val="24"/>
          <w:szCs w:val="24"/>
        </w:rPr>
        <w:t>Социальная структура ВИЧ - инфицированных в 2020 г. составила: работающее население - 38,9% (из них: рабочие - 19,4%, ИТР - 8,3%, работники сферы обслуживания - 5,6%, работники коммерческих структур, мед. работники по 2,8%), не работающее население - 44,4%, студенты ВУЗа, СУЗа - 8,3%, пенсионеры - 5,6 %, инвалиды - 2,8%.</w:t>
      </w:r>
    </w:p>
    <w:p w:rsidR="00630798" w:rsidRPr="00582568" w:rsidRDefault="00630798" w:rsidP="00630798">
      <w:pPr>
        <w:pStyle w:val="ad"/>
        <w:rPr>
          <w:szCs w:val="26"/>
          <w:highlight w:val="yellow"/>
        </w:rPr>
      </w:pPr>
    </w:p>
    <w:p w:rsidR="00630798" w:rsidRPr="00335D41" w:rsidRDefault="00630798" w:rsidP="00335D41">
      <w:pPr>
        <w:pStyle w:val="ad"/>
        <w:jc w:val="left"/>
        <w:rPr>
          <w:rFonts w:ascii="Times New Roman" w:hAnsi="Times New Roman"/>
          <w:b/>
          <w:szCs w:val="26"/>
        </w:rPr>
      </w:pPr>
      <w:r w:rsidRPr="00335D41">
        <w:rPr>
          <w:rFonts w:ascii="Times New Roman" w:hAnsi="Times New Roman"/>
          <w:b/>
          <w:szCs w:val="26"/>
        </w:rPr>
        <w:t>1.3.11. Паразитарные заболевания</w:t>
      </w:r>
    </w:p>
    <w:p w:rsidR="00630798" w:rsidRPr="00335D41" w:rsidRDefault="00630798" w:rsidP="00335D41">
      <w:pPr>
        <w:spacing w:after="0" w:line="240" w:lineRule="auto"/>
        <w:ind w:firstLine="709"/>
        <w:jc w:val="center"/>
        <w:rPr>
          <w:rFonts w:ascii="Times New Roman" w:hAnsi="Times New Roman" w:cs="Times New Roman"/>
          <w:b/>
          <w:sz w:val="24"/>
          <w:szCs w:val="24"/>
        </w:rPr>
      </w:pPr>
      <w:r w:rsidRPr="00335D41">
        <w:rPr>
          <w:rFonts w:ascii="Times New Roman" w:hAnsi="Times New Roman" w:cs="Times New Roman"/>
          <w:b/>
          <w:sz w:val="24"/>
          <w:szCs w:val="24"/>
        </w:rPr>
        <w:t>Гельминтозы</w:t>
      </w:r>
    </w:p>
    <w:p w:rsidR="00630798" w:rsidRPr="00335D41" w:rsidRDefault="00630798" w:rsidP="00335D41">
      <w:pPr>
        <w:spacing w:after="0" w:line="240" w:lineRule="auto"/>
        <w:ind w:firstLine="709"/>
        <w:jc w:val="center"/>
        <w:rPr>
          <w:rFonts w:ascii="Times New Roman" w:hAnsi="Times New Roman" w:cs="Times New Roman"/>
          <w:b/>
          <w:sz w:val="24"/>
          <w:szCs w:val="24"/>
          <w:highlight w:val="yellow"/>
        </w:rPr>
      </w:pPr>
    </w:p>
    <w:p w:rsidR="00630798" w:rsidRPr="00335D41" w:rsidRDefault="00630798" w:rsidP="00335D41">
      <w:pPr>
        <w:spacing w:after="0" w:line="240" w:lineRule="auto"/>
        <w:ind w:firstLine="709"/>
        <w:jc w:val="both"/>
        <w:rPr>
          <w:rFonts w:ascii="Times New Roman" w:hAnsi="Times New Roman" w:cs="Times New Roman"/>
          <w:color w:val="000000"/>
          <w:sz w:val="24"/>
          <w:szCs w:val="24"/>
        </w:rPr>
      </w:pPr>
      <w:r w:rsidRPr="00335D41">
        <w:rPr>
          <w:rFonts w:ascii="Times New Roman" w:hAnsi="Times New Roman" w:cs="Times New Roman"/>
          <w:sz w:val="24"/>
          <w:szCs w:val="24"/>
        </w:rPr>
        <w:t xml:space="preserve">Заболеваемость паразитарными болезнями в г. Пыть - Ях в 2020 и 2019 годах    имеет тенденцию к снижению. В 2020году, по сравнению с 2019г заболеваемость гельминтозами уменьшилась на 24,9%, в 2019г сравнении с 2018 годом заболеваемость снизилась на 30,2 %.   </w:t>
      </w:r>
      <w:r w:rsidRPr="00335D41">
        <w:rPr>
          <w:rFonts w:ascii="Times New Roman" w:hAnsi="Times New Roman" w:cs="Times New Roman"/>
          <w:color w:val="000000"/>
          <w:sz w:val="24"/>
          <w:szCs w:val="24"/>
        </w:rPr>
        <w:t xml:space="preserve">В структуре общей инфекционной заболеваемости  в 2020 году  </w:t>
      </w:r>
      <w:r w:rsidRPr="00335D41">
        <w:rPr>
          <w:rFonts w:ascii="Times New Roman" w:hAnsi="Times New Roman" w:cs="Times New Roman"/>
          <w:sz w:val="24"/>
          <w:szCs w:val="24"/>
        </w:rPr>
        <w:t xml:space="preserve">гельминтозы занимают </w:t>
      </w:r>
      <w:r w:rsidRPr="00335D41">
        <w:rPr>
          <w:rFonts w:ascii="Times New Roman" w:hAnsi="Times New Roman" w:cs="Times New Roman"/>
          <w:sz w:val="24"/>
          <w:szCs w:val="24"/>
        </w:rPr>
        <w:lastRenderedPageBreak/>
        <w:t xml:space="preserve">четвертое место (в 2019г третье место), </w:t>
      </w:r>
      <w:r w:rsidRPr="00335D41">
        <w:rPr>
          <w:rFonts w:ascii="Times New Roman" w:hAnsi="Times New Roman" w:cs="Times New Roman"/>
          <w:color w:val="000000"/>
          <w:sz w:val="24"/>
          <w:szCs w:val="24"/>
        </w:rPr>
        <w:t xml:space="preserve">на долю заболеваний из группы паразитарных инвазий  приходится </w:t>
      </w:r>
      <w:r w:rsidRPr="00335D41">
        <w:rPr>
          <w:rFonts w:ascii="Times New Roman" w:hAnsi="Times New Roman" w:cs="Times New Roman"/>
          <w:sz w:val="24"/>
          <w:szCs w:val="24"/>
        </w:rPr>
        <w:t>0,82% , тогда как в 2019г-</w:t>
      </w:r>
      <w:r w:rsidRPr="00335D41">
        <w:rPr>
          <w:rFonts w:ascii="Times New Roman" w:hAnsi="Times New Roman" w:cs="Times New Roman"/>
          <w:color w:val="000000"/>
          <w:sz w:val="24"/>
          <w:szCs w:val="24"/>
        </w:rPr>
        <w:t>1,8%.</w:t>
      </w:r>
    </w:p>
    <w:p w:rsidR="00630798" w:rsidRPr="00582568" w:rsidRDefault="00630798" w:rsidP="00630798">
      <w:pPr>
        <w:rPr>
          <w:szCs w:val="24"/>
          <w:highlight w:val="yellow"/>
        </w:rPr>
      </w:pPr>
      <w:r w:rsidRPr="00433906">
        <w:rPr>
          <w:noProof/>
          <w:szCs w:val="24"/>
          <w:lang w:eastAsia="ru-RU"/>
        </w:rPr>
        <w:drawing>
          <wp:inline distT="0" distB="0" distL="0" distR="0">
            <wp:extent cx="5791200" cy="2581275"/>
            <wp:effectExtent l="0" t="0" r="0" b="0"/>
            <wp:docPr id="24"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630798" w:rsidRPr="00335D41" w:rsidRDefault="00630798" w:rsidP="00630798">
      <w:pPr>
        <w:jc w:val="center"/>
        <w:rPr>
          <w:rFonts w:ascii="Times New Roman" w:hAnsi="Times New Roman" w:cs="Times New Roman"/>
        </w:rPr>
      </w:pPr>
      <w:r w:rsidRPr="00335D41">
        <w:rPr>
          <w:rFonts w:ascii="Times New Roman" w:hAnsi="Times New Roman" w:cs="Times New Roman"/>
          <w:bCs/>
        </w:rPr>
        <w:t>Рис. № 12</w:t>
      </w:r>
      <w:r w:rsidRPr="00335D41">
        <w:rPr>
          <w:rFonts w:ascii="Times New Roman" w:hAnsi="Times New Roman" w:cs="Times New Roman"/>
          <w:b/>
          <w:bCs/>
        </w:rPr>
        <w:t xml:space="preserve">  </w:t>
      </w:r>
      <w:r w:rsidRPr="00335D41">
        <w:rPr>
          <w:rFonts w:ascii="Times New Roman" w:hAnsi="Times New Roman" w:cs="Times New Roman"/>
        </w:rPr>
        <w:t>Динамика паразитарной заболеваемости за 2018-2020 гг.</w:t>
      </w:r>
    </w:p>
    <w:p w:rsidR="00630798" w:rsidRPr="00335D41" w:rsidRDefault="00630798" w:rsidP="00335D41">
      <w:pPr>
        <w:ind w:firstLine="708"/>
        <w:jc w:val="both"/>
        <w:rPr>
          <w:rFonts w:ascii="Times New Roman" w:hAnsi="Times New Roman" w:cs="Times New Roman"/>
          <w:sz w:val="24"/>
          <w:szCs w:val="24"/>
        </w:rPr>
      </w:pPr>
      <w:r w:rsidRPr="00335D41">
        <w:rPr>
          <w:rFonts w:ascii="Times New Roman" w:hAnsi="Times New Roman" w:cs="Times New Roman"/>
          <w:sz w:val="24"/>
          <w:szCs w:val="24"/>
        </w:rPr>
        <w:t xml:space="preserve">По-прежнему отмечаются высокие показатели заболеваемости населения города Пыть - Ях описторхозом. </w:t>
      </w:r>
      <w:r w:rsidRPr="00335D41">
        <w:rPr>
          <w:rFonts w:ascii="Times New Roman" w:hAnsi="Times New Roman" w:cs="Times New Roman"/>
          <w:noProof/>
          <w:sz w:val="24"/>
          <w:szCs w:val="24"/>
        </w:rPr>
        <w:t>Удельный вес описторхоза среди других гельминтозов в 2020 году  составил 31,7%, тогда как в 2019г-65,4 %. В 2020году  показатель заболеваемости описторхозом  снизился, по сравнению с 2019г на 75%, несмотря на это показатель заболеваемости описторхозом на 100тыс населения в 20020. превышает  окружные показатели на  19,6%.( рис № 12, табл № 39).</w:t>
      </w:r>
      <w:r w:rsidRPr="00335D41">
        <w:rPr>
          <w:rFonts w:ascii="Times New Roman" w:hAnsi="Times New Roman" w:cs="Times New Roman"/>
          <w:sz w:val="24"/>
          <w:szCs w:val="24"/>
        </w:rPr>
        <w:t xml:space="preserve"> В 2020 г. в г. Пыть - Ях описторхозом заболело 2 ребенка</w:t>
      </w:r>
      <w:r w:rsidR="00335D41">
        <w:rPr>
          <w:rFonts w:ascii="Times New Roman" w:hAnsi="Times New Roman" w:cs="Times New Roman"/>
          <w:sz w:val="24"/>
          <w:szCs w:val="24"/>
        </w:rPr>
        <w:t xml:space="preserve"> до 14 лет( в 2019г-3 чел).</w:t>
      </w:r>
    </w:p>
    <w:p w:rsidR="00630798" w:rsidRPr="00335D41" w:rsidRDefault="00630798" w:rsidP="00335D41">
      <w:pPr>
        <w:spacing w:after="0" w:line="240" w:lineRule="auto"/>
        <w:jc w:val="right"/>
        <w:rPr>
          <w:rFonts w:ascii="Times New Roman" w:hAnsi="Times New Roman" w:cs="Times New Roman"/>
          <w:sz w:val="24"/>
          <w:szCs w:val="24"/>
        </w:rPr>
      </w:pPr>
      <w:r w:rsidRPr="00335D41">
        <w:rPr>
          <w:rFonts w:ascii="Times New Roman" w:hAnsi="Times New Roman" w:cs="Times New Roman"/>
          <w:sz w:val="24"/>
          <w:szCs w:val="24"/>
        </w:rPr>
        <w:t>Таблица № 38</w:t>
      </w:r>
    </w:p>
    <w:p w:rsidR="00630798" w:rsidRPr="00335D41" w:rsidRDefault="00630798" w:rsidP="00335D41">
      <w:pPr>
        <w:spacing w:after="0" w:line="240" w:lineRule="auto"/>
        <w:jc w:val="center"/>
        <w:rPr>
          <w:rFonts w:ascii="Times New Roman" w:hAnsi="Times New Roman" w:cs="Times New Roman"/>
          <w:b/>
          <w:sz w:val="24"/>
          <w:szCs w:val="24"/>
        </w:rPr>
      </w:pPr>
      <w:r w:rsidRPr="00335D41">
        <w:rPr>
          <w:rFonts w:ascii="Times New Roman" w:hAnsi="Times New Roman" w:cs="Times New Roman"/>
          <w:b/>
          <w:sz w:val="24"/>
          <w:szCs w:val="24"/>
        </w:rPr>
        <w:t xml:space="preserve">Показатели паразитарной заболеваемости </w:t>
      </w:r>
      <w:r w:rsidR="00335D41">
        <w:rPr>
          <w:rFonts w:ascii="Times New Roman" w:hAnsi="Times New Roman" w:cs="Times New Roman"/>
          <w:b/>
          <w:sz w:val="24"/>
          <w:szCs w:val="24"/>
        </w:rPr>
        <w:t>по г. Пыть-Ях  за 2018-2020 гг.</w:t>
      </w:r>
    </w:p>
    <w:tbl>
      <w:tblPr>
        <w:tblW w:w="9792" w:type="dxa"/>
        <w:jc w:val="center"/>
        <w:tblLayout w:type="fixed"/>
        <w:tblCellMar>
          <w:left w:w="56" w:type="dxa"/>
          <w:right w:w="56" w:type="dxa"/>
        </w:tblCellMar>
        <w:tblLook w:val="0000" w:firstRow="0" w:lastRow="0" w:firstColumn="0" w:lastColumn="0" w:noHBand="0" w:noVBand="0"/>
      </w:tblPr>
      <w:tblGrid>
        <w:gridCol w:w="28"/>
        <w:gridCol w:w="3653"/>
        <w:gridCol w:w="53"/>
        <w:gridCol w:w="881"/>
        <w:gridCol w:w="58"/>
        <w:gridCol w:w="983"/>
        <w:gridCol w:w="9"/>
        <w:gridCol w:w="32"/>
        <w:gridCol w:w="952"/>
        <w:gridCol w:w="9"/>
        <w:gridCol w:w="1241"/>
        <w:gridCol w:w="34"/>
        <w:gridCol w:w="8"/>
        <w:gridCol w:w="701"/>
        <w:gridCol w:w="90"/>
        <w:gridCol w:w="1006"/>
        <w:gridCol w:w="38"/>
        <w:gridCol w:w="16"/>
      </w:tblGrid>
      <w:tr w:rsidR="00630798" w:rsidRPr="00433906" w:rsidTr="00335D41">
        <w:trPr>
          <w:gridBefore w:val="1"/>
          <w:wBefore w:w="28" w:type="dxa"/>
          <w:cantSplit/>
          <w:trHeight w:val="314"/>
          <w:jc w:val="center"/>
        </w:trPr>
        <w:tc>
          <w:tcPr>
            <w:tcW w:w="3653" w:type="dxa"/>
            <w:tcBorders>
              <w:top w:val="single" w:sz="4" w:space="0" w:color="auto"/>
              <w:left w:val="single" w:sz="4" w:space="0" w:color="auto"/>
              <w:right w:val="single" w:sz="4" w:space="0" w:color="auto"/>
            </w:tcBorders>
            <w:vAlign w:val="bottom"/>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нозоология</w:t>
            </w:r>
          </w:p>
        </w:tc>
        <w:tc>
          <w:tcPr>
            <w:tcW w:w="2016" w:type="dxa"/>
            <w:gridSpan w:val="6"/>
            <w:tcBorders>
              <w:top w:val="single" w:sz="4" w:space="0" w:color="auto"/>
              <w:left w:val="single" w:sz="4" w:space="0" w:color="auto"/>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2018</w:t>
            </w:r>
          </w:p>
        </w:tc>
        <w:tc>
          <w:tcPr>
            <w:tcW w:w="2244" w:type="dxa"/>
            <w:gridSpan w:val="5"/>
            <w:tcBorders>
              <w:top w:val="single" w:sz="4" w:space="0" w:color="auto"/>
              <w:left w:val="single" w:sz="4" w:space="0" w:color="auto"/>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2019</w:t>
            </w:r>
          </w:p>
        </w:tc>
        <w:tc>
          <w:tcPr>
            <w:tcW w:w="1851" w:type="dxa"/>
            <w:gridSpan w:val="5"/>
            <w:tcBorders>
              <w:top w:val="single" w:sz="4" w:space="0" w:color="auto"/>
              <w:left w:val="single" w:sz="4" w:space="0" w:color="auto"/>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2020</w:t>
            </w:r>
          </w:p>
        </w:tc>
      </w:tr>
      <w:tr w:rsidR="00630798" w:rsidRPr="00433906" w:rsidTr="00335D41">
        <w:trPr>
          <w:gridAfter w:val="1"/>
          <w:wAfter w:w="16" w:type="dxa"/>
          <w:cantSplit/>
          <w:trHeight w:val="314"/>
          <w:jc w:val="center"/>
        </w:trPr>
        <w:tc>
          <w:tcPr>
            <w:tcW w:w="3681" w:type="dxa"/>
            <w:gridSpan w:val="2"/>
            <w:tcBorders>
              <w:left w:val="single" w:sz="4" w:space="0" w:color="auto"/>
              <w:bottom w:val="single" w:sz="4" w:space="0" w:color="auto"/>
              <w:right w:val="single" w:sz="4" w:space="0" w:color="auto"/>
            </w:tcBorders>
            <w:vAlign w:val="bottom"/>
          </w:tcPr>
          <w:p w:rsidR="00630798" w:rsidRPr="00335D41" w:rsidRDefault="00630798" w:rsidP="00335D41">
            <w:pPr>
              <w:spacing w:after="0" w:line="240" w:lineRule="auto"/>
              <w:jc w:val="center"/>
              <w:rPr>
                <w:rFonts w:ascii="Times New Roman" w:hAnsi="Times New Roman" w:cs="Times New Roman"/>
              </w:rPr>
            </w:pPr>
          </w:p>
        </w:tc>
        <w:tc>
          <w:tcPr>
            <w:tcW w:w="992" w:type="dxa"/>
            <w:gridSpan w:val="3"/>
            <w:tcBorders>
              <w:top w:val="nil"/>
              <w:left w:val="nil"/>
              <w:bottom w:val="single" w:sz="4" w:space="0" w:color="auto"/>
              <w:right w:val="single" w:sz="4" w:space="0" w:color="auto"/>
            </w:tcBorders>
            <w:vAlign w:val="bottom"/>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абс</w:t>
            </w:r>
          </w:p>
        </w:tc>
        <w:tc>
          <w:tcPr>
            <w:tcW w:w="992"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пок</w:t>
            </w:r>
          </w:p>
        </w:tc>
        <w:tc>
          <w:tcPr>
            <w:tcW w:w="993" w:type="dxa"/>
            <w:gridSpan w:val="3"/>
            <w:tcBorders>
              <w:top w:val="nil"/>
              <w:left w:val="nil"/>
              <w:bottom w:val="single" w:sz="4" w:space="0" w:color="auto"/>
              <w:right w:val="single" w:sz="4" w:space="0" w:color="auto"/>
            </w:tcBorders>
            <w:vAlign w:val="bottom"/>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абс</w:t>
            </w:r>
          </w:p>
        </w:tc>
        <w:tc>
          <w:tcPr>
            <w:tcW w:w="1275"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пок</w:t>
            </w:r>
          </w:p>
        </w:tc>
        <w:tc>
          <w:tcPr>
            <w:tcW w:w="709"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абс</w:t>
            </w:r>
          </w:p>
        </w:tc>
        <w:tc>
          <w:tcPr>
            <w:tcW w:w="1134" w:type="dxa"/>
            <w:gridSpan w:val="3"/>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пок</w:t>
            </w:r>
          </w:p>
        </w:tc>
      </w:tr>
      <w:tr w:rsidR="00630798" w:rsidRPr="00433906" w:rsidTr="00335D41">
        <w:trPr>
          <w:gridAfter w:val="2"/>
          <w:wAfter w:w="54" w:type="dxa"/>
          <w:cantSplit/>
          <w:trHeight w:val="314"/>
          <w:jc w:val="center"/>
        </w:trPr>
        <w:tc>
          <w:tcPr>
            <w:tcW w:w="3734" w:type="dxa"/>
            <w:gridSpan w:val="3"/>
            <w:tcBorders>
              <w:left w:val="single" w:sz="4" w:space="0" w:color="auto"/>
              <w:bottom w:val="single" w:sz="4" w:space="0" w:color="auto"/>
              <w:right w:val="single" w:sz="4" w:space="0" w:color="auto"/>
            </w:tcBorders>
            <w:vAlign w:val="bottom"/>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амебиаз</w:t>
            </w:r>
          </w:p>
        </w:tc>
        <w:tc>
          <w:tcPr>
            <w:tcW w:w="881" w:type="dxa"/>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w:t>
            </w:r>
          </w:p>
        </w:tc>
        <w:tc>
          <w:tcPr>
            <w:tcW w:w="1041"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w:t>
            </w:r>
          </w:p>
        </w:tc>
        <w:tc>
          <w:tcPr>
            <w:tcW w:w="993" w:type="dxa"/>
            <w:gridSpan w:val="3"/>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1</w:t>
            </w:r>
          </w:p>
        </w:tc>
        <w:tc>
          <w:tcPr>
            <w:tcW w:w="1250"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2,4</w:t>
            </w:r>
          </w:p>
        </w:tc>
        <w:tc>
          <w:tcPr>
            <w:tcW w:w="833" w:type="dxa"/>
            <w:gridSpan w:val="4"/>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w:t>
            </w:r>
          </w:p>
        </w:tc>
        <w:tc>
          <w:tcPr>
            <w:tcW w:w="1006" w:type="dxa"/>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w:t>
            </w:r>
          </w:p>
        </w:tc>
      </w:tr>
      <w:tr w:rsidR="00630798" w:rsidRPr="00433906" w:rsidTr="00335D41">
        <w:trPr>
          <w:gridAfter w:val="2"/>
          <w:wAfter w:w="54" w:type="dxa"/>
          <w:cantSplit/>
          <w:trHeight w:val="314"/>
          <w:jc w:val="center"/>
        </w:trPr>
        <w:tc>
          <w:tcPr>
            <w:tcW w:w="3734" w:type="dxa"/>
            <w:gridSpan w:val="3"/>
            <w:tcBorders>
              <w:top w:val="nil"/>
              <w:left w:val="single" w:sz="4" w:space="0" w:color="auto"/>
              <w:bottom w:val="single" w:sz="4" w:space="0" w:color="auto"/>
              <w:right w:val="single" w:sz="4" w:space="0" w:color="auto"/>
            </w:tcBorders>
            <w:vAlign w:val="bottom"/>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лямблиоз</w:t>
            </w:r>
          </w:p>
        </w:tc>
        <w:tc>
          <w:tcPr>
            <w:tcW w:w="881" w:type="dxa"/>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9</w:t>
            </w:r>
          </w:p>
        </w:tc>
        <w:tc>
          <w:tcPr>
            <w:tcW w:w="1041"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21,1</w:t>
            </w:r>
          </w:p>
        </w:tc>
        <w:tc>
          <w:tcPr>
            <w:tcW w:w="993" w:type="dxa"/>
            <w:gridSpan w:val="3"/>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13</w:t>
            </w:r>
          </w:p>
        </w:tc>
        <w:tc>
          <w:tcPr>
            <w:tcW w:w="1250"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31,5</w:t>
            </w:r>
          </w:p>
        </w:tc>
        <w:tc>
          <w:tcPr>
            <w:tcW w:w="833" w:type="dxa"/>
            <w:gridSpan w:val="4"/>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7</w:t>
            </w:r>
          </w:p>
        </w:tc>
        <w:tc>
          <w:tcPr>
            <w:tcW w:w="1006" w:type="dxa"/>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17,6</w:t>
            </w:r>
          </w:p>
        </w:tc>
      </w:tr>
      <w:tr w:rsidR="00630798" w:rsidRPr="00433906" w:rsidTr="00335D41">
        <w:trPr>
          <w:gridAfter w:val="2"/>
          <w:wAfter w:w="54" w:type="dxa"/>
          <w:cantSplit/>
          <w:trHeight w:val="314"/>
          <w:jc w:val="center"/>
        </w:trPr>
        <w:tc>
          <w:tcPr>
            <w:tcW w:w="3734" w:type="dxa"/>
            <w:gridSpan w:val="3"/>
            <w:tcBorders>
              <w:top w:val="nil"/>
              <w:left w:val="single" w:sz="4" w:space="0" w:color="auto"/>
              <w:bottom w:val="single" w:sz="4" w:space="0" w:color="auto"/>
              <w:right w:val="single" w:sz="4" w:space="0" w:color="auto"/>
            </w:tcBorders>
            <w:vAlign w:val="bottom"/>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аскаридоз</w:t>
            </w:r>
          </w:p>
        </w:tc>
        <w:tc>
          <w:tcPr>
            <w:tcW w:w="881" w:type="dxa"/>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8</w:t>
            </w:r>
          </w:p>
        </w:tc>
        <w:tc>
          <w:tcPr>
            <w:tcW w:w="1041"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18,7</w:t>
            </w:r>
          </w:p>
        </w:tc>
        <w:tc>
          <w:tcPr>
            <w:tcW w:w="993" w:type="dxa"/>
            <w:gridSpan w:val="3"/>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1</w:t>
            </w:r>
          </w:p>
        </w:tc>
        <w:tc>
          <w:tcPr>
            <w:tcW w:w="1250"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2,4</w:t>
            </w:r>
          </w:p>
        </w:tc>
        <w:tc>
          <w:tcPr>
            <w:tcW w:w="833" w:type="dxa"/>
            <w:gridSpan w:val="4"/>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w:t>
            </w:r>
          </w:p>
        </w:tc>
        <w:tc>
          <w:tcPr>
            <w:tcW w:w="1006" w:type="dxa"/>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5,0</w:t>
            </w:r>
          </w:p>
        </w:tc>
      </w:tr>
      <w:tr w:rsidR="00630798" w:rsidRPr="00433906" w:rsidTr="00335D41">
        <w:trPr>
          <w:gridAfter w:val="2"/>
          <w:wAfter w:w="54" w:type="dxa"/>
          <w:cantSplit/>
          <w:trHeight w:val="314"/>
          <w:jc w:val="center"/>
        </w:trPr>
        <w:tc>
          <w:tcPr>
            <w:tcW w:w="3734" w:type="dxa"/>
            <w:gridSpan w:val="3"/>
            <w:tcBorders>
              <w:top w:val="nil"/>
              <w:left w:val="single" w:sz="4" w:space="0" w:color="auto"/>
              <w:bottom w:val="single" w:sz="4" w:space="0" w:color="auto"/>
              <w:right w:val="single" w:sz="4" w:space="0" w:color="auto"/>
            </w:tcBorders>
            <w:vAlign w:val="bottom"/>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трихоцефалез</w:t>
            </w:r>
          </w:p>
        </w:tc>
        <w:tc>
          <w:tcPr>
            <w:tcW w:w="881" w:type="dxa"/>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1</w:t>
            </w:r>
          </w:p>
        </w:tc>
        <w:tc>
          <w:tcPr>
            <w:tcW w:w="1041"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2,3</w:t>
            </w:r>
          </w:p>
        </w:tc>
        <w:tc>
          <w:tcPr>
            <w:tcW w:w="993" w:type="dxa"/>
            <w:gridSpan w:val="3"/>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w:t>
            </w:r>
          </w:p>
        </w:tc>
        <w:tc>
          <w:tcPr>
            <w:tcW w:w="1250"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w:t>
            </w:r>
          </w:p>
        </w:tc>
        <w:tc>
          <w:tcPr>
            <w:tcW w:w="833" w:type="dxa"/>
            <w:gridSpan w:val="4"/>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w:t>
            </w:r>
          </w:p>
        </w:tc>
        <w:tc>
          <w:tcPr>
            <w:tcW w:w="1006" w:type="dxa"/>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w:t>
            </w:r>
          </w:p>
        </w:tc>
      </w:tr>
      <w:tr w:rsidR="00630798" w:rsidRPr="00433906" w:rsidTr="00335D41">
        <w:trPr>
          <w:gridAfter w:val="2"/>
          <w:wAfter w:w="54" w:type="dxa"/>
          <w:cantSplit/>
          <w:trHeight w:val="314"/>
          <w:jc w:val="center"/>
        </w:trPr>
        <w:tc>
          <w:tcPr>
            <w:tcW w:w="3734" w:type="dxa"/>
            <w:gridSpan w:val="3"/>
            <w:tcBorders>
              <w:top w:val="nil"/>
              <w:left w:val="single" w:sz="4" w:space="0" w:color="auto"/>
              <w:bottom w:val="single" w:sz="4" w:space="0" w:color="auto"/>
              <w:right w:val="single" w:sz="4" w:space="0" w:color="auto"/>
            </w:tcBorders>
            <w:vAlign w:val="bottom"/>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энтеробиоз</w:t>
            </w:r>
          </w:p>
        </w:tc>
        <w:tc>
          <w:tcPr>
            <w:tcW w:w="881" w:type="dxa"/>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128</w:t>
            </w:r>
          </w:p>
        </w:tc>
        <w:tc>
          <w:tcPr>
            <w:tcW w:w="1041"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299,9</w:t>
            </w:r>
          </w:p>
        </w:tc>
        <w:tc>
          <w:tcPr>
            <w:tcW w:w="993" w:type="dxa"/>
            <w:gridSpan w:val="3"/>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58</w:t>
            </w:r>
          </w:p>
        </w:tc>
        <w:tc>
          <w:tcPr>
            <w:tcW w:w="1250"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140,7</w:t>
            </w:r>
          </w:p>
        </w:tc>
        <w:tc>
          <w:tcPr>
            <w:tcW w:w="833" w:type="dxa"/>
            <w:gridSpan w:val="4"/>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105</w:t>
            </w:r>
          </w:p>
        </w:tc>
        <w:tc>
          <w:tcPr>
            <w:tcW w:w="1006" w:type="dxa"/>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263,5</w:t>
            </w:r>
          </w:p>
        </w:tc>
      </w:tr>
      <w:tr w:rsidR="00630798" w:rsidRPr="00433906" w:rsidTr="00335D41">
        <w:trPr>
          <w:gridAfter w:val="2"/>
          <w:wAfter w:w="54" w:type="dxa"/>
          <w:cantSplit/>
          <w:trHeight w:val="300"/>
          <w:jc w:val="center"/>
        </w:trPr>
        <w:tc>
          <w:tcPr>
            <w:tcW w:w="3734" w:type="dxa"/>
            <w:gridSpan w:val="3"/>
            <w:tcBorders>
              <w:top w:val="nil"/>
              <w:left w:val="single" w:sz="4" w:space="0" w:color="auto"/>
              <w:bottom w:val="single" w:sz="4" w:space="0" w:color="auto"/>
              <w:right w:val="single" w:sz="4" w:space="0" w:color="auto"/>
            </w:tcBorders>
            <w:vAlign w:val="bottom"/>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токсокароз</w:t>
            </w:r>
          </w:p>
        </w:tc>
        <w:tc>
          <w:tcPr>
            <w:tcW w:w="881" w:type="dxa"/>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1</w:t>
            </w:r>
          </w:p>
        </w:tc>
        <w:tc>
          <w:tcPr>
            <w:tcW w:w="1041"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2,3</w:t>
            </w:r>
          </w:p>
        </w:tc>
        <w:tc>
          <w:tcPr>
            <w:tcW w:w="993" w:type="dxa"/>
            <w:gridSpan w:val="3"/>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3</w:t>
            </w:r>
          </w:p>
        </w:tc>
        <w:tc>
          <w:tcPr>
            <w:tcW w:w="1250"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7,3</w:t>
            </w:r>
          </w:p>
        </w:tc>
        <w:tc>
          <w:tcPr>
            <w:tcW w:w="833" w:type="dxa"/>
            <w:gridSpan w:val="4"/>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w:t>
            </w:r>
          </w:p>
        </w:tc>
        <w:tc>
          <w:tcPr>
            <w:tcW w:w="1006" w:type="dxa"/>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w:t>
            </w:r>
          </w:p>
        </w:tc>
      </w:tr>
      <w:tr w:rsidR="00630798" w:rsidRPr="00433906" w:rsidTr="00335D41">
        <w:trPr>
          <w:gridAfter w:val="2"/>
          <w:wAfter w:w="54" w:type="dxa"/>
          <w:cantSplit/>
          <w:trHeight w:val="314"/>
          <w:jc w:val="center"/>
        </w:trPr>
        <w:tc>
          <w:tcPr>
            <w:tcW w:w="3734" w:type="dxa"/>
            <w:gridSpan w:val="3"/>
            <w:tcBorders>
              <w:top w:val="nil"/>
              <w:left w:val="single" w:sz="4" w:space="0" w:color="auto"/>
              <w:bottom w:val="single" w:sz="4" w:space="0" w:color="auto"/>
              <w:right w:val="single" w:sz="4" w:space="0" w:color="auto"/>
            </w:tcBorders>
            <w:vAlign w:val="bottom"/>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токсоплазмоз</w:t>
            </w:r>
          </w:p>
        </w:tc>
        <w:tc>
          <w:tcPr>
            <w:tcW w:w="881" w:type="dxa"/>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w:t>
            </w:r>
          </w:p>
        </w:tc>
        <w:tc>
          <w:tcPr>
            <w:tcW w:w="1041"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0,0</w:t>
            </w:r>
          </w:p>
        </w:tc>
        <w:tc>
          <w:tcPr>
            <w:tcW w:w="993" w:type="dxa"/>
            <w:gridSpan w:val="3"/>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w:t>
            </w:r>
          </w:p>
        </w:tc>
        <w:tc>
          <w:tcPr>
            <w:tcW w:w="1250"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0,0</w:t>
            </w:r>
          </w:p>
        </w:tc>
        <w:tc>
          <w:tcPr>
            <w:tcW w:w="833" w:type="dxa"/>
            <w:gridSpan w:val="4"/>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w:t>
            </w:r>
          </w:p>
        </w:tc>
        <w:tc>
          <w:tcPr>
            <w:tcW w:w="1006" w:type="dxa"/>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w:t>
            </w:r>
          </w:p>
        </w:tc>
      </w:tr>
      <w:tr w:rsidR="00630798" w:rsidRPr="00433906" w:rsidTr="00335D41">
        <w:trPr>
          <w:gridAfter w:val="2"/>
          <w:wAfter w:w="54" w:type="dxa"/>
          <w:cantSplit/>
          <w:trHeight w:val="314"/>
          <w:jc w:val="center"/>
        </w:trPr>
        <w:tc>
          <w:tcPr>
            <w:tcW w:w="3734" w:type="dxa"/>
            <w:gridSpan w:val="3"/>
            <w:tcBorders>
              <w:top w:val="nil"/>
              <w:left w:val="single" w:sz="4" w:space="0" w:color="auto"/>
              <w:bottom w:val="single" w:sz="4" w:space="0" w:color="auto"/>
              <w:right w:val="single" w:sz="4" w:space="0" w:color="auto"/>
            </w:tcBorders>
            <w:vAlign w:val="bottom"/>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дифилоботриоз</w:t>
            </w:r>
          </w:p>
        </w:tc>
        <w:tc>
          <w:tcPr>
            <w:tcW w:w="881" w:type="dxa"/>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1</w:t>
            </w:r>
          </w:p>
        </w:tc>
        <w:tc>
          <w:tcPr>
            <w:tcW w:w="1041"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2,3</w:t>
            </w:r>
          </w:p>
        </w:tc>
        <w:tc>
          <w:tcPr>
            <w:tcW w:w="993" w:type="dxa"/>
            <w:gridSpan w:val="3"/>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w:t>
            </w:r>
          </w:p>
        </w:tc>
        <w:tc>
          <w:tcPr>
            <w:tcW w:w="1250"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4,9</w:t>
            </w:r>
          </w:p>
        </w:tc>
        <w:tc>
          <w:tcPr>
            <w:tcW w:w="833" w:type="dxa"/>
            <w:gridSpan w:val="4"/>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w:t>
            </w:r>
          </w:p>
        </w:tc>
        <w:tc>
          <w:tcPr>
            <w:tcW w:w="1006" w:type="dxa"/>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w:t>
            </w:r>
          </w:p>
        </w:tc>
      </w:tr>
      <w:tr w:rsidR="00630798" w:rsidRPr="00433906" w:rsidTr="00335D41">
        <w:trPr>
          <w:gridAfter w:val="2"/>
          <w:wAfter w:w="54" w:type="dxa"/>
          <w:cantSplit/>
          <w:trHeight w:val="314"/>
          <w:jc w:val="center"/>
        </w:trPr>
        <w:tc>
          <w:tcPr>
            <w:tcW w:w="3734" w:type="dxa"/>
            <w:gridSpan w:val="3"/>
            <w:tcBorders>
              <w:top w:val="nil"/>
              <w:left w:val="single" w:sz="4" w:space="0" w:color="auto"/>
              <w:bottom w:val="single" w:sz="4" w:space="0" w:color="auto"/>
              <w:right w:val="single" w:sz="4" w:space="0" w:color="auto"/>
            </w:tcBorders>
            <w:vAlign w:val="bottom"/>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описторхоз</w:t>
            </w:r>
          </w:p>
        </w:tc>
        <w:tc>
          <w:tcPr>
            <w:tcW w:w="881" w:type="dxa"/>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192</w:t>
            </w:r>
          </w:p>
        </w:tc>
        <w:tc>
          <w:tcPr>
            <w:tcW w:w="1041"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449,8</w:t>
            </w:r>
          </w:p>
        </w:tc>
        <w:tc>
          <w:tcPr>
            <w:tcW w:w="993" w:type="dxa"/>
            <w:gridSpan w:val="3"/>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151</w:t>
            </w:r>
          </w:p>
        </w:tc>
        <w:tc>
          <w:tcPr>
            <w:tcW w:w="1250"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366,3</w:t>
            </w:r>
          </w:p>
        </w:tc>
        <w:tc>
          <w:tcPr>
            <w:tcW w:w="833" w:type="dxa"/>
            <w:gridSpan w:val="4"/>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53</w:t>
            </w:r>
          </w:p>
        </w:tc>
        <w:tc>
          <w:tcPr>
            <w:tcW w:w="1006" w:type="dxa"/>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133,0</w:t>
            </w:r>
          </w:p>
        </w:tc>
      </w:tr>
      <w:tr w:rsidR="00630798" w:rsidRPr="00433906" w:rsidTr="00335D41">
        <w:trPr>
          <w:gridAfter w:val="2"/>
          <w:wAfter w:w="54" w:type="dxa"/>
          <w:cantSplit/>
          <w:trHeight w:val="314"/>
          <w:jc w:val="center"/>
        </w:trPr>
        <w:tc>
          <w:tcPr>
            <w:tcW w:w="3734" w:type="dxa"/>
            <w:gridSpan w:val="3"/>
            <w:tcBorders>
              <w:top w:val="nil"/>
              <w:left w:val="single" w:sz="4" w:space="0" w:color="auto"/>
              <w:bottom w:val="single" w:sz="4" w:space="0" w:color="auto"/>
              <w:right w:val="single" w:sz="4" w:space="0" w:color="auto"/>
            </w:tcBorders>
            <w:vAlign w:val="bottom"/>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тениаринхоз</w:t>
            </w:r>
          </w:p>
        </w:tc>
        <w:tc>
          <w:tcPr>
            <w:tcW w:w="881" w:type="dxa"/>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1</w:t>
            </w:r>
          </w:p>
        </w:tc>
        <w:tc>
          <w:tcPr>
            <w:tcW w:w="1041"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2,3</w:t>
            </w:r>
          </w:p>
        </w:tc>
        <w:tc>
          <w:tcPr>
            <w:tcW w:w="993" w:type="dxa"/>
            <w:gridSpan w:val="3"/>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w:t>
            </w:r>
          </w:p>
        </w:tc>
        <w:tc>
          <w:tcPr>
            <w:tcW w:w="1250"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0,0</w:t>
            </w:r>
          </w:p>
        </w:tc>
        <w:tc>
          <w:tcPr>
            <w:tcW w:w="833" w:type="dxa"/>
            <w:gridSpan w:val="4"/>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w:t>
            </w:r>
          </w:p>
        </w:tc>
        <w:tc>
          <w:tcPr>
            <w:tcW w:w="1006" w:type="dxa"/>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w:t>
            </w:r>
          </w:p>
        </w:tc>
      </w:tr>
      <w:tr w:rsidR="00630798" w:rsidRPr="00433906" w:rsidTr="00335D41">
        <w:trPr>
          <w:gridAfter w:val="2"/>
          <w:wAfter w:w="54" w:type="dxa"/>
          <w:cantSplit/>
          <w:trHeight w:val="314"/>
          <w:jc w:val="center"/>
        </w:trPr>
        <w:tc>
          <w:tcPr>
            <w:tcW w:w="3734" w:type="dxa"/>
            <w:gridSpan w:val="3"/>
            <w:tcBorders>
              <w:top w:val="nil"/>
              <w:left w:val="single" w:sz="4" w:space="0" w:color="auto"/>
              <w:bottom w:val="single" w:sz="4" w:space="0" w:color="auto"/>
              <w:right w:val="single" w:sz="4" w:space="0" w:color="auto"/>
            </w:tcBorders>
            <w:vAlign w:val="bottom"/>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трихинеллез</w:t>
            </w:r>
          </w:p>
        </w:tc>
        <w:tc>
          <w:tcPr>
            <w:tcW w:w="881" w:type="dxa"/>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w:t>
            </w:r>
          </w:p>
        </w:tc>
        <w:tc>
          <w:tcPr>
            <w:tcW w:w="1041"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w:t>
            </w:r>
          </w:p>
        </w:tc>
        <w:tc>
          <w:tcPr>
            <w:tcW w:w="993" w:type="dxa"/>
            <w:gridSpan w:val="3"/>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1</w:t>
            </w:r>
          </w:p>
        </w:tc>
        <w:tc>
          <w:tcPr>
            <w:tcW w:w="1250" w:type="dxa"/>
            <w:gridSpan w:val="2"/>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2,4</w:t>
            </w:r>
          </w:p>
        </w:tc>
        <w:tc>
          <w:tcPr>
            <w:tcW w:w="833" w:type="dxa"/>
            <w:gridSpan w:val="4"/>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w:t>
            </w:r>
          </w:p>
        </w:tc>
        <w:tc>
          <w:tcPr>
            <w:tcW w:w="1006" w:type="dxa"/>
            <w:tcBorders>
              <w:top w:val="nil"/>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0</w:t>
            </w:r>
          </w:p>
        </w:tc>
      </w:tr>
      <w:tr w:rsidR="00630798" w:rsidRPr="00433906" w:rsidTr="00335D41">
        <w:trPr>
          <w:gridAfter w:val="2"/>
          <w:wAfter w:w="54" w:type="dxa"/>
          <w:cantSplit/>
          <w:trHeight w:val="314"/>
          <w:jc w:val="center"/>
        </w:trPr>
        <w:tc>
          <w:tcPr>
            <w:tcW w:w="3734" w:type="dxa"/>
            <w:gridSpan w:val="3"/>
            <w:tcBorders>
              <w:top w:val="single" w:sz="4" w:space="0" w:color="auto"/>
              <w:left w:val="single" w:sz="4" w:space="0" w:color="auto"/>
              <w:bottom w:val="single" w:sz="4" w:space="0" w:color="auto"/>
              <w:right w:val="single" w:sz="4" w:space="0" w:color="auto"/>
            </w:tcBorders>
            <w:vAlign w:val="bottom"/>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ИТОГО</w:t>
            </w:r>
          </w:p>
        </w:tc>
        <w:tc>
          <w:tcPr>
            <w:tcW w:w="881" w:type="dxa"/>
            <w:tcBorders>
              <w:top w:val="single" w:sz="4" w:space="0" w:color="auto"/>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341</w:t>
            </w:r>
          </w:p>
        </w:tc>
        <w:tc>
          <w:tcPr>
            <w:tcW w:w="1041" w:type="dxa"/>
            <w:gridSpan w:val="2"/>
            <w:tcBorders>
              <w:top w:val="single" w:sz="4" w:space="0" w:color="auto"/>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798,9</w:t>
            </w:r>
          </w:p>
        </w:tc>
        <w:tc>
          <w:tcPr>
            <w:tcW w:w="993" w:type="dxa"/>
            <w:gridSpan w:val="3"/>
            <w:tcBorders>
              <w:top w:val="single" w:sz="4" w:space="0" w:color="auto"/>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230</w:t>
            </w:r>
          </w:p>
        </w:tc>
        <w:tc>
          <w:tcPr>
            <w:tcW w:w="1250" w:type="dxa"/>
            <w:gridSpan w:val="2"/>
            <w:tcBorders>
              <w:top w:val="single" w:sz="4" w:space="0" w:color="auto"/>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557,9</w:t>
            </w:r>
          </w:p>
        </w:tc>
        <w:tc>
          <w:tcPr>
            <w:tcW w:w="833" w:type="dxa"/>
            <w:gridSpan w:val="4"/>
            <w:tcBorders>
              <w:top w:val="single" w:sz="4" w:space="0" w:color="auto"/>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167</w:t>
            </w:r>
          </w:p>
        </w:tc>
        <w:tc>
          <w:tcPr>
            <w:tcW w:w="1006" w:type="dxa"/>
            <w:tcBorders>
              <w:top w:val="single" w:sz="4" w:space="0" w:color="auto"/>
              <w:left w:val="nil"/>
              <w:bottom w:val="single" w:sz="4" w:space="0" w:color="auto"/>
              <w:right w:val="single" w:sz="4" w:space="0" w:color="auto"/>
            </w:tcBorders>
          </w:tcPr>
          <w:p w:rsidR="00630798" w:rsidRPr="00335D41" w:rsidRDefault="00630798" w:rsidP="00335D41">
            <w:pPr>
              <w:spacing w:after="0" w:line="240" w:lineRule="auto"/>
              <w:jc w:val="center"/>
              <w:rPr>
                <w:rFonts w:ascii="Times New Roman" w:hAnsi="Times New Roman" w:cs="Times New Roman"/>
              </w:rPr>
            </w:pPr>
            <w:r w:rsidRPr="00335D41">
              <w:rPr>
                <w:rFonts w:ascii="Times New Roman" w:hAnsi="Times New Roman" w:cs="Times New Roman"/>
              </w:rPr>
              <w:t>419,1</w:t>
            </w:r>
          </w:p>
        </w:tc>
      </w:tr>
    </w:tbl>
    <w:p w:rsidR="00630798" w:rsidRPr="004E17FC" w:rsidRDefault="00630798" w:rsidP="00630798"/>
    <w:p w:rsidR="00630798" w:rsidRPr="00335D41" w:rsidRDefault="00630798" w:rsidP="00335D41">
      <w:pPr>
        <w:spacing w:after="0" w:line="240" w:lineRule="auto"/>
        <w:jc w:val="both"/>
        <w:rPr>
          <w:rFonts w:ascii="Times New Roman" w:hAnsi="Times New Roman" w:cs="Times New Roman"/>
          <w:sz w:val="24"/>
          <w:szCs w:val="24"/>
        </w:rPr>
      </w:pPr>
      <w:r w:rsidRPr="004E17FC">
        <w:t xml:space="preserve">  </w:t>
      </w:r>
      <w:r w:rsidR="00335D41">
        <w:tab/>
      </w:r>
      <w:r w:rsidRPr="004E17FC">
        <w:t xml:space="preserve"> </w:t>
      </w:r>
      <w:r w:rsidR="00335D41">
        <w:rPr>
          <w:rFonts w:ascii="Times New Roman" w:hAnsi="Times New Roman" w:cs="Times New Roman"/>
          <w:sz w:val="24"/>
          <w:szCs w:val="24"/>
        </w:rPr>
        <w:t xml:space="preserve">В 2020году </w:t>
      </w:r>
      <w:r w:rsidRPr="00335D41">
        <w:rPr>
          <w:rFonts w:ascii="Times New Roman" w:hAnsi="Times New Roman" w:cs="Times New Roman"/>
          <w:sz w:val="24"/>
          <w:szCs w:val="24"/>
        </w:rPr>
        <w:t>в доле паразитарных болезней  62,8% зарегистрированной заболеваемости приходится на энтеробиоз. Зарегистрировано 105 случаев энтеробиоза , показатель заболеваемости составил 263,5, что выше  показателей за 2019год на 87,3 и выше среднеокружных показателей на44,4%.( табл № 38,39, рис № 12) .</w:t>
      </w:r>
    </w:p>
    <w:p w:rsidR="00630798" w:rsidRPr="00335D41" w:rsidRDefault="00630798" w:rsidP="00335D41">
      <w:pPr>
        <w:spacing w:after="0" w:line="240" w:lineRule="auto"/>
        <w:ind w:firstLine="708"/>
        <w:jc w:val="both"/>
        <w:rPr>
          <w:rFonts w:ascii="Times New Roman" w:hAnsi="Times New Roman" w:cs="Times New Roman"/>
          <w:sz w:val="24"/>
          <w:szCs w:val="24"/>
        </w:rPr>
      </w:pPr>
      <w:r w:rsidRPr="00335D41">
        <w:rPr>
          <w:rFonts w:ascii="Times New Roman" w:hAnsi="Times New Roman" w:cs="Times New Roman"/>
          <w:sz w:val="24"/>
          <w:szCs w:val="24"/>
        </w:rPr>
        <w:t xml:space="preserve">В 2020г 90 % заболевших выявлены при  поступлении в ДОУ. В рамках эпидемиологического мониторинга проводилась работа по  проведению лабораторных исследований с объектов окружающей среды  в очагах энтеробиоза: 25 проб почвы, 490 </w:t>
      </w:r>
      <w:r w:rsidRPr="00335D41">
        <w:rPr>
          <w:rFonts w:ascii="Times New Roman" w:hAnsi="Times New Roman" w:cs="Times New Roman"/>
          <w:sz w:val="24"/>
          <w:szCs w:val="24"/>
        </w:rPr>
        <w:lastRenderedPageBreak/>
        <w:t xml:space="preserve">смывов,  паразитологические исследования биоматериала от контактных- -68, воды бассейна-4, положительных находок не выявлено.  </w:t>
      </w:r>
    </w:p>
    <w:p w:rsidR="00630798" w:rsidRPr="00335D41" w:rsidRDefault="00630798" w:rsidP="00335D41">
      <w:pPr>
        <w:spacing w:after="0" w:line="240" w:lineRule="auto"/>
        <w:jc w:val="right"/>
        <w:rPr>
          <w:rFonts w:ascii="Times New Roman" w:hAnsi="Times New Roman" w:cs="Times New Roman"/>
          <w:sz w:val="24"/>
          <w:szCs w:val="24"/>
        </w:rPr>
      </w:pPr>
      <w:r w:rsidRPr="00335D41">
        <w:rPr>
          <w:rFonts w:ascii="Times New Roman" w:hAnsi="Times New Roman" w:cs="Times New Roman"/>
          <w:sz w:val="24"/>
          <w:szCs w:val="24"/>
        </w:rPr>
        <w:t>Таблица № 39</w:t>
      </w:r>
    </w:p>
    <w:p w:rsidR="00630798" w:rsidRPr="00335D41" w:rsidRDefault="00630798" w:rsidP="00335D41">
      <w:pPr>
        <w:spacing w:after="0" w:line="240" w:lineRule="auto"/>
        <w:jc w:val="center"/>
        <w:rPr>
          <w:rFonts w:ascii="Times New Roman" w:hAnsi="Times New Roman" w:cs="Times New Roman"/>
          <w:b/>
          <w:sz w:val="24"/>
          <w:szCs w:val="24"/>
        </w:rPr>
      </w:pPr>
      <w:r w:rsidRPr="00335D41">
        <w:rPr>
          <w:rFonts w:ascii="Times New Roman" w:hAnsi="Times New Roman" w:cs="Times New Roman"/>
          <w:b/>
          <w:sz w:val="24"/>
          <w:szCs w:val="24"/>
        </w:rPr>
        <w:t>Пок</w:t>
      </w:r>
      <w:r w:rsidR="00335D41">
        <w:rPr>
          <w:rFonts w:ascii="Times New Roman" w:hAnsi="Times New Roman" w:cs="Times New Roman"/>
          <w:b/>
          <w:sz w:val="24"/>
          <w:szCs w:val="24"/>
        </w:rPr>
        <w:t xml:space="preserve">азатели </w:t>
      </w:r>
      <w:r w:rsidRPr="00335D41">
        <w:rPr>
          <w:rFonts w:ascii="Times New Roman" w:hAnsi="Times New Roman" w:cs="Times New Roman"/>
          <w:b/>
          <w:sz w:val="24"/>
          <w:szCs w:val="24"/>
        </w:rPr>
        <w:t>паразитарной заболеваемости по г. Пыть-Ях в сравнении со</w:t>
      </w:r>
      <w:r w:rsidR="00335D41">
        <w:rPr>
          <w:rFonts w:ascii="Times New Roman" w:hAnsi="Times New Roman" w:cs="Times New Roman"/>
          <w:b/>
          <w:sz w:val="24"/>
          <w:szCs w:val="24"/>
        </w:rPr>
        <w:t xml:space="preserve"> </w:t>
      </w:r>
      <w:r w:rsidRPr="00335D41">
        <w:rPr>
          <w:rFonts w:ascii="Times New Roman" w:hAnsi="Times New Roman" w:cs="Times New Roman"/>
          <w:b/>
          <w:sz w:val="24"/>
          <w:szCs w:val="24"/>
        </w:rPr>
        <w:t>средне</w:t>
      </w:r>
      <w:r w:rsidR="00335D41">
        <w:rPr>
          <w:rFonts w:ascii="Times New Roman" w:hAnsi="Times New Roman" w:cs="Times New Roman"/>
          <w:b/>
          <w:sz w:val="24"/>
          <w:szCs w:val="24"/>
        </w:rPr>
        <w:t xml:space="preserve"> </w:t>
      </w:r>
      <w:r w:rsidRPr="00335D41">
        <w:rPr>
          <w:rFonts w:ascii="Times New Roman" w:hAnsi="Times New Roman" w:cs="Times New Roman"/>
          <w:b/>
          <w:sz w:val="24"/>
          <w:szCs w:val="24"/>
        </w:rPr>
        <w:t>окружными за 2018-2020 гг.</w:t>
      </w:r>
    </w:p>
    <w:tbl>
      <w:tblPr>
        <w:tblW w:w="9273" w:type="dxa"/>
        <w:jc w:val="center"/>
        <w:tblLayout w:type="fixed"/>
        <w:tblCellMar>
          <w:left w:w="56" w:type="dxa"/>
          <w:right w:w="56" w:type="dxa"/>
        </w:tblCellMar>
        <w:tblLook w:val="0000" w:firstRow="0" w:lastRow="0" w:firstColumn="0" w:lastColumn="0" w:noHBand="0" w:noVBand="0"/>
      </w:tblPr>
      <w:tblGrid>
        <w:gridCol w:w="10"/>
        <w:gridCol w:w="2820"/>
        <w:gridCol w:w="25"/>
        <w:gridCol w:w="1109"/>
        <w:gridCol w:w="25"/>
        <w:gridCol w:w="1109"/>
        <w:gridCol w:w="26"/>
        <w:gridCol w:w="1108"/>
        <w:gridCol w:w="26"/>
        <w:gridCol w:w="945"/>
        <w:gridCol w:w="22"/>
        <w:gridCol w:w="850"/>
        <w:gridCol w:w="64"/>
        <w:gridCol w:w="1070"/>
        <w:gridCol w:w="64"/>
      </w:tblGrid>
      <w:tr w:rsidR="00630798" w:rsidRPr="00582568" w:rsidTr="004D4D70">
        <w:trPr>
          <w:gridBefore w:val="1"/>
          <w:wBefore w:w="10" w:type="dxa"/>
          <w:cantSplit/>
          <w:trHeight w:val="308"/>
          <w:jc w:val="center"/>
        </w:trPr>
        <w:tc>
          <w:tcPr>
            <w:tcW w:w="2845" w:type="dxa"/>
            <w:gridSpan w:val="2"/>
            <w:tcBorders>
              <w:top w:val="single" w:sz="4" w:space="0" w:color="auto"/>
              <w:left w:val="single" w:sz="4" w:space="0" w:color="auto"/>
              <w:right w:val="single" w:sz="4" w:space="0" w:color="auto"/>
            </w:tcBorders>
            <w:vAlign w:val="bottom"/>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нозоология</w:t>
            </w:r>
          </w:p>
        </w:tc>
        <w:tc>
          <w:tcPr>
            <w:tcW w:w="2269" w:type="dxa"/>
            <w:gridSpan w:val="4"/>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2018</w:t>
            </w:r>
          </w:p>
        </w:tc>
        <w:tc>
          <w:tcPr>
            <w:tcW w:w="2079" w:type="dxa"/>
            <w:gridSpan w:val="3"/>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2019</w:t>
            </w:r>
          </w:p>
        </w:tc>
        <w:tc>
          <w:tcPr>
            <w:tcW w:w="2070" w:type="dxa"/>
            <w:gridSpan w:val="5"/>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2020</w:t>
            </w:r>
          </w:p>
        </w:tc>
      </w:tr>
      <w:tr w:rsidR="00630798" w:rsidRPr="004D4D70" w:rsidTr="004D4D70">
        <w:trPr>
          <w:gridAfter w:val="1"/>
          <w:wAfter w:w="64" w:type="dxa"/>
          <w:cantSplit/>
          <w:trHeight w:val="308"/>
          <w:jc w:val="center"/>
        </w:trPr>
        <w:tc>
          <w:tcPr>
            <w:tcW w:w="2830" w:type="dxa"/>
            <w:gridSpan w:val="2"/>
            <w:tcBorders>
              <w:left w:val="single" w:sz="4" w:space="0" w:color="auto"/>
              <w:bottom w:val="single" w:sz="4" w:space="0" w:color="auto"/>
              <w:right w:val="single" w:sz="4" w:space="0" w:color="auto"/>
            </w:tcBorders>
            <w:vAlign w:val="bottom"/>
          </w:tcPr>
          <w:p w:rsidR="00630798" w:rsidRPr="004D4D70" w:rsidRDefault="00630798" w:rsidP="004D4D70">
            <w:pPr>
              <w:spacing w:before="20" w:after="0" w:line="240" w:lineRule="auto"/>
              <w:jc w:val="center"/>
              <w:rPr>
                <w:rFonts w:ascii="Times New Roman" w:hAnsi="Times New Roman" w:cs="Times New Roman"/>
              </w:rPr>
            </w:pPr>
          </w:p>
        </w:tc>
        <w:tc>
          <w:tcPr>
            <w:tcW w:w="1134" w:type="dxa"/>
            <w:gridSpan w:val="2"/>
            <w:tcBorders>
              <w:top w:val="nil"/>
              <w:left w:val="nil"/>
              <w:bottom w:val="single" w:sz="4" w:space="0" w:color="auto"/>
              <w:right w:val="single" w:sz="4" w:space="0" w:color="auto"/>
            </w:tcBorders>
            <w:vAlign w:val="bottom"/>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гор</w:t>
            </w:r>
          </w:p>
        </w:tc>
        <w:tc>
          <w:tcPr>
            <w:tcW w:w="1134" w:type="dxa"/>
            <w:gridSpan w:val="2"/>
            <w:tcBorders>
              <w:top w:val="nil"/>
              <w:left w:val="nil"/>
              <w:bottom w:val="single" w:sz="4" w:space="0" w:color="auto"/>
              <w:right w:val="single" w:sz="4" w:space="0" w:color="auto"/>
            </w:tcBorders>
            <w:vAlign w:val="bottom"/>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окр</w:t>
            </w:r>
          </w:p>
        </w:tc>
        <w:tc>
          <w:tcPr>
            <w:tcW w:w="1134"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гор</w:t>
            </w:r>
          </w:p>
        </w:tc>
        <w:tc>
          <w:tcPr>
            <w:tcW w:w="993" w:type="dxa"/>
            <w:gridSpan w:val="3"/>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окр</w:t>
            </w:r>
          </w:p>
        </w:tc>
        <w:tc>
          <w:tcPr>
            <w:tcW w:w="850" w:type="dxa"/>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гор</w:t>
            </w:r>
          </w:p>
        </w:tc>
        <w:tc>
          <w:tcPr>
            <w:tcW w:w="1134"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highlight w:val="yellow"/>
              </w:rPr>
            </w:pPr>
            <w:r w:rsidRPr="004D4D70">
              <w:rPr>
                <w:rFonts w:ascii="Times New Roman" w:hAnsi="Times New Roman" w:cs="Times New Roman"/>
              </w:rPr>
              <w:t>окр</w:t>
            </w:r>
          </w:p>
        </w:tc>
      </w:tr>
      <w:tr w:rsidR="00630798" w:rsidRPr="00582568" w:rsidTr="004D4D70">
        <w:trPr>
          <w:gridBefore w:val="1"/>
          <w:wBefore w:w="10" w:type="dxa"/>
          <w:cantSplit/>
          <w:trHeight w:val="308"/>
          <w:jc w:val="center"/>
        </w:trPr>
        <w:tc>
          <w:tcPr>
            <w:tcW w:w="2845" w:type="dxa"/>
            <w:gridSpan w:val="2"/>
            <w:tcBorders>
              <w:left w:val="single" w:sz="4" w:space="0" w:color="auto"/>
              <w:bottom w:val="single" w:sz="4" w:space="0" w:color="auto"/>
              <w:right w:val="single" w:sz="4" w:space="0" w:color="auto"/>
            </w:tcBorders>
            <w:vAlign w:val="bottom"/>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амебиаз</w:t>
            </w:r>
          </w:p>
        </w:tc>
        <w:tc>
          <w:tcPr>
            <w:tcW w:w="1134"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w:t>
            </w:r>
          </w:p>
        </w:tc>
        <w:tc>
          <w:tcPr>
            <w:tcW w:w="1135"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1,6</w:t>
            </w:r>
          </w:p>
        </w:tc>
        <w:tc>
          <w:tcPr>
            <w:tcW w:w="1134"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2,4</w:t>
            </w:r>
          </w:p>
        </w:tc>
        <w:tc>
          <w:tcPr>
            <w:tcW w:w="945" w:type="dxa"/>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1,6</w:t>
            </w:r>
          </w:p>
        </w:tc>
        <w:tc>
          <w:tcPr>
            <w:tcW w:w="936" w:type="dxa"/>
            <w:gridSpan w:val="3"/>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w:t>
            </w:r>
          </w:p>
        </w:tc>
        <w:tc>
          <w:tcPr>
            <w:tcW w:w="1134" w:type="dxa"/>
            <w:gridSpan w:val="2"/>
            <w:tcBorders>
              <w:top w:val="nil"/>
              <w:left w:val="nil"/>
              <w:bottom w:val="single" w:sz="4" w:space="0" w:color="auto"/>
              <w:right w:val="single" w:sz="4" w:space="0" w:color="auto"/>
            </w:tcBorders>
            <w:shd w:val="clear" w:color="auto" w:fill="auto"/>
            <w:vAlign w:val="center"/>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1,48</w:t>
            </w:r>
          </w:p>
        </w:tc>
      </w:tr>
      <w:tr w:rsidR="00630798" w:rsidRPr="00582568" w:rsidTr="004D4D70">
        <w:trPr>
          <w:gridBefore w:val="1"/>
          <w:wBefore w:w="10" w:type="dxa"/>
          <w:cantSplit/>
          <w:trHeight w:val="308"/>
          <w:jc w:val="center"/>
        </w:trPr>
        <w:tc>
          <w:tcPr>
            <w:tcW w:w="2845" w:type="dxa"/>
            <w:gridSpan w:val="2"/>
            <w:tcBorders>
              <w:top w:val="nil"/>
              <w:left w:val="single" w:sz="4" w:space="0" w:color="auto"/>
              <w:bottom w:val="single" w:sz="4" w:space="0" w:color="auto"/>
              <w:right w:val="single" w:sz="4" w:space="0" w:color="auto"/>
            </w:tcBorders>
            <w:vAlign w:val="bottom"/>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лямблиоз</w:t>
            </w:r>
          </w:p>
        </w:tc>
        <w:tc>
          <w:tcPr>
            <w:tcW w:w="1134"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21,1</w:t>
            </w:r>
          </w:p>
        </w:tc>
        <w:tc>
          <w:tcPr>
            <w:tcW w:w="1135"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51,2</w:t>
            </w:r>
          </w:p>
        </w:tc>
        <w:tc>
          <w:tcPr>
            <w:tcW w:w="1134"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31,5</w:t>
            </w:r>
          </w:p>
        </w:tc>
        <w:tc>
          <w:tcPr>
            <w:tcW w:w="945" w:type="dxa"/>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51,2</w:t>
            </w:r>
          </w:p>
        </w:tc>
        <w:tc>
          <w:tcPr>
            <w:tcW w:w="93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30798" w:rsidRPr="004D4D70" w:rsidRDefault="00630798" w:rsidP="004D4D70">
            <w:pPr>
              <w:spacing w:after="0" w:line="240" w:lineRule="auto"/>
              <w:jc w:val="right"/>
              <w:rPr>
                <w:rFonts w:ascii="Times New Roman" w:hAnsi="Times New Roman" w:cs="Times New Roman"/>
                <w:color w:val="000000"/>
              </w:rPr>
            </w:pPr>
            <w:r w:rsidRPr="004D4D70">
              <w:rPr>
                <w:rFonts w:ascii="Times New Roman" w:hAnsi="Times New Roman" w:cs="Times New Roman"/>
                <w:color w:val="000000"/>
              </w:rPr>
              <w:t>17,57</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630798" w:rsidRPr="004D4D70" w:rsidRDefault="00630798" w:rsidP="004D4D70">
            <w:pPr>
              <w:spacing w:after="0" w:line="240" w:lineRule="auto"/>
              <w:jc w:val="center"/>
              <w:rPr>
                <w:rFonts w:ascii="Times New Roman" w:hAnsi="Times New Roman" w:cs="Times New Roman"/>
                <w:color w:val="000000"/>
              </w:rPr>
            </w:pPr>
            <w:r w:rsidRPr="004D4D70">
              <w:rPr>
                <w:rFonts w:ascii="Times New Roman" w:hAnsi="Times New Roman" w:cs="Times New Roman"/>
                <w:color w:val="000000"/>
              </w:rPr>
              <w:t>18,88</w:t>
            </w:r>
          </w:p>
        </w:tc>
      </w:tr>
      <w:tr w:rsidR="00630798" w:rsidRPr="00582568" w:rsidTr="004D4D70">
        <w:trPr>
          <w:gridBefore w:val="1"/>
          <w:wBefore w:w="10" w:type="dxa"/>
          <w:cantSplit/>
          <w:trHeight w:val="308"/>
          <w:jc w:val="center"/>
        </w:trPr>
        <w:tc>
          <w:tcPr>
            <w:tcW w:w="2845" w:type="dxa"/>
            <w:gridSpan w:val="2"/>
            <w:tcBorders>
              <w:top w:val="nil"/>
              <w:left w:val="single" w:sz="4" w:space="0" w:color="auto"/>
              <w:bottom w:val="single" w:sz="4" w:space="0" w:color="auto"/>
              <w:right w:val="single" w:sz="4" w:space="0" w:color="auto"/>
            </w:tcBorders>
            <w:vAlign w:val="bottom"/>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аскаридоз</w:t>
            </w:r>
          </w:p>
        </w:tc>
        <w:tc>
          <w:tcPr>
            <w:tcW w:w="1134"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18,7</w:t>
            </w:r>
          </w:p>
        </w:tc>
        <w:tc>
          <w:tcPr>
            <w:tcW w:w="1135"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14,01</w:t>
            </w:r>
          </w:p>
        </w:tc>
        <w:tc>
          <w:tcPr>
            <w:tcW w:w="1134"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2,4</w:t>
            </w:r>
          </w:p>
        </w:tc>
        <w:tc>
          <w:tcPr>
            <w:tcW w:w="945" w:type="dxa"/>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14,01</w:t>
            </w:r>
          </w:p>
        </w:tc>
        <w:tc>
          <w:tcPr>
            <w:tcW w:w="936" w:type="dxa"/>
            <w:gridSpan w:val="3"/>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5,0</w:t>
            </w:r>
          </w:p>
        </w:tc>
        <w:tc>
          <w:tcPr>
            <w:tcW w:w="1134" w:type="dxa"/>
            <w:gridSpan w:val="2"/>
            <w:tcBorders>
              <w:top w:val="nil"/>
              <w:left w:val="nil"/>
              <w:bottom w:val="single" w:sz="4" w:space="0" w:color="auto"/>
              <w:right w:val="single" w:sz="4" w:space="0" w:color="auto"/>
            </w:tcBorders>
            <w:vAlign w:val="center"/>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8,25</w:t>
            </w:r>
          </w:p>
        </w:tc>
      </w:tr>
      <w:tr w:rsidR="00630798" w:rsidRPr="00582568" w:rsidTr="004D4D70">
        <w:trPr>
          <w:gridBefore w:val="1"/>
          <w:wBefore w:w="10" w:type="dxa"/>
          <w:cantSplit/>
          <w:trHeight w:val="308"/>
          <w:jc w:val="center"/>
        </w:trPr>
        <w:tc>
          <w:tcPr>
            <w:tcW w:w="2845" w:type="dxa"/>
            <w:gridSpan w:val="2"/>
            <w:tcBorders>
              <w:top w:val="nil"/>
              <w:left w:val="single" w:sz="4" w:space="0" w:color="auto"/>
              <w:bottom w:val="single" w:sz="4" w:space="0" w:color="auto"/>
              <w:right w:val="single" w:sz="4" w:space="0" w:color="auto"/>
            </w:tcBorders>
            <w:vAlign w:val="bottom"/>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трихоцефалез</w:t>
            </w:r>
          </w:p>
        </w:tc>
        <w:tc>
          <w:tcPr>
            <w:tcW w:w="1134"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2,3</w:t>
            </w:r>
          </w:p>
        </w:tc>
        <w:tc>
          <w:tcPr>
            <w:tcW w:w="1135"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0,47</w:t>
            </w:r>
          </w:p>
        </w:tc>
        <w:tc>
          <w:tcPr>
            <w:tcW w:w="1134"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0,0</w:t>
            </w:r>
          </w:p>
        </w:tc>
        <w:tc>
          <w:tcPr>
            <w:tcW w:w="945" w:type="dxa"/>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0,47</w:t>
            </w:r>
          </w:p>
        </w:tc>
        <w:tc>
          <w:tcPr>
            <w:tcW w:w="936" w:type="dxa"/>
            <w:gridSpan w:val="3"/>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w:t>
            </w:r>
          </w:p>
        </w:tc>
        <w:tc>
          <w:tcPr>
            <w:tcW w:w="1134" w:type="dxa"/>
            <w:gridSpan w:val="2"/>
            <w:tcBorders>
              <w:top w:val="nil"/>
              <w:left w:val="nil"/>
              <w:bottom w:val="single" w:sz="4" w:space="0" w:color="auto"/>
              <w:right w:val="single" w:sz="4" w:space="0" w:color="auto"/>
            </w:tcBorders>
            <w:vAlign w:val="center"/>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0,254</w:t>
            </w:r>
          </w:p>
        </w:tc>
      </w:tr>
      <w:tr w:rsidR="00630798" w:rsidRPr="00582568" w:rsidTr="004D4D70">
        <w:trPr>
          <w:gridBefore w:val="1"/>
          <w:wBefore w:w="10" w:type="dxa"/>
          <w:cantSplit/>
          <w:trHeight w:val="308"/>
          <w:jc w:val="center"/>
        </w:trPr>
        <w:tc>
          <w:tcPr>
            <w:tcW w:w="2845" w:type="dxa"/>
            <w:gridSpan w:val="2"/>
            <w:tcBorders>
              <w:top w:val="nil"/>
              <w:left w:val="single" w:sz="4" w:space="0" w:color="auto"/>
              <w:bottom w:val="single" w:sz="4" w:space="0" w:color="auto"/>
              <w:right w:val="single" w:sz="4" w:space="0" w:color="auto"/>
            </w:tcBorders>
            <w:vAlign w:val="bottom"/>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энтеробиоз</w:t>
            </w:r>
          </w:p>
        </w:tc>
        <w:tc>
          <w:tcPr>
            <w:tcW w:w="1134"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299,9</w:t>
            </w:r>
          </w:p>
        </w:tc>
        <w:tc>
          <w:tcPr>
            <w:tcW w:w="1135"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242,8</w:t>
            </w:r>
          </w:p>
        </w:tc>
        <w:tc>
          <w:tcPr>
            <w:tcW w:w="1134"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140,7</w:t>
            </w:r>
          </w:p>
        </w:tc>
        <w:tc>
          <w:tcPr>
            <w:tcW w:w="945" w:type="dxa"/>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242,8</w:t>
            </w:r>
          </w:p>
        </w:tc>
        <w:tc>
          <w:tcPr>
            <w:tcW w:w="936" w:type="dxa"/>
            <w:gridSpan w:val="3"/>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263,5</w:t>
            </w:r>
          </w:p>
        </w:tc>
        <w:tc>
          <w:tcPr>
            <w:tcW w:w="1134" w:type="dxa"/>
            <w:gridSpan w:val="2"/>
            <w:tcBorders>
              <w:top w:val="nil"/>
              <w:left w:val="nil"/>
              <w:bottom w:val="single" w:sz="4" w:space="0" w:color="auto"/>
              <w:right w:val="single" w:sz="4" w:space="0" w:color="auto"/>
            </w:tcBorders>
            <w:vAlign w:val="center"/>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146,5</w:t>
            </w:r>
          </w:p>
        </w:tc>
      </w:tr>
      <w:tr w:rsidR="00630798" w:rsidRPr="00582568" w:rsidTr="004D4D70">
        <w:trPr>
          <w:gridBefore w:val="1"/>
          <w:wBefore w:w="10" w:type="dxa"/>
          <w:cantSplit/>
          <w:trHeight w:val="308"/>
          <w:jc w:val="center"/>
        </w:trPr>
        <w:tc>
          <w:tcPr>
            <w:tcW w:w="2845" w:type="dxa"/>
            <w:gridSpan w:val="2"/>
            <w:tcBorders>
              <w:top w:val="nil"/>
              <w:left w:val="single" w:sz="4" w:space="0" w:color="auto"/>
              <w:bottom w:val="single" w:sz="4" w:space="0" w:color="auto"/>
              <w:right w:val="single" w:sz="4" w:space="0" w:color="auto"/>
            </w:tcBorders>
            <w:vAlign w:val="bottom"/>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токсокароз</w:t>
            </w:r>
          </w:p>
        </w:tc>
        <w:tc>
          <w:tcPr>
            <w:tcW w:w="1134"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2,3</w:t>
            </w:r>
          </w:p>
        </w:tc>
        <w:tc>
          <w:tcPr>
            <w:tcW w:w="1135"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0,77</w:t>
            </w:r>
          </w:p>
        </w:tc>
        <w:tc>
          <w:tcPr>
            <w:tcW w:w="1134"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7,3</w:t>
            </w:r>
          </w:p>
        </w:tc>
        <w:tc>
          <w:tcPr>
            <w:tcW w:w="945" w:type="dxa"/>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0,77</w:t>
            </w:r>
          </w:p>
        </w:tc>
        <w:tc>
          <w:tcPr>
            <w:tcW w:w="936" w:type="dxa"/>
            <w:gridSpan w:val="3"/>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w:t>
            </w:r>
          </w:p>
        </w:tc>
        <w:tc>
          <w:tcPr>
            <w:tcW w:w="1134" w:type="dxa"/>
            <w:gridSpan w:val="2"/>
            <w:tcBorders>
              <w:top w:val="nil"/>
              <w:left w:val="nil"/>
              <w:bottom w:val="single" w:sz="4" w:space="0" w:color="auto"/>
              <w:right w:val="single" w:sz="4" w:space="0" w:color="auto"/>
            </w:tcBorders>
            <w:vAlign w:val="center"/>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0,42</w:t>
            </w:r>
          </w:p>
        </w:tc>
      </w:tr>
      <w:tr w:rsidR="00630798" w:rsidRPr="00582568" w:rsidTr="004D4D70">
        <w:trPr>
          <w:gridBefore w:val="1"/>
          <w:wBefore w:w="10" w:type="dxa"/>
          <w:cantSplit/>
          <w:trHeight w:val="308"/>
          <w:jc w:val="center"/>
        </w:trPr>
        <w:tc>
          <w:tcPr>
            <w:tcW w:w="2845" w:type="dxa"/>
            <w:gridSpan w:val="2"/>
            <w:tcBorders>
              <w:top w:val="nil"/>
              <w:left w:val="single" w:sz="4" w:space="0" w:color="auto"/>
              <w:bottom w:val="single" w:sz="4" w:space="0" w:color="auto"/>
              <w:right w:val="single" w:sz="4" w:space="0" w:color="auto"/>
            </w:tcBorders>
            <w:vAlign w:val="bottom"/>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токсоплазмоз</w:t>
            </w:r>
          </w:p>
        </w:tc>
        <w:tc>
          <w:tcPr>
            <w:tcW w:w="1134"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0,0</w:t>
            </w:r>
          </w:p>
        </w:tc>
        <w:tc>
          <w:tcPr>
            <w:tcW w:w="1135"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0,95</w:t>
            </w:r>
          </w:p>
        </w:tc>
        <w:tc>
          <w:tcPr>
            <w:tcW w:w="1134"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0,0</w:t>
            </w:r>
          </w:p>
        </w:tc>
        <w:tc>
          <w:tcPr>
            <w:tcW w:w="945" w:type="dxa"/>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0,95</w:t>
            </w:r>
          </w:p>
        </w:tc>
        <w:tc>
          <w:tcPr>
            <w:tcW w:w="936" w:type="dxa"/>
            <w:gridSpan w:val="3"/>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w:t>
            </w:r>
          </w:p>
        </w:tc>
        <w:tc>
          <w:tcPr>
            <w:tcW w:w="1134" w:type="dxa"/>
            <w:gridSpan w:val="2"/>
            <w:tcBorders>
              <w:top w:val="nil"/>
              <w:left w:val="nil"/>
              <w:bottom w:val="single" w:sz="4" w:space="0" w:color="auto"/>
              <w:right w:val="single" w:sz="4" w:space="0" w:color="auto"/>
            </w:tcBorders>
            <w:vAlign w:val="center"/>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0,12</w:t>
            </w:r>
          </w:p>
        </w:tc>
      </w:tr>
      <w:tr w:rsidR="00630798" w:rsidRPr="00582568" w:rsidTr="004D4D70">
        <w:trPr>
          <w:gridBefore w:val="1"/>
          <w:wBefore w:w="10" w:type="dxa"/>
          <w:cantSplit/>
          <w:trHeight w:val="308"/>
          <w:jc w:val="center"/>
        </w:trPr>
        <w:tc>
          <w:tcPr>
            <w:tcW w:w="2845" w:type="dxa"/>
            <w:gridSpan w:val="2"/>
            <w:tcBorders>
              <w:top w:val="nil"/>
              <w:left w:val="single" w:sz="4" w:space="0" w:color="auto"/>
              <w:bottom w:val="single" w:sz="4" w:space="0" w:color="auto"/>
              <w:right w:val="single" w:sz="4" w:space="0" w:color="auto"/>
            </w:tcBorders>
            <w:vAlign w:val="bottom"/>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дифилоботриоз</w:t>
            </w:r>
          </w:p>
        </w:tc>
        <w:tc>
          <w:tcPr>
            <w:tcW w:w="1134"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2,3</w:t>
            </w:r>
          </w:p>
        </w:tc>
        <w:tc>
          <w:tcPr>
            <w:tcW w:w="1135"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10,57</w:t>
            </w:r>
          </w:p>
        </w:tc>
        <w:tc>
          <w:tcPr>
            <w:tcW w:w="1134"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4,9</w:t>
            </w:r>
          </w:p>
        </w:tc>
        <w:tc>
          <w:tcPr>
            <w:tcW w:w="945" w:type="dxa"/>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10,57</w:t>
            </w:r>
          </w:p>
        </w:tc>
        <w:tc>
          <w:tcPr>
            <w:tcW w:w="936" w:type="dxa"/>
            <w:gridSpan w:val="3"/>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w:t>
            </w:r>
          </w:p>
        </w:tc>
        <w:tc>
          <w:tcPr>
            <w:tcW w:w="1134" w:type="dxa"/>
            <w:gridSpan w:val="2"/>
            <w:tcBorders>
              <w:top w:val="nil"/>
              <w:left w:val="nil"/>
              <w:bottom w:val="single" w:sz="4" w:space="0" w:color="auto"/>
              <w:right w:val="single" w:sz="4" w:space="0" w:color="auto"/>
            </w:tcBorders>
            <w:vAlign w:val="center"/>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4,45</w:t>
            </w:r>
          </w:p>
        </w:tc>
      </w:tr>
      <w:tr w:rsidR="00630798" w:rsidRPr="00582568" w:rsidTr="004D4D70">
        <w:trPr>
          <w:gridBefore w:val="1"/>
          <w:wBefore w:w="10" w:type="dxa"/>
          <w:cantSplit/>
          <w:trHeight w:val="308"/>
          <w:jc w:val="center"/>
        </w:trPr>
        <w:tc>
          <w:tcPr>
            <w:tcW w:w="2845" w:type="dxa"/>
            <w:gridSpan w:val="2"/>
            <w:tcBorders>
              <w:top w:val="single" w:sz="4" w:space="0" w:color="auto"/>
              <w:left w:val="single" w:sz="4" w:space="0" w:color="auto"/>
              <w:bottom w:val="single" w:sz="4" w:space="0" w:color="auto"/>
              <w:right w:val="single" w:sz="4" w:space="0" w:color="auto"/>
            </w:tcBorders>
            <w:vAlign w:val="bottom"/>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описторхоз</w:t>
            </w:r>
          </w:p>
        </w:tc>
        <w:tc>
          <w:tcPr>
            <w:tcW w:w="1134"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449,8</w:t>
            </w:r>
          </w:p>
        </w:tc>
        <w:tc>
          <w:tcPr>
            <w:tcW w:w="1135"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299,6</w:t>
            </w:r>
          </w:p>
        </w:tc>
        <w:tc>
          <w:tcPr>
            <w:tcW w:w="1134" w:type="dxa"/>
            <w:gridSpan w:val="2"/>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366,3</w:t>
            </w:r>
          </w:p>
        </w:tc>
        <w:tc>
          <w:tcPr>
            <w:tcW w:w="945" w:type="dxa"/>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299,6</w:t>
            </w:r>
          </w:p>
        </w:tc>
        <w:tc>
          <w:tcPr>
            <w:tcW w:w="936" w:type="dxa"/>
            <w:gridSpan w:val="3"/>
            <w:tcBorders>
              <w:top w:val="nil"/>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133,0</w:t>
            </w:r>
          </w:p>
        </w:tc>
        <w:tc>
          <w:tcPr>
            <w:tcW w:w="1134" w:type="dxa"/>
            <w:gridSpan w:val="2"/>
            <w:tcBorders>
              <w:top w:val="nil"/>
              <w:left w:val="nil"/>
              <w:bottom w:val="single" w:sz="4" w:space="0" w:color="auto"/>
              <w:right w:val="single" w:sz="4" w:space="0" w:color="auto"/>
            </w:tcBorders>
            <w:vAlign w:val="center"/>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111,2</w:t>
            </w:r>
          </w:p>
        </w:tc>
      </w:tr>
      <w:tr w:rsidR="00630798" w:rsidRPr="00582568" w:rsidTr="004D4D70">
        <w:trPr>
          <w:gridBefore w:val="1"/>
          <w:wBefore w:w="10" w:type="dxa"/>
          <w:cantSplit/>
          <w:trHeight w:val="320"/>
          <w:jc w:val="center"/>
        </w:trPr>
        <w:tc>
          <w:tcPr>
            <w:tcW w:w="2845" w:type="dxa"/>
            <w:gridSpan w:val="2"/>
            <w:tcBorders>
              <w:top w:val="single" w:sz="4" w:space="0" w:color="auto"/>
              <w:left w:val="single" w:sz="4" w:space="0" w:color="auto"/>
              <w:bottom w:val="single" w:sz="4" w:space="0" w:color="auto"/>
              <w:right w:val="single" w:sz="4" w:space="0" w:color="auto"/>
            </w:tcBorders>
            <w:vAlign w:val="bottom"/>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тениаринхоз</w:t>
            </w:r>
          </w:p>
        </w:tc>
        <w:tc>
          <w:tcPr>
            <w:tcW w:w="1134" w:type="dxa"/>
            <w:gridSpan w:val="2"/>
            <w:tcBorders>
              <w:top w:val="single" w:sz="4" w:space="0" w:color="auto"/>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2,3</w:t>
            </w:r>
          </w:p>
        </w:tc>
        <w:tc>
          <w:tcPr>
            <w:tcW w:w="1135" w:type="dxa"/>
            <w:gridSpan w:val="2"/>
            <w:tcBorders>
              <w:top w:val="single" w:sz="4" w:space="0" w:color="auto"/>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0,06</w:t>
            </w:r>
          </w:p>
        </w:tc>
        <w:tc>
          <w:tcPr>
            <w:tcW w:w="1134" w:type="dxa"/>
            <w:gridSpan w:val="2"/>
            <w:tcBorders>
              <w:top w:val="single" w:sz="4" w:space="0" w:color="auto"/>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2,3</w:t>
            </w:r>
          </w:p>
        </w:tc>
        <w:tc>
          <w:tcPr>
            <w:tcW w:w="945" w:type="dxa"/>
            <w:tcBorders>
              <w:top w:val="single" w:sz="4" w:space="0" w:color="auto"/>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0,06</w:t>
            </w:r>
          </w:p>
        </w:tc>
        <w:tc>
          <w:tcPr>
            <w:tcW w:w="936" w:type="dxa"/>
            <w:gridSpan w:val="3"/>
            <w:tcBorders>
              <w:top w:val="single" w:sz="4" w:space="0" w:color="auto"/>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w:t>
            </w:r>
          </w:p>
        </w:tc>
        <w:tc>
          <w:tcPr>
            <w:tcW w:w="1134" w:type="dxa"/>
            <w:gridSpan w:val="2"/>
            <w:tcBorders>
              <w:top w:val="single" w:sz="4" w:space="0" w:color="auto"/>
              <w:left w:val="nil"/>
              <w:bottom w:val="single" w:sz="4" w:space="0" w:color="auto"/>
              <w:right w:val="single" w:sz="4" w:space="0" w:color="auto"/>
            </w:tcBorders>
            <w:vAlign w:val="center"/>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w:t>
            </w:r>
          </w:p>
        </w:tc>
      </w:tr>
      <w:tr w:rsidR="00630798" w:rsidRPr="00582568" w:rsidTr="004D4D70">
        <w:trPr>
          <w:gridBefore w:val="1"/>
          <w:wBefore w:w="10" w:type="dxa"/>
          <w:cantSplit/>
          <w:trHeight w:val="320"/>
          <w:jc w:val="center"/>
        </w:trPr>
        <w:tc>
          <w:tcPr>
            <w:tcW w:w="2845" w:type="dxa"/>
            <w:gridSpan w:val="2"/>
            <w:tcBorders>
              <w:top w:val="single" w:sz="4" w:space="0" w:color="auto"/>
              <w:left w:val="single" w:sz="4" w:space="0" w:color="auto"/>
              <w:bottom w:val="single" w:sz="4" w:space="0" w:color="auto"/>
              <w:right w:val="single" w:sz="4" w:space="0" w:color="auto"/>
            </w:tcBorders>
            <w:vAlign w:val="bottom"/>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трихинеллез</w:t>
            </w:r>
          </w:p>
        </w:tc>
        <w:tc>
          <w:tcPr>
            <w:tcW w:w="1134" w:type="dxa"/>
            <w:gridSpan w:val="2"/>
            <w:tcBorders>
              <w:top w:val="single" w:sz="4" w:space="0" w:color="auto"/>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0,0</w:t>
            </w:r>
          </w:p>
        </w:tc>
        <w:tc>
          <w:tcPr>
            <w:tcW w:w="1135" w:type="dxa"/>
            <w:gridSpan w:val="2"/>
            <w:tcBorders>
              <w:top w:val="single" w:sz="4" w:space="0" w:color="auto"/>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0,14</w:t>
            </w:r>
          </w:p>
        </w:tc>
        <w:tc>
          <w:tcPr>
            <w:tcW w:w="1134" w:type="dxa"/>
            <w:gridSpan w:val="2"/>
            <w:tcBorders>
              <w:top w:val="single" w:sz="4" w:space="0" w:color="auto"/>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2,4</w:t>
            </w:r>
          </w:p>
        </w:tc>
        <w:tc>
          <w:tcPr>
            <w:tcW w:w="945" w:type="dxa"/>
            <w:tcBorders>
              <w:top w:val="single" w:sz="4" w:space="0" w:color="auto"/>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0,12</w:t>
            </w:r>
          </w:p>
        </w:tc>
        <w:tc>
          <w:tcPr>
            <w:tcW w:w="936" w:type="dxa"/>
            <w:gridSpan w:val="3"/>
            <w:tcBorders>
              <w:top w:val="single" w:sz="4" w:space="0" w:color="auto"/>
              <w:left w:val="nil"/>
              <w:bottom w:val="single" w:sz="4" w:space="0" w:color="auto"/>
              <w:right w:val="single" w:sz="4" w:space="0" w:color="auto"/>
            </w:tcBorders>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w:t>
            </w:r>
          </w:p>
        </w:tc>
        <w:tc>
          <w:tcPr>
            <w:tcW w:w="1134" w:type="dxa"/>
            <w:gridSpan w:val="2"/>
            <w:tcBorders>
              <w:top w:val="single" w:sz="4" w:space="0" w:color="auto"/>
              <w:left w:val="nil"/>
              <w:bottom w:val="single" w:sz="4" w:space="0" w:color="auto"/>
              <w:right w:val="single" w:sz="4" w:space="0" w:color="auto"/>
            </w:tcBorders>
            <w:vAlign w:val="center"/>
          </w:tcPr>
          <w:p w:rsidR="00630798" w:rsidRPr="004D4D70" w:rsidRDefault="00630798" w:rsidP="004D4D70">
            <w:pPr>
              <w:spacing w:before="20" w:after="0" w:line="240" w:lineRule="auto"/>
              <w:jc w:val="center"/>
              <w:rPr>
                <w:rFonts w:ascii="Times New Roman" w:hAnsi="Times New Roman" w:cs="Times New Roman"/>
              </w:rPr>
            </w:pPr>
            <w:r w:rsidRPr="004D4D70">
              <w:rPr>
                <w:rFonts w:ascii="Times New Roman" w:hAnsi="Times New Roman" w:cs="Times New Roman"/>
              </w:rPr>
              <w:t>0,12</w:t>
            </w:r>
          </w:p>
        </w:tc>
      </w:tr>
    </w:tbl>
    <w:p w:rsidR="00630798" w:rsidRDefault="00630798" w:rsidP="00630798">
      <w:pPr>
        <w:pStyle w:val="a7"/>
        <w:ind w:firstLine="708"/>
        <w:jc w:val="both"/>
        <w:rPr>
          <w:noProof/>
          <w:szCs w:val="24"/>
        </w:rPr>
      </w:pPr>
    </w:p>
    <w:p w:rsidR="00630798" w:rsidRPr="004D4D70" w:rsidRDefault="00630798" w:rsidP="00630798">
      <w:pPr>
        <w:pStyle w:val="a7"/>
        <w:ind w:firstLine="708"/>
        <w:jc w:val="both"/>
        <w:rPr>
          <w:noProof/>
          <w:sz w:val="24"/>
          <w:szCs w:val="24"/>
        </w:rPr>
      </w:pPr>
      <w:r w:rsidRPr="004D4D70">
        <w:rPr>
          <w:noProof/>
          <w:sz w:val="24"/>
          <w:szCs w:val="24"/>
        </w:rPr>
        <w:t xml:space="preserve">Среди заболевших гельминтозами в 2020г-69,5%, тогда как в 2019 году 30,7 % составляют дети до 17 лет. </w:t>
      </w:r>
    </w:p>
    <w:p w:rsidR="00630798" w:rsidRPr="00956050" w:rsidRDefault="00630798" w:rsidP="00630798">
      <w:pPr>
        <w:pStyle w:val="a7"/>
        <w:jc w:val="both"/>
        <w:rPr>
          <w:noProof/>
          <w:szCs w:val="24"/>
        </w:rPr>
      </w:pPr>
    </w:p>
    <w:p w:rsidR="00630798" w:rsidRPr="00956050" w:rsidRDefault="00630798" w:rsidP="00630798">
      <w:pPr>
        <w:ind w:firstLine="708"/>
        <w:jc w:val="both"/>
      </w:pPr>
      <w:r w:rsidRPr="00956050">
        <w:rPr>
          <w:noProof/>
          <w:szCs w:val="24"/>
          <w:lang w:eastAsia="ru-RU"/>
        </w:rPr>
        <w:drawing>
          <wp:inline distT="0" distB="0" distL="0" distR="0">
            <wp:extent cx="4876800" cy="1600200"/>
            <wp:effectExtent l="0" t="0" r="0" b="0"/>
            <wp:docPr id="23" name="Диаграмма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30798" w:rsidRPr="00956050" w:rsidRDefault="00335D41" w:rsidP="00335D41">
      <w:pPr>
        <w:tabs>
          <w:tab w:val="left" w:pos="1635"/>
        </w:tabs>
        <w:ind w:firstLine="708"/>
        <w:jc w:val="both"/>
        <w:rPr>
          <w:noProof/>
          <w:szCs w:val="24"/>
        </w:rPr>
      </w:pPr>
      <w:r>
        <w:rPr>
          <w:noProof/>
          <w:szCs w:val="24"/>
        </w:rPr>
        <w:tab/>
      </w:r>
    </w:p>
    <w:p w:rsidR="00630798" w:rsidRPr="00956050" w:rsidRDefault="00630798" w:rsidP="00630798">
      <w:pPr>
        <w:ind w:firstLine="708"/>
        <w:jc w:val="center"/>
        <w:rPr>
          <w:noProof/>
        </w:rPr>
      </w:pPr>
      <w:r w:rsidRPr="00956050">
        <w:rPr>
          <w:bCs/>
          <w:color w:val="000000"/>
        </w:rPr>
        <w:t>Рис. № 13.</w:t>
      </w:r>
      <w:r w:rsidRPr="00956050">
        <w:rPr>
          <w:b/>
          <w:bCs/>
          <w:color w:val="000000"/>
        </w:rPr>
        <w:t xml:space="preserve"> </w:t>
      </w:r>
      <w:r w:rsidRPr="00956050">
        <w:rPr>
          <w:color w:val="000000"/>
        </w:rPr>
        <w:t xml:space="preserve"> </w:t>
      </w:r>
      <w:r w:rsidRPr="00956050">
        <w:rPr>
          <w:noProof/>
        </w:rPr>
        <w:t>Структура паразитарной заболеваемости среди детского населенияв г. Пыть – Ях в 2020 г.</w:t>
      </w:r>
    </w:p>
    <w:p w:rsidR="00630798" w:rsidRPr="004D4D70" w:rsidRDefault="00630798" w:rsidP="00630798">
      <w:pPr>
        <w:pStyle w:val="a7"/>
        <w:ind w:firstLine="708"/>
        <w:jc w:val="both"/>
        <w:rPr>
          <w:noProof/>
          <w:sz w:val="24"/>
          <w:szCs w:val="24"/>
        </w:rPr>
      </w:pPr>
      <w:r w:rsidRPr="004D4D70">
        <w:rPr>
          <w:noProof/>
          <w:sz w:val="24"/>
          <w:szCs w:val="24"/>
        </w:rPr>
        <w:t xml:space="preserve">В структуре паразитарной заболеваемости детского населения г. Пыть – Яхв 2020г доминирующее положение как в в 2018-2019гг занимает энтеробиоз –90,5% ( в 2019г- 81,7 %), , на долю лямблиоза- 6,1% ( 2019г-11,3 %) , на долю аскаридоза- 1,7 % ( 2019г-1,4 %) ,описторхоза- 1,7 %. </w:t>
      </w:r>
    </w:p>
    <w:p w:rsidR="00630798" w:rsidRPr="004D4D70" w:rsidRDefault="004D4D70" w:rsidP="004D4D70">
      <w:pPr>
        <w:spacing w:after="0" w:line="240" w:lineRule="auto"/>
        <w:jc w:val="right"/>
        <w:rPr>
          <w:rFonts w:ascii="Times New Roman" w:hAnsi="Times New Roman" w:cs="Times New Roman"/>
        </w:rPr>
      </w:pPr>
      <w:r>
        <w:rPr>
          <w:rFonts w:ascii="Times New Roman" w:hAnsi="Times New Roman" w:cs="Times New Roman"/>
        </w:rPr>
        <w:t>Т</w:t>
      </w:r>
      <w:r w:rsidR="00630798" w:rsidRPr="004D4D70">
        <w:rPr>
          <w:rFonts w:ascii="Times New Roman" w:hAnsi="Times New Roman" w:cs="Times New Roman"/>
        </w:rPr>
        <w:t>аблица № 40</w:t>
      </w:r>
    </w:p>
    <w:p w:rsidR="00630798" w:rsidRPr="004D4D70" w:rsidRDefault="004D4D70" w:rsidP="004D4D70">
      <w:pPr>
        <w:spacing w:after="0" w:line="240" w:lineRule="auto"/>
        <w:ind w:firstLine="709"/>
        <w:jc w:val="center"/>
        <w:rPr>
          <w:rFonts w:ascii="Times New Roman" w:hAnsi="Times New Roman" w:cs="Times New Roman"/>
          <w:b/>
        </w:rPr>
      </w:pPr>
      <w:r>
        <w:rPr>
          <w:rFonts w:ascii="Times New Roman" w:hAnsi="Times New Roman" w:cs="Times New Roman"/>
          <w:b/>
        </w:rPr>
        <w:t xml:space="preserve">Динамика </w:t>
      </w:r>
      <w:r w:rsidR="00630798" w:rsidRPr="004D4D70">
        <w:rPr>
          <w:rFonts w:ascii="Times New Roman" w:hAnsi="Times New Roman" w:cs="Times New Roman"/>
          <w:b/>
        </w:rPr>
        <w:t>паразитарной заболеваемости по городу, причины отказа от лечения за 2018-2020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650"/>
        <w:gridCol w:w="2473"/>
        <w:gridCol w:w="1401"/>
        <w:gridCol w:w="1276"/>
        <w:gridCol w:w="1134"/>
        <w:gridCol w:w="2243"/>
      </w:tblGrid>
      <w:tr w:rsidR="00630798" w:rsidRPr="004D4D70" w:rsidTr="00630798">
        <w:trPr>
          <w:cantSplit/>
          <w:jc w:val="center"/>
        </w:trPr>
        <w:tc>
          <w:tcPr>
            <w:tcW w:w="650" w:type="dxa"/>
            <w:vAlign w:val="center"/>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Год</w:t>
            </w:r>
          </w:p>
        </w:tc>
        <w:tc>
          <w:tcPr>
            <w:tcW w:w="2473" w:type="dxa"/>
            <w:vAlign w:val="center"/>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Наименование</w:t>
            </w:r>
          </w:p>
        </w:tc>
        <w:tc>
          <w:tcPr>
            <w:tcW w:w="1401" w:type="dxa"/>
            <w:vAlign w:val="center"/>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Зарегист. заболеваний</w:t>
            </w:r>
          </w:p>
        </w:tc>
        <w:tc>
          <w:tcPr>
            <w:tcW w:w="1276" w:type="dxa"/>
            <w:vAlign w:val="center"/>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Пролечено</w:t>
            </w:r>
          </w:p>
        </w:tc>
        <w:tc>
          <w:tcPr>
            <w:tcW w:w="1134" w:type="dxa"/>
            <w:vAlign w:val="center"/>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Не пролечено</w:t>
            </w:r>
          </w:p>
        </w:tc>
        <w:tc>
          <w:tcPr>
            <w:tcW w:w="2243" w:type="dxa"/>
            <w:vAlign w:val="center"/>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Причины</w:t>
            </w:r>
          </w:p>
        </w:tc>
      </w:tr>
      <w:tr w:rsidR="00630798" w:rsidRPr="004D4D70" w:rsidTr="00630798">
        <w:trPr>
          <w:cantSplit/>
          <w:trHeight w:val="311"/>
          <w:jc w:val="center"/>
        </w:trPr>
        <w:tc>
          <w:tcPr>
            <w:tcW w:w="650" w:type="dxa"/>
            <w:vMerge w:val="restart"/>
            <w:tcBorders>
              <w:top w:val="single" w:sz="4" w:space="0" w:color="auto"/>
              <w:left w:val="single" w:sz="4" w:space="0" w:color="auto"/>
              <w:right w:val="single" w:sz="4" w:space="0" w:color="auto"/>
            </w:tcBorders>
          </w:tcPr>
          <w:p w:rsidR="00630798" w:rsidRPr="004D4D70" w:rsidRDefault="00630798" w:rsidP="004D4D70">
            <w:pPr>
              <w:spacing w:after="0" w:line="240" w:lineRule="auto"/>
              <w:rPr>
                <w:rFonts w:ascii="Times New Roman" w:hAnsi="Times New Roman" w:cs="Times New Roman"/>
              </w:rPr>
            </w:pPr>
          </w:p>
          <w:p w:rsidR="00630798" w:rsidRPr="004D4D70" w:rsidRDefault="00630798" w:rsidP="004D4D70">
            <w:pPr>
              <w:spacing w:after="0" w:line="240" w:lineRule="auto"/>
              <w:rPr>
                <w:rFonts w:ascii="Times New Roman" w:hAnsi="Times New Roman" w:cs="Times New Roman"/>
              </w:rPr>
            </w:pPr>
          </w:p>
          <w:p w:rsidR="00630798" w:rsidRPr="004D4D70" w:rsidRDefault="00630798" w:rsidP="004D4D70">
            <w:pPr>
              <w:spacing w:after="0" w:line="240" w:lineRule="auto"/>
              <w:rPr>
                <w:rFonts w:ascii="Times New Roman" w:hAnsi="Times New Roman" w:cs="Times New Roman"/>
              </w:rPr>
            </w:pPr>
          </w:p>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t>2018</w:t>
            </w:r>
          </w:p>
        </w:tc>
        <w:tc>
          <w:tcPr>
            <w:tcW w:w="2473" w:type="dxa"/>
            <w:tcBorders>
              <w:lef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Аскаридоз</w:t>
            </w:r>
          </w:p>
        </w:tc>
        <w:tc>
          <w:tcPr>
            <w:tcW w:w="1401"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8</w:t>
            </w:r>
          </w:p>
        </w:tc>
        <w:tc>
          <w:tcPr>
            <w:tcW w:w="1276"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8</w:t>
            </w:r>
          </w:p>
        </w:tc>
        <w:tc>
          <w:tcPr>
            <w:tcW w:w="1134"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w:t>
            </w:r>
          </w:p>
        </w:tc>
        <w:tc>
          <w:tcPr>
            <w:tcW w:w="2243"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r>
      <w:tr w:rsidR="00630798" w:rsidRPr="004D4D70" w:rsidTr="00630798">
        <w:trPr>
          <w:cantSplit/>
          <w:jc w:val="center"/>
        </w:trPr>
        <w:tc>
          <w:tcPr>
            <w:tcW w:w="650" w:type="dxa"/>
            <w:vMerge/>
            <w:tcBorders>
              <w:left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p>
        </w:tc>
        <w:tc>
          <w:tcPr>
            <w:tcW w:w="2473" w:type="dxa"/>
            <w:tcBorders>
              <w:lef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Энтеробиоз</w:t>
            </w:r>
          </w:p>
        </w:tc>
        <w:tc>
          <w:tcPr>
            <w:tcW w:w="1401"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128</w:t>
            </w:r>
          </w:p>
        </w:tc>
        <w:tc>
          <w:tcPr>
            <w:tcW w:w="1276"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128</w:t>
            </w:r>
          </w:p>
        </w:tc>
        <w:tc>
          <w:tcPr>
            <w:tcW w:w="1134"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c>
          <w:tcPr>
            <w:tcW w:w="2243"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r>
      <w:tr w:rsidR="00630798" w:rsidRPr="004D4D70" w:rsidTr="00630798">
        <w:trPr>
          <w:cantSplit/>
          <w:jc w:val="center"/>
        </w:trPr>
        <w:tc>
          <w:tcPr>
            <w:tcW w:w="650" w:type="dxa"/>
            <w:vMerge/>
            <w:tcBorders>
              <w:left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p>
        </w:tc>
        <w:tc>
          <w:tcPr>
            <w:tcW w:w="2473" w:type="dxa"/>
            <w:tcBorders>
              <w:lef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Токсакороз</w:t>
            </w:r>
          </w:p>
        </w:tc>
        <w:tc>
          <w:tcPr>
            <w:tcW w:w="1401"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w:t>
            </w:r>
          </w:p>
        </w:tc>
        <w:tc>
          <w:tcPr>
            <w:tcW w:w="1276"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c>
          <w:tcPr>
            <w:tcW w:w="1134"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w:t>
            </w:r>
          </w:p>
        </w:tc>
        <w:tc>
          <w:tcPr>
            <w:tcW w:w="2243"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не под.ср.</w:t>
            </w:r>
          </w:p>
        </w:tc>
      </w:tr>
      <w:tr w:rsidR="00630798" w:rsidRPr="004D4D70" w:rsidTr="00630798">
        <w:trPr>
          <w:cantSplit/>
          <w:jc w:val="center"/>
        </w:trPr>
        <w:tc>
          <w:tcPr>
            <w:tcW w:w="650" w:type="dxa"/>
            <w:vMerge/>
            <w:tcBorders>
              <w:left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p>
        </w:tc>
        <w:tc>
          <w:tcPr>
            <w:tcW w:w="2473" w:type="dxa"/>
            <w:tcBorders>
              <w:lef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Лямблиоз</w:t>
            </w:r>
          </w:p>
        </w:tc>
        <w:tc>
          <w:tcPr>
            <w:tcW w:w="1401"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9</w:t>
            </w:r>
          </w:p>
        </w:tc>
        <w:tc>
          <w:tcPr>
            <w:tcW w:w="1276"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8</w:t>
            </w:r>
          </w:p>
        </w:tc>
        <w:tc>
          <w:tcPr>
            <w:tcW w:w="1134"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w:t>
            </w:r>
          </w:p>
        </w:tc>
        <w:tc>
          <w:tcPr>
            <w:tcW w:w="2243"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не под.ср.</w:t>
            </w:r>
          </w:p>
        </w:tc>
      </w:tr>
      <w:tr w:rsidR="00630798" w:rsidRPr="004D4D70" w:rsidTr="00630798">
        <w:trPr>
          <w:cantSplit/>
          <w:jc w:val="center"/>
        </w:trPr>
        <w:tc>
          <w:tcPr>
            <w:tcW w:w="650" w:type="dxa"/>
            <w:vMerge/>
            <w:tcBorders>
              <w:left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p>
        </w:tc>
        <w:tc>
          <w:tcPr>
            <w:tcW w:w="2473" w:type="dxa"/>
            <w:tcBorders>
              <w:lef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Тениаринхоз</w:t>
            </w:r>
          </w:p>
        </w:tc>
        <w:tc>
          <w:tcPr>
            <w:tcW w:w="1401"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w:t>
            </w:r>
          </w:p>
        </w:tc>
        <w:tc>
          <w:tcPr>
            <w:tcW w:w="1276"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c>
          <w:tcPr>
            <w:tcW w:w="1134"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w:t>
            </w:r>
          </w:p>
        </w:tc>
        <w:tc>
          <w:tcPr>
            <w:tcW w:w="2243"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не под.ср.</w:t>
            </w:r>
          </w:p>
        </w:tc>
      </w:tr>
      <w:tr w:rsidR="00630798" w:rsidRPr="004D4D70" w:rsidTr="00630798">
        <w:trPr>
          <w:cantSplit/>
          <w:jc w:val="center"/>
        </w:trPr>
        <w:tc>
          <w:tcPr>
            <w:tcW w:w="650" w:type="dxa"/>
            <w:vMerge/>
            <w:tcBorders>
              <w:left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p>
        </w:tc>
        <w:tc>
          <w:tcPr>
            <w:tcW w:w="2473" w:type="dxa"/>
            <w:tcBorders>
              <w:lef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Дифилоботриоз</w:t>
            </w:r>
          </w:p>
        </w:tc>
        <w:tc>
          <w:tcPr>
            <w:tcW w:w="1401"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w:t>
            </w:r>
          </w:p>
        </w:tc>
        <w:tc>
          <w:tcPr>
            <w:tcW w:w="1276"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c>
          <w:tcPr>
            <w:tcW w:w="1134"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w:t>
            </w:r>
          </w:p>
        </w:tc>
        <w:tc>
          <w:tcPr>
            <w:tcW w:w="2243"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не под.ср.</w:t>
            </w:r>
          </w:p>
        </w:tc>
      </w:tr>
      <w:tr w:rsidR="00630798" w:rsidRPr="004D4D70" w:rsidTr="00630798">
        <w:trPr>
          <w:cantSplit/>
          <w:jc w:val="center"/>
        </w:trPr>
        <w:tc>
          <w:tcPr>
            <w:tcW w:w="650" w:type="dxa"/>
            <w:vMerge/>
            <w:tcBorders>
              <w:left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p>
        </w:tc>
        <w:tc>
          <w:tcPr>
            <w:tcW w:w="2473" w:type="dxa"/>
            <w:tcBorders>
              <w:lef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Описторхоз</w:t>
            </w:r>
          </w:p>
        </w:tc>
        <w:tc>
          <w:tcPr>
            <w:tcW w:w="1401"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192</w:t>
            </w:r>
          </w:p>
        </w:tc>
        <w:tc>
          <w:tcPr>
            <w:tcW w:w="1276"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44</w:t>
            </w:r>
          </w:p>
        </w:tc>
        <w:tc>
          <w:tcPr>
            <w:tcW w:w="1134"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148</w:t>
            </w:r>
          </w:p>
        </w:tc>
        <w:tc>
          <w:tcPr>
            <w:tcW w:w="2243"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в/п – 19, отказ-65, п/п – 18, б/пр. - 46</w:t>
            </w:r>
          </w:p>
        </w:tc>
      </w:tr>
      <w:tr w:rsidR="00630798" w:rsidRPr="004D4D70" w:rsidTr="00630798">
        <w:trPr>
          <w:cantSplit/>
          <w:jc w:val="center"/>
        </w:trPr>
        <w:tc>
          <w:tcPr>
            <w:tcW w:w="650" w:type="dxa"/>
            <w:vMerge w:val="restart"/>
            <w:tcBorders>
              <w:left w:val="single" w:sz="4" w:space="0" w:color="auto"/>
              <w:right w:val="single" w:sz="4" w:space="0" w:color="auto"/>
            </w:tcBorders>
          </w:tcPr>
          <w:p w:rsidR="00630798" w:rsidRPr="004D4D70" w:rsidRDefault="00630798" w:rsidP="004D4D70">
            <w:pPr>
              <w:spacing w:after="0" w:line="240" w:lineRule="auto"/>
              <w:rPr>
                <w:rFonts w:ascii="Times New Roman" w:hAnsi="Times New Roman" w:cs="Times New Roman"/>
              </w:rPr>
            </w:pPr>
          </w:p>
          <w:p w:rsidR="00630798" w:rsidRPr="004D4D70" w:rsidRDefault="00630798" w:rsidP="004D4D70">
            <w:pPr>
              <w:spacing w:after="0" w:line="240" w:lineRule="auto"/>
              <w:rPr>
                <w:rFonts w:ascii="Times New Roman" w:hAnsi="Times New Roman" w:cs="Times New Roman"/>
              </w:rPr>
            </w:pPr>
          </w:p>
          <w:p w:rsidR="00630798" w:rsidRPr="004D4D70" w:rsidRDefault="00630798" w:rsidP="004D4D70">
            <w:pPr>
              <w:spacing w:after="0" w:line="240" w:lineRule="auto"/>
              <w:rPr>
                <w:rFonts w:ascii="Times New Roman" w:hAnsi="Times New Roman" w:cs="Times New Roman"/>
              </w:rPr>
            </w:pPr>
          </w:p>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t>2019</w:t>
            </w:r>
          </w:p>
        </w:tc>
        <w:tc>
          <w:tcPr>
            <w:tcW w:w="2473" w:type="dxa"/>
            <w:tcBorders>
              <w:lef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Аскаридоз</w:t>
            </w:r>
          </w:p>
        </w:tc>
        <w:tc>
          <w:tcPr>
            <w:tcW w:w="1401"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w:t>
            </w:r>
          </w:p>
        </w:tc>
        <w:tc>
          <w:tcPr>
            <w:tcW w:w="1276"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w:t>
            </w:r>
          </w:p>
        </w:tc>
        <w:tc>
          <w:tcPr>
            <w:tcW w:w="1134"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c>
          <w:tcPr>
            <w:tcW w:w="2243"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r>
      <w:tr w:rsidR="00630798" w:rsidRPr="004D4D70" w:rsidTr="00630798">
        <w:trPr>
          <w:cantSplit/>
          <w:jc w:val="center"/>
        </w:trPr>
        <w:tc>
          <w:tcPr>
            <w:tcW w:w="650" w:type="dxa"/>
            <w:vMerge/>
            <w:tcBorders>
              <w:left w:val="single" w:sz="4" w:space="0" w:color="auto"/>
              <w:right w:val="single" w:sz="4" w:space="0" w:color="auto"/>
            </w:tcBorders>
          </w:tcPr>
          <w:p w:rsidR="00630798" w:rsidRPr="004D4D70" w:rsidRDefault="00630798" w:rsidP="004D4D70">
            <w:pPr>
              <w:spacing w:after="0" w:line="240" w:lineRule="auto"/>
              <w:rPr>
                <w:rFonts w:ascii="Times New Roman" w:hAnsi="Times New Roman" w:cs="Times New Roman"/>
              </w:rPr>
            </w:pPr>
          </w:p>
        </w:tc>
        <w:tc>
          <w:tcPr>
            <w:tcW w:w="2473" w:type="dxa"/>
            <w:tcBorders>
              <w:lef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Энтеробиоз</w:t>
            </w:r>
          </w:p>
        </w:tc>
        <w:tc>
          <w:tcPr>
            <w:tcW w:w="1401"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58</w:t>
            </w:r>
          </w:p>
        </w:tc>
        <w:tc>
          <w:tcPr>
            <w:tcW w:w="1276"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58</w:t>
            </w:r>
          </w:p>
        </w:tc>
        <w:tc>
          <w:tcPr>
            <w:tcW w:w="1134"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c>
          <w:tcPr>
            <w:tcW w:w="2243"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r>
      <w:tr w:rsidR="00630798" w:rsidRPr="004D4D70" w:rsidTr="00630798">
        <w:trPr>
          <w:cantSplit/>
          <w:jc w:val="center"/>
        </w:trPr>
        <w:tc>
          <w:tcPr>
            <w:tcW w:w="650" w:type="dxa"/>
            <w:vMerge/>
            <w:tcBorders>
              <w:left w:val="single" w:sz="4" w:space="0" w:color="auto"/>
              <w:right w:val="single" w:sz="4" w:space="0" w:color="auto"/>
            </w:tcBorders>
          </w:tcPr>
          <w:p w:rsidR="00630798" w:rsidRPr="004D4D70" w:rsidRDefault="00630798" w:rsidP="004D4D70">
            <w:pPr>
              <w:spacing w:after="0" w:line="240" w:lineRule="auto"/>
              <w:rPr>
                <w:rFonts w:ascii="Times New Roman" w:hAnsi="Times New Roman" w:cs="Times New Roman"/>
              </w:rPr>
            </w:pPr>
          </w:p>
        </w:tc>
        <w:tc>
          <w:tcPr>
            <w:tcW w:w="2473" w:type="dxa"/>
            <w:tcBorders>
              <w:lef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Токсакороз</w:t>
            </w:r>
          </w:p>
        </w:tc>
        <w:tc>
          <w:tcPr>
            <w:tcW w:w="1401"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3</w:t>
            </w:r>
          </w:p>
        </w:tc>
        <w:tc>
          <w:tcPr>
            <w:tcW w:w="1276"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3</w:t>
            </w:r>
          </w:p>
        </w:tc>
        <w:tc>
          <w:tcPr>
            <w:tcW w:w="1134"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c>
          <w:tcPr>
            <w:tcW w:w="2243"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r>
      <w:tr w:rsidR="00630798" w:rsidRPr="004D4D70" w:rsidTr="00630798">
        <w:trPr>
          <w:cantSplit/>
          <w:jc w:val="center"/>
        </w:trPr>
        <w:tc>
          <w:tcPr>
            <w:tcW w:w="650" w:type="dxa"/>
            <w:vMerge/>
            <w:tcBorders>
              <w:left w:val="single" w:sz="4" w:space="0" w:color="auto"/>
              <w:right w:val="single" w:sz="4" w:space="0" w:color="auto"/>
            </w:tcBorders>
          </w:tcPr>
          <w:p w:rsidR="00630798" w:rsidRPr="004D4D70" w:rsidRDefault="00630798" w:rsidP="004D4D70">
            <w:pPr>
              <w:spacing w:after="0" w:line="240" w:lineRule="auto"/>
              <w:rPr>
                <w:rFonts w:ascii="Times New Roman" w:hAnsi="Times New Roman" w:cs="Times New Roman"/>
              </w:rPr>
            </w:pPr>
          </w:p>
        </w:tc>
        <w:tc>
          <w:tcPr>
            <w:tcW w:w="2473" w:type="dxa"/>
            <w:tcBorders>
              <w:lef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Лямблиоз</w:t>
            </w:r>
          </w:p>
        </w:tc>
        <w:tc>
          <w:tcPr>
            <w:tcW w:w="1401"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13</w:t>
            </w:r>
          </w:p>
        </w:tc>
        <w:tc>
          <w:tcPr>
            <w:tcW w:w="1276"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13</w:t>
            </w:r>
          </w:p>
        </w:tc>
        <w:tc>
          <w:tcPr>
            <w:tcW w:w="1134"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c>
          <w:tcPr>
            <w:tcW w:w="2243"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r>
      <w:tr w:rsidR="00630798" w:rsidRPr="004D4D70" w:rsidTr="00630798">
        <w:trPr>
          <w:cantSplit/>
          <w:jc w:val="center"/>
        </w:trPr>
        <w:tc>
          <w:tcPr>
            <w:tcW w:w="650" w:type="dxa"/>
            <w:vMerge/>
            <w:tcBorders>
              <w:left w:val="single" w:sz="4" w:space="0" w:color="auto"/>
              <w:right w:val="single" w:sz="4" w:space="0" w:color="auto"/>
            </w:tcBorders>
          </w:tcPr>
          <w:p w:rsidR="00630798" w:rsidRPr="004D4D70" w:rsidRDefault="00630798" w:rsidP="004D4D70">
            <w:pPr>
              <w:spacing w:after="0" w:line="240" w:lineRule="auto"/>
              <w:rPr>
                <w:rFonts w:ascii="Times New Roman" w:hAnsi="Times New Roman" w:cs="Times New Roman"/>
              </w:rPr>
            </w:pPr>
          </w:p>
        </w:tc>
        <w:tc>
          <w:tcPr>
            <w:tcW w:w="2473" w:type="dxa"/>
            <w:tcBorders>
              <w:lef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Трихинеллез</w:t>
            </w:r>
          </w:p>
        </w:tc>
        <w:tc>
          <w:tcPr>
            <w:tcW w:w="1401"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w:t>
            </w:r>
          </w:p>
        </w:tc>
        <w:tc>
          <w:tcPr>
            <w:tcW w:w="1276"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w:t>
            </w:r>
          </w:p>
        </w:tc>
        <w:tc>
          <w:tcPr>
            <w:tcW w:w="1134"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c>
          <w:tcPr>
            <w:tcW w:w="2243"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r>
      <w:tr w:rsidR="00630798" w:rsidRPr="004D4D70" w:rsidTr="00630798">
        <w:trPr>
          <w:cantSplit/>
          <w:jc w:val="center"/>
        </w:trPr>
        <w:tc>
          <w:tcPr>
            <w:tcW w:w="650" w:type="dxa"/>
            <w:vMerge/>
            <w:tcBorders>
              <w:left w:val="single" w:sz="4" w:space="0" w:color="auto"/>
              <w:right w:val="single" w:sz="4" w:space="0" w:color="auto"/>
            </w:tcBorders>
          </w:tcPr>
          <w:p w:rsidR="00630798" w:rsidRPr="004D4D70" w:rsidRDefault="00630798" w:rsidP="004D4D70">
            <w:pPr>
              <w:spacing w:after="0" w:line="240" w:lineRule="auto"/>
              <w:rPr>
                <w:rFonts w:ascii="Times New Roman" w:hAnsi="Times New Roman" w:cs="Times New Roman"/>
              </w:rPr>
            </w:pPr>
          </w:p>
        </w:tc>
        <w:tc>
          <w:tcPr>
            <w:tcW w:w="2473" w:type="dxa"/>
            <w:tcBorders>
              <w:lef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Дифилоботриоз</w:t>
            </w:r>
          </w:p>
        </w:tc>
        <w:tc>
          <w:tcPr>
            <w:tcW w:w="1401"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2</w:t>
            </w:r>
          </w:p>
        </w:tc>
        <w:tc>
          <w:tcPr>
            <w:tcW w:w="1276"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2</w:t>
            </w:r>
          </w:p>
        </w:tc>
        <w:tc>
          <w:tcPr>
            <w:tcW w:w="1134"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c>
          <w:tcPr>
            <w:tcW w:w="2243"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r>
      <w:tr w:rsidR="00630798" w:rsidRPr="004D4D70" w:rsidTr="00630798">
        <w:trPr>
          <w:cantSplit/>
          <w:jc w:val="center"/>
        </w:trPr>
        <w:tc>
          <w:tcPr>
            <w:tcW w:w="650" w:type="dxa"/>
            <w:vMerge/>
            <w:tcBorders>
              <w:left w:val="single" w:sz="4" w:space="0" w:color="auto"/>
              <w:right w:val="single" w:sz="4" w:space="0" w:color="auto"/>
            </w:tcBorders>
          </w:tcPr>
          <w:p w:rsidR="00630798" w:rsidRPr="004D4D70" w:rsidRDefault="00630798" w:rsidP="004D4D70">
            <w:pPr>
              <w:spacing w:after="0" w:line="240" w:lineRule="auto"/>
              <w:rPr>
                <w:rFonts w:ascii="Times New Roman" w:hAnsi="Times New Roman" w:cs="Times New Roman"/>
              </w:rPr>
            </w:pPr>
          </w:p>
        </w:tc>
        <w:tc>
          <w:tcPr>
            <w:tcW w:w="2473" w:type="dxa"/>
            <w:tcBorders>
              <w:lef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Описторхоз</w:t>
            </w:r>
          </w:p>
        </w:tc>
        <w:tc>
          <w:tcPr>
            <w:tcW w:w="1401"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151</w:t>
            </w:r>
          </w:p>
        </w:tc>
        <w:tc>
          <w:tcPr>
            <w:tcW w:w="1276"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91</w:t>
            </w:r>
          </w:p>
        </w:tc>
        <w:tc>
          <w:tcPr>
            <w:tcW w:w="1134"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60</w:t>
            </w:r>
          </w:p>
        </w:tc>
        <w:tc>
          <w:tcPr>
            <w:tcW w:w="2243"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б/пр. - 60</w:t>
            </w:r>
          </w:p>
        </w:tc>
      </w:tr>
      <w:tr w:rsidR="00630798" w:rsidRPr="004D4D70" w:rsidTr="00630798">
        <w:trPr>
          <w:cantSplit/>
          <w:jc w:val="center"/>
        </w:trPr>
        <w:tc>
          <w:tcPr>
            <w:tcW w:w="650" w:type="dxa"/>
            <w:tcBorders>
              <w:left w:val="single" w:sz="4" w:space="0" w:color="auto"/>
              <w:right w:val="single" w:sz="4" w:space="0" w:color="auto"/>
            </w:tcBorders>
          </w:tcPr>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t>2020</w:t>
            </w:r>
          </w:p>
        </w:tc>
        <w:tc>
          <w:tcPr>
            <w:tcW w:w="2473" w:type="dxa"/>
            <w:tcBorders>
              <w:lef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Аскаридоз</w:t>
            </w:r>
          </w:p>
        </w:tc>
        <w:tc>
          <w:tcPr>
            <w:tcW w:w="1401"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2</w:t>
            </w:r>
          </w:p>
        </w:tc>
        <w:tc>
          <w:tcPr>
            <w:tcW w:w="1276"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2</w:t>
            </w:r>
          </w:p>
        </w:tc>
        <w:tc>
          <w:tcPr>
            <w:tcW w:w="1134"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c>
          <w:tcPr>
            <w:tcW w:w="2243" w:type="dxa"/>
          </w:tcPr>
          <w:p w:rsidR="00630798" w:rsidRPr="004D4D70" w:rsidRDefault="00630798" w:rsidP="004D4D70">
            <w:pPr>
              <w:spacing w:after="0" w:line="240" w:lineRule="auto"/>
              <w:jc w:val="center"/>
              <w:rPr>
                <w:rFonts w:ascii="Times New Roman" w:hAnsi="Times New Roman" w:cs="Times New Roman"/>
              </w:rPr>
            </w:pPr>
          </w:p>
        </w:tc>
      </w:tr>
      <w:tr w:rsidR="00630798" w:rsidRPr="004D4D70" w:rsidTr="00630798">
        <w:trPr>
          <w:cantSplit/>
          <w:jc w:val="center"/>
        </w:trPr>
        <w:tc>
          <w:tcPr>
            <w:tcW w:w="650" w:type="dxa"/>
            <w:tcBorders>
              <w:left w:val="single" w:sz="4" w:space="0" w:color="auto"/>
              <w:right w:val="single" w:sz="4" w:space="0" w:color="auto"/>
            </w:tcBorders>
          </w:tcPr>
          <w:p w:rsidR="00630798" w:rsidRPr="004D4D70" w:rsidRDefault="00630798" w:rsidP="004D4D70">
            <w:pPr>
              <w:spacing w:after="0" w:line="240" w:lineRule="auto"/>
              <w:rPr>
                <w:rFonts w:ascii="Times New Roman" w:hAnsi="Times New Roman" w:cs="Times New Roman"/>
              </w:rPr>
            </w:pPr>
          </w:p>
        </w:tc>
        <w:tc>
          <w:tcPr>
            <w:tcW w:w="2473" w:type="dxa"/>
            <w:tcBorders>
              <w:lef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Энтеробиоз</w:t>
            </w:r>
          </w:p>
        </w:tc>
        <w:tc>
          <w:tcPr>
            <w:tcW w:w="1401" w:type="dxa"/>
          </w:tcPr>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t xml:space="preserve">         105</w:t>
            </w:r>
          </w:p>
        </w:tc>
        <w:tc>
          <w:tcPr>
            <w:tcW w:w="1276"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105</w:t>
            </w:r>
          </w:p>
        </w:tc>
        <w:tc>
          <w:tcPr>
            <w:tcW w:w="1134"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c>
          <w:tcPr>
            <w:tcW w:w="2243" w:type="dxa"/>
          </w:tcPr>
          <w:p w:rsidR="00630798" w:rsidRPr="004D4D70" w:rsidRDefault="00630798" w:rsidP="004D4D70">
            <w:pPr>
              <w:spacing w:after="0" w:line="240" w:lineRule="auto"/>
              <w:jc w:val="center"/>
              <w:rPr>
                <w:rFonts w:ascii="Times New Roman" w:hAnsi="Times New Roman" w:cs="Times New Roman"/>
              </w:rPr>
            </w:pPr>
          </w:p>
        </w:tc>
      </w:tr>
      <w:tr w:rsidR="00630798" w:rsidRPr="004D4D70" w:rsidTr="00630798">
        <w:trPr>
          <w:cantSplit/>
          <w:jc w:val="center"/>
        </w:trPr>
        <w:tc>
          <w:tcPr>
            <w:tcW w:w="650" w:type="dxa"/>
            <w:tcBorders>
              <w:left w:val="single" w:sz="4" w:space="0" w:color="auto"/>
              <w:right w:val="single" w:sz="4" w:space="0" w:color="auto"/>
            </w:tcBorders>
          </w:tcPr>
          <w:p w:rsidR="00630798" w:rsidRPr="004D4D70" w:rsidRDefault="00630798" w:rsidP="004D4D70">
            <w:pPr>
              <w:spacing w:after="0" w:line="240" w:lineRule="auto"/>
              <w:rPr>
                <w:rFonts w:ascii="Times New Roman" w:hAnsi="Times New Roman" w:cs="Times New Roman"/>
              </w:rPr>
            </w:pPr>
          </w:p>
        </w:tc>
        <w:tc>
          <w:tcPr>
            <w:tcW w:w="2473" w:type="dxa"/>
            <w:tcBorders>
              <w:lef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Лямблиоз</w:t>
            </w:r>
          </w:p>
        </w:tc>
        <w:tc>
          <w:tcPr>
            <w:tcW w:w="1401"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7</w:t>
            </w:r>
          </w:p>
        </w:tc>
        <w:tc>
          <w:tcPr>
            <w:tcW w:w="1276"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7</w:t>
            </w:r>
          </w:p>
        </w:tc>
        <w:tc>
          <w:tcPr>
            <w:tcW w:w="1134"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c>
          <w:tcPr>
            <w:tcW w:w="2243" w:type="dxa"/>
          </w:tcPr>
          <w:p w:rsidR="00630798" w:rsidRPr="004D4D70" w:rsidRDefault="00630798" w:rsidP="004D4D70">
            <w:pPr>
              <w:spacing w:after="0" w:line="240" w:lineRule="auto"/>
              <w:jc w:val="center"/>
              <w:rPr>
                <w:rFonts w:ascii="Times New Roman" w:hAnsi="Times New Roman" w:cs="Times New Roman"/>
              </w:rPr>
            </w:pPr>
          </w:p>
        </w:tc>
      </w:tr>
      <w:tr w:rsidR="00630798" w:rsidRPr="004D4D70" w:rsidTr="00630798">
        <w:trPr>
          <w:cantSplit/>
          <w:jc w:val="center"/>
        </w:trPr>
        <w:tc>
          <w:tcPr>
            <w:tcW w:w="650" w:type="dxa"/>
            <w:tcBorders>
              <w:left w:val="single" w:sz="4" w:space="0" w:color="auto"/>
              <w:right w:val="single" w:sz="4" w:space="0" w:color="auto"/>
            </w:tcBorders>
          </w:tcPr>
          <w:p w:rsidR="00630798" w:rsidRPr="004D4D70" w:rsidRDefault="00630798" w:rsidP="004D4D70">
            <w:pPr>
              <w:spacing w:after="0" w:line="240" w:lineRule="auto"/>
              <w:rPr>
                <w:rFonts w:ascii="Times New Roman" w:hAnsi="Times New Roman" w:cs="Times New Roman"/>
              </w:rPr>
            </w:pPr>
          </w:p>
        </w:tc>
        <w:tc>
          <w:tcPr>
            <w:tcW w:w="2473" w:type="dxa"/>
            <w:tcBorders>
              <w:lef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Описторхоз</w:t>
            </w:r>
          </w:p>
        </w:tc>
        <w:tc>
          <w:tcPr>
            <w:tcW w:w="1401"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53</w:t>
            </w:r>
          </w:p>
        </w:tc>
        <w:tc>
          <w:tcPr>
            <w:tcW w:w="1276"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51</w:t>
            </w:r>
          </w:p>
        </w:tc>
        <w:tc>
          <w:tcPr>
            <w:tcW w:w="1134"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3</w:t>
            </w:r>
          </w:p>
        </w:tc>
        <w:tc>
          <w:tcPr>
            <w:tcW w:w="2243"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б/пр. -3</w:t>
            </w:r>
          </w:p>
        </w:tc>
      </w:tr>
    </w:tbl>
    <w:p w:rsidR="00630798" w:rsidRPr="004D4D70" w:rsidRDefault="00630798" w:rsidP="004D4D70">
      <w:pPr>
        <w:pStyle w:val="24"/>
        <w:spacing w:after="0" w:line="240" w:lineRule="auto"/>
        <w:rPr>
          <w:highlight w:val="yellow"/>
        </w:rPr>
      </w:pPr>
    </w:p>
    <w:p w:rsidR="00630798" w:rsidRPr="004D4D70" w:rsidRDefault="00630798" w:rsidP="004D4D70">
      <w:pPr>
        <w:pStyle w:val="24"/>
        <w:spacing w:after="0" w:line="240" w:lineRule="auto"/>
        <w:ind w:firstLine="425"/>
        <w:jc w:val="both"/>
        <w:rPr>
          <w:sz w:val="24"/>
          <w:szCs w:val="24"/>
        </w:rPr>
      </w:pPr>
      <w:r w:rsidRPr="004D4D70">
        <w:rPr>
          <w:sz w:val="24"/>
          <w:szCs w:val="24"/>
        </w:rPr>
        <w:t>В 2020г снизилось количество непролеченных от  паразитарных заболеваний по территории города от  населения по г. Пыть-Ях с составило 1,8%, тогда как в 2019г- 26%, 2018г-43,8%( табл № 40).</w:t>
      </w:r>
    </w:p>
    <w:p w:rsidR="00630798" w:rsidRPr="004D4D70" w:rsidRDefault="00630798" w:rsidP="004D4D70">
      <w:pPr>
        <w:pStyle w:val="24"/>
        <w:spacing w:after="0" w:line="240" w:lineRule="auto"/>
        <w:ind w:firstLine="425"/>
        <w:jc w:val="both"/>
        <w:rPr>
          <w:sz w:val="24"/>
          <w:szCs w:val="24"/>
        </w:rPr>
      </w:pPr>
      <w:r w:rsidRPr="004D4D70">
        <w:rPr>
          <w:sz w:val="24"/>
          <w:szCs w:val="24"/>
        </w:rPr>
        <w:t>В 2020 году, по  сравнению с 2019 и 2018 годом наблюдается резкое снижение количества обследуемого населения- на 49,3 % и 38,9 % соответственно. ( табл</w:t>
      </w:r>
      <w:r w:rsidR="004D4D70">
        <w:rPr>
          <w:sz w:val="24"/>
          <w:szCs w:val="24"/>
          <w:lang w:val="ru-RU"/>
        </w:rPr>
        <w:t>.</w:t>
      </w:r>
      <w:r w:rsidRPr="004D4D70">
        <w:rPr>
          <w:sz w:val="24"/>
          <w:szCs w:val="24"/>
        </w:rPr>
        <w:t xml:space="preserve"> № 41).</w:t>
      </w:r>
    </w:p>
    <w:p w:rsidR="00630798" w:rsidRPr="004D4D70" w:rsidRDefault="00630798" w:rsidP="004D4D70">
      <w:pPr>
        <w:spacing w:after="0" w:line="240" w:lineRule="auto"/>
        <w:rPr>
          <w:rFonts w:ascii="Times New Roman" w:hAnsi="Times New Roman" w:cs="Times New Roman"/>
          <w:highlight w:val="yellow"/>
        </w:rPr>
      </w:pPr>
    </w:p>
    <w:p w:rsidR="00630798" w:rsidRPr="004D4D70" w:rsidRDefault="00630798" w:rsidP="004D4D70">
      <w:pPr>
        <w:spacing w:after="0" w:line="240" w:lineRule="auto"/>
        <w:jc w:val="right"/>
        <w:rPr>
          <w:rFonts w:ascii="Times New Roman" w:hAnsi="Times New Roman" w:cs="Times New Roman"/>
        </w:rPr>
      </w:pPr>
      <w:r w:rsidRPr="004D4D70">
        <w:rPr>
          <w:rFonts w:ascii="Times New Roman" w:hAnsi="Times New Roman" w:cs="Times New Roman"/>
        </w:rPr>
        <w:t>Таблица № 41</w:t>
      </w:r>
    </w:p>
    <w:p w:rsidR="00630798" w:rsidRPr="004D4D70" w:rsidRDefault="00630798" w:rsidP="004D4D70">
      <w:pPr>
        <w:spacing w:after="0" w:line="240" w:lineRule="auto"/>
        <w:ind w:firstLine="709"/>
        <w:jc w:val="center"/>
        <w:rPr>
          <w:rFonts w:ascii="Times New Roman" w:hAnsi="Times New Roman" w:cs="Times New Roman"/>
          <w:b/>
          <w:sz w:val="24"/>
          <w:szCs w:val="24"/>
        </w:rPr>
      </w:pPr>
      <w:r w:rsidRPr="004D4D70">
        <w:rPr>
          <w:rFonts w:ascii="Times New Roman" w:hAnsi="Times New Roman" w:cs="Times New Roman"/>
          <w:b/>
          <w:sz w:val="24"/>
          <w:szCs w:val="24"/>
        </w:rPr>
        <w:t>Обследование и дегельминтизация населения в 2018-2020г</w:t>
      </w:r>
    </w:p>
    <w:p w:rsidR="00630798" w:rsidRPr="004D4D70" w:rsidRDefault="00630798" w:rsidP="004D4D70">
      <w:pPr>
        <w:spacing w:after="0" w:line="240" w:lineRule="auto"/>
        <w:ind w:firstLine="709"/>
        <w:jc w:val="center"/>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2339"/>
        <w:gridCol w:w="3060"/>
        <w:gridCol w:w="3060"/>
      </w:tblGrid>
      <w:tr w:rsidR="00630798" w:rsidRPr="004D4D70" w:rsidTr="00630798">
        <w:trPr>
          <w:jc w:val="center"/>
        </w:trPr>
        <w:tc>
          <w:tcPr>
            <w:tcW w:w="2339"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Год</w:t>
            </w:r>
          </w:p>
        </w:tc>
        <w:tc>
          <w:tcPr>
            <w:tcW w:w="3060"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Обследован/выявлено/процент</w:t>
            </w:r>
          </w:p>
        </w:tc>
        <w:tc>
          <w:tcPr>
            <w:tcW w:w="3060"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Дегельминтизировано/%</w:t>
            </w:r>
          </w:p>
        </w:tc>
      </w:tr>
      <w:tr w:rsidR="00630798" w:rsidRPr="004D4D70" w:rsidTr="00630798">
        <w:trPr>
          <w:jc w:val="center"/>
        </w:trPr>
        <w:tc>
          <w:tcPr>
            <w:tcW w:w="2339"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2018</w:t>
            </w:r>
          </w:p>
        </w:tc>
        <w:tc>
          <w:tcPr>
            <w:tcW w:w="3060"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39746/341/0,9</w:t>
            </w:r>
          </w:p>
        </w:tc>
        <w:tc>
          <w:tcPr>
            <w:tcW w:w="3060"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188/55,1</w:t>
            </w:r>
          </w:p>
        </w:tc>
      </w:tr>
      <w:tr w:rsidR="00630798" w:rsidRPr="004D4D70" w:rsidTr="00630798">
        <w:trPr>
          <w:jc w:val="center"/>
        </w:trPr>
        <w:tc>
          <w:tcPr>
            <w:tcW w:w="2339"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2019</w:t>
            </w:r>
          </w:p>
        </w:tc>
        <w:tc>
          <w:tcPr>
            <w:tcW w:w="3060"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47872/231/0,5</w:t>
            </w:r>
          </w:p>
        </w:tc>
        <w:tc>
          <w:tcPr>
            <w:tcW w:w="3060"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170/73,6</w:t>
            </w:r>
          </w:p>
        </w:tc>
      </w:tr>
      <w:tr w:rsidR="00630798" w:rsidRPr="004D4D70" w:rsidTr="00630798">
        <w:trPr>
          <w:jc w:val="center"/>
        </w:trPr>
        <w:tc>
          <w:tcPr>
            <w:tcW w:w="2339"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2020</w:t>
            </w:r>
          </w:p>
        </w:tc>
        <w:tc>
          <w:tcPr>
            <w:tcW w:w="3060"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24259/167/0,68</w:t>
            </w:r>
          </w:p>
        </w:tc>
        <w:tc>
          <w:tcPr>
            <w:tcW w:w="3060" w:type="dxa"/>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164/ 98,2</w:t>
            </w:r>
          </w:p>
        </w:tc>
      </w:tr>
    </w:tbl>
    <w:p w:rsidR="00630798" w:rsidRPr="004D4D70" w:rsidRDefault="00630798" w:rsidP="004D4D70">
      <w:pPr>
        <w:spacing w:after="0" w:line="240" w:lineRule="auto"/>
        <w:ind w:firstLine="709"/>
        <w:jc w:val="center"/>
        <w:rPr>
          <w:rFonts w:ascii="Times New Roman" w:hAnsi="Times New Roman" w:cs="Times New Roman"/>
          <w:highlight w:val="yellow"/>
        </w:rPr>
      </w:pPr>
    </w:p>
    <w:p w:rsidR="00630798" w:rsidRPr="004D4D70" w:rsidRDefault="00630798" w:rsidP="004D4D70">
      <w:pPr>
        <w:pStyle w:val="a7"/>
        <w:jc w:val="both"/>
        <w:rPr>
          <w:sz w:val="24"/>
          <w:szCs w:val="24"/>
        </w:rPr>
      </w:pPr>
      <w:r w:rsidRPr="004D4D70">
        <w:rPr>
          <w:szCs w:val="24"/>
        </w:rPr>
        <w:tab/>
      </w:r>
      <w:r w:rsidRPr="004D4D70">
        <w:rPr>
          <w:sz w:val="24"/>
          <w:szCs w:val="24"/>
        </w:rPr>
        <w:t>Высокая эндемичность гельминтозов обусловлена сочетанием природных и социальных факторов, благоприятных для описторхоза:</w:t>
      </w:r>
    </w:p>
    <w:p w:rsidR="00630798" w:rsidRPr="004D4D70" w:rsidRDefault="00630798" w:rsidP="006A23B3">
      <w:pPr>
        <w:pStyle w:val="a7"/>
        <w:numPr>
          <w:ilvl w:val="0"/>
          <w:numId w:val="10"/>
        </w:numPr>
        <w:ind w:left="0" w:firstLine="567"/>
        <w:jc w:val="both"/>
        <w:rPr>
          <w:sz w:val="24"/>
          <w:szCs w:val="24"/>
        </w:rPr>
      </w:pPr>
      <w:r w:rsidRPr="004D4D70">
        <w:rPr>
          <w:sz w:val="24"/>
          <w:szCs w:val="24"/>
        </w:rPr>
        <w:t>функционирование многочисленных биотипов промежуточного хозяина паразита;</w:t>
      </w:r>
    </w:p>
    <w:p w:rsidR="00630798" w:rsidRPr="004D4D70" w:rsidRDefault="00630798" w:rsidP="006A23B3">
      <w:pPr>
        <w:pStyle w:val="a7"/>
        <w:numPr>
          <w:ilvl w:val="0"/>
          <w:numId w:val="10"/>
        </w:numPr>
        <w:ind w:left="0" w:firstLine="567"/>
        <w:jc w:val="both"/>
        <w:rPr>
          <w:sz w:val="24"/>
          <w:szCs w:val="24"/>
        </w:rPr>
      </w:pPr>
      <w:r w:rsidRPr="004D4D70">
        <w:rPr>
          <w:sz w:val="24"/>
          <w:szCs w:val="24"/>
        </w:rPr>
        <w:t>недостаточная степень благоустройства населенных мест, расположенных по берегам малых рек;</w:t>
      </w:r>
    </w:p>
    <w:p w:rsidR="00630798" w:rsidRPr="004D4D70" w:rsidRDefault="00630798" w:rsidP="006A23B3">
      <w:pPr>
        <w:pStyle w:val="a7"/>
        <w:numPr>
          <w:ilvl w:val="0"/>
          <w:numId w:val="10"/>
        </w:numPr>
        <w:ind w:left="0" w:firstLine="567"/>
        <w:jc w:val="both"/>
        <w:rPr>
          <w:sz w:val="24"/>
          <w:szCs w:val="24"/>
        </w:rPr>
      </w:pPr>
      <w:r w:rsidRPr="004D4D70">
        <w:rPr>
          <w:sz w:val="24"/>
          <w:szCs w:val="24"/>
        </w:rPr>
        <w:t>развитое любительское рыболовство;</w:t>
      </w:r>
    </w:p>
    <w:p w:rsidR="00630798" w:rsidRPr="004D4D70" w:rsidRDefault="00630798" w:rsidP="006A23B3">
      <w:pPr>
        <w:pStyle w:val="a7"/>
        <w:numPr>
          <w:ilvl w:val="0"/>
          <w:numId w:val="10"/>
        </w:numPr>
        <w:ind w:left="0" w:firstLine="567"/>
        <w:jc w:val="both"/>
        <w:rPr>
          <w:sz w:val="24"/>
          <w:szCs w:val="24"/>
        </w:rPr>
      </w:pPr>
      <w:r w:rsidRPr="004D4D70">
        <w:rPr>
          <w:sz w:val="24"/>
          <w:szCs w:val="24"/>
        </w:rPr>
        <w:t>употребление в пищу малосоленую и сырую рыбу;</w:t>
      </w:r>
    </w:p>
    <w:p w:rsidR="00630798" w:rsidRPr="004D4D70" w:rsidRDefault="00630798" w:rsidP="006A23B3">
      <w:pPr>
        <w:pStyle w:val="a7"/>
        <w:numPr>
          <w:ilvl w:val="0"/>
          <w:numId w:val="10"/>
        </w:numPr>
        <w:ind w:left="0" w:firstLine="567"/>
        <w:jc w:val="both"/>
        <w:rPr>
          <w:sz w:val="24"/>
          <w:szCs w:val="24"/>
        </w:rPr>
      </w:pPr>
      <w:r w:rsidRPr="004D4D70">
        <w:rPr>
          <w:sz w:val="24"/>
          <w:szCs w:val="24"/>
        </w:rPr>
        <w:t>нарушение технологического режима производствам рыбной продукции, а также правил ее реализации;</w:t>
      </w:r>
    </w:p>
    <w:p w:rsidR="00630798" w:rsidRPr="004D4D70" w:rsidRDefault="00630798" w:rsidP="004D4D70">
      <w:pPr>
        <w:pStyle w:val="a7"/>
        <w:ind w:firstLine="567"/>
        <w:jc w:val="both"/>
        <w:rPr>
          <w:sz w:val="24"/>
          <w:szCs w:val="24"/>
        </w:rPr>
      </w:pPr>
      <w:r w:rsidRPr="004D4D70">
        <w:rPr>
          <w:sz w:val="24"/>
          <w:szCs w:val="24"/>
        </w:rPr>
        <w:tab/>
        <w:t>Задачи по профилактики гельминтозов на 2020 год:</w:t>
      </w:r>
    </w:p>
    <w:p w:rsidR="00630798" w:rsidRPr="004D4D70" w:rsidRDefault="00630798" w:rsidP="004D4D70">
      <w:pPr>
        <w:spacing w:after="0" w:line="240" w:lineRule="auto"/>
        <w:ind w:firstLine="567"/>
        <w:jc w:val="both"/>
        <w:rPr>
          <w:rFonts w:ascii="Times New Roman" w:hAnsi="Times New Roman" w:cs="Times New Roman"/>
          <w:sz w:val="24"/>
          <w:szCs w:val="24"/>
        </w:rPr>
      </w:pPr>
      <w:r w:rsidRPr="004D4D70">
        <w:rPr>
          <w:rFonts w:ascii="Times New Roman" w:hAnsi="Times New Roman" w:cs="Times New Roman"/>
          <w:sz w:val="24"/>
          <w:szCs w:val="24"/>
        </w:rPr>
        <w:t>- Активизировать работу лечебно-профилактической сети по диагностике, лечению, диспансерному наблюдению (контрольные сроки обследования), профилактике паразитарных заболеваний, в т.ч. наиболее распространенных гельминтозов, кишечных протозоозов;</w:t>
      </w:r>
    </w:p>
    <w:p w:rsidR="00630798" w:rsidRPr="004D4D70" w:rsidRDefault="00630798" w:rsidP="004D4D70">
      <w:pPr>
        <w:pStyle w:val="a7"/>
        <w:ind w:firstLine="567"/>
        <w:jc w:val="both"/>
        <w:rPr>
          <w:sz w:val="24"/>
          <w:szCs w:val="24"/>
        </w:rPr>
      </w:pPr>
      <w:r w:rsidRPr="004D4D70">
        <w:rPr>
          <w:sz w:val="24"/>
          <w:szCs w:val="24"/>
        </w:rPr>
        <w:t>-Осуществлять контроль за качеством проводимых противоэпидемических мероприятий по профилактике гильментозов в детских учреждениях и других эпидемически значимых объектах;</w:t>
      </w:r>
    </w:p>
    <w:p w:rsidR="00630798" w:rsidRPr="004D4D70" w:rsidRDefault="00630798" w:rsidP="004D4D70">
      <w:pPr>
        <w:pStyle w:val="a7"/>
        <w:ind w:firstLine="567"/>
        <w:jc w:val="both"/>
        <w:rPr>
          <w:sz w:val="24"/>
          <w:szCs w:val="24"/>
        </w:rPr>
      </w:pPr>
      <w:r w:rsidRPr="004D4D70">
        <w:rPr>
          <w:sz w:val="24"/>
          <w:szCs w:val="24"/>
        </w:rPr>
        <w:t>-Осуществлять контроль за своевременностью и полнотой обследования декретированных контингентов на энтеробиоз.</w:t>
      </w:r>
    </w:p>
    <w:p w:rsidR="00630798" w:rsidRPr="004D4D70" w:rsidRDefault="00630798" w:rsidP="004D4D70">
      <w:pPr>
        <w:pStyle w:val="a7"/>
        <w:ind w:firstLine="567"/>
        <w:jc w:val="both"/>
        <w:rPr>
          <w:sz w:val="24"/>
          <w:szCs w:val="24"/>
        </w:rPr>
      </w:pPr>
      <w:r w:rsidRPr="004D4D70">
        <w:rPr>
          <w:sz w:val="24"/>
          <w:szCs w:val="24"/>
        </w:rPr>
        <w:t>-Продолжить внедрение в работу клинико-диагностических лабораторий ЛПУ города и лабораторий ФФБУЗ «Центр гигиены и эпидемиологии в ХМАО-Югре» наиболее эффективных методов диагностики гельминтозов, кишечных протозоозов, включая серологические, а также новых нормативных документов, касающихся профилактики паразитозов;</w:t>
      </w:r>
    </w:p>
    <w:p w:rsidR="00630798" w:rsidRPr="004D4D70" w:rsidRDefault="00630798" w:rsidP="004D4D70">
      <w:pPr>
        <w:pStyle w:val="a7"/>
        <w:ind w:firstLine="567"/>
        <w:jc w:val="both"/>
        <w:rPr>
          <w:sz w:val="24"/>
          <w:szCs w:val="24"/>
        </w:rPr>
      </w:pPr>
      <w:r w:rsidRPr="004D4D70">
        <w:rPr>
          <w:sz w:val="24"/>
          <w:szCs w:val="24"/>
        </w:rPr>
        <w:t>-осуществлять контроль за  препаратами, используемыми для обеззараживания сточной воды и осадка  сточных вод на очистных сооружениях округа.</w:t>
      </w:r>
    </w:p>
    <w:p w:rsidR="00630798" w:rsidRPr="004D4D70" w:rsidRDefault="00630798" w:rsidP="004D4D70">
      <w:pPr>
        <w:pStyle w:val="a7"/>
        <w:jc w:val="center"/>
        <w:rPr>
          <w:b/>
          <w:sz w:val="24"/>
          <w:szCs w:val="24"/>
        </w:rPr>
      </w:pPr>
      <w:r w:rsidRPr="004D4D70">
        <w:rPr>
          <w:b/>
          <w:sz w:val="24"/>
          <w:szCs w:val="24"/>
        </w:rPr>
        <w:t>Малярия</w:t>
      </w:r>
    </w:p>
    <w:p w:rsidR="00630798" w:rsidRPr="004D4D70" w:rsidRDefault="00630798" w:rsidP="004D4D70">
      <w:pPr>
        <w:spacing w:after="0" w:line="240" w:lineRule="auto"/>
        <w:ind w:firstLine="708"/>
        <w:jc w:val="both"/>
        <w:rPr>
          <w:rFonts w:ascii="Times New Roman" w:hAnsi="Times New Roman" w:cs="Times New Roman"/>
          <w:noProof/>
          <w:sz w:val="24"/>
          <w:szCs w:val="24"/>
        </w:rPr>
      </w:pPr>
      <w:r w:rsidRPr="004D4D70">
        <w:rPr>
          <w:rFonts w:ascii="Times New Roman" w:hAnsi="Times New Roman" w:cs="Times New Roman"/>
          <w:noProof/>
          <w:sz w:val="24"/>
          <w:szCs w:val="24"/>
        </w:rPr>
        <w:t>В 2018-2020 гг. на территории г. Пыть – Ях случаев заболеваемости малярией не зарегистрировано.</w:t>
      </w:r>
    </w:p>
    <w:p w:rsidR="00630798" w:rsidRPr="004D4D70" w:rsidRDefault="00630798" w:rsidP="004D4D70">
      <w:pPr>
        <w:spacing w:after="0" w:line="240" w:lineRule="auto"/>
        <w:ind w:firstLine="567"/>
        <w:jc w:val="both"/>
        <w:rPr>
          <w:rFonts w:ascii="Times New Roman" w:hAnsi="Times New Roman" w:cs="Times New Roman"/>
          <w:sz w:val="24"/>
          <w:szCs w:val="24"/>
        </w:rPr>
      </w:pPr>
      <w:r w:rsidRPr="004D4D70">
        <w:rPr>
          <w:rFonts w:ascii="Times New Roman" w:hAnsi="Times New Roman" w:cs="Times New Roman"/>
          <w:sz w:val="24"/>
          <w:szCs w:val="24"/>
        </w:rPr>
        <w:lastRenderedPageBreak/>
        <w:t>Основными задачами   по предупреждению возникновения местных случаев малярии являются:</w:t>
      </w:r>
    </w:p>
    <w:p w:rsidR="00630798" w:rsidRPr="004D4D70" w:rsidRDefault="00630798" w:rsidP="004D4D70">
      <w:pPr>
        <w:spacing w:after="0" w:line="240" w:lineRule="auto"/>
        <w:ind w:firstLine="567"/>
        <w:jc w:val="both"/>
        <w:rPr>
          <w:rFonts w:ascii="Times New Roman" w:hAnsi="Times New Roman" w:cs="Times New Roman"/>
          <w:sz w:val="24"/>
          <w:szCs w:val="24"/>
        </w:rPr>
      </w:pPr>
      <w:r w:rsidRPr="004D4D70">
        <w:rPr>
          <w:rFonts w:ascii="Times New Roman" w:hAnsi="Times New Roman" w:cs="Times New Roman"/>
          <w:sz w:val="24"/>
          <w:szCs w:val="24"/>
        </w:rPr>
        <w:t>- взаимодействие с паспортно-визовой и миграционной службами с целью осуществления учета лиц, прибывающих на территории области из стран и республик с высоким маляриогенным потенциалом;</w:t>
      </w:r>
    </w:p>
    <w:p w:rsidR="00630798" w:rsidRPr="004D4D70" w:rsidRDefault="00630798" w:rsidP="004D4D70">
      <w:pPr>
        <w:spacing w:after="0" w:line="240" w:lineRule="auto"/>
        <w:ind w:firstLine="567"/>
        <w:jc w:val="both"/>
        <w:rPr>
          <w:rFonts w:ascii="Times New Roman" w:hAnsi="Times New Roman" w:cs="Times New Roman"/>
          <w:sz w:val="24"/>
          <w:szCs w:val="24"/>
        </w:rPr>
      </w:pPr>
      <w:r w:rsidRPr="004D4D70">
        <w:rPr>
          <w:rFonts w:ascii="Times New Roman" w:hAnsi="Times New Roman" w:cs="Times New Roman"/>
          <w:sz w:val="24"/>
          <w:szCs w:val="24"/>
        </w:rPr>
        <w:t xml:space="preserve"> - оказание методической   помощи менеджерам туристических фирм по вопросам профилактики и предупреждения заболевания  малярией;</w:t>
      </w:r>
    </w:p>
    <w:p w:rsidR="00630798" w:rsidRPr="004D4D70" w:rsidRDefault="00630798" w:rsidP="004D4D70">
      <w:pPr>
        <w:spacing w:after="0" w:line="240" w:lineRule="auto"/>
        <w:ind w:firstLine="567"/>
        <w:jc w:val="both"/>
        <w:rPr>
          <w:rFonts w:ascii="Times New Roman" w:hAnsi="Times New Roman" w:cs="Times New Roman"/>
          <w:sz w:val="24"/>
          <w:szCs w:val="24"/>
        </w:rPr>
      </w:pPr>
      <w:r w:rsidRPr="004D4D70">
        <w:rPr>
          <w:rFonts w:ascii="Times New Roman" w:hAnsi="Times New Roman" w:cs="Times New Roman"/>
          <w:sz w:val="24"/>
          <w:szCs w:val="24"/>
        </w:rPr>
        <w:t>- усиление эпиднадзора за малярией, в части осуществления мероприятий направленных на раннее выявление больных и паразитоносителей малярии;</w:t>
      </w:r>
    </w:p>
    <w:p w:rsidR="00630798" w:rsidRPr="004D4D70" w:rsidRDefault="00630798" w:rsidP="004D4D70">
      <w:pPr>
        <w:spacing w:after="0" w:line="240" w:lineRule="auto"/>
        <w:ind w:firstLine="567"/>
        <w:jc w:val="both"/>
        <w:rPr>
          <w:rFonts w:ascii="Times New Roman" w:hAnsi="Times New Roman" w:cs="Times New Roman"/>
          <w:sz w:val="24"/>
          <w:szCs w:val="24"/>
        </w:rPr>
      </w:pPr>
      <w:r w:rsidRPr="004D4D70">
        <w:rPr>
          <w:rFonts w:ascii="Times New Roman" w:hAnsi="Times New Roman" w:cs="Times New Roman"/>
          <w:sz w:val="24"/>
          <w:szCs w:val="24"/>
        </w:rPr>
        <w:t xml:space="preserve"> - осуществление контроля  в  лечебно-профилактических учреждениях в вопросах лабораторной диагностики малярии;</w:t>
      </w:r>
    </w:p>
    <w:p w:rsidR="00630798" w:rsidRPr="004D4D70" w:rsidRDefault="00630798" w:rsidP="004D4D70">
      <w:pPr>
        <w:spacing w:after="0" w:line="240" w:lineRule="auto"/>
        <w:ind w:firstLine="567"/>
        <w:jc w:val="both"/>
        <w:rPr>
          <w:rFonts w:ascii="Times New Roman" w:hAnsi="Times New Roman" w:cs="Times New Roman"/>
          <w:sz w:val="24"/>
          <w:szCs w:val="24"/>
        </w:rPr>
      </w:pPr>
      <w:r w:rsidRPr="004D4D70">
        <w:rPr>
          <w:rFonts w:ascii="Times New Roman" w:hAnsi="Times New Roman" w:cs="Times New Roman"/>
          <w:sz w:val="24"/>
          <w:szCs w:val="24"/>
        </w:rPr>
        <w:t xml:space="preserve">- работа с населением  по вопросам    личной профилактики малярии. </w:t>
      </w:r>
    </w:p>
    <w:p w:rsidR="00630798" w:rsidRPr="004D4D70" w:rsidRDefault="00630798" w:rsidP="004D4D70">
      <w:pPr>
        <w:pStyle w:val="24"/>
        <w:spacing w:after="0" w:line="240" w:lineRule="auto"/>
        <w:ind w:firstLine="567"/>
        <w:rPr>
          <w:sz w:val="24"/>
          <w:szCs w:val="24"/>
        </w:rPr>
      </w:pPr>
      <w:r w:rsidRPr="004D4D70">
        <w:rPr>
          <w:sz w:val="24"/>
          <w:szCs w:val="24"/>
        </w:rPr>
        <w:t xml:space="preserve">В 2020 г. на территории г. Пыть – Ях проведены дезинсекционные мероприятия: обработано помещений от комаров 33 объекта (физическая площадь составила 23 тыс.кв.м., оперативная площадь – 23 тыс.кв.м.).  На открытых территориях обработан  1 объект. (физическая площадь составила 204,69  тыс.кв.м., оперативная площадь – 409,38 тыс.кв.м.) </w:t>
      </w:r>
    </w:p>
    <w:p w:rsidR="00630798" w:rsidRPr="004D4D70" w:rsidRDefault="00630798" w:rsidP="004D4D70">
      <w:pPr>
        <w:spacing w:after="0" w:line="240" w:lineRule="auto"/>
        <w:jc w:val="right"/>
        <w:rPr>
          <w:rFonts w:ascii="Times New Roman" w:hAnsi="Times New Roman" w:cs="Times New Roman"/>
        </w:rPr>
      </w:pPr>
      <w:r w:rsidRPr="004D4D70">
        <w:rPr>
          <w:rFonts w:ascii="Times New Roman" w:hAnsi="Times New Roman" w:cs="Times New Roman"/>
        </w:rPr>
        <w:t>Таблица № 42</w:t>
      </w:r>
    </w:p>
    <w:p w:rsidR="00630798" w:rsidRPr="004D4D70" w:rsidRDefault="00630798" w:rsidP="004D4D70">
      <w:pPr>
        <w:pStyle w:val="a5"/>
        <w:ind w:firstLine="709"/>
        <w:rPr>
          <w:b/>
          <w:sz w:val="22"/>
          <w:szCs w:val="22"/>
        </w:rPr>
      </w:pPr>
      <w:r w:rsidRPr="004D4D70">
        <w:rPr>
          <w:b/>
          <w:sz w:val="22"/>
          <w:szCs w:val="22"/>
        </w:rPr>
        <w:t>Динамика заболеваемости кожными заболеваниями, малярией за 201</w:t>
      </w:r>
      <w:r w:rsidRPr="004D4D70">
        <w:rPr>
          <w:b/>
          <w:sz w:val="22"/>
          <w:szCs w:val="22"/>
          <w:lang w:val="ru-RU"/>
        </w:rPr>
        <w:t>8</w:t>
      </w:r>
      <w:r w:rsidRPr="004D4D70">
        <w:rPr>
          <w:b/>
          <w:sz w:val="22"/>
          <w:szCs w:val="22"/>
        </w:rPr>
        <w:t>-20</w:t>
      </w:r>
      <w:r w:rsidRPr="004D4D70">
        <w:rPr>
          <w:b/>
          <w:sz w:val="22"/>
          <w:szCs w:val="22"/>
          <w:lang w:val="ru-RU"/>
        </w:rPr>
        <w:t xml:space="preserve">20 </w:t>
      </w:r>
      <w:r w:rsidRPr="004D4D70">
        <w:rPr>
          <w:b/>
          <w:sz w:val="22"/>
          <w:szCs w:val="22"/>
        </w:rPr>
        <w:t>гг.</w:t>
      </w:r>
    </w:p>
    <w:p w:rsidR="00630798" w:rsidRPr="004D4D70" w:rsidRDefault="00630798" w:rsidP="004D4D70">
      <w:pPr>
        <w:pStyle w:val="a5"/>
        <w:ind w:firstLine="709"/>
        <w:jc w:val="both"/>
        <w:rPr>
          <w:b/>
          <w:sz w:val="22"/>
          <w:szCs w:val="22"/>
          <w:highlight w:val="yellow"/>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933"/>
        <w:gridCol w:w="39"/>
        <w:gridCol w:w="1082"/>
        <w:gridCol w:w="52"/>
        <w:gridCol w:w="992"/>
        <w:gridCol w:w="25"/>
        <w:gridCol w:w="968"/>
        <w:gridCol w:w="37"/>
        <w:gridCol w:w="1097"/>
        <w:gridCol w:w="78"/>
        <w:gridCol w:w="1197"/>
        <w:gridCol w:w="13"/>
        <w:gridCol w:w="1212"/>
        <w:gridCol w:w="51"/>
      </w:tblGrid>
      <w:tr w:rsidR="00630798" w:rsidRPr="004D4D70" w:rsidTr="004D4D70">
        <w:trPr>
          <w:cantSplit/>
          <w:trHeight w:val="330"/>
          <w:jc w:val="center"/>
        </w:trPr>
        <w:tc>
          <w:tcPr>
            <w:tcW w:w="2972" w:type="dxa"/>
            <w:gridSpan w:val="2"/>
            <w:vMerge w:val="restart"/>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нозология</w:t>
            </w:r>
          </w:p>
        </w:tc>
        <w:tc>
          <w:tcPr>
            <w:tcW w:w="2126" w:type="dxa"/>
            <w:gridSpan w:val="3"/>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2018 г</w:t>
            </w:r>
          </w:p>
        </w:tc>
        <w:tc>
          <w:tcPr>
            <w:tcW w:w="2127" w:type="dxa"/>
            <w:gridSpan w:val="4"/>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2019 г</w:t>
            </w:r>
          </w:p>
        </w:tc>
        <w:tc>
          <w:tcPr>
            <w:tcW w:w="2551" w:type="dxa"/>
            <w:gridSpan w:val="5"/>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2020 г</w:t>
            </w:r>
          </w:p>
        </w:tc>
      </w:tr>
      <w:tr w:rsidR="00630798" w:rsidRPr="004D4D70" w:rsidTr="004D4D70">
        <w:trPr>
          <w:cantSplit/>
          <w:trHeight w:val="158"/>
          <w:jc w:val="center"/>
        </w:trPr>
        <w:tc>
          <w:tcPr>
            <w:tcW w:w="2972" w:type="dxa"/>
            <w:gridSpan w:val="2"/>
            <w:vMerge/>
            <w:tcBorders>
              <w:top w:val="single" w:sz="4" w:space="0" w:color="auto"/>
              <w:left w:val="single" w:sz="4" w:space="0" w:color="auto"/>
              <w:bottom w:val="single" w:sz="4" w:space="0" w:color="auto"/>
              <w:right w:val="single" w:sz="4" w:space="0" w:color="auto"/>
            </w:tcBorders>
            <w:vAlign w:val="center"/>
          </w:tcPr>
          <w:p w:rsidR="00630798" w:rsidRPr="004D4D70" w:rsidRDefault="00630798" w:rsidP="004D4D70">
            <w:pPr>
              <w:spacing w:after="0" w:line="240" w:lineRule="auto"/>
              <w:jc w:val="center"/>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Абс.</w:t>
            </w:r>
          </w:p>
        </w:tc>
        <w:tc>
          <w:tcPr>
            <w:tcW w:w="992" w:type="dxa"/>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Пок.</w:t>
            </w:r>
          </w:p>
        </w:tc>
        <w:tc>
          <w:tcPr>
            <w:tcW w:w="993" w:type="dxa"/>
            <w:gridSpan w:val="2"/>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Абс.</w:t>
            </w:r>
          </w:p>
        </w:tc>
        <w:tc>
          <w:tcPr>
            <w:tcW w:w="1134" w:type="dxa"/>
            <w:gridSpan w:val="2"/>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Пок.</w:t>
            </w:r>
          </w:p>
        </w:tc>
        <w:tc>
          <w:tcPr>
            <w:tcW w:w="1275" w:type="dxa"/>
            <w:gridSpan w:val="2"/>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 xml:space="preserve">Абс. </w:t>
            </w:r>
          </w:p>
        </w:tc>
        <w:tc>
          <w:tcPr>
            <w:tcW w:w="1276" w:type="dxa"/>
            <w:gridSpan w:val="3"/>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Пок.</w:t>
            </w:r>
          </w:p>
        </w:tc>
      </w:tr>
      <w:tr w:rsidR="00630798" w:rsidRPr="004D4D70" w:rsidTr="004D4D70">
        <w:trPr>
          <w:gridAfter w:val="1"/>
          <w:wAfter w:w="51" w:type="dxa"/>
          <w:cantSplit/>
          <w:trHeight w:val="312"/>
          <w:jc w:val="center"/>
        </w:trPr>
        <w:tc>
          <w:tcPr>
            <w:tcW w:w="2933" w:type="dxa"/>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Чесотка</w:t>
            </w:r>
          </w:p>
        </w:tc>
        <w:tc>
          <w:tcPr>
            <w:tcW w:w="1121" w:type="dxa"/>
            <w:gridSpan w:val="2"/>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3</w:t>
            </w:r>
          </w:p>
        </w:tc>
        <w:tc>
          <w:tcPr>
            <w:tcW w:w="1069" w:type="dxa"/>
            <w:gridSpan w:val="3"/>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7,0-</w:t>
            </w:r>
          </w:p>
        </w:tc>
        <w:tc>
          <w:tcPr>
            <w:tcW w:w="1005" w:type="dxa"/>
            <w:gridSpan w:val="2"/>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4</w:t>
            </w:r>
          </w:p>
        </w:tc>
        <w:tc>
          <w:tcPr>
            <w:tcW w:w="1175" w:type="dxa"/>
            <w:gridSpan w:val="2"/>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9,7</w:t>
            </w:r>
          </w:p>
        </w:tc>
        <w:tc>
          <w:tcPr>
            <w:tcW w:w="1210" w:type="dxa"/>
            <w:gridSpan w:val="2"/>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2</w:t>
            </w:r>
          </w:p>
        </w:tc>
        <w:tc>
          <w:tcPr>
            <w:tcW w:w="1212" w:type="dxa"/>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5,0</w:t>
            </w:r>
          </w:p>
        </w:tc>
      </w:tr>
      <w:tr w:rsidR="00630798" w:rsidRPr="004D4D70" w:rsidTr="004D4D70">
        <w:trPr>
          <w:gridAfter w:val="1"/>
          <w:wAfter w:w="51" w:type="dxa"/>
          <w:cantSplit/>
          <w:trHeight w:val="330"/>
          <w:jc w:val="center"/>
        </w:trPr>
        <w:tc>
          <w:tcPr>
            <w:tcW w:w="2933" w:type="dxa"/>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Педикулез</w:t>
            </w:r>
          </w:p>
        </w:tc>
        <w:tc>
          <w:tcPr>
            <w:tcW w:w="1121" w:type="dxa"/>
            <w:gridSpan w:val="2"/>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33</w:t>
            </w:r>
          </w:p>
        </w:tc>
        <w:tc>
          <w:tcPr>
            <w:tcW w:w="1069" w:type="dxa"/>
            <w:gridSpan w:val="3"/>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77,3</w:t>
            </w:r>
          </w:p>
        </w:tc>
        <w:tc>
          <w:tcPr>
            <w:tcW w:w="1005" w:type="dxa"/>
            <w:gridSpan w:val="2"/>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24</w:t>
            </w:r>
          </w:p>
        </w:tc>
        <w:tc>
          <w:tcPr>
            <w:tcW w:w="1175" w:type="dxa"/>
            <w:gridSpan w:val="2"/>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58,2</w:t>
            </w:r>
          </w:p>
        </w:tc>
        <w:tc>
          <w:tcPr>
            <w:tcW w:w="1210" w:type="dxa"/>
            <w:gridSpan w:val="2"/>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18</w:t>
            </w:r>
          </w:p>
        </w:tc>
        <w:tc>
          <w:tcPr>
            <w:tcW w:w="1212" w:type="dxa"/>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45,2</w:t>
            </w:r>
          </w:p>
        </w:tc>
      </w:tr>
      <w:tr w:rsidR="00630798" w:rsidRPr="004D4D70" w:rsidTr="004D4D70">
        <w:trPr>
          <w:gridAfter w:val="1"/>
          <w:wAfter w:w="51" w:type="dxa"/>
          <w:cantSplit/>
          <w:trHeight w:val="312"/>
          <w:jc w:val="center"/>
        </w:trPr>
        <w:tc>
          <w:tcPr>
            <w:tcW w:w="2933" w:type="dxa"/>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Микроспория</w:t>
            </w:r>
          </w:p>
        </w:tc>
        <w:tc>
          <w:tcPr>
            <w:tcW w:w="1121" w:type="dxa"/>
            <w:gridSpan w:val="2"/>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8</w:t>
            </w:r>
          </w:p>
        </w:tc>
        <w:tc>
          <w:tcPr>
            <w:tcW w:w="1069" w:type="dxa"/>
            <w:gridSpan w:val="3"/>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18,7</w:t>
            </w:r>
          </w:p>
        </w:tc>
        <w:tc>
          <w:tcPr>
            <w:tcW w:w="1005" w:type="dxa"/>
            <w:gridSpan w:val="2"/>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14</w:t>
            </w:r>
          </w:p>
        </w:tc>
        <w:tc>
          <w:tcPr>
            <w:tcW w:w="1175" w:type="dxa"/>
            <w:gridSpan w:val="2"/>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34,0</w:t>
            </w:r>
          </w:p>
        </w:tc>
        <w:tc>
          <w:tcPr>
            <w:tcW w:w="1210" w:type="dxa"/>
            <w:gridSpan w:val="2"/>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8</w:t>
            </w:r>
          </w:p>
        </w:tc>
        <w:tc>
          <w:tcPr>
            <w:tcW w:w="1212" w:type="dxa"/>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20,1</w:t>
            </w:r>
          </w:p>
        </w:tc>
      </w:tr>
      <w:tr w:rsidR="00630798" w:rsidRPr="004D4D70" w:rsidTr="004D4D70">
        <w:trPr>
          <w:gridAfter w:val="1"/>
          <w:wAfter w:w="51" w:type="dxa"/>
          <w:cantSplit/>
          <w:trHeight w:val="666"/>
          <w:jc w:val="center"/>
        </w:trPr>
        <w:tc>
          <w:tcPr>
            <w:tcW w:w="2933" w:type="dxa"/>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Паразитоносительство малярии</w:t>
            </w:r>
          </w:p>
        </w:tc>
        <w:tc>
          <w:tcPr>
            <w:tcW w:w="1121" w:type="dxa"/>
            <w:gridSpan w:val="2"/>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c>
          <w:tcPr>
            <w:tcW w:w="1069" w:type="dxa"/>
            <w:gridSpan w:val="3"/>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c>
          <w:tcPr>
            <w:tcW w:w="1005" w:type="dxa"/>
            <w:gridSpan w:val="2"/>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c>
          <w:tcPr>
            <w:tcW w:w="1175" w:type="dxa"/>
            <w:gridSpan w:val="2"/>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c>
          <w:tcPr>
            <w:tcW w:w="1210" w:type="dxa"/>
            <w:gridSpan w:val="2"/>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c>
          <w:tcPr>
            <w:tcW w:w="1212" w:type="dxa"/>
            <w:tcBorders>
              <w:top w:val="single" w:sz="4" w:space="0" w:color="auto"/>
              <w:left w:val="single" w:sz="4" w:space="0" w:color="auto"/>
              <w:bottom w:val="single" w:sz="4" w:space="0" w:color="auto"/>
              <w:right w:val="single" w:sz="4" w:space="0" w:color="auto"/>
            </w:tcBorders>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w:t>
            </w:r>
          </w:p>
        </w:tc>
      </w:tr>
    </w:tbl>
    <w:p w:rsidR="00630798" w:rsidRPr="004D4D70" w:rsidRDefault="00630798" w:rsidP="004D4D70">
      <w:pPr>
        <w:spacing w:after="0" w:line="240" w:lineRule="auto"/>
        <w:jc w:val="both"/>
        <w:rPr>
          <w:rFonts w:ascii="Times New Roman" w:hAnsi="Times New Roman" w:cs="Times New Roman"/>
          <w:highlight w:val="yellow"/>
        </w:rPr>
      </w:pPr>
    </w:p>
    <w:p w:rsidR="00630798" w:rsidRPr="004D4D70" w:rsidRDefault="00630798" w:rsidP="004D4D70">
      <w:pPr>
        <w:spacing w:after="0" w:line="240" w:lineRule="auto"/>
        <w:ind w:firstLine="567"/>
        <w:jc w:val="both"/>
        <w:rPr>
          <w:rFonts w:ascii="Times New Roman" w:hAnsi="Times New Roman" w:cs="Times New Roman"/>
          <w:sz w:val="24"/>
          <w:szCs w:val="24"/>
        </w:rPr>
      </w:pPr>
      <w:r w:rsidRPr="004D4D70">
        <w:rPr>
          <w:rFonts w:ascii="Times New Roman" w:hAnsi="Times New Roman" w:cs="Times New Roman"/>
          <w:sz w:val="24"/>
          <w:szCs w:val="24"/>
        </w:rPr>
        <w:t xml:space="preserve">   В целом по г. Пыть-Ях в 2020году наблюдается снижение показателей заболеваемости, по сравнению с 2020годом  чесоткой на 51,5%, педикулезом на 22,3%, микроспории на 81%. В 2019 г. по сравнению с 2018 годом  отмечался рост заболеваемости чесоткой на 33,3%.По сравнению с 2018 годом в 2019 году отмечается рост показателя заболеваемости микроспорией на 75,0%.   ( см таблица № 42.). Показатели чесотки( 12,77), микроспории (26,25) не превышают окружные показатели.  Показатель заболеваемости педикулезом в 2020 по г. Пыть-Ях на 100 тыс. населения составил 45,2 и  превышает окружные показатели на 124,9%.( 20,49). На детское население до 14 лет в 2020г  приходится 94.4% случаев заболеваемости педикулезом, 87,5 % случаев заболеваний микроспорией . Пути передачи, характерные для микроспории – контактный и контактно-бытовой.</w:t>
      </w:r>
    </w:p>
    <w:p w:rsidR="00630798" w:rsidRPr="004D4D70" w:rsidRDefault="00630798" w:rsidP="004D4D70">
      <w:pPr>
        <w:spacing w:after="0" w:line="240" w:lineRule="auto"/>
        <w:ind w:firstLine="567"/>
        <w:jc w:val="both"/>
        <w:rPr>
          <w:rFonts w:ascii="Times New Roman" w:hAnsi="Times New Roman" w:cs="Times New Roman"/>
          <w:sz w:val="24"/>
          <w:szCs w:val="24"/>
        </w:rPr>
      </w:pPr>
      <w:r w:rsidRPr="004D4D70">
        <w:rPr>
          <w:rFonts w:ascii="Times New Roman" w:hAnsi="Times New Roman" w:cs="Times New Roman"/>
          <w:sz w:val="24"/>
          <w:szCs w:val="24"/>
        </w:rPr>
        <w:t>Заболеваемость чесоткой в 2020г 100% приходится на взрослое население города</w:t>
      </w:r>
    </w:p>
    <w:p w:rsidR="00630798" w:rsidRPr="004D4D70" w:rsidRDefault="00630798" w:rsidP="004D4D70">
      <w:pPr>
        <w:pStyle w:val="a5"/>
        <w:jc w:val="both"/>
        <w:rPr>
          <w:highlight w:val="yellow"/>
        </w:rPr>
      </w:pPr>
    </w:p>
    <w:p w:rsidR="00630798" w:rsidRPr="004D4D70" w:rsidRDefault="00630798" w:rsidP="004D4D70">
      <w:pPr>
        <w:spacing w:after="0" w:line="240" w:lineRule="auto"/>
        <w:ind w:firstLine="567"/>
        <w:rPr>
          <w:rFonts w:ascii="Times New Roman" w:hAnsi="Times New Roman" w:cs="Times New Roman"/>
          <w:b/>
          <w:sz w:val="24"/>
          <w:szCs w:val="24"/>
        </w:rPr>
      </w:pPr>
      <w:r w:rsidRPr="004D4D70">
        <w:rPr>
          <w:rFonts w:ascii="Times New Roman" w:hAnsi="Times New Roman" w:cs="Times New Roman"/>
          <w:b/>
          <w:sz w:val="24"/>
          <w:szCs w:val="24"/>
        </w:rPr>
        <w:t>1.3.12. Санитарная охрана территории</w:t>
      </w:r>
    </w:p>
    <w:p w:rsidR="00630798" w:rsidRPr="004D4D70" w:rsidRDefault="00630798" w:rsidP="004D4D70">
      <w:pPr>
        <w:spacing w:after="0" w:line="240" w:lineRule="auto"/>
        <w:ind w:firstLine="567"/>
        <w:rPr>
          <w:rFonts w:ascii="Times New Roman" w:hAnsi="Times New Roman" w:cs="Times New Roman"/>
          <w:sz w:val="24"/>
          <w:szCs w:val="24"/>
          <w:highlight w:val="yellow"/>
        </w:rPr>
      </w:pPr>
    </w:p>
    <w:p w:rsidR="00630798" w:rsidRPr="004D4D70" w:rsidRDefault="00630798" w:rsidP="004D4D70">
      <w:pPr>
        <w:spacing w:after="0" w:line="240" w:lineRule="auto"/>
        <w:ind w:firstLine="709"/>
        <w:jc w:val="both"/>
        <w:rPr>
          <w:rFonts w:ascii="Times New Roman" w:hAnsi="Times New Roman" w:cs="Times New Roman"/>
          <w:sz w:val="24"/>
          <w:szCs w:val="24"/>
        </w:rPr>
      </w:pPr>
      <w:r w:rsidRPr="004D4D70">
        <w:rPr>
          <w:rFonts w:ascii="Times New Roman" w:hAnsi="Times New Roman" w:cs="Times New Roman"/>
          <w:sz w:val="24"/>
          <w:szCs w:val="24"/>
        </w:rPr>
        <w:t xml:space="preserve">На протяжении последних 3 лет на территории г. Пыть-Ях случаев особо опасных инфекций не зарегистрировано. </w:t>
      </w:r>
    </w:p>
    <w:p w:rsidR="00630798" w:rsidRPr="004D4D70" w:rsidRDefault="00630798" w:rsidP="004D4D70">
      <w:pPr>
        <w:spacing w:after="0" w:line="240" w:lineRule="auto"/>
        <w:jc w:val="both"/>
        <w:rPr>
          <w:rFonts w:ascii="Times New Roman" w:hAnsi="Times New Roman" w:cs="Times New Roman"/>
          <w:sz w:val="24"/>
          <w:szCs w:val="24"/>
        </w:rPr>
      </w:pPr>
      <w:r w:rsidRPr="004D4D70">
        <w:rPr>
          <w:rFonts w:ascii="Times New Roman" w:hAnsi="Times New Roman" w:cs="Times New Roman"/>
          <w:sz w:val="24"/>
          <w:szCs w:val="24"/>
        </w:rPr>
        <w:tab/>
        <w:t>Для проведения противоэпидемических мероприятий в случае выявле</w:t>
      </w:r>
      <w:r w:rsidR="004D4D70">
        <w:rPr>
          <w:rFonts w:ascii="Times New Roman" w:hAnsi="Times New Roman" w:cs="Times New Roman"/>
          <w:sz w:val="24"/>
          <w:szCs w:val="24"/>
        </w:rPr>
        <w:t xml:space="preserve">ния больного с подозрением ООИ </w:t>
      </w:r>
      <w:r w:rsidRPr="004D4D70">
        <w:rPr>
          <w:rFonts w:ascii="Times New Roman" w:hAnsi="Times New Roman" w:cs="Times New Roman"/>
          <w:sz w:val="24"/>
          <w:szCs w:val="24"/>
        </w:rPr>
        <w:t>лечебно – профилактические учреждения города укомплектованы укладками по забору материала от больных - 18, средствами  экстренной профилактики, дез.средствами. Имеется 25 противочум</w:t>
      </w:r>
      <w:r w:rsidR="004D4D70">
        <w:rPr>
          <w:rFonts w:ascii="Times New Roman" w:hAnsi="Times New Roman" w:cs="Times New Roman"/>
          <w:sz w:val="24"/>
          <w:szCs w:val="24"/>
        </w:rPr>
        <w:t xml:space="preserve">ных </w:t>
      </w:r>
      <w:r w:rsidRPr="004D4D70">
        <w:rPr>
          <w:rFonts w:ascii="Times New Roman" w:hAnsi="Times New Roman" w:cs="Times New Roman"/>
          <w:sz w:val="24"/>
          <w:szCs w:val="24"/>
        </w:rPr>
        <w:t>костюма. Уделено большое внимание подготовке медицинских кадров.</w:t>
      </w:r>
    </w:p>
    <w:p w:rsidR="00630798" w:rsidRPr="004D4D70" w:rsidRDefault="00630798" w:rsidP="004D4D70">
      <w:pPr>
        <w:spacing w:after="0" w:line="240" w:lineRule="auto"/>
        <w:jc w:val="both"/>
        <w:rPr>
          <w:rFonts w:ascii="Times New Roman" w:hAnsi="Times New Roman" w:cs="Times New Roman"/>
          <w:sz w:val="24"/>
          <w:szCs w:val="24"/>
        </w:rPr>
      </w:pPr>
      <w:r w:rsidRPr="004D4D70">
        <w:rPr>
          <w:rFonts w:ascii="Times New Roman" w:hAnsi="Times New Roman" w:cs="Times New Roman"/>
          <w:sz w:val="24"/>
          <w:szCs w:val="24"/>
        </w:rPr>
        <w:tab/>
        <w:t>С целью слежения за холерным вибри</w:t>
      </w:r>
      <w:r w:rsidR="004D4D70">
        <w:rPr>
          <w:rFonts w:ascii="Times New Roman" w:hAnsi="Times New Roman" w:cs="Times New Roman"/>
          <w:sz w:val="24"/>
          <w:szCs w:val="24"/>
        </w:rPr>
        <w:t xml:space="preserve">оном в период с июля по август </w:t>
      </w:r>
      <w:r w:rsidRPr="004D4D70">
        <w:rPr>
          <w:rFonts w:ascii="Times New Roman" w:hAnsi="Times New Roman" w:cs="Times New Roman"/>
          <w:sz w:val="24"/>
          <w:szCs w:val="24"/>
        </w:rPr>
        <w:t>организован забор проб воды из стационарных точек открытых водоемов. В 2020, как и в 2019 году в эпид сезон отобрано 12 проб  воды для бактериологического исследования, положительные результаты отсутствуют</w:t>
      </w:r>
    </w:p>
    <w:p w:rsidR="00630798" w:rsidRPr="004D4D70" w:rsidRDefault="00630798" w:rsidP="004D4D70">
      <w:pPr>
        <w:spacing w:after="0" w:line="240" w:lineRule="auto"/>
        <w:jc w:val="both"/>
        <w:rPr>
          <w:rFonts w:ascii="Times New Roman" w:hAnsi="Times New Roman" w:cs="Times New Roman"/>
          <w:sz w:val="24"/>
          <w:szCs w:val="24"/>
        </w:rPr>
      </w:pPr>
      <w:r w:rsidRPr="004D4D70">
        <w:rPr>
          <w:rFonts w:ascii="Times New Roman" w:hAnsi="Times New Roman" w:cs="Times New Roman"/>
          <w:sz w:val="24"/>
          <w:szCs w:val="24"/>
        </w:rPr>
        <w:lastRenderedPageBreak/>
        <w:tab/>
        <w:t xml:space="preserve">Проводилась  санитарно-просветительная работа среди населения: выпущены 17 санбюллетеней, 240 памяток, проведено бесед-214. </w:t>
      </w:r>
    </w:p>
    <w:p w:rsidR="00630798" w:rsidRPr="004D4D70" w:rsidRDefault="00630798" w:rsidP="004D4D70">
      <w:pPr>
        <w:spacing w:after="0" w:line="240" w:lineRule="auto"/>
        <w:jc w:val="both"/>
        <w:rPr>
          <w:rFonts w:ascii="Times New Roman" w:hAnsi="Times New Roman" w:cs="Times New Roman"/>
          <w:sz w:val="24"/>
          <w:szCs w:val="24"/>
        </w:rPr>
      </w:pPr>
      <w:r w:rsidRPr="004D4D70">
        <w:rPr>
          <w:rFonts w:ascii="Times New Roman" w:hAnsi="Times New Roman" w:cs="Times New Roman"/>
          <w:sz w:val="24"/>
          <w:szCs w:val="24"/>
        </w:rPr>
        <w:tab/>
        <w:t>С целью недопущения ввоза на территорию  не соответствующей нормам продукции, не допущения вспышечной инфекционной и соматической заболеваемости на протяжении ряда лет проводятся микробиологические, санитарно-химические, радиологические  исследования продуктов питания.</w:t>
      </w:r>
    </w:p>
    <w:p w:rsidR="00630798" w:rsidRPr="004D4D70" w:rsidRDefault="004D4D70" w:rsidP="004D4D70">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 43</w:t>
      </w:r>
    </w:p>
    <w:p w:rsidR="00630798" w:rsidRPr="004D4D70" w:rsidRDefault="00630798" w:rsidP="004D4D70">
      <w:pPr>
        <w:pStyle w:val="22"/>
        <w:ind w:firstLine="709"/>
        <w:rPr>
          <w:b/>
          <w:sz w:val="24"/>
          <w:szCs w:val="24"/>
        </w:rPr>
      </w:pPr>
      <w:r w:rsidRPr="004D4D70">
        <w:rPr>
          <w:b/>
          <w:sz w:val="24"/>
          <w:szCs w:val="24"/>
        </w:rPr>
        <w:t>Динамика изменения качественных и количественных показателей продовольственного сырья и пищевых продуктов.</w:t>
      </w:r>
    </w:p>
    <w:p w:rsidR="00630798" w:rsidRPr="004D4D70" w:rsidRDefault="00630798" w:rsidP="004D4D70">
      <w:pPr>
        <w:spacing w:after="0" w:line="240" w:lineRule="auto"/>
        <w:ind w:firstLine="709"/>
        <w:jc w:val="center"/>
        <w:rPr>
          <w:rFonts w:ascii="Times New Roman" w:hAnsi="Times New Roman" w:cs="Times New Roman"/>
          <w:b/>
          <w:sz w:val="24"/>
          <w:szCs w:val="24"/>
        </w:rPr>
      </w:pPr>
    </w:p>
    <w:tbl>
      <w:tblPr>
        <w:tblW w:w="9276" w:type="dxa"/>
        <w:jc w:val="center"/>
        <w:tblLayout w:type="fixed"/>
        <w:tblCellMar>
          <w:left w:w="56" w:type="dxa"/>
          <w:right w:w="56" w:type="dxa"/>
        </w:tblCellMar>
        <w:tblLook w:val="0000" w:firstRow="0" w:lastRow="0" w:firstColumn="0" w:lastColumn="0" w:noHBand="0" w:noVBand="0"/>
      </w:tblPr>
      <w:tblGrid>
        <w:gridCol w:w="3570"/>
        <w:gridCol w:w="692"/>
        <w:gridCol w:w="494"/>
        <w:gridCol w:w="593"/>
        <w:gridCol w:w="643"/>
        <w:gridCol w:w="567"/>
        <w:gridCol w:w="567"/>
        <w:gridCol w:w="709"/>
        <w:gridCol w:w="708"/>
        <w:gridCol w:w="733"/>
      </w:tblGrid>
      <w:tr w:rsidR="00630798" w:rsidRPr="004D4D70" w:rsidTr="00630798">
        <w:trPr>
          <w:jc w:val="center"/>
        </w:trPr>
        <w:tc>
          <w:tcPr>
            <w:tcW w:w="3570" w:type="dxa"/>
            <w:tcBorders>
              <w:top w:val="single" w:sz="4"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Вид исследования продукции</w:t>
            </w:r>
          </w:p>
        </w:tc>
        <w:tc>
          <w:tcPr>
            <w:tcW w:w="1779" w:type="dxa"/>
            <w:gridSpan w:val="3"/>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2018</w:t>
            </w:r>
          </w:p>
        </w:tc>
        <w:tc>
          <w:tcPr>
            <w:tcW w:w="1777" w:type="dxa"/>
            <w:gridSpan w:val="3"/>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2019</w:t>
            </w:r>
          </w:p>
        </w:tc>
        <w:tc>
          <w:tcPr>
            <w:tcW w:w="2150" w:type="dxa"/>
            <w:gridSpan w:val="3"/>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2020</w:t>
            </w:r>
          </w:p>
        </w:tc>
      </w:tr>
      <w:tr w:rsidR="00630798" w:rsidRPr="004D4D70" w:rsidTr="00630798">
        <w:trPr>
          <w:jc w:val="center"/>
        </w:trPr>
        <w:tc>
          <w:tcPr>
            <w:tcW w:w="3570" w:type="dxa"/>
            <w:tcBorders>
              <w:top w:val="nil"/>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Вид исследования продукции</w:t>
            </w:r>
          </w:p>
        </w:tc>
        <w:tc>
          <w:tcPr>
            <w:tcW w:w="692"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к-во проб</w:t>
            </w:r>
          </w:p>
        </w:tc>
        <w:tc>
          <w:tcPr>
            <w:tcW w:w="494"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н/ст</w:t>
            </w:r>
          </w:p>
        </w:tc>
        <w:tc>
          <w:tcPr>
            <w:tcW w:w="593"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w:t>
            </w:r>
          </w:p>
        </w:tc>
        <w:tc>
          <w:tcPr>
            <w:tcW w:w="643"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к-во проб</w:t>
            </w:r>
          </w:p>
        </w:tc>
        <w:tc>
          <w:tcPr>
            <w:tcW w:w="567"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н/ст</w:t>
            </w:r>
          </w:p>
        </w:tc>
        <w:tc>
          <w:tcPr>
            <w:tcW w:w="567"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w:t>
            </w:r>
          </w:p>
        </w:tc>
        <w:tc>
          <w:tcPr>
            <w:tcW w:w="709"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к-во проб</w:t>
            </w:r>
          </w:p>
        </w:tc>
        <w:tc>
          <w:tcPr>
            <w:tcW w:w="708"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н/ст</w:t>
            </w:r>
          </w:p>
        </w:tc>
        <w:tc>
          <w:tcPr>
            <w:tcW w:w="733"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w:t>
            </w:r>
          </w:p>
        </w:tc>
      </w:tr>
      <w:tr w:rsidR="00630798" w:rsidRPr="004D4D70" w:rsidTr="00630798">
        <w:trPr>
          <w:jc w:val="center"/>
        </w:trPr>
        <w:tc>
          <w:tcPr>
            <w:tcW w:w="3570"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u w:val="single"/>
              </w:rPr>
            </w:pPr>
            <w:r w:rsidRPr="004D4D70">
              <w:rPr>
                <w:rFonts w:ascii="Times New Roman" w:hAnsi="Times New Roman" w:cs="Times New Roman"/>
                <w:snapToGrid w:val="0"/>
                <w:color w:val="000000"/>
                <w:u w:val="single"/>
              </w:rPr>
              <w:t>Всего</w:t>
            </w:r>
          </w:p>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химические</w:t>
            </w:r>
          </w:p>
        </w:tc>
        <w:tc>
          <w:tcPr>
            <w:tcW w:w="692"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454</w:t>
            </w:r>
          </w:p>
        </w:tc>
        <w:tc>
          <w:tcPr>
            <w:tcW w:w="494"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7</w:t>
            </w:r>
          </w:p>
        </w:tc>
        <w:tc>
          <w:tcPr>
            <w:tcW w:w="593"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1,5</w:t>
            </w:r>
          </w:p>
        </w:tc>
        <w:tc>
          <w:tcPr>
            <w:tcW w:w="643"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532</w:t>
            </w:r>
          </w:p>
        </w:tc>
        <w:tc>
          <w:tcPr>
            <w:tcW w:w="567"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6</w:t>
            </w:r>
          </w:p>
        </w:tc>
        <w:tc>
          <w:tcPr>
            <w:tcW w:w="567"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1,12</w:t>
            </w:r>
          </w:p>
        </w:tc>
        <w:tc>
          <w:tcPr>
            <w:tcW w:w="709"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285</w:t>
            </w:r>
          </w:p>
        </w:tc>
        <w:tc>
          <w:tcPr>
            <w:tcW w:w="708"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6</w:t>
            </w:r>
          </w:p>
        </w:tc>
        <w:tc>
          <w:tcPr>
            <w:tcW w:w="733"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2,1</w:t>
            </w:r>
          </w:p>
        </w:tc>
      </w:tr>
      <w:tr w:rsidR="00630798" w:rsidRPr="004D4D70" w:rsidTr="00630798">
        <w:trPr>
          <w:jc w:val="center"/>
        </w:trPr>
        <w:tc>
          <w:tcPr>
            <w:tcW w:w="3570"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бактериологические</w:t>
            </w:r>
          </w:p>
        </w:tc>
        <w:tc>
          <w:tcPr>
            <w:tcW w:w="692"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284</w:t>
            </w:r>
          </w:p>
        </w:tc>
        <w:tc>
          <w:tcPr>
            <w:tcW w:w="494"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4</w:t>
            </w:r>
          </w:p>
        </w:tc>
        <w:tc>
          <w:tcPr>
            <w:tcW w:w="593"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1,4</w:t>
            </w:r>
          </w:p>
        </w:tc>
        <w:tc>
          <w:tcPr>
            <w:tcW w:w="643"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319</w:t>
            </w:r>
          </w:p>
        </w:tc>
        <w:tc>
          <w:tcPr>
            <w:tcW w:w="567"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0</w:t>
            </w:r>
          </w:p>
        </w:tc>
        <w:tc>
          <w:tcPr>
            <w:tcW w:w="567"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0</w:t>
            </w:r>
          </w:p>
        </w:tc>
        <w:tc>
          <w:tcPr>
            <w:tcW w:w="709"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210</w:t>
            </w:r>
          </w:p>
        </w:tc>
        <w:tc>
          <w:tcPr>
            <w:tcW w:w="708"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0</w:t>
            </w:r>
          </w:p>
        </w:tc>
        <w:tc>
          <w:tcPr>
            <w:tcW w:w="733"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0</w:t>
            </w:r>
          </w:p>
        </w:tc>
      </w:tr>
      <w:tr w:rsidR="00630798" w:rsidRPr="004D4D70" w:rsidTr="00630798">
        <w:trPr>
          <w:jc w:val="center"/>
        </w:trPr>
        <w:tc>
          <w:tcPr>
            <w:tcW w:w="3570"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на гельминтозы</w:t>
            </w:r>
          </w:p>
        </w:tc>
        <w:tc>
          <w:tcPr>
            <w:tcW w:w="692"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47</w:t>
            </w:r>
          </w:p>
        </w:tc>
        <w:tc>
          <w:tcPr>
            <w:tcW w:w="494"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0</w:t>
            </w:r>
          </w:p>
        </w:tc>
        <w:tc>
          <w:tcPr>
            <w:tcW w:w="593"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0,0</w:t>
            </w:r>
          </w:p>
        </w:tc>
        <w:tc>
          <w:tcPr>
            <w:tcW w:w="643"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78</w:t>
            </w:r>
          </w:p>
        </w:tc>
        <w:tc>
          <w:tcPr>
            <w:tcW w:w="567"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0</w:t>
            </w:r>
          </w:p>
        </w:tc>
        <w:tc>
          <w:tcPr>
            <w:tcW w:w="567"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0,0</w:t>
            </w:r>
          </w:p>
        </w:tc>
        <w:tc>
          <w:tcPr>
            <w:tcW w:w="709"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42</w:t>
            </w:r>
          </w:p>
        </w:tc>
        <w:tc>
          <w:tcPr>
            <w:tcW w:w="708"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0</w:t>
            </w:r>
          </w:p>
        </w:tc>
        <w:tc>
          <w:tcPr>
            <w:tcW w:w="733"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0</w:t>
            </w:r>
          </w:p>
        </w:tc>
      </w:tr>
      <w:tr w:rsidR="00630798" w:rsidRPr="004D4D70" w:rsidTr="00630798">
        <w:trPr>
          <w:jc w:val="center"/>
        </w:trPr>
        <w:tc>
          <w:tcPr>
            <w:tcW w:w="3570"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РВ</w:t>
            </w:r>
          </w:p>
        </w:tc>
        <w:tc>
          <w:tcPr>
            <w:tcW w:w="692" w:type="dxa"/>
            <w:tcBorders>
              <w:top w:val="single" w:sz="6" w:space="0" w:color="auto"/>
              <w:left w:val="single" w:sz="6" w:space="0" w:color="auto"/>
              <w:bottom w:val="single" w:sz="6" w:space="0" w:color="auto"/>
              <w:right w:val="single" w:sz="6" w:space="0" w:color="auto"/>
            </w:tcBorders>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18</w:t>
            </w:r>
          </w:p>
        </w:tc>
        <w:tc>
          <w:tcPr>
            <w:tcW w:w="494" w:type="dxa"/>
            <w:tcBorders>
              <w:top w:val="single" w:sz="6" w:space="0" w:color="auto"/>
              <w:left w:val="single" w:sz="6" w:space="0" w:color="auto"/>
              <w:bottom w:val="single" w:sz="6" w:space="0" w:color="auto"/>
              <w:right w:val="single" w:sz="6" w:space="0" w:color="auto"/>
            </w:tcBorders>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0</w:t>
            </w:r>
          </w:p>
        </w:tc>
        <w:tc>
          <w:tcPr>
            <w:tcW w:w="593"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0,0</w:t>
            </w:r>
          </w:p>
        </w:tc>
        <w:tc>
          <w:tcPr>
            <w:tcW w:w="643" w:type="dxa"/>
            <w:tcBorders>
              <w:top w:val="single" w:sz="6" w:space="0" w:color="auto"/>
              <w:left w:val="single" w:sz="6" w:space="0" w:color="auto"/>
              <w:bottom w:val="single" w:sz="6" w:space="0" w:color="auto"/>
              <w:right w:val="single" w:sz="6" w:space="0" w:color="auto"/>
            </w:tcBorders>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5</w:t>
            </w:r>
          </w:p>
        </w:tc>
        <w:tc>
          <w:tcPr>
            <w:tcW w:w="567" w:type="dxa"/>
            <w:tcBorders>
              <w:top w:val="single" w:sz="6" w:space="0" w:color="auto"/>
              <w:left w:val="single" w:sz="6" w:space="0" w:color="auto"/>
              <w:bottom w:val="single" w:sz="6" w:space="0" w:color="auto"/>
              <w:right w:val="single" w:sz="6" w:space="0" w:color="auto"/>
            </w:tcBorders>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0</w:t>
            </w:r>
          </w:p>
        </w:tc>
        <w:tc>
          <w:tcPr>
            <w:tcW w:w="567"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0,0</w:t>
            </w:r>
          </w:p>
        </w:tc>
        <w:tc>
          <w:tcPr>
            <w:tcW w:w="709" w:type="dxa"/>
            <w:tcBorders>
              <w:top w:val="single" w:sz="6" w:space="0" w:color="auto"/>
              <w:left w:val="single" w:sz="6" w:space="0" w:color="auto"/>
              <w:bottom w:val="single" w:sz="6" w:space="0" w:color="auto"/>
              <w:right w:val="single" w:sz="6" w:space="0" w:color="auto"/>
            </w:tcBorders>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0</w:t>
            </w:r>
          </w:p>
        </w:tc>
        <w:tc>
          <w:tcPr>
            <w:tcW w:w="708" w:type="dxa"/>
            <w:tcBorders>
              <w:top w:val="single" w:sz="6" w:space="0" w:color="auto"/>
              <w:left w:val="single" w:sz="6" w:space="0" w:color="auto"/>
              <w:bottom w:val="single" w:sz="6" w:space="0" w:color="auto"/>
              <w:right w:val="single" w:sz="6" w:space="0" w:color="auto"/>
            </w:tcBorders>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0</w:t>
            </w:r>
          </w:p>
        </w:tc>
        <w:tc>
          <w:tcPr>
            <w:tcW w:w="733"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0</w:t>
            </w:r>
          </w:p>
        </w:tc>
      </w:tr>
      <w:tr w:rsidR="00630798" w:rsidRPr="004D4D70" w:rsidTr="00630798">
        <w:trPr>
          <w:jc w:val="center"/>
        </w:trPr>
        <w:tc>
          <w:tcPr>
            <w:tcW w:w="3570"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На содержание антибиотиков</w:t>
            </w:r>
          </w:p>
        </w:tc>
        <w:tc>
          <w:tcPr>
            <w:tcW w:w="692"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7</w:t>
            </w:r>
          </w:p>
        </w:tc>
        <w:tc>
          <w:tcPr>
            <w:tcW w:w="494"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0</w:t>
            </w:r>
          </w:p>
        </w:tc>
        <w:tc>
          <w:tcPr>
            <w:tcW w:w="593"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0,0</w:t>
            </w:r>
          </w:p>
        </w:tc>
        <w:tc>
          <w:tcPr>
            <w:tcW w:w="643"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21</w:t>
            </w:r>
          </w:p>
        </w:tc>
        <w:tc>
          <w:tcPr>
            <w:tcW w:w="567"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0</w:t>
            </w:r>
          </w:p>
        </w:tc>
        <w:tc>
          <w:tcPr>
            <w:tcW w:w="567"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0,0</w:t>
            </w:r>
          </w:p>
        </w:tc>
        <w:tc>
          <w:tcPr>
            <w:tcW w:w="709"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6</w:t>
            </w:r>
          </w:p>
        </w:tc>
        <w:tc>
          <w:tcPr>
            <w:tcW w:w="708"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0</w:t>
            </w:r>
          </w:p>
        </w:tc>
        <w:tc>
          <w:tcPr>
            <w:tcW w:w="733" w:type="dxa"/>
            <w:tcBorders>
              <w:top w:val="single" w:sz="6" w:space="0" w:color="auto"/>
              <w:left w:val="single" w:sz="6" w:space="0" w:color="auto"/>
              <w:bottom w:val="single" w:sz="6" w:space="0" w:color="auto"/>
              <w:right w:val="single" w:sz="6" w:space="0" w:color="auto"/>
            </w:tcBorders>
            <w:vAlign w:val="center"/>
          </w:tcPr>
          <w:p w:rsidR="00630798" w:rsidRPr="004D4D70" w:rsidRDefault="00630798" w:rsidP="004D4D70">
            <w:pPr>
              <w:spacing w:after="0" w:line="240" w:lineRule="auto"/>
              <w:jc w:val="center"/>
              <w:rPr>
                <w:rFonts w:ascii="Times New Roman" w:hAnsi="Times New Roman" w:cs="Times New Roman"/>
                <w:snapToGrid w:val="0"/>
                <w:color w:val="000000"/>
              </w:rPr>
            </w:pPr>
            <w:r w:rsidRPr="004D4D70">
              <w:rPr>
                <w:rFonts w:ascii="Times New Roman" w:hAnsi="Times New Roman" w:cs="Times New Roman"/>
                <w:snapToGrid w:val="0"/>
                <w:color w:val="000000"/>
              </w:rPr>
              <w:t>0</w:t>
            </w:r>
          </w:p>
        </w:tc>
      </w:tr>
    </w:tbl>
    <w:p w:rsidR="00630798" w:rsidRPr="004D4D70" w:rsidRDefault="00630798" w:rsidP="004D4D70">
      <w:pPr>
        <w:spacing w:after="0" w:line="240" w:lineRule="auto"/>
        <w:jc w:val="both"/>
        <w:rPr>
          <w:rFonts w:ascii="Times New Roman" w:hAnsi="Times New Roman" w:cs="Times New Roman"/>
          <w:highlight w:val="yellow"/>
        </w:rPr>
      </w:pPr>
      <w:r w:rsidRPr="004D4D70">
        <w:rPr>
          <w:rFonts w:ascii="Times New Roman" w:hAnsi="Times New Roman" w:cs="Times New Roman"/>
          <w:highlight w:val="yellow"/>
        </w:rPr>
        <w:t xml:space="preserve"> </w:t>
      </w:r>
    </w:p>
    <w:p w:rsidR="00630798" w:rsidRPr="004D4D70" w:rsidRDefault="00630798" w:rsidP="004D4D70">
      <w:pPr>
        <w:spacing w:after="0" w:line="240" w:lineRule="auto"/>
        <w:jc w:val="both"/>
        <w:rPr>
          <w:rFonts w:ascii="Times New Roman" w:hAnsi="Times New Roman" w:cs="Times New Roman"/>
          <w:highlight w:val="yellow"/>
        </w:rPr>
      </w:pPr>
    </w:p>
    <w:p w:rsidR="00630798" w:rsidRPr="004D4D70" w:rsidRDefault="00630798" w:rsidP="004D4D70">
      <w:pPr>
        <w:spacing w:after="0" w:line="240" w:lineRule="auto"/>
        <w:ind w:firstLine="567"/>
        <w:jc w:val="both"/>
        <w:rPr>
          <w:rFonts w:ascii="Times New Roman" w:hAnsi="Times New Roman" w:cs="Times New Roman"/>
          <w:sz w:val="24"/>
          <w:szCs w:val="24"/>
        </w:rPr>
      </w:pPr>
      <w:r w:rsidRPr="004D4D70">
        <w:rPr>
          <w:rFonts w:ascii="Times New Roman" w:hAnsi="Times New Roman" w:cs="Times New Roman"/>
          <w:sz w:val="24"/>
          <w:szCs w:val="24"/>
        </w:rPr>
        <w:t>Не соответствующих требованиям проб по микробиологическим, паразитологическим показателям, РВ, содержанию антибиотиков в 2020, как и в 2019г г. не зарегистрировано  ( табл. № 43).По санитарно- химическим показателям процент несоответствующих проб колеблется и составляет от 1,12 до 21,% ( за счет калорийности и массовой доле витамина С в готовых блюдах.)</w:t>
      </w:r>
    </w:p>
    <w:p w:rsidR="00630798" w:rsidRPr="004D4D70" w:rsidRDefault="00630798" w:rsidP="004D4D70">
      <w:pPr>
        <w:tabs>
          <w:tab w:val="left" w:pos="3990"/>
          <w:tab w:val="right" w:pos="9070"/>
        </w:tabs>
        <w:spacing w:after="0" w:line="240" w:lineRule="auto"/>
        <w:ind w:firstLine="708"/>
        <w:jc w:val="center"/>
        <w:rPr>
          <w:rFonts w:ascii="Times New Roman" w:hAnsi="Times New Roman" w:cs="Times New Roman"/>
          <w:b/>
          <w:highlight w:val="yellow"/>
        </w:rPr>
      </w:pPr>
    </w:p>
    <w:p w:rsidR="00630798" w:rsidRPr="004D4D70" w:rsidRDefault="00630798" w:rsidP="004D4D70">
      <w:pPr>
        <w:tabs>
          <w:tab w:val="left" w:pos="3990"/>
          <w:tab w:val="right" w:pos="9070"/>
        </w:tabs>
        <w:spacing w:after="0" w:line="240" w:lineRule="auto"/>
        <w:ind w:firstLine="708"/>
        <w:jc w:val="center"/>
        <w:rPr>
          <w:rFonts w:ascii="Times New Roman" w:hAnsi="Times New Roman" w:cs="Times New Roman"/>
          <w:b/>
        </w:rPr>
      </w:pPr>
      <w:r w:rsidRPr="004D4D70">
        <w:rPr>
          <w:rFonts w:ascii="Times New Roman" w:hAnsi="Times New Roman" w:cs="Times New Roman"/>
          <w:b/>
        </w:rPr>
        <w:t>Вспышечная заболеваемость на территории г. Пыть-Ях 2018-2020гг.</w:t>
      </w:r>
    </w:p>
    <w:p w:rsidR="00630798" w:rsidRPr="004D4D70" w:rsidRDefault="00630798" w:rsidP="004D4D70">
      <w:pPr>
        <w:tabs>
          <w:tab w:val="left" w:pos="3990"/>
          <w:tab w:val="right" w:pos="9070"/>
        </w:tabs>
        <w:spacing w:after="0" w:line="240" w:lineRule="auto"/>
        <w:ind w:firstLine="708"/>
        <w:jc w:val="both"/>
        <w:rPr>
          <w:rFonts w:ascii="Times New Roman" w:hAnsi="Times New Roman" w:cs="Times New Roman"/>
        </w:rPr>
      </w:pPr>
    </w:p>
    <w:p w:rsidR="00630798" w:rsidRPr="004D4D70" w:rsidRDefault="00630798" w:rsidP="004D4D70">
      <w:pPr>
        <w:tabs>
          <w:tab w:val="left" w:pos="3990"/>
          <w:tab w:val="right" w:pos="9070"/>
        </w:tabs>
        <w:spacing w:after="0" w:line="240" w:lineRule="auto"/>
        <w:ind w:firstLine="708"/>
        <w:jc w:val="both"/>
        <w:rPr>
          <w:rFonts w:ascii="Times New Roman" w:hAnsi="Times New Roman" w:cs="Times New Roman"/>
          <w:sz w:val="24"/>
          <w:szCs w:val="24"/>
        </w:rPr>
      </w:pPr>
      <w:r w:rsidRPr="004D4D70">
        <w:rPr>
          <w:rFonts w:ascii="Times New Roman" w:hAnsi="Times New Roman" w:cs="Times New Roman"/>
          <w:sz w:val="24"/>
          <w:szCs w:val="24"/>
        </w:rPr>
        <w:t>В 2020году зарегистрировано 10 очагов групповой вспышечной заболеваемости среди воспитанников детских садов в связи с заболеваемостью ветряной оспой и 6  очагов новой коронавирусной инфекции среди работников предприятий и организаций( см табл № 44).</w:t>
      </w:r>
    </w:p>
    <w:p w:rsidR="00630798" w:rsidRPr="004D4D70" w:rsidRDefault="00630798" w:rsidP="004D4D70">
      <w:pPr>
        <w:tabs>
          <w:tab w:val="left" w:pos="3990"/>
          <w:tab w:val="right" w:pos="9070"/>
        </w:tabs>
        <w:spacing w:after="0" w:line="240" w:lineRule="auto"/>
        <w:ind w:firstLine="708"/>
        <w:jc w:val="both"/>
        <w:rPr>
          <w:rFonts w:ascii="Times New Roman" w:hAnsi="Times New Roman" w:cs="Times New Roman"/>
          <w:sz w:val="24"/>
          <w:szCs w:val="24"/>
        </w:rPr>
      </w:pPr>
      <w:r w:rsidRPr="004D4D70">
        <w:rPr>
          <w:rFonts w:ascii="Times New Roman" w:hAnsi="Times New Roman" w:cs="Times New Roman"/>
          <w:sz w:val="24"/>
          <w:szCs w:val="24"/>
        </w:rPr>
        <w:t xml:space="preserve"> В 2019 году среди населения города Пыть-Ях было зарегистрировано 5 очагов групповой вспышечной заболеваемости: среди воспитанников МДОАУ ЦРР-д/с «Фантазия» , МАОУ «КСОШ-ДС», МДОАУ д/с «Родничок», МДОАУ д/с «Улыбка»  ветряной оспой.</w:t>
      </w:r>
    </w:p>
    <w:p w:rsidR="00630798" w:rsidRPr="004D4D70" w:rsidRDefault="00630798" w:rsidP="004D4D70">
      <w:pPr>
        <w:tabs>
          <w:tab w:val="left" w:pos="3990"/>
          <w:tab w:val="right" w:pos="9070"/>
        </w:tabs>
        <w:spacing w:after="0" w:line="240" w:lineRule="auto"/>
        <w:ind w:firstLine="708"/>
        <w:jc w:val="both"/>
        <w:rPr>
          <w:rFonts w:ascii="Times New Roman" w:hAnsi="Times New Roman" w:cs="Times New Roman"/>
          <w:sz w:val="24"/>
          <w:szCs w:val="24"/>
        </w:rPr>
      </w:pPr>
      <w:r w:rsidRPr="004D4D70">
        <w:rPr>
          <w:rFonts w:ascii="Times New Roman" w:hAnsi="Times New Roman" w:cs="Times New Roman"/>
          <w:sz w:val="24"/>
          <w:szCs w:val="24"/>
        </w:rPr>
        <w:t>В 2018 году среди населения города Пыть-Ях было зарегистрировано 2 очага групповой вспышечной заболеваемости: среди воспитанников МДОАУ ЦРР-д/с «Фантазия» ротавирусной инфекцией и среди учащихся МБОУ СОШ № 1 ветряной оспой.</w:t>
      </w:r>
    </w:p>
    <w:p w:rsidR="00630798" w:rsidRPr="004D4D70" w:rsidRDefault="00630798" w:rsidP="004D4D70">
      <w:pPr>
        <w:tabs>
          <w:tab w:val="left" w:pos="3990"/>
          <w:tab w:val="right" w:pos="9070"/>
        </w:tabs>
        <w:spacing w:after="0" w:line="240" w:lineRule="auto"/>
        <w:ind w:firstLine="708"/>
        <w:jc w:val="both"/>
        <w:rPr>
          <w:rFonts w:ascii="Times New Roman" w:hAnsi="Times New Roman" w:cs="Times New Roman"/>
        </w:rPr>
      </w:pPr>
    </w:p>
    <w:p w:rsidR="00630798" w:rsidRPr="004D4D70" w:rsidRDefault="00630798" w:rsidP="004D4D70">
      <w:pPr>
        <w:tabs>
          <w:tab w:val="left" w:pos="3990"/>
          <w:tab w:val="right" w:pos="9070"/>
        </w:tabs>
        <w:spacing w:after="0" w:line="240" w:lineRule="auto"/>
        <w:ind w:firstLine="708"/>
        <w:jc w:val="right"/>
        <w:rPr>
          <w:rFonts w:ascii="Times New Roman" w:hAnsi="Times New Roman" w:cs="Times New Roman"/>
        </w:rPr>
      </w:pPr>
      <w:r w:rsidRPr="004D4D70">
        <w:rPr>
          <w:rFonts w:ascii="Times New Roman" w:hAnsi="Times New Roman" w:cs="Times New Roman"/>
        </w:rPr>
        <w:t>Таблица № 44</w:t>
      </w:r>
    </w:p>
    <w:p w:rsidR="00630798" w:rsidRPr="004D4D70" w:rsidRDefault="00630798" w:rsidP="004D4D70">
      <w:pPr>
        <w:tabs>
          <w:tab w:val="left" w:pos="3990"/>
          <w:tab w:val="right" w:pos="9070"/>
        </w:tabs>
        <w:spacing w:after="0" w:line="240" w:lineRule="auto"/>
        <w:ind w:firstLine="708"/>
        <w:jc w:val="both"/>
        <w:rPr>
          <w:rFonts w:ascii="Times New Roman" w:hAnsi="Times New Roman" w:cs="Times New Roman"/>
        </w:rPr>
      </w:pPr>
    </w:p>
    <w:p w:rsidR="00630798" w:rsidRPr="004D4D70" w:rsidRDefault="00630798" w:rsidP="004D4D70">
      <w:pPr>
        <w:tabs>
          <w:tab w:val="left" w:pos="3990"/>
          <w:tab w:val="right" w:pos="9070"/>
        </w:tabs>
        <w:spacing w:after="0" w:line="240" w:lineRule="auto"/>
        <w:ind w:firstLine="708"/>
        <w:jc w:val="center"/>
        <w:rPr>
          <w:rFonts w:ascii="Times New Roman" w:hAnsi="Times New Roman" w:cs="Times New Roman"/>
          <w:b/>
        </w:rPr>
      </w:pPr>
      <w:r w:rsidRPr="004D4D70">
        <w:rPr>
          <w:rFonts w:ascii="Times New Roman" w:hAnsi="Times New Roman" w:cs="Times New Roman"/>
          <w:b/>
        </w:rPr>
        <w:t>Перечень очагов групповой заболеваемости, зарегистрированных на территории г. Пыть-Ях в 2020 г.</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1417"/>
        <w:gridCol w:w="1134"/>
        <w:gridCol w:w="851"/>
        <w:gridCol w:w="4111"/>
      </w:tblGrid>
      <w:tr w:rsidR="00630798" w:rsidRPr="004D4D70" w:rsidTr="00630798">
        <w:tc>
          <w:tcPr>
            <w:tcW w:w="568" w:type="dxa"/>
            <w:shd w:val="clear" w:color="auto" w:fill="auto"/>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 п/п</w:t>
            </w:r>
          </w:p>
        </w:tc>
        <w:tc>
          <w:tcPr>
            <w:tcW w:w="1843" w:type="dxa"/>
            <w:shd w:val="clear" w:color="auto" w:fill="auto"/>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Наименование населенного пункта, объекта</w:t>
            </w:r>
          </w:p>
        </w:tc>
        <w:tc>
          <w:tcPr>
            <w:tcW w:w="1417" w:type="dxa"/>
            <w:shd w:val="clear" w:color="auto" w:fill="auto"/>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Период времени (дата начала, дата окончания)</w:t>
            </w:r>
          </w:p>
        </w:tc>
        <w:tc>
          <w:tcPr>
            <w:tcW w:w="1134" w:type="dxa"/>
            <w:shd w:val="clear" w:color="auto" w:fill="auto"/>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Количество постра-давших</w:t>
            </w:r>
          </w:p>
        </w:tc>
        <w:tc>
          <w:tcPr>
            <w:tcW w:w="851" w:type="dxa"/>
            <w:shd w:val="clear" w:color="auto" w:fill="auto"/>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 xml:space="preserve"> в том числе дети до 17 лет</w:t>
            </w:r>
          </w:p>
        </w:tc>
        <w:tc>
          <w:tcPr>
            <w:tcW w:w="4111" w:type="dxa"/>
            <w:shd w:val="clear" w:color="auto" w:fill="auto"/>
          </w:tcPr>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Окончательный диагноз заболевших</w:t>
            </w:r>
          </w:p>
        </w:tc>
      </w:tr>
      <w:tr w:rsidR="00630798" w:rsidRPr="004D4D70" w:rsidTr="00630798">
        <w:trPr>
          <w:trHeight w:val="1630"/>
        </w:trPr>
        <w:tc>
          <w:tcPr>
            <w:tcW w:w="568" w:type="dxa"/>
            <w:shd w:val="clear" w:color="auto" w:fill="auto"/>
          </w:tcPr>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t>1</w:t>
            </w:r>
          </w:p>
        </w:tc>
        <w:tc>
          <w:tcPr>
            <w:tcW w:w="1843" w:type="dxa"/>
            <w:shd w:val="clear" w:color="auto" w:fill="auto"/>
          </w:tcPr>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г. Пыть – Ях</w:t>
            </w:r>
          </w:p>
          <w:p w:rsidR="00630798" w:rsidRPr="004D4D70" w:rsidRDefault="00630798" w:rsidP="004D4D70">
            <w:pPr>
              <w:autoSpaceDE w:val="0"/>
              <w:autoSpaceDN w:val="0"/>
              <w:adjustRightInd w:val="0"/>
              <w:spacing w:after="0" w:line="240" w:lineRule="auto"/>
              <w:jc w:val="both"/>
              <w:rPr>
                <w:rFonts w:ascii="Times New Roman" w:hAnsi="Times New Roman" w:cs="Times New Roman"/>
              </w:rPr>
            </w:pPr>
            <w:r w:rsidRPr="004D4D70">
              <w:rPr>
                <w:rFonts w:ascii="Times New Roman" w:hAnsi="Times New Roman" w:cs="Times New Roman"/>
              </w:rPr>
              <w:t>среди воспитанников МДОАУ детский сад «Солнышко».</w:t>
            </w:r>
          </w:p>
        </w:tc>
        <w:tc>
          <w:tcPr>
            <w:tcW w:w="1417" w:type="dxa"/>
            <w:shd w:val="clear" w:color="auto" w:fill="auto"/>
          </w:tcPr>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t>с  23.09.2019 г. по 25.01.2020 г.</w:t>
            </w:r>
          </w:p>
        </w:tc>
        <w:tc>
          <w:tcPr>
            <w:tcW w:w="1134" w:type="dxa"/>
            <w:shd w:val="clear" w:color="auto" w:fill="auto"/>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38</w:t>
            </w:r>
          </w:p>
        </w:tc>
        <w:tc>
          <w:tcPr>
            <w:tcW w:w="851" w:type="dxa"/>
            <w:shd w:val="clear" w:color="auto" w:fill="auto"/>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38</w:t>
            </w:r>
          </w:p>
        </w:tc>
        <w:tc>
          <w:tcPr>
            <w:tcW w:w="4111" w:type="dxa"/>
            <w:shd w:val="clear" w:color="auto" w:fill="auto"/>
          </w:tcPr>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По заключительным диагнозам у всех 38-х человек – ветряная оспа, легкая степень тяжести – 38 чел. (100 %).</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Лабораторные исследования клинического материала не проводились.</w:t>
            </w:r>
          </w:p>
        </w:tc>
      </w:tr>
      <w:tr w:rsidR="00630798" w:rsidRPr="004D4D70" w:rsidTr="00630798">
        <w:tc>
          <w:tcPr>
            <w:tcW w:w="568" w:type="dxa"/>
            <w:shd w:val="clear" w:color="auto" w:fill="auto"/>
          </w:tcPr>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lastRenderedPageBreak/>
              <w:t>2</w:t>
            </w:r>
          </w:p>
        </w:tc>
        <w:tc>
          <w:tcPr>
            <w:tcW w:w="1843" w:type="dxa"/>
            <w:shd w:val="clear" w:color="auto" w:fill="auto"/>
          </w:tcPr>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г. Пыть – Ях</w:t>
            </w:r>
          </w:p>
          <w:p w:rsidR="00630798" w:rsidRPr="004D4D70" w:rsidRDefault="00630798" w:rsidP="004D4D70">
            <w:pPr>
              <w:autoSpaceDE w:val="0"/>
              <w:autoSpaceDN w:val="0"/>
              <w:adjustRightInd w:val="0"/>
              <w:spacing w:after="0" w:line="240" w:lineRule="auto"/>
              <w:ind w:left="34"/>
              <w:contextualSpacing/>
              <w:jc w:val="both"/>
              <w:rPr>
                <w:rFonts w:ascii="Times New Roman" w:hAnsi="Times New Roman" w:cs="Times New Roman"/>
              </w:rPr>
            </w:pPr>
            <w:r w:rsidRPr="004D4D70">
              <w:rPr>
                <w:rFonts w:ascii="Times New Roman" w:hAnsi="Times New Roman" w:cs="Times New Roman"/>
              </w:rPr>
              <w:t>среди воспитанников МДОАУ детский сад «Улыбка».</w:t>
            </w:r>
          </w:p>
        </w:tc>
        <w:tc>
          <w:tcPr>
            <w:tcW w:w="1417" w:type="dxa"/>
            <w:shd w:val="clear" w:color="auto" w:fill="auto"/>
          </w:tcPr>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t>с  06.12.2019 г. по 04.03.2020 г.</w:t>
            </w:r>
          </w:p>
        </w:tc>
        <w:tc>
          <w:tcPr>
            <w:tcW w:w="1134" w:type="dxa"/>
            <w:shd w:val="clear" w:color="auto" w:fill="auto"/>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26</w:t>
            </w:r>
          </w:p>
        </w:tc>
        <w:tc>
          <w:tcPr>
            <w:tcW w:w="851" w:type="dxa"/>
            <w:shd w:val="clear" w:color="auto" w:fill="auto"/>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26</w:t>
            </w:r>
          </w:p>
        </w:tc>
        <w:tc>
          <w:tcPr>
            <w:tcW w:w="4111" w:type="dxa"/>
            <w:shd w:val="clear" w:color="auto" w:fill="auto"/>
          </w:tcPr>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По заключительным диагнозам у всех 26-х человек – ветряная оспа, легкая степень тяжести – 26 сл. (100 %).</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Лабораторные исследования клинического материала не проводились.</w:t>
            </w:r>
          </w:p>
        </w:tc>
      </w:tr>
      <w:tr w:rsidR="00630798" w:rsidRPr="004D4D70" w:rsidTr="00630798">
        <w:tc>
          <w:tcPr>
            <w:tcW w:w="568" w:type="dxa"/>
            <w:shd w:val="clear" w:color="auto" w:fill="auto"/>
          </w:tcPr>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t>3</w:t>
            </w:r>
          </w:p>
        </w:tc>
        <w:tc>
          <w:tcPr>
            <w:tcW w:w="1843" w:type="dxa"/>
            <w:shd w:val="clear" w:color="auto" w:fill="auto"/>
          </w:tcPr>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г. Пыть – Ях</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 xml:space="preserve">среди воспитанников МДОАУ </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детский сад «Фантазия» (1 корпус)</w:t>
            </w:r>
          </w:p>
        </w:tc>
        <w:tc>
          <w:tcPr>
            <w:tcW w:w="1417" w:type="dxa"/>
            <w:shd w:val="clear" w:color="auto" w:fill="auto"/>
          </w:tcPr>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t>с  31.12.2019 г. по 10.03.2020 г.</w:t>
            </w:r>
          </w:p>
        </w:tc>
        <w:tc>
          <w:tcPr>
            <w:tcW w:w="1134" w:type="dxa"/>
            <w:shd w:val="clear" w:color="auto" w:fill="auto"/>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15</w:t>
            </w:r>
          </w:p>
        </w:tc>
        <w:tc>
          <w:tcPr>
            <w:tcW w:w="851" w:type="dxa"/>
            <w:shd w:val="clear" w:color="auto" w:fill="auto"/>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15</w:t>
            </w:r>
          </w:p>
        </w:tc>
        <w:tc>
          <w:tcPr>
            <w:tcW w:w="4111" w:type="dxa"/>
            <w:shd w:val="clear" w:color="auto" w:fill="auto"/>
          </w:tcPr>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По заключительным диагнозам у всех 15-ти человек – ветряная оспа, легкая степень тяжести – 15 сл. (100 %).</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Лабораторные исследования клинического материала не проводились.</w:t>
            </w:r>
          </w:p>
        </w:tc>
      </w:tr>
      <w:tr w:rsidR="00630798" w:rsidRPr="004D4D70" w:rsidTr="00630798">
        <w:tc>
          <w:tcPr>
            <w:tcW w:w="568" w:type="dxa"/>
            <w:shd w:val="clear" w:color="auto" w:fill="auto"/>
          </w:tcPr>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t>4</w:t>
            </w:r>
          </w:p>
        </w:tc>
        <w:tc>
          <w:tcPr>
            <w:tcW w:w="1843" w:type="dxa"/>
            <w:shd w:val="clear" w:color="auto" w:fill="auto"/>
          </w:tcPr>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г. Пыть – Ях</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среди воспитанников МАОУ «Комплекс средняя общеобразовательная школа- детский сад» (д/с Ёлочка)</w:t>
            </w:r>
          </w:p>
        </w:tc>
        <w:tc>
          <w:tcPr>
            <w:tcW w:w="1417" w:type="dxa"/>
            <w:shd w:val="clear" w:color="auto" w:fill="auto"/>
          </w:tcPr>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t>с  24.12.2019 г. по 17.04.2020 г.</w:t>
            </w:r>
          </w:p>
        </w:tc>
        <w:tc>
          <w:tcPr>
            <w:tcW w:w="1134" w:type="dxa"/>
            <w:shd w:val="clear" w:color="auto" w:fill="auto"/>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57</w:t>
            </w:r>
          </w:p>
        </w:tc>
        <w:tc>
          <w:tcPr>
            <w:tcW w:w="851" w:type="dxa"/>
            <w:shd w:val="clear" w:color="auto" w:fill="auto"/>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57</w:t>
            </w:r>
          </w:p>
        </w:tc>
        <w:tc>
          <w:tcPr>
            <w:tcW w:w="4111" w:type="dxa"/>
            <w:shd w:val="clear" w:color="auto" w:fill="auto"/>
          </w:tcPr>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По заключительным диагнозам у всех 57-и человек – ветряная оспа, легкая степень тяжести – 57 сл. (100 %).</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Лабораторные исследования клинического материала не проводились.</w:t>
            </w:r>
          </w:p>
        </w:tc>
      </w:tr>
      <w:tr w:rsidR="00630798" w:rsidRPr="004D4D70" w:rsidTr="00630798">
        <w:tc>
          <w:tcPr>
            <w:tcW w:w="568" w:type="dxa"/>
            <w:shd w:val="clear" w:color="auto" w:fill="auto"/>
          </w:tcPr>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t>5</w:t>
            </w:r>
          </w:p>
        </w:tc>
        <w:tc>
          <w:tcPr>
            <w:tcW w:w="1843" w:type="dxa"/>
            <w:shd w:val="clear" w:color="auto" w:fill="auto"/>
          </w:tcPr>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г. Пыть – Ях</w:t>
            </w:r>
          </w:p>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t>среди  сотрудников МКУ «Администрация г. Пыть-Яха»</w:t>
            </w:r>
          </w:p>
        </w:tc>
        <w:tc>
          <w:tcPr>
            <w:tcW w:w="1417" w:type="dxa"/>
            <w:shd w:val="clear" w:color="auto" w:fill="auto"/>
          </w:tcPr>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szCs w:val="24"/>
              </w:rPr>
              <w:t>с 16.06.2020 г. по  04.07.2020г.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0798" w:rsidRPr="004D4D70" w:rsidRDefault="00630798" w:rsidP="004D4D70">
            <w:pPr>
              <w:spacing w:after="0" w:line="240" w:lineRule="auto"/>
              <w:jc w:val="center"/>
              <w:rPr>
                <w:rFonts w:ascii="Times New Roman" w:hAnsi="Times New Roman" w:cs="Times New Roman"/>
                <w:color w:val="000000"/>
              </w:rPr>
            </w:pPr>
            <w:r w:rsidRPr="004D4D70">
              <w:rPr>
                <w:rFonts w:ascii="Times New Roman" w:hAnsi="Times New Roman" w:cs="Times New Roman"/>
                <w:color w:val="00000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0798" w:rsidRPr="004D4D70" w:rsidRDefault="00630798" w:rsidP="004D4D70">
            <w:pPr>
              <w:spacing w:after="0" w:line="240" w:lineRule="auto"/>
              <w:jc w:val="center"/>
              <w:rPr>
                <w:rFonts w:ascii="Times New Roman" w:hAnsi="Times New Roman" w:cs="Times New Roman"/>
                <w:color w:val="000000"/>
              </w:rPr>
            </w:pPr>
            <w:r w:rsidRPr="004D4D70">
              <w:rPr>
                <w:rFonts w:ascii="Times New Roman" w:hAnsi="Times New Roman" w:cs="Times New Roman"/>
                <w:color w:val="000000"/>
              </w:rPr>
              <w:t>0</w:t>
            </w:r>
          </w:p>
        </w:tc>
        <w:tc>
          <w:tcPr>
            <w:tcW w:w="4111" w:type="dxa"/>
            <w:shd w:val="clear" w:color="auto" w:fill="auto"/>
          </w:tcPr>
          <w:p w:rsidR="00630798" w:rsidRPr="004D4D70" w:rsidRDefault="00630798" w:rsidP="004D4D70">
            <w:pPr>
              <w:spacing w:after="0" w:line="240" w:lineRule="auto"/>
              <w:ind w:firstLine="708"/>
              <w:jc w:val="both"/>
              <w:rPr>
                <w:rFonts w:ascii="Times New Roman" w:hAnsi="Times New Roman" w:cs="Times New Roman"/>
                <w:szCs w:val="24"/>
              </w:rPr>
            </w:pPr>
            <w:r w:rsidRPr="004D4D70">
              <w:rPr>
                <w:rFonts w:ascii="Times New Roman" w:hAnsi="Times New Roman" w:cs="Times New Roman"/>
              </w:rPr>
              <w:t xml:space="preserve">По заключительным диагнозам: </w:t>
            </w:r>
            <w:r w:rsidRPr="004D4D70">
              <w:rPr>
                <w:rFonts w:ascii="Times New Roman" w:hAnsi="Times New Roman" w:cs="Times New Roman"/>
                <w:szCs w:val="24"/>
              </w:rPr>
              <w:t xml:space="preserve">Коронавирусная инфекция, вызванная Covid-19, </w:t>
            </w:r>
            <w:r w:rsidRPr="004D4D70">
              <w:rPr>
                <w:rFonts w:ascii="Times New Roman" w:hAnsi="Times New Roman" w:cs="Times New Roman"/>
                <w:szCs w:val="24"/>
                <w:lang w:val="en-US"/>
              </w:rPr>
              <w:t>J</w:t>
            </w:r>
            <w:r w:rsidRPr="004D4D70">
              <w:rPr>
                <w:rFonts w:ascii="Times New Roman" w:hAnsi="Times New Roman" w:cs="Times New Roman"/>
                <w:szCs w:val="24"/>
              </w:rPr>
              <w:t>06.9 ОРВИ лег.ст.тяж   -3 случая ( 50 %);</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szCs w:val="24"/>
              </w:rPr>
              <w:t xml:space="preserve">Коронавирусная инфекция, вызванная Covid-19, </w:t>
            </w:r>
            <w:r w:rsidRPr="004D4D70">
              <w:rPr>
                <w:rFonts w:ascii="Times New Roman" w:hAnsi="Times New Roman" w:cs="Times New Roman"/>
                <w:szCs w:val="24"/>
                <w:lang w:val="en-US"/>
              </w:rPr>
              <w:t>J</w:t>
            </w:r>
            <w:r w:rsidRPr="004D4D70">
              <w:rPr>
                <w:rFonts w:ascii="Times New Roman" w:hAnsi="Times New Roman" w:cs="Times New Roman"/>
                <w:szCs w:val="24"/>
              </w:rPr>
              <w:t>12.8 Внебольничная двухсторонная полисегментарная пневмония средней степени тяжести - 3 случая ( 50 %)</w:t>
            </w:r>
            <w:r w:rsidRPr="004D4D70">
              <w:rPr>
                <w:rFonts w:ascii="Times New Roman" w:hAnsi="Times New Roman" w:cs="Times New Roman"/>
              </w:rPr>
              <w:t xml:space="preserve"> Лабораторные исследования клинического материала, отбор проб дезсредств  не проводились( не заявлялись).</w:t>
            </w:r>
            <w:r w:rsidRPr="004D4D70">
              <w:rPr>
                <w:rFonts w:ascii="Times New Roman" w:hAnsi="Times New Roman" w:cs="Times New Roman"/>
                <w:szCs w:val="24"/>
              </w:rPr>
              <w:t xml:space="preserve"> </w:t>
            </w:r>
          </w:p>
        </w:tc>
      </w:tr>
      <w:tr w:rsidR="00630798" w:rsidRPr="004D4D70" w:rsidTr="00630798">
        <w:tc>
          <w:tcPr>
            <w:tcW w:w="568" w:type="dxa"/>
            <w:shd w:val="clear" w:color="auto" w:fill="auto"/>
          </w:tcPr>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t>6</w:t>
            </w:r>
          </w:p>
        </w:tc>
        <w:tc>
          <w:tcPr>
            <w:tcW w:w="1843" w:type="dxa"/>
            <w:shd w:val="clear" w:color="auto" w:fill="auto"/>
          </w:tcPr>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г. Пыть – Ях</w:t>
            </w:r>
          </w:p>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t>среди  сотрудников и призывников  АУХМАО-Югры «Центр военно-патриотического воспитания и подготовки граждан к военной службе», структурное подразделение в г. Пыть-Ях</w:t>
            </w:r>
          </w:p>
        </w:tc>
        <w:tc>
          <w:tcPr>
            <w:tcW w:w="1417" w:type="dxa"/>
            <w:shd w:val="clear" w:color="auto" w:fill="auto"/>
          </w:tcPr>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szCs w:val="24"/>
              </w:rPr>
              <w:t>с 24.06.2020 г. по 30.07.2020г.</w:t>
            </w:r>
          </w:p>
        </w:tc>
        <w:tc>
          <w:tcPr>
            <w:tcW w:w="1134" w:type="dxa"/>
            <w:tcBorders>
              <w:top w:val="nil"/>
              <w:left w:val="single" w:sz="4" w:space="0" w:color="auto"/>
              <w:bottom w:val="single" w:sz="4" w:space="0" w:color="auto"/>
              <w:right w:val="single" w:sz="4" w:space="0" w:color="auto"/>
            </w:tcBorders>
            <w:shd w:val="clear" w:color="auto" w:fill="auto"/>
            <w:vAlign w:val="center"/>
          </w:tcPr>
          <w:p w:rsidR="00630798" w:rsidRPr="004D4D70" w:rsidRDefault="00630798" w:rsidP="004D4D70">
            <w:pPr>
              <w:spacing w:after="0" w:line="240" w:lineRule="auto"/>
              <w:jc w:val="center"/>
              <w:rPr>
                <w:rFonts w:ascii="Times New Roman" w:hAnsi="Times New Roman" w:cs="Times New Roman"/>
                <w:color w:val="000000"/>
              </w:rPr>
            </w:pPr>
            <w:r w:rsidRPr="004D4D70">
              <w:rPr>
                <w:rFonts w:ascii="Times New Roman" w:hAnsi="Times New Roman" w:cs="Times New Roman"/>
                <w:color w:val="000000"/>
              </w:rPr>
              <w:t>9</w:t>
            </w:r>
          </w:p>
        </w:tc>
        <w:tc>
          <w:tcPr>
            <w:tcW w:w="851" w:type="dxa"/>
            <w:tcBorders>
              <w:top w:val="nil"/>
              <w:left w:val="single" w:sz="4" w:space="0" w:color="auto"/>
              <w:bottom w:val="single" w:sz="4" w:space="0" w:color="auto"/>
              <w:right w:val="single" w:sz="4" w:space="0" w:color="auto"/>
            </w:tcBorders>
            <w:shd w:val="clear" w:color="auto" w:fill="auto"/>
            <w:vAlign w:val="center"/>
          </w:tcPr>
          <w:p w:rsidR="00630798" w:rsidRPr="004D4D70" w:rsidRDefault="00630798" w:rsidP="004D4D70">
            <w:pPr>
              <w:spacing w:after="0" w:line="240" w:lineRule="auto"/>
              <w:jc w:val="center"/>
              <w:rPr>
                <w:rFonts w:ascii="Times New Roman" w:hAnsi="Times New Roman" w:cs="Times New Roman"/>
                <w:color w:val="000000"/>
              </w:rPr>
            </w:pPr>
            <w:r w:rsidRPr="004D4D70">
              <w:rPr>
                <w:rFonts w:ascii="Times New Roman" w:hAnsi="Times New Roman" w:cs="Times New Roman"/>
                <w:color w:val="000000"/>
              </w:rPr>
              <w:t>сотрудники, призывники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По заключительным диагнозам:</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-Новая коронавирусная инфекция подтвержденная, внебольничная двухсторонняя полисегментарная пневмония легкой степени тяжести-2 сл ( 22,22%);</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-Новая коронавирусная инфекция подтвержденная, внебольничная двухсторонняя полисегментарная пневмония средней степени тяжести- 4 сл ( 44,44%);</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-Новая коронавирусная инфекция подтвержденная, бессимптомное течение-1 сл(11,11%);</w:t>
            </w:r>
          </w:p>
          <w:p w:rsidR="00630798" w:rsidRPr="004D4D70" w:rsidRDefault="00630798" w:rsidP="004D4D70">
            <w:pPr>
              <w:spacing w:after="0" w:line="240" w:lineRule="auto"/>
              <w:jc w:val="both"/>
              <w:rPr>
                <w:rFonts w:ascii="Times New Roman" w:hAnsi="Times New Roman" w:cs="Times New Roman"/>
                <w:color w:val="000000"/>
              </w:rPr>
            </w:pPr>
            <w:r w:rsidRPr="004D4D70">
              <w:rPr>
                <w:rFonts w:ascii="Times New Roman" w:hAnsi="Times New Roman" w:cs="Times New Roman"/>
              </w:rPr>
              <w:t>-Новая коронавирусная инфекция подтвержденная, ОРВИ легкое степени тяжести-2сл ( 22,22%) Лабораторные исследования клинического материала, отбор проб дезсредств  не проводились( не заявлялись).</w:t>
            </w:r>
          </w:p>
        </w:tc>
      </w:tr>
      <w:tr w:rsidR="00630798" w:rsidRPr="004D4D70" w:rsidTr="00630798">
        <w:tc>
          <w:tcPr>
            <w:tcW w:w="568" w:type="dxa"/>
            <w:shd w:val="clear" w:color="auto" w:fill="auto"/>
          </w:tcPr>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t>7</w:t>
            </w:r>
          </w:p>
        </w:tc>
        <w:tc>
          <w:tcPr>
            <w:tcW w:w="1843" w:type="dxa"/>
            <w:shd w:val="clear" w:color="auto" w:fill="auto"/>
          </w:tcPr>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г. Пыть – Ях</w:t>
            </w:r>
          </w:p>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t>среди  сотрудников "ООО «РН-</w:t>
            </w:r>
            <w:r w:rsidRPr="004D4D70">
              <w:rPr>
                <w:rFonts w:ascii="Times New Roman" w:hAnsi="Times New Roman" w:cs="Times New Roman"/>
              </w:rPr>
              <w:lastRenderedPageBreak/>
              <w:t xml:space="preserve">Снабжение Нефтеюганск» </w:t>
            </w:r>
          </w:p>
        </w:tc>
        <w:tc>
          <w:tcPr>
            <w:tcW w:w="1417" w:type="dxa"/>
            <w:shd w:val="clear" w:color="auto" w:fill="auto"/>
          </w:tcPr>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lastRenderedPageBreak/>
              <w:t>с 07.06.2020 г.. по  13.07.2020г.</w:t>
            </w:r>
          </w:p>
        </w:tc>
        <w:tc>
          <w:tcPr>
            <w:tcW w:w="1134" w:type="dxa"/>
            <w:tcBorders>
              <w:top w:val="nil"/>
              <w:left w:val="single" w:sz="4" w:space="0" w:color="auto"/>
              <w:bottom w:val="single" w:sz="4" w:space="0" w:color="auto"/>
              <w:right w:val="single" w:sz="4" w:space="0" w:color="auto"/>
            </w:tcBorders>
            <w:shd w:val="clear" w:color="auto" w:fill="auto"/>
            <w:vAlign w:val="center"/>
          </w:tcPr>
          <w:p w:rsidR="00630798" w:rsidRPr="004D4D70" w:rsidRDefault="00630798" w:rsidP="004D4D70">
            <w:pPr>
              <w:spacing w:after="0" w:line="240" w:lineRule="auto"/>
              <w:jc w:val="center"/>
              <w:rPr>
                <w:rFonts w:ascii="Times New Roman" w:hAnsi="Times New Roman" w:cs="Times New Roman"/>
                <w:color w:val="000000"/>
              </w:rPr>
            </w:pPr>
            <w:r w:rsidRPr="004D4D70">
              <w:rPr>
                <w:rFonts w:ascii="Times New Roman" w:hAnsi="Times New Roman" w:cs="Times New Roman"/>
                <w:color w:val="000000"/>
              </w:rPr>
              <w:t>7</w:t>
            </w:r>
          </w:p>
        </w:tc>
        <w:tc>
          <w:tcPr>
            <w:tcW w:w="851" w:type="dxa"/>
            <w:tcBorders>
              <w:top w:val="nil"/>
              <w:left w:val="single" w:sz="4" w:space="0" w:color="auto"/>
              <w:bottom w:val="single" w:sz="4" w:space="0" w:color="auto"/>
              <w:right w:val="single" w:sz="4" w:space="0" w:color="auto"/>
            </w:tcBorders>
            <w:shd w:val="clear" w:color="auto" w:fill="auto"/>
            <w:vAlign w:val="center"/>
          </w:tcPr>
          <w:p w:rsidR="00630798" w:rsidRPr="004D4D70" w:rsidRDefault="00630798" w:rsidP="004D4D70">
            <w:pPr>
              <w:spacing w:after="0" w:line="240" w:lineRule="auto"/>
              <w:jc w:val="center"/>
              <w:rPr>
                <w:rFonts w:ascii="Times New Roman" w:hAnsi="Times New Roman" w:cs="Times New Roman"/>
                <w:color w:val="000000"/>
              </w:rPr>
            </w:pPr>
            <w:r w:rsidRPr="004D4D70">
              <w:rPr>
                <w:rFonts w:ascii="Times New Roman" w:hAnsi="Times New Roman" w:cs="Times New Roman"/>
                <w:color w:val="000000"/>
              </w:rPr>
              <w:t>0</w:t>
            </w:r>
          </w:p>
        </w:tc>
        <w:tc>
          <w:tcPr>
            <w:tcW w:w="4111" w:type="dxa"/>
            <w:shd w:val="clear" w:color="auto" w:fill="auto"/>
          </w:tcPr>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По заключительным диагнозам:</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-Коронавирусная инфекция, вызванная Covid-19, ОРВИ легкой степени тяжести.   5 случаев ( 71.4%);</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lastRenderedPageBreak/>
              <w:t xml:space="preserve">- Коронавирусная инфекция, вызванная Covid-19, Внебольничная двухсторонная полисегментарная пневмония средней степени тяжести - 1 случай ( 14,3 %);  </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 xml:space="preserve">-Коронавирусная инфекция, вызванная Covid-19, Внебольничная двухсторонная полисегментарная пневмония легкой  степени тяжести - 1 случай ( 14,3 %) Лабораторные исследования клинического материала контактных-7 чел, не обнаружено-7 чел,. Дезрастворы-2 ед, , в 2 пробах концентрация завышена;  </w:t>
            </w:r>
          </w:p>
        </w:tc>
      </w:tr>
      <w:tr w:rsidR="00630798" w:rsidRPr="004D4D70" w:rsidTr="00630798">
        <w:tc>
          <w:tcPr>
            <w:tcW w:w="568" w:type="dxa"/>
            <w:shd w:val="clear" w:color="auto" w:fill="auto"/>
          </w:tcPr>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lastRenderedPageBreak/>
              <w:t>8</w:t>
            </w:r>
          </w:p>
        </w:tc>
        <w:tc>
          <w:tcPr>
            <w:tcW w:w="1843" w:type="dxa"/>
            <w:shd w:val="clear" w:color="auto" w:fill="auto"/>
          </w:tcPr>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t>г. Пыть-Ях среди работников ,-вахтовиков ООО "Урал-Югра", гостиница "Уютная", буферная зона для сотрудников ООО "КанБайкал"</w:t>
            </w:r>
          </w:p>
        </w:tc>
        <w:tc>
          <w:tcPr>
            <w:tcW w:w="1417" w:type="dxa"/>
            <w:shd w:val="clear" w:color="auto" w:fill="auto"/>
          </w:tcPr>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t>С 09.10.2020 по 10.10.2020</w:t>
            </w:r>
          </w:p>
        </w:tc>
        <w:tc>
          <w:tcPr>
            <w:tcW w:w="1134" w:type="dxa"/>
            <w:tcBorders>
              <w:top w:val="nil"/>
              <w:left w:val="single" w:sz="4" w:space="0" w:color="auto"/>
              <w:bottom w:val="single" w:sz="4" w:space="0" w:color="auto"/>
              <w:right w:val="single" w:sz="4" w:space="0" w:color="auto"/>
            </w:tcBorders>
            <w:shd w:val="clear" w:color="auto" w:fill="auto"/>
            <w:vAlign w:val="center"/>
          </w:tcPr>
          <w:p w:rsidR="00630798" w:rsidRPr="004D4D70" w:rsidRDefault="00630798" w:rsidP="004D4D70">
            <w:pPr>
              <w:spacing w:after="0" w:line="240" w:lineRule="auto"/>
              <w:jc w:val="center"/>
              <w:rPr>
                <w:rFonts w:ascii="Times New Roman" w:hAnsi="Times New Roman" w:cs="Times New Roman"/>
                <w:color w:val="000000"/>
              </w:rPr>
            </w:pPr>
            <w:r w:rsidRPr="004D4D70">
              <w:rPr>
                <w:rFonts w:ascii="Times New Roman" w:hAnsi="Times New Roman" w:cs="Times New Roman"/>
                <w:color w:val="000000"/>
              </w:rPr>
              <w:t>13</w:t>
            </w:r>
          </w:p>
        </w:tc>
        <w:tc>
          <w:tcPr>
            <w:tcW w:w="851" w:type="dxa"/>
            <w:tcBorders>
              <w:top w:val="nil"/>
              <w:left w:val="single" w:sz="4" w:space="0" w:color="auto"/>
              <w:bottom w:val="single" w:sz="4" w:space="0" w:color="auto"/>
              <w:right w:val="single" w:sz="4" w:space="0" w:color="auto"/>
            </w:tcBorders>
            <w:shd w:val="clear" w:color="auto" w:fill="auto"/>
            <w:vAlign w:val="center"/>
          </w:tcPr>
          <w:p w:rsidR="00630798" w:rsidRPr="004D4D70" w:rsidRDefault="00630798" w:rsidP="004D4D70">
            <w:pPr>
              <w:spacing w:after="0" w:line="240" w:lineRule="auto"/>
              <w:jc w:val="center"/>
              <w:rPr>
                <w:rFonts w:ascii="Times New Roman" w:hAnsi="Times New Roman" w:cs="Times New Roman"/>
                <w:color w:val="000000"/>
              </w:rPr>
            </w:pPr>
            <w:r w:rsidRPr="004D4D70">
              <w:rPr>
                <w:rFonts w:ascii="Times New Roman" w:hAnsi="Times New Roman" w:cs="Times New Roman"/>
                <w:color w:val="000000"/>
              </w:rPr>
              <w:t>0</w:t>
            </w:r>
          </w:p>
        </w:tc>
        <w:tc>
          <w:tcPr>
            <w:tcW w:w="4111" w:type="dxa"/>
            <w:shd w:val="clear" w:color="auto" w:fill="auto"/>
          </w:tcPr>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По заключительным диагнозам:</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Носительство возбудителя коронавирусной инфекции- 13 случаев,  Бессимптомная форма-13 случаев (100%)</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 xml:space="preserve">Лабораторные исследования клинического материала от контактных </w:t>
            </w:r>
            <w:r w:rsidRPr="004D4D70">
              <w:rPr>
                <w:rFonts w:ascii="Times New Roman" w:hAnsi="Times New Roman" w:cs="Times New Roman"/>
                <w:bCs/>
              </w:rPr>
              <w:t xml:space="preserve"> 6 чел методом ПЦР результат от 23.10.2020, 27.10.2020-3 ед, 28.10.2020, 02.11.2020г не обнаружено. Отобраны пробы : </w:t>
            </w:r>
            <w:r w:rsidRPr="004D4D70">
              <w:rPr>
                <w:rFonts w:ascii="Times New Roman" w:hAnsi="Times New Roman" w:cs="Times New Roman"/>
              </w:rPr>
              <w:t>Смывы на СО</w:t>
            </w:r>
            <w:r w:rsidRPr="004D4D70">
              <w:rPr>
                <w:rFonts w:ascii="Times New Roman" w:hAnsi="Times New Roman" w:cs="Times New Roman"/>
                <w:lang w:val="en-US"/>
              </w:rPr>
              <w:t>VID</w:t>
            </w:r>
            <w:r w:rsidRPr="004D4D70">
              <w:rPr>
                <w:rFonts w:ascii="Times New Roman" w:hAnsi="Times New Roman" w:cs="Times New Roman"/>
              </w:rPr>
              <w:t xml:space="preserve">-19 (Протокол  ФБУЗ «ЦГиЭ в ХМАО-Югре»№ Ф.1292.20 от 16.10.2020г-не обнаружено, дезраствор-1 ед, 1 несоответствует-завышена </w:t>
            </w:r>
          </w:p>
        </w:tc>
      </w:tr>
      <w:tr w:rsidR="00630798" w:rsidRPr="004D4D70" w:rsidTr="00630798">
        <w:tc>
          <w:tcPr>
            <w:tcW w:w="568" w:type="dxa"/>
            <w:shd w:val="clear" w:color="auto" w:fill="auto"/>
          </w:tcPr>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t>9</w:t>
            </w:r>
          </w:p>
        </w:tc>
        <w:tc>
          <w:tcPr>
            <w:tcW w:w="1843" w:type="dxa"/>
            <w:shd w:val="clear" w:color="auto" w:fill="auto"/>
          </w:tcPr>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г. Пыть-Ях среди сотрудников и учащихся Муниципальное бюджетное общеобразовательное учреждение средняя общеобразовательная школа № 6</w:t>
            </w:r>
          </w:p>
        </w:tc>
        <w:tc>
          <w:tcPr>
            <w:tcW w:w="1417" w:type="dxa"/>
            <w:shd w:val="clear" w:color="auto" w:fill="auto"/>
          </w:tcPr>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t>с 15.10.2020 г. по 28.10.2020г.</w:t>
            </w:r>
          </w:p>
        </w:tc>
        <w:tc>
          <w:tcPr>
            <w:tcW w:w="1134" w:type="dxa"/>
            <w:shd w:val="clear" w:color="auto" w:fill="auto"/>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13</w:t>
            </w:r>
          </w:p>
        </w:tc>
        <w:tc>
          <w:tcPr>
            <w:tcW w:w="851" w:type="dxa"/>
            <w:tcBorders>
              <w:top w:val="nil"/>
              <w:left w:val="single" w:sz="4" w:space="0" w:color="auto"/>
              <w:bottom w:val="single" w:sz="4" w:space="0" w:color="auto"/>
              <w:right w:val="single" w:sz="4" w:space="0" w:color="auto"/>
            </w:tcBorders>
            <w:shd w:val="clear" w:color="auto" w:fill="auto"/>
            <w:vAlign w:val="center"/>
          </w:tcPr>
          <w:p w:rsidR="00630798" w:rsidRPr="004D4D70" w:rsidRDefault="00630798" w:rsidP="004D4D70">
            <w:pPr>
              <w:spacing w:after="0" w:line="240" w:lineRule="auto"/>
              <w:jc w:val="center"/>
              <w:rPr>
                <w:rFonts w:ascii="Times New Roman" w:hAnsi="Times New Roman" w:cs="Times New Roman"/>
                <w:color w:val="000000"/>
              </w:rPr>
            </w:pPr>
            <w:r w:rsidRPr="004D4D70">
              <w:rPr>
                <w:rFonts w:ascii="Times New Roman" w:hAnsi="Times New Roman" w:cs="Times New Roman"/>
                <w:color w:val="000000"/>
              </w:rPr>
              <w:t>7</w:t>
            </w:r>
          </w:p>
        </w:tc>
        <w:tc>
          <w:tcPr>
            <w:tcW w:w="4111" w:type="dxa"/>
            <w:shd w:val="clear" w:color="auto" w:fill="auto"/>
          </w:tcPr>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По заключительным диагнозам:</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-Новая коронавирусная инфекция COVID 19 (подтвержденная (J12.8) Внебольничная пневмония  – 4 сл. (30,77 %);</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  Новая коронавирусная инфекция COVID 19 (подтвержденная). ОРВИ – 4 сл. (</w:t>
            </w:r>
            <w:r w:rsidRPr="004D4D70">
              <w:rPr>
                <w:rFonts w:ascii="Times New Roman" w:hAnsi="Times New Roman" w:cs="Times New Roman"/>
                <w:lang w:eastAsia="ar-SA"/>
              </w:rPr>
              <w:t>30,77</w:t>
            </w:r>
            <w:r w:rsidRPr="004D4D70">
              <w:rPr>
                <w:rFonts w:ascii="Times New Roman" w:hAnsi="Times New Roman" w:cs="Times New Roman"/>
              </w:rPr>
              <w:t>%).</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-Носительство коронавирусной инфекции – 4 сл. (</w:t>
            </w:r>
            <w:r w:rsidRPr="004D4D70">
              <w:rPr>
                <w:rFonts w:ascii="Times New Roman" w:hAnsi="Times New Roman" w:cs="Times New Roman"/>
                <w:lang w:eastAsia="ar-SA"/>
              </w:rPr>
              <w:t>30,77</w:t>
            </w:r>
            <w:r w:rsidRPr="004D4D70">
              <w:rPr>
                <w:rFonts w:ascii="Times New Roman" w:hAnsi="Times New Roman" w:cs="Times New Roman"/>
              </w:rPr>
              <w:t xml:space="preserve">%). </w:t>
            </w:r>
          </w:p>
          <w:p w:rsidR="00630798" w:rsidRPr="004D4D70" w:rsidRDefault="00630798" w:rsidP="004D4D70">
            <w:pPr>
              <w:spacing w:after="0" w:line="240" w:lineRule="auto"/>
              <w:jc w:val="both"/>
              <w:rPr>
                <w:rFonts w:ascii="Times New Roman" w:hAnsi="Times New Roman" w:cs="Times New Roman"/>
                <w:bCs/>
              </w:rPr>
            </w:pPr>
            <w:r w:rsidRPr="004D4D70">
              <w:rPr>
                <w:rFonts w:ascii="Times New Roman" w:hAnsi="Times New Roman" w:cs="Times New Roman"/>
                <w:u w:val="single"/>
              </w:rPr>
              <w:t>-</w:t>
            </w:r>
            <w:r w:rsidRPr="004D4D70">
              <w:rPr>
                <w:rFonts w:ascii="Times New Roman" w:hAnsi="Times New Roman" w:cs="Times New Roman"/>
                <w:bCs/>
              </w:rPr>
              <w:t xml:space="preserve">Новая коронавирусная инфекция COVID -19( подтвержденная ), тяжелая форма( летальный) </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По тяжести заболевания:</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-Легкая степень тяжести - 7 случаев (3,84 %);</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-Тяжелая степень – 1 сл. (7,69 %);</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-Тяжелая степень-1сл  летальный (7,69 %);</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-Бессимптомная – 4 сл. 30,76 %).</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 xml:space="preserve">Лабораторные исследования клинического материала от контактных </w:t>
            </w:r>
            <w:r w:rsidRPr="004D4D70">
              <w:rPr>
                <w:rFonts w:ascii="Times New Roman" w:hAnsi="Times New Roman" w:cs="Times New Roman"/>
                <w:bCs/>
              </w:rPr>
              <w:t xml:space="preserve">139 человек и исследованы методом ПЦР </w:t>
            </w:r>
            <w:r w:rsidRPr="004D4D70">
              <w:rPr>
                <w:rFonts w:ascii="Times New Roman" w:hAnsi="Times New Roman" w:cs="Times New Roman"/>
              </w:rPr>
              <w:t xml:space="preserve">вирусологической лабораторией ФФБУЗ «ЦГиЭ в ХМАО-Югре </w:t>
            </w:r>
            <w:r w:rsidRPr="004D4D70">
              <w:rPr>
                <w:rFonts w:ascii="Times New Roman" w:hAnsi="Times New Roman" w:cs="Times New Roman"/>
                <w:bCs/>
              </w:rPr>
              <w:t>. 27.10.2020 г. получены положительные результаты у 6 контактных детей 7 «А» класса человек:  Проведен отбор проб и исследования :с</w:t>
            </w:r>
            <w:r w:rsidRPr="004D4D70">
              <w:rPr>
                <w:rFonts w:ascii="Times New Roman" w:hAnsi="Times New Roman" w:cs="Times New Roman"/>
              </w:rPr>
              <w:t>мывы на СО</w:t>
            </w:r>
            <w:r w:rsidRPr="004D4D70">
              <w:rPr>
                <w:rFonts w:ascii="Times New Roman" w:hAnsi="Times New Roman" w:cs="Times New Roman"/>
                <w:lang w:val="en-US"/>
              </w:rPr>
              <w:t>VID</w:t>
            </w:r>
            <w:r w:rsidRPr="004D4D70">
              <w:rPr>
                <w:rFonts w:ascii="Times New Roman" w:hAnsi="Times New Roman" w:cs="Times New Roman"/>
              </w:rPr>
              <w:t xml:space="preserve">-19 ( протокол ФБУЗ «ЦГиЭ в ХМАО-Югре» №  1370.20 от 30.10.2020)-30 ед, дезрастворы-3ед, в 1 концентрация завышена </w:t>
            </w:r>
          </w:p>
        </w:tc>
      </w:tr>
      <w:tr w:rsidR="00630798" w:rsidRPr="004D4D70" w:rsidTr="00630798">
        <w:tc>
          <w:tcPr>
            <w:tcW w:w="568" w:type="dxa"/>
            <w:shd w:val="clear" w:color="auto" w:fill="auto"/>
          </w:tcPr>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lastRenderedPageBreak/>
              <w:t>10</w:t>
            </w:r>
          </w:p>
        </w:tc>
        <w:tc>
          <w:tcPr>
            <w:tcW w:w="1843" w:type="dxa"/>
            <w:shd w:val="clear" w:color="auto" w:fill="auto"/>
          </w:tcPr>
          <w:p w:rsidR="00630798" w:rsidRPr="004D4D70" w:rsidRDefault="00630798" w:rsidP="004D4D70">
            <w:pPr>
              <w:spacing w:after="0" w:line="240" w:lineRule="auto"/>
              <w:jc w:val="both"/>
              <w:rPr>
                <w:rFonts w:ascii="Times New Roman" w:hAnsi="Times New Roman" w:cs="Times New Roman"/>
                <w:color w:val="000000"/>
              </w:rPr>
            </w:pPr>
            <w:r w:rsidRPr="004D4D70">
              <w:rPr>
                <w:rFonts w:ascii="Times New Roman" w:hAnsi="Times New Roman" w:cs="Times New Roman"/>
              </w:rPr>
              <w:t xml:space="preserve">г. Пыть-Ях среди работников </w:t>
            </w:r>
            <w:r w:rsidRPr="004D4D70">
              <w:rPr>
                <w:rFonts w:ascii="Times New Roman" w:hAnsi="Times New Roman" w:cs="Times New Roman"/>
                <w:color w:val="000000"/>
              </w:rPr>
              <w:t>ООО «КАТКонефть», расположенная по адресу, РФ, ХМАО-Югра</w:t>
            </w:r>
            <w:bookmarkStart w:id="42" w:name="_Hlk55983063"/>
            <w:r w:rsidRPr="004D4D70">
              <w:rPr>
                <w:rFonts w:ascii="Times New Roman" w:hAnsi="Times New Roman" w:cs="Times New Roman"/>
                <w:color w:val="000000"/>
              </w:rPr>
              <w:t>, г. Пыть - Ях, , промзона «Южная», участок № 6,</w:t>
            </w:r>
            <w:bookmarkEnd w:id="42"/>
            <w:r w:rsidRPr="004D4D70">
              <w:rPr>
                <w:rFonts w:ascii="Times New Roman" w:hAnsi="Times New Roman" w:cs="Times New Roman"/>
                <w:color w:val="000000"/>
              </w:rPr>
              <w:t xml:space="preserve"> строение № 1</w:t>
            </w:r>
          </w:p>
          <w:p w:rsidR="00630798" w:rsidRPr="004D4D70" w:rsidRDefault="00630798" w:rsidP="004D4D70">
            <w:pPr>
              <w:spacing w:after="0" w:line="240" w:lineRule="auto"/>
              <w:rPr>
                <w:rFonts w:ascii="Times New Roman" w:hAnsi="Times New Roman" w:cs="Times New Roman"/>
              </w:rPr>
            </w:pPr>
          </w:p>
        </w:tc>
        <w:tc>
          <w:tcPr>
            <w:tcW w:w="1417" w:type="dxa"/>
            <w:shd w:val="clear" w:color="auto" w:fill="auto"/>
          </w:tcPr>
          <w:p w:rsidR="00630798" w:rsidRPr="004D4D70" w:rsidRDefault="00630798" w:rsidP="004D4D70">
            <w:pPr>
              <w:spacing w:after="0" w:line="240" w:lineRule="auto"/>
              <w:rPr>
                <w:rFonts w:ascii="Times New Roman" w:hAnsi="Times New Roman" w:cs="Times New Roman"/>
              </w:rPr>
            </w:pPr>
            <w:r w:rsidRPr="004D4D70">
              <w:rPr>
                <w:rFonts w:ascii="Times New Roman" w:hAnsi="Times New Roman" w:cs="Times New Roman"/>
              </w:rPr>
              <w:t>с 26.10.2020 по 17.11.2020.</w:t>
            </w:r>
          </w:p>
        </w:tc>
        <w:tc>
          <w:tcPr>
            <w:tcW w:w="1134" w:type="dxa"/>
            <w:shd w:val="clear" w:color="auto" w:fill="auto"/>
          </w:tcPr>
          <w:p w:rsidR="00630798" w:rsidRPr="004D4D70" w:rsidRDefault="00630798" w:rsidP="004D4D70">
            <w:pPr>
              <w:spacing w:after="0" w:line="240" w:lineRule="auto"/>
              <w:jc w:val="center"/>
              <w:rPr>
                <w:rFonts w:ascii="Times New Roman" w:hAnsi="Times New Roman" w:cs="Times New Roman"/>
              </w:rPr>
            </w:pPr>
            <w:r w:rsidRPr="004D4D70">
              <w:rPr>
                <w:rFonts w:ascii="Times New Roman" w:hAnsi="Times New Roman" w:cs="Times New Roman"/>
              </w:rPr>
              <w:t>21</w:t>
            </w:r>
          </w:p>
        </w:tc>
        <w:tc>
          <w:tcPr>
            <w:tcW w:w="851" w:type="dxa"/>
            <w:tcBorders>
              <w:top w:val="nil"/>
              <w:left w:val="single" w:sz="4" w:space="0" w:color="auto"/>
              <w:bottom w:val="single" w:sz="4" w:space="0" w:color="auto"/>
              <w:right w:val="single" w:sz="4" w:space="0" w:color="auto"/>
            </w:tcBorders>
            <w:shd w:val="clear" w:color="auto" w:fill="auto"/>
            <w:vAlign w:val="center"/>
          </w:tcPr>
          <w:p w:rsidR="00630798" w:rsidRPr="004D4D70" w:rsidRDefault="00630798" w:rsidP="004D4D70">
            <w:pPr>
              <w:spacing w:after="0" w:line="240" w:lineRule="auto"/>
              <w:jc w:val="center"/>
              <w:rPr>
                <w:rFonts w:ascii="Times New Roman" w:hAnsi="Times New Roman" w:cs="Times New Roman"/>
                <w:color w:val="000000"/>
              </w:rPr>
            </w:pPr>
            <w:r w:rsidRPr="004D4D70">
              <w:rPr>
                <w:rFonts w:ascii="Times New Roman" w:hAnsi="Times New Roman" w:cs="Times New Roman"/>
                <w:color w:val="000000"/>
              </w:rPr>
              <w:t>0</w:t>
            </w:r>
          </w:p>
        </w:tc>
        <w:tc>
          <w:tcPr>
            <w:tcW w:w="4111" w:type="dxa"/>
            <w:shd w:val="clear" w:color="auto" w:fill="auto"/>
          </w:tcPr>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По заключительным диагнозам:</w:t>
            </w:r>
          </w:p>
          <w:p w:rsidR="00630798" w:rsidRPr="004D4D70" w:rsidRDefault="00630798" w:rsidP="004D4D70">
            <w:pPr>
              <w:pStyle w:val="a4"/>
              <w:spacing w:before="0" w:beforeAutospacing="0" w:after="0" w:afterAutospacing="0"/>
              <w:jc w:val="both"/>
              <w:rPr>
                <w:bCs/>
                <w:sz w:val="20"/>
                <w:szCs w:val="20"/>
                <w:lang w:eastAsia="en-US"/>
              </w:rPr>
            </w:pPr>
            <w:r w:rsidRPr="004D4D70">
              <w:rPr>
                <w:bCs/>
                <w:sz w:val="20"/>
                <w:szCs w:val="20"/>
                <w:lang w:eastAsia="en-US"/>
              </w:rPr>
              <w:t>-Новая коронавирусная инфекция ( подтвержденная), внебольничная пневмония-1 сл;</w:t>
            </w:r>
            <w:r w:rsidRPr="004D4D70">
              <w:rPr>
                <w:sz w:val="20"/>
                <w:szCs w:val="20"/>
              </w:rPr>
              <w:t xml:space="preserve"> 5%</w:t>
            </w:r>
          </w:p>
          <w:p w:rsidR="00630798" w:rsidRPr="004D4D70" w:rsidRDefault="00630798" w:rsidP="004D4D70">
            <w:pPr>
              <w:pStyle w:val="a4"/>
              <w:spacing w:before="0" w:beforeAutospacing="0" w:after="0" w:afterAutospacing="0"/>
              <w:jc w:val="both"/>
              <w:rPr>
                <w:sz w:val="20"/>
                <w:szCs w:val="20"/>
              </w:rPr>
            </w:pPr>
            <w:r w:rsidRPr="004D4D70">
              <w:rPr>
                <w:sz w:val="20"/>
                <w:szCs w:val="20"/>
              </w:rPr>
              <w:t>Z 22.8 Носительство возбудителя коронавирусной инфекции-20 случаев ( 95%)</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По тяжести заболевания:</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-Бессимптомная форма-20 случай (95%)</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hAnsi="Times New Roman" w:cs="Times New Roman"/>
              </w:rPr>
              <w:t>-Легкой степени тяжести-1 случай ( 5 %) Лабораторные исследования клинического материала от контактных 13 чел-не обнаружено</w:t>
            </w:r>
            <w:r w:rsidRPr="004D4D70">
              <w:rPr>
                <w:rFonts w:ascii="Times New Roman" w:hAnsi="Times New Roman" w:cs="Times New Roman"/>
                <w:bCs/>
              </w:rPr>
              <w:t xml:space="preserve"> Проведен отбор проб и исследования :с</w:t>
            </w:r>
            <w:r w:rsidRPr="004D4D70">
              <w:rPr>
                <w:rFonts w:ascii="Times New Roman" w:hAnsi="Times New Roman" w:cs="Times New Roman"/>
              </w:rPr>
              <w:t>мывы на СО</w:t>
            </w:r>
            <w:r w:rsidRPr="004D4D70">
              <w:rPr>
                <w:rFonts w:ascii="Times New Roman" w:hAnsi="Times New Roman" w:cs="Times New Roman"/>
                <w:lang w:val="en-US"/>
              </w:rPr>
              <w:t>VID</w:t>
            </w:r>
            <w:r w:rsidRPr="004D4D70">
              <w:rPr>
                <w:rFonts w:ascii="Times New Roman" w:hAnsi="Times New Roman" w:cs="Times New Roman"/>
              </w:rPr>
              <w:t>-19 ( протокол ФБУЗ «ЦГиЭ в ХМАО-Югре» № Ф 1442.20 от 12.11.2020)-15  ед, дезрастворы-1ед, в 1 концентрация занижена.</w:t>
            </w:r>
          </w:p>
        </w:tc>
      </w:tr>
    </w:tbl>
    <w:p w:rsidR="00630798" w:rsidRPr="004D4D70" w:rsidRDefault="00630798" w:rsidP="004D4D70">
      <w:pPr>
        <w:tabs>
          <w:tab w:val="left" w:pos="3990"/>
          <w:tab w:val="right" w:pos="9070"/>
        </w:tabs>
        <w:spacing w:after="0" w:line="240" w:lineRule="auto"/>
        <w:ind w:firstLine="708"/>
        <w:jc w:val="both"/>
        <w:rPr>
          <w:rFonts w:ascii="Times New Roman" w:hAnsi="Times New Roman" w:cs="Times New Roman"/>
          <w:sz w:val="20"/>
        </w:rPr>
      </w:pPr>
    </w:p>
    <w:p w:rsidR="00630798" w:rsidRPr="004D4D70" w:rsidRDefault="00630798" w:rsidP="004D4D70">
      <w:pPr>
        <w:tabs>
          <w:tab w:val="left" w:pos="3990"/>
          <w:tab w:val="right" w:pos="9070"/>
        </w:tabs>
        <w:spacing w:after="0" w:line="240" w:lineRule="auto"/>
        <w:ind w:firstLine="709"/>
        <w:jc w:val="both"/>
        <w:rPr>
          <w:rFonts w:ascii="Times New Roman" w:hAnsi="Times New Roman" w:cs="Times New Roman"/>
          <w:sz w:val="24"/>
          <w:szCs w:val="24"/>
        </w:rPr>
      </w:pPr>
      <w:r w:rsidRPr="004D4D70">
        <w:rPr>
          <w:rFonts w:ascii="Times New Roman" w:hAnsi="Times New Roman" w:cs="Times New Roman"/>
          <w:sz w:val="24"/>
          <w:szCs w:val="24"/>
        </w:rPr>
        <w:t xml:space="preserve">Всего в 2020 г. зарегистрировано 10 очагов групповой заболеваемости, с общим количеством заболевших - 205 чел., в том числе детей до 17 лет -143человек. </w:t>
      </w:r>
    </w:p>
    <w:p w:rsidR="00630798" w:rsidRPr="004D4D70" w:rsidRDefault="00630798" w:rsidP="004D4D70">
      <w:pPr>
        <w:tabs>
          <w:tab w:val="left" w:pos="3990"/>
          <w:tab w:val="right" w:pos="9070"/>
        </w:tabs>
        <w:spacing w:after="0" w:line="240" w:lineRule="auto"/>
        <w:ind w:firstLine="709"/>
        <w:jc w:val="both"/>
        <w:rPr>
          <w:rFonts w:ascii="Times New Roman" w:hAnsi="Times New Roman" w:cs="Times New Roman"/>
          <w:sz w:val="24"/>
          <w:szCs w:val="24"/>
        </w:rPr>
      </w:pPr>
      <w:r w:rsidRPr="004D4D70">
        <w:rPr>
          <w:rFonts w:ascii="Times New Roman" w:hAnsi="Times New Roman" w:cs="Times New Roman"/>
          <w:sz w:val="24"/>
          <w:szCs w:val="24"/>
        </w:rPr>
        <w:t xml:space="preserve">Исход заболеваний -  выздоровление., 1 случай летальный . Всего в 2019 г. зарегистрировано 5 очагов групповой заболеваемости, с общим количеством заболевших - 71 чел., в том числе детей до 17 лет -71 человек. </w:t>
      </w:r>
    </w:p>
    <w:p w:rsidR="00630798" w:rsidRPr="004D4D70" w:rsidRDefault="00630798" w:rsidP="004D4D70">
      <w:pPr>
        <w:tabs>
          <w:tab w:val="left" w:pos="3990"/>
          <w:tab w:val="right" w:pos="9070"/>
        </w:tabs>
        <w:spacing w:after="0" w:line="240" w:lineRule="auto"/>
        <w:ind w:firstLine="709"/>
        <w:jc w:val="both"/>
        <w:rPr>
          <w:rFonts w:ascii="Times New Roman" w:hAnsi="Times New Roman" w:cs="Times New Roman"/>
          <w:sz w:val="24"/>
          <w:szCs w:val="24"/>
        </w:rPr>
      </w:pPr>
      <w:r w:rsidRPr="004D4D70">
        <w:rPr>
          <w:rFonts w:ascii="Times New Roman" w:hAnsi="Times New Roman" w:cs="Times New Roman"/>
          <w:sz w:val="24"/>
          <w:szCs w:val="24"/>
        </w:rPr>
        <w:t>Исход заболеваний -  выздоровление.</w:t>
      </w:r>
    </w:p>
    <w:p w:rsidR="00630798" w:rsidRPr="004D4D70" w:rsidRDefault="00630798" w:rsidP="004D4D70">
      <w:pPr>
        <w:tabs>
          <w:tab w:val="left" w:pos="3990"/>
          <w:tab w:val="right" w:pos="9070"/>
        </w:tabs>
        <w:spacing w:after="0" w:line="240" w:lineRule="auto"/>
        <w:ind w:firstLine="709"/>
        <w:jc w:val="both"/>
        <w:rPr>
          <w:rFonts w:ascii="Times New Roman" w:hAnsi="Times New Roman" w:cs="Times New Roman"/>
          <w:sz w:val="24"/>
          <w:szCs w:val="24"/>
        </w:rPr>
      </w:pPr>
      <w:r w:rsidRPr="004D4D70">
        <w:rPr>
          <w:rFonts w:ascii="Times New Roman" w:hAnsi="Times New Roman" w:cs="Times New Roman"/>
          <w:sz w:val="24"/>
          <w:szCs w:val="24"/>
        </w:rPr>
        <w:t xml:space="preserve">Всего в 2018 г. зарегистрировано 2 очага групповой заболеваемости, с общим количеством заболевших - 13 чел., в том числе детей до 17 лет -13 человек. </w:t>
      </w:r>
    </w:p>
    <w:p w:rsidR="00630798" w:rsidRPr="004D4D70" w:rsidRDefault="00630798" w:rsidP="004D4D70">
      <w:pPr>
        <w:tabs>
          <w:tab w:val="left" w:pos="3990"/>
          <w:tab w:val="right" w:pos="9070"/>
        </w:tabs>
        <w:spacing w:after="0" w:line="240" w:lineRule="auto"/>
        <w:ind w:firstLine="709"/>
        <w:jc w:val="both"/>
        <w:rPr>
          <w:rFonts w:ascii="Times New Roman" w:hAnsi="Times New Roman" w:cs="Times New Roman"/>
          <w:sz w:val="24"/>
          <w:szCs w:val="24"/>
        </w:rPr>
      </w:pPr>
      <w:r w:rsidRPr="004D4D70">
        <w:rPr>
          <w:rFonts w:ascii="Times New Roman" w:hAnsi="Times New Roman" w:cs="Times New Roman"/>
          <w:sz w:val="24"/>
          <w:szCs w:val="24"/>
        </w:rPr>
        <w:t>Исход заболеваний -  выздоровление</w:t>
      </w:r>
    </w:p>
    <w:p w:rsidR="00630798" w:rsidRPr="00E921CB" w:rsidRDefault="00630798" w:rsidP="00630798">
      <w:pPr>
        <w:tabs>
          <w:tab w:val="left" w:pos="3990"/>
          <w:tab w:val="right" w:pos="9070"/>
        </w:tabs>
        <w:ind w:firstLine="708"/>
        <w:jc w:val="both"/>
      </w:pPr>
    </w:p>
    <w:p w:rsidR="00630798" w:rsidRPr="004D4D70" w:rsidRDefault="00630798" w:rsidP="004D4D70">
      <w:pPr>
        <w:spacing w:after="0" w:line="240" w:lineRule="auto"/>
        <w:jc w:val="center"/>
        <w:rPr>
          <w:rFonts w:ascii="Times New Roman" w:hAnsi="Times New Roman" w:cs="Times New Roman"/>
          <w:b/>
          <w:sz w:val="28"/>
          <w:szCs w:val="28"/>
          <w:u w:val="double"/>
        </w:rPr>
      </w:pPr>
      <w:r w:rsidRPr="004D4D70">
        <w:rPr>
          <w:rFonts w:ascii="Times New Roman" w:hAnsi="Times New Roman" w:cs="Times New Roman"/>
          <w:b/>
          <w:sz w:val="28"/>
          <w:szCs w:val="28"/>
          <w:u w:val="double"/>
        </w:rPr>
        <w:t>Раздел 2. Основные меры по улучшению состояния среды обитания и здоровья населения, принятые ТО УРПН в МО  г. Пыть-Ях</w:t>
      </w:r>
    </w:p>
    <w:p w:rsidR="00630798" w:rsidRPr="004D4D70" w:rsidRDefault="00630798" w:rsidP="004D4D70">
      <w:pPr>
        <w:spacing w:after="0" w:line="240" w:lineRule="auto"/>
        <w:jc w:val="center"/>
        <w:rPr>
          <w:rFonts w:ascii="Times New Roman" w:hAnsi="Times New Roman" w:cs="Times New Roman"/>
          <w:b/>
          <w:sz w:val="26"/>
          <w:szCs w:val="26"/>
        </w:rPr>
      </w:pPr>
    </w:p>
    <w:p w:rsidR="00630798" w:rsidRPr="004D4D70" w:rsidRDefault="00630798" w:rsidP="004D4D70">
      <w:pPr>
        <w:spacing w:after="0" w:line="240" w:lineRule="auto"/>
        <w:jc w:val="center"/>
        <w:rPr>
          <w:rFonts w:ascii="Times New Roman" w:hAnsi="Times New Roman" w:cs="Times New Roman"/>
          <w:b/>
          <w:sz w:val="26"/>
          <w:szCs w:val="26"/>
        </w:rPr>
      </w:pPr>
      <w:r w:rsidRPr="004D4D70">
        <w:rPr>
          <w:rFonts w:ascii="Times New Roman" w:hAnsi="Times New Roman" w:cs="Times New Roman"/>
          <w:b/>
          <w:sz w:val="26"/>
          <w:szCs w:val="26"/>
        </w:rPr>
        <w:t xml:space="preserve">2.1 Основные меры по улучшению состояния среды обитания населения </w:t>
      </w:r>
    </w:p>
    <w:p w:rsidR="00630798" w:rsidRPr="004D4D70" w:rsidRDefault="00630798" w:rsidP="004D4D70">
      <w:pPr>
        <w:spacing w:after="0" w:line="240" w:lineRule="auto"/>
        <w:jc w:val="center"/>
        <w:rPr>
          <w:rFonts w:ascii="Times New Roman" w:hAnsi="Times New Roman" w:cs="Times New Roman"/>
          <w:b/>
          <w:bCs/>
          <w:sz w:val="26"/>
          <w:szCs w:val="26"/>
        </w:rPr>
      </w:pPr>
      <w:r w:rsidRPr="004D4D70">
        <w:rPr>
          <w:rFonts w:ascii="Times New Roman" w:hAnsi="Times New Roman" w:cs="Times New Roman"/>
          <w:b/>
          <w:sz w:val="26"/>
          <w:szCs w:val="26"/>
        </w:rPr>
        <w:t xml:space="preserve">в МО </w:t>
      </w:r>
      <w:r w:rsidRPr="004D4D70">
        <w:rPr>
          <w:rFonts w:ascii="Times New Roman" w:hAnsi="Times New Roman" w:cs="Times New Roman"/>
          <w:b/>
          <w:bCs/>
          <w:sz w:val="26"/>
          <w:szCs w:val="26"/>
        </w:rPr>
        <w:t xml:space="preserve">г. Пыть-Ях </w:t>
      </w:r>
    </w:p>
    <w:p w:rsidR="00630798" w:rsidRPr="004D4D70" w:rsidRDefault="00630798" w:rsidP="004D4D70">
      <w:pPr>
        <w:spacing w:after="0" w:line="240" w:lineRule="auto"/>
        <w:jc w:val="both"/>
        <w:rPr>
          <w:rFonts w:ascii="Times New Roman" w:hAnsi="Times New Roman" w:cs="Times New Roman"/>
        </w:rPr>
      </w:pPr>
    </w:p>
    <w:p w:rsidR="00630798" w:rsidRPr="004D4D70" w:rsidRDefault="00630798" w:rsidP="004D4D70">
      <w:pPr>
        <w:spacing w:after="0" w:line="240" w:lineRule="auto"/>
        <w:rPr>
          <w:rFonts w:ascii="Times New Roman" w:hAnsi="Times New Roman" w:cs="Times New Roman"/>
          <w:b/>
        </w:rPr>
      </w:pPr>
      <w:r w:rsidRPr="004D4D70">
        <w:rPr>
          <w:rFonts w:ascii="Times New Roman" w:hAnsi="Times New Roman" w:cs="Times New Roman"/>
          <w:b/>
        </w:rPr>
        <w:t>2.1.1.Результаты деятельности в области охраны атмосферного воздуха</w:t>
      </w:r>
    </w:p>
    <w:p w:rsidR="00630798" w:rsidRPr="004D4D70" w:rsidRDefault="00630798" w:rsidP="004D4D70">
      <w:pPr>
        <w:spacing w:after="0" w:line="240" w:lineRule="auto"/>
        <w:jc w:val="both"/>
        <w:rPr>
          <w:rFonts w:ascii="Times New Roman" w:eastAsia="Arial Unicode MS" w:hAnsi="Times New Roman" w:cs="Times New Roman"/>
        </w:rPr>
      </w:pPr>
      <w:r w:rsidRPr="004D4D70">
        <w:rPr>
          <w:rFonts w:ascii="Times New Roman" w:hAnsi="Times New Roman" w:cs="Times New Roman"/>
        </w:rPr>
        <w:t xml:space="preserve">     </w:t>
      </w:r>
      <w:r w:rsidRPr="004D4D70">
        <w:rPr>
          <w:rFonts w:ascii="Times New Roman" w:eastAsia="Arial Unicode MS" w:hAnsi="Times New Roman" w:cs="Times New Roman"/>
        </w:rPr>
        <w:t xml:space="preserve">   </w:t>
      </w:r>
    </w:p>
    <w:p w:rsidR="00630798" w:rsidRPr="004D4D70" w:rsidRDefault="00630798" w:rsidP="004D4D70">
      <w:pPr>
        <w:spacing w:after="0" w:line="240" w:lineRule="auto"/>
        <w:jc w:val="both"/>
        <w:rPr>
          <w:rFonts w:ascii="Times New Roman" w:hAnsi="Times New Roman" w:cs="Times New Roman"/>
        </w:rPr>
      </w:pPr>
      <w:r w:rsidRPr="004D4D70">
        <w:rPr>
          <w:rFonts w:ascii="Times New Roman" w:eastAsia="Arial Unicode MS" w:hAnsi="Times New Roman" w:cs="Times New Roman"/>
        </w:rPr>
        <w:t xml:space="preserve"> </w:t>
      </w:r>
      <w:r w:rsidR="004D4D70">
        <w:rPr>
          <w:rFonts w:ascii="Times New Roman" w:eastAsia="Arial Unicode MS" w:hAnsi="Times New Roman" w:cs="Times New Roman"/>
        </w:rPr>
        <w:tab/>
      </w:r>
      <w:r w:rsidRPr="004D4D70">
        <w:rPr>
          <w:rFonts w:ascii="Times New Roman" w:eastAsia="Arial Unicode MS" w:hAnsi="Times New Roman" w:cs="Times New Roman"/>
        </w:rPr>
        <w:t xml:space="preserve"> </w:t>
      </w:r>
      <w:r w:rsidRPr="004D4D70">
        <w:rPr>
          <w:rFonts w:ascii="Times New Roman" w:hAnsi="Times New Roman" w:cs="Times New Roman"/>
        </w:rPr>
        <w:t xml:space="preserve">В городе </w:t>
      </w:r>
      <w:r w:rsidRPr="004D4D70">
        <w:rPr>
          <w:rFonts w:ascii="Times New Roman" w:eastAsia="Arial Unicode MS" w:hAnsi="Times New Roman" w:cs="Times New Roman"/>
        </w:rPr>
        <w:t xml:space="preserve">Пыть-Ях </w:t>
      </w:r>
      <w:r w:rsidRPr="004D4D70">
        <w:rPr>
          <w:rFonts w:ascii="Times New Roman" w:hAnsi="Times New Roman" w:cs="Times New Roman"/>
        </w:rPr>
        <w:t>основными источниками загрязнения атмосферного воздуха являются: факельные хозяйства предприятий котельных, транспортные средства, и др.</w:t>
      </w:r>
    </w:p>
    <w:p w:rsidR="00630798" w:rsidRPr="004D4D70" w:rsidRDefault="00630798" w:rsidP="004D4D70">
      <w:pPr>
        <w:spacing w:after="0" w:line="240" w:lineRule="auto"/>
        <w:ind w:firstLine="708"/>
        <w:jc w:val="both"/>
        <w:rPr>
          <w:rFonts w:ascii="Times New Roman" w:hAnsi="Times New Roman" w:cs="Times New Roman"/>
        </w:rPr>
      </w:pPr>
      <w:r w:rsidRPr="004D4D70">
        <w:rPr>
          <w:rFonts w:ascii="Times New Roman" w:hAnsi="Times New Roman" w:cs="Times New Roman"/>
        </w:rPr>
        <w:t xml:space="preserve"> В городе Пыть-Ях  сложившаяся застройка представляет собой селитебную и промышленную зону</w:t>
      </w:r>
      <w:r w:rsidRPr="004D4D70">
        <w:rPr>
          <w:rFonts w:ascii="Times New Roman" w:eastAsia="Arial Unicode MS" w:hAnsi="Times New Roman" w:cs="Times New Roman"/>
        </w:rPr>
        <w:t xml:space="preserve">, основными источниками загрязнения атмосферного воздуха являются котельные </w:t>
      </w:r>
      <w:r w:rsidRPr="004D4D70">
        <w:rPr>
          <w:rFonts w:ascii="Times New Roman" w:hAnsi="Times New Roman" w:cs="Times New Roman"/>
        </w:rPr>
        <w:t>(- 7 действующих  котельных  в гПыть-Ях)</w:t>
      </w:r>
      <w:r w:rsidRPr="004D4D70">
        <w:rPr>
          <w:rFonts w:ascii="Times New Roman" w:eastAsia="Arial Unicode MS" w:hAnsi="Times New Roman" w:cs="Times New Roman"/>
        </w:rPr>
        <w:t>, газоперерабатывающий завод ЮБ «ГПК», автотранспорт.</w:t>
      </w:r>
      <w:r w:rsidRPr="004D4D70">
        <w:rPr>
          <w:rFonts w:ascii="Times New Roman" w:hAnsi="Times New Roman" w:cs="Times New Roman"/>
        </w:rPr>
        <w:t xml:space="preserve">     </w:t>
      </w:r>
      <w:r w:rsidRPr="004D4D70">
        <w:rPr>
          <w:rFonts w:ascii="Times New Roman" w:eastAsia="Arial Unicode MS" w:hAnsi="Times New Roman" w:cs="Times New Roman"/>
        </w:rPr>
        <w:t xml:space="preserve">  Не смотря на то, что основные источники находятся в промышленной зоне города, санитарно-защитная зона от жилых микрорайонов не выдержана. </w:t>
      </w:r>
      <w:r w:rsidRPr="004D4D70">
        <w:rPr>
          <w:rFonts w:ascii="Times New Roman" w:hAnsi="Times New Roman" w:cs="Times New Roman"/>
        </w:rPr>
        <w:t xml:space="preserve"> Организация СЗЗ отдельно взятого  промышленного предприятия затруднено в связи тем, что  промышленные предприятия расположены в СЗЗ друг друга, таким образом, целесообразна разработка СЗЗ для   групп промышленных предприятий.</w:t>
      </w:r>
      <w:r w:rsidRPr="004D4D70">
        <w:rPr>
          <w:rFonts w:ascii="Times New Roman" w:hAnsi="Times New Roman" w:cs="Times New Roman"/>
          <w:sz w:val="28"/>
        </w:rPr>
        <w:t xml:space="preserve">   </w:t>
      </w:r>
      <w:r w:rsidRPr="004D4D70">
        <w:rPr>
          <w:rFonts w:ascii="Times New Roman" w:hAnsi="Times New Roman" w:cs="Times New Roman"/>
        </w:rPr>
        <w:t xml:space="preserve">Генеральным планом города, утверждённым решением Думы №16 от 04.2006 г. установлены санитарно-защитные зоны всех, источников водоснабжения на территории города Пыть-Ях. </w:t>
      </w:r>
    </w:p>
    <w:p w:rsidR="00630798" w:rsidRPr="004D4D70" w:rsidRDefault="00630798" w:rsidP="004D4D70">
      <w:pPr>
        <w:tabs>
          <w:tab w:val="left" w:pos="5540"/>
        </w:tabs>
        <w:spacing w:after="0" w:line="240" w:lineRule="auto"/>
        <w:jc w:val="both"/>
        <w:rPr>
          <w:rFonts w:ascii="Times New Roman" w:hAnsi="Times New Roman" w:cs="Times New Roman"/>
          <w:sz w:val="24"/>
          <w:szCs w:val="24"/>
        </w:rPr>
      </w:pPr>
      <w:r w:rsidRPr="004D4D70">
        <w:rPr>
          <w:rFonts w:ascii="Times New Roman" w:hAnsi="Times New Roman" w:cs="Times New Roman"/>
          <w:sz w:val="24"/>
          <w:szCs w:val="24"/>
        </w:rPr>
        <w:t xml:space="preserve">      В целях улучшения качества атмосферного воздуха и снижения негативного влияния на здоровье населения </w:t>
      </w:r>
      <w:r w:rsidRPr="004D4D70">
        <w:rPr>
          <w:rStyle w:val="35"/>
          <w:rFonts w:ascii="Times New Roman" w:hAnsi="Times New Roman" w:cs="Times New Roman"/>
          <w:sz w:val="24"/>
          <w:szCs w:val="24"/>
        </w:rPr>
        <w:t>территориальным отделом Управления Роспотребнадзора по Ханты-Мансийскому автономному округу - Югре</w:t>
      </w:r>
      <w:r w:rsidRPr="004D4D70">
        <w:rPr>
          <w:rFonts w:ascii="Times New Roman" w:eastAsia="Arial Unicode MS" w:hAnsi="Times New Roman" w:cs="Times New Roman"/>
          <w:sz w:val="24"/>
          <w:szCs w:val="24"/>
        </w:rPr>
        <w:t xml:space="preserve"> в 2020 году были рассмотрены и выданы санитарно эпидемиологические заключения </w:t>
      </w:r>
      <w:r w:rsidRPr="004D4D70">
        <w:rPr>
          <w:rFonts w:ascii="Times New Roman" w:hAnsi="Times New Roman" w:cs="Times New Roman"/>
          <w:sz w:val="24"/>
          <w:szCs w:val="24"/>
          <w:lang w:val="tt-RU"/>
        </w:rPr>
        <w:t xml:space="preserve">1-  СЭЗ (в 2019 году-2) из них </w:t>
      </w:r>
      <w:r w:rsidRPr="004D4D70">
        <w:rPr>
          <w:rFonts w:ascii="Times New Roman" w:hAnsi="Times New Roman" w:cs="Times New Roman"/>
          <w:sz w:val="24"/>
          <w:szCs w:val="24"/>
        </w:rPr>
        <w:t xml:space="preserve">рассмотрено  </w:t>
      </w:r>
      <w:r w:rsidRPr="004D4D70">
        <w:rPr>
          <w:rFonts w:ascii="Times New Roman" w:hAnsi="Times New Roman" w:cs="Times New Roman"/>
          <w:sz w:val="24"/>
          <w:szCs w:val="24"/>
          <w:lang w:val="tt-RU"/>
        </w:rPr>
        <w:t xml:space="preserve">на  </w:t>
      </w:r>
      <w:r w:rsidRPr="004D4D70">
        <w:rPr>
          <w:rFonts w:ascii="Times New Roman" w:eastAsia="Arial Unicode MS" w:hAnsi="Times New Roman" w:cs="Times New Roman"/>
          <w:sz w:val="24"/>
          <w:szCs w:val="24"/>
        </w:rPr>
        <w:t>проект  нормативов предельно-допустимых выбросов (ПДВ) для промышленных предприятий</w:t>
      </w:r>
      <w:r w:rsidRPr="004D4D70">
        <w:rPr>
          <w:rFonts w:ascii="Times New Roman" w:hAnsi="Times New Roman" w:cs="Times New Roman"/>
          <w:sz w:val="24"/>
          <w:szCs w:val="24"/>
          <w:lang w:val="tt-RU"/>
        </w:rPr>
        <w:t xml:space="preserve">— 1, и 0-СЭЗ на  </w:t>
      </w:r>
      <w:r w:rsidRPr="004D4D70">
        <w:rPr>
          <w:rFonts w:ascii="Times New Roman" w:eastAsia="Arial Unicode MS" w:hAnsi="Times New Roman" w:cs="Times New Roman"/>
          <w:sz w:val="24"/>
          <w:szCs w:val="24"/>
        </w:rPr>
        <w:t xml:space="preserve">проект  </w:t>
      </w:r>
      <w:r w:rsidRPr="004D4D70">
        <w:rPr>
          <w:rFonts w:ascii="Times New Roman" w:hAnsi="Times New Roman" w:cs="Times New Roman"/>
          <w:sz w:val="24"/>
          <w:szCs w:val="24"/>
          <w:lang w:val="tt-RU"/>
        </w:rPr>
        <w:t>СЗЗ</w:t>
      </w:r>
      <w:r w:rsidRPr="004D4D70">
        <w:rPr>
          <w:rFonts w:ascii="Times New Roman" w:hAnsi="Times New Roman" w:cs="Times New Roman"/>
          <w:sz w:val="24"/>
          <w:szCs w:val="24"/>
        </w:rPr>
        <w:t xml:space="preserve"> проектов  обоснования санитарно-защитных зон промышленных предприятий г.Пыть-Ях.</w:t>
      </w:r>
      <w:r w:rsidRPr="004D4D70">
        <w:rPr>
          <w:rFonts w:ascii="Times New Roman" w:hAnsi="Times New Roman" w:cs="Times New Roman"/>
          <w:bCs/>
          <w:sz w:val="24"/>
          <w:szCs w:val="24"/>
        </w:rPr>
        <w:t xml:space="preserve"> </w:t>
      </w:r>
    </w:p>
    <w:p w:rsidR="00630798" w:rsidRDefault="00630798" w:rsidP="00630798">
      <w:pPr>
        <w:tabs>
          <w:tab w:val="left" w:pos="5540"/>
        </w:tabs>
        <w:jc w:val="both"/>
        <w:rPr>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1"/>
        <w:gridCol w:w="1910"/>
        <w:gridCol w:w="2268"/>
        <w:gridCol w:w="2551"/>
      </w:tblGrid>
      <w:tr w:rsidR="00630798" w:rsidRPr="004D4D70" w:rsidTr="00630798">
        <w:trPr>
          <w:trHeight w:val="373"/>
        </w:trPr>
        <w:tc>
          <w:tcPr>
            <w:tcW w:w="2451" w:type="dxa"/>
            <w:vMerge w:val="restart"/>
            <w:tcBorders>
              <w:top w:val="single" w:sz="4" w:space="0" w:color="auto"/>
              <w:left w:val="single" w:sz="4" w:space="0" w:color="auto"/>
              <w:bottom w:val="single" w:sz="4" w:space="0" w:color="auto"/>
              <w:right w:val="single" w:sz="4" w:space="0" w:color="auto"/>
            </w:tcBorders>
          </w:tcPr>
          <w:p w:rsidR="00630798" w:rsidRPr="004D4D70" w:rsidRDefault="00630798" w:rsidP="00630798">
            <w:pPr>
              <w:jc w:val="center"/>
              <w:rPr>
                <w:rFonts w:ascii="Times New Roman" w:hAnsi="Times New Roman" w:cs="Times New Roman"/>
              </w:rPr>
            </w:pPr>
            <w:r w:rsidRPr="004D4D70">
              <w:rPr>
                <w:rFonts w:ascii="Times New Roman" w:hAnsi="Times New Roman" w:cs="Times New Roman"/>
              </w:rPr>
              <w:lastRenderedPageBreak/>
              <w:t>МО</w:t>
            </w:r>
          </w:p>
        </w:tc>
        <w:tc>
          <w:tcPr>
            <w:tcW w:w="6729" w:type="dxa"/>
            <w:gridSpan w:val="3"/>
            <w:tcBorders>
              <w:top w:val="single" w:sz="4" w:space="0" w:color="auto"/>
              <w:left w:val="single" w:sz="4" w:space="0" w:color="auto"/>
              <w:bottom w:val="single" w:sz="4" w:space="0" w:color="auto"/>
              <w:right w:val="single" w:sz="4" w:space="0" w:color="auto"/>
            </w:tcBorders>
          </w:tcPr>
          <w:p w:rsidR="00630798" w:rsidRPr="004D4D70" w:rsidRDefault="00630798" w:rsidP="00630798">
            <w:pPr>
              <w:jc w:val="center"/>
              <w:rPr>
                <w:rFonts w:ascii="Times New Roman" w:hAnsi="Times New Roman" w:cs="Times New Roman"/>
              </w:rPr>
            </w:pPr>
            <w:r w:rsidRPr="004D4D70">
              <w:rPr>
                <w:rFonts w:ascii="Times New Roman" w:hAnsi="Times New Roman" w:cs="Times New Roman"/>
              </w:rPr>
              <w:t xml:space="preserve">Количество СЭЗ  выданных   на проекты  </w:t>
            </w:r>
            <w:r w:rsidRPr="004D4D70">
              <w:rPr>
                <w:rFonts w:ascii="Times New Roman" w:eastAsia="Arial Unicode MS" w:hAnsi="Times New Roman" w:cs="Times New Roman"/>
              </w:rPr>
              <w:t>нормативов предельно-допустимых выбросов (ПДВ)</w:t>
            </w:r>
            <w:r w:rsidRPr="004D4D70">
              <w:rPr>
                <w:rFonts w:ascii="Times New Roman" w:hAnsi="Times New Roman" w:cs="Times New Roman"/>
              </w:rPr>
              <w:t xml:space="preserve">  соответствующих, из них   не соответствующих </w:t>
            </w:r>
          </w:p>
        </w:tc>
      </w:tr>
      <w:tr w:rsidR="00630798" w:rsidRPr="004D4D70" w:rsidTr="00630798">
        <w:tc>
          <w:tcPr>
            <w:tcW w:w="2451" w:type="dxa"/>
            <w:vMerge/>
            <w:tcBorders>
              <w:top w:val="single" w:sz="4" w:space="0" w:color="auto"/>
              <w:left w:val="single" w:sz="4" w:space="0" w:color="auto"/>
              <w:bottom w:val="single" w:sz="4" w:space="0" w:color="auto"/>
              <w:right w:val="single" w:sz="4" w:space="0" w:color="auto"/>
            </w:tcBorders>
            <w:vAlign w:val="center"/>
          </w:tcPr>
          <w:p w:rsidR="00630798" w:rsidRPr="004D4D70" w:rsidRDefault="00630798" w:rsidP="00630798">
            <w:pPr>
              <w:rPr>
                <w:rFonts w:ascii="Times New Roman" w:hAnsi="Times New Roman" w:cs="Times New Roman"/>
              </w:rPr>
            </w:pPr>
          </w:p>
        </w:tc>
        <w:tc>
          <w:tcPr>
            <w:tcW w:w="1910" w:type="dxa"/>
            <w:tcBorders>
              <w:top w:val="single" w:sz="4" w:space="0" w:color="auto"/>
              <w:left w:val="single" w:sz="4" w:space="0" w:color="auto"/>
              <w:bottom w:val="single" w:sz="4" w:space="0" w:color="auto"/>
              <w:right w:val="single" w:sz="4" w:space="0" w:color="auto"/>
            </w:tcBorders>
          </w:tcPr>
          <w:p w:rsidR="00630798" w:rsidRPr="004D4D70" w:rsidRDefault="00630798" w:rsidP="00630798">
            <w:pPr>
              <w:jc w:val="center"/>
              <w:rPr>
                <w:rFonts w:ascii="Times New Roman" w:hAnsi="Times New Roman" w:cs="Times New Roman"/>
              </w:rPr>
            </w:pPr>
            <w:r w:rsidRPr="004D4D70">
              <w:rPr>
                <w:rFonts w:ascii="Times New Roman" w:hAnsi="Times New Roman" w:cs="Times New Roman"/>
              </w:rPr>
              <w:t>2018 год</w:t>
            </w:r>
          </w:p>
        </w:tc>
        <w:tc>
          <w:tcPr>
            <w:tcW w:w="2268" w:type="dxa"/>
            <w:tcBorders>
              <w:top w:val="single" w:sz="4" w:space="0" w:color="auto"/>
              <w:left w:val="single" w:sz="4" w:space="0" w:color="auto"/>
              <w:bottom w:val="single" w:sz="4" w:space="0" w:color="auto"/>
              <w:right w:val="single" w:sz="4" w:space="0" w:color="auto"/>
            </w:tcBorders>
          </w:tcPr>
          <w:p w:rsidR="00630798" w:rsidRPr="004D4D70" w:rsidRDefault="00630798" w:rsidP="00630798">
            <w:pPr>
              <w:jc w:val="center"/>
              <w:rPr>
                <w:rFonts w:ascii="Times New Roman" w:hAnsi="Times New Roman" w:cs="Times New Roman"/>
              </w:rPr>
            </w:pPr>
            <w:r w:rsidRPr="004D4D70">
              <w:rPr>
                <w:rFonts w:ascii="Times New Roman" w:hAnsi="Times New Roman" w:cs="Times New Roman"/>
              </w:rPr>
              <w:t>2019 год</w:t>
            </w:r>
          </w:p>
        </w:tc>
        <w:tc>
          <w:tcPr>
            <w:tcW w:w="2551" w:type="dxa"/>
            <w:tcBorders>
              <w:top w:val="single" w:sz="4" w:space="0" w:color="auto"/>
              <w:left w:val="single" w:sz="4" w:space="0" w:color="auto"/>
              <w:bottom w:val="single" w:sz="4" w:space="0" w:color="auto"/>
              <w:right w:val="single" w:sz="4" w:space="0" w:color="auto"/>
            </w:tcBorders>
          </w:tcPr>
          <w:p w:rsidR="00630798" w:rsidRPr="004D4D70" w:rsidRDefault="00630798" w:rsidP="00630798">
            <w:pPr>
              <w:jc w:val="center"/>
              <w:rPr>
                <w:rFonts w:ascii="Times New Roman" w:hAnsi="Times New Roman" w:cs="Times New Roman"/>
              </w:rPr>
            </w:pPr>
            <w:r w:rsidRPr="004D4D70">
              <w:rPr>
                <w:rFonts w:ascii="Times New Roman" w:hAnsi="Times New Roman" w:cs="Times New Roman"/>
              </w:rPr>
              <w:t>2020 год</w:t>
            </w:r>
          </w:p>
        </w:tc>
      </w:tr>
      <w:tr w:rsidR="00630798" w:rsidRPr="004D4D70" w:rsidTr="00630798">
        <w:tc>
          <w:tcPr>
            <w:tcW w:w="2451" w:type="dxa"/>
            <w:tcBorders>
              <w:top w:val="single" w:sz="4" w:space="0" w:color="auto"/>
              <w:left w:val="single" w:sz="4" w:space="0" w:color="auto"/>
              <w:bottom w:val="single" w:sz="4" w:space="0" w:color="auto"/>
              <w:right w:val="single" w:sz="4" w:space="0" w:color="auto"/>
            </w:tcBorders>
          </w:tcPr>
          <w:p w:rsidR="00630798" w:rsidRPr="004D4D70" w:rsidRDefault="00630798" w:rsidP="00630798">
            <w:pPr>
              <w:jc w:val="both"/>
              <w:rPr>
                <w:rFonts w:ascii="Times New Roman" w:hAnsi="Times New Roman" w:cs="Times New Roman"/>
              </w:rPr>
            </w:pPr>
            <w:r w:rsidRPr="004D4D70">
              <w:rPr>
                <w:rFonts w:ascii="Times New Roman" w:hAnsi="Times New Roman" w:cs="Times New Roman"/>
              </w:rPr>
              <w:t xml:space="preserve">г.Пыть-Ях </w:t>
            </w:r>
          </w:p>
        </w:tc>
        <w:tc>
          <w:tcPr>
            <w:tcW w:w="1910" w:type="dxa"/>
            <w:tcBorders>
              <w:top w:val="single" w:sz="4" w:space="0" w:color="auto"/>
              <w:left w:val="single" w:sz="4" w:space="0" w:color="auto"/>
              <w:bottom w:val="single" w:sz="4" w:space="0" w:color="auto"/>
              <w:right w:val="single" w:sz="4" w:space="0" w:color="auto"/>
            </w:tcBorders>
          </w:tcPr>
          <w:p w:rsidR="00630798" w:rsidRPr="004D4D70" w:rsidRDefault="00630798" w:rsidP="00630798">
            <w:pPr>
              <w:jc w:val="center"/>
              <w:rPr>
                <w:rFonts w:ascii="Times New Roman" w:hAnsi="Times New Roman" w:cs="Times New Roman"/>
              </w:rPr>
            </w:pPr>
            <w:r w:rsidRPr="004D4D70">
              <w:rPr>
                <w:rFonts w:ascii="Times New Roman" w:hAnsi="Times New Roman" w:cs="Times New Roman"/>
              </w:rPr>
              <w:t>2/0</w:t>
            </w:r>
          </w:p>
        </w:tc>
        <w:tc>
          <w:tcPr>
            <w:tcW w:w="2268" w:type="dxa"/>
            <w:tcBorders>
              <w:top w:val="single" w:sz="4" w:space="0" w:color="auto"/>
              <w:left w:val="single" w:sz="4" w:space="0" w:color="auto"/>
              <w:bottom w:val="single" w:sz="4" w:space="0" w:color="auto"/>
              <w:right w:val="single" w:sz="4" w:space="0" w:color="auto"/>
            </w:tcBorders>
          </w:tcPr>
          <w:p w:rsidR="00630798" w:rsidRPr="004D4D70" w:rsidRDefault="00630798" w:rsidP="00630798">
            <w:pPr>
              <w:jc w:val="center"/>
              <w:rPr>
                <w:rFonts w:ascii="Times New Roman" w:hAnsi="Times New Roman" w:cs="Times New Roman"/>
              </w:rPr>
            </w:pPr>
            <w:r w:rsidRPr="004D4D70">
              <w:rPr>
                <w:rFonts w:ascii="Times New Roman" w:hAnsi="Times New Roman" w:cs="Times New Roman"/>
              </w:rPr>
              <w:t>2/0</w:t>
            </w:r>
          </w:p>
        </w:tc>
        <w:tc>
          <w:tcPr>
            <w:tcW w:w="2551" w:type="dxa"/>
            <w:tcBorders>
              <w:top w:val="single" w:sz="4" w:space="0" w:color="auto"/>
              <w:left w:val="single" w:sz="4" w:space="0" w:color="auto"/>
              <w:bottom w:val="single" w:sz="4" w:space="0" w:color="auto"/>
              <w:right w:val="single" w:sz="4" w:space="0" w:color="auto"/>
            </w:tcBorders>
          </w:tcPr>
          <w:p w:rsidR="00630798" w:rsidRPr="004D4D70" w:rsidRDefault="00630798" w:rsidP="00630798">
            <w:pPr>
              <w:jc w:val="center"/>
              <w:rPr>
                <w:rFonts w:ascii="Times New Roman" w:hAnsi="Times New Roman" w:cs="Times New Roman"/>
              </w:rPr>
            </w:pPr>
            <w:r w:rsidRPr="004D4D70">
              <w:rPr>
                <w:rFonts w:ascii="Times New Roman" w:hAnsi="Times New Roman" w:cs="Times New Roman"/>
              </w:rPr>
              <w:t>1/0</w:t>
            </w:r>
          </w:p>
        </w:tc>
      </w:tr>
    </w:tbl>
    <w:p w:rsidR="00630798" w:rsidRPr="004D4D70" w:rsidRDefault="00630798" w:rsidP="00630798">
      <w:pPr>
        <w:tabs>
          <w:tab w:val="left" w:pos="5540"/>
        </w:tabs>
        <w:jc w:val="both"/>
        <w:rPr>
          <w:rFonts w:ascii="Times New Roman" w:hAnsi="Times New Roman" w:cs="Times New Roman"/>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1"/>
        <w:gridCol w:w="1910"/>
        <w:gridCol w:w="2268"/>
        <w:gridCol w:w="2551"/>
      </w:tblGrid>
      <w:tr w:rsidR="00630798" w:rsidRPr="004D4D70" w:rsidTr="00630798">
        <w:trPr>
          <w:trHeight w:val="373"/>
        </w:trPr>
        <w:tc>
          <w:tcPr>
            <w:tcW w:w="2451" w:type="dxa"/>
            <w:vMerge w:val="restart"/>
            <w:tcBorders>
              <w:top w:val="single" w:sz="4" w:space="0" w:color="auto"/>
              <w:left w:val="single" w:sz="4" w:space="0" w:color="auto"/>
              <w:bottom w:val="single" w:sz="4" w:space="0" w:color="auto"/>
              <w:right w:val="single" w:sz="4" w:space="0" w:color="auto"/>
            </w:tcBorders>
          </w:tcPr>
          <w:p w:rsidR="00630798" w:rsidRPr="004D4D70" w:rsidRDefault="00630798" w:rsidP="00630798">
            <w:pPr>
              <w:jc w:val="center"/>
              <w:rPr>
                <w:rFonts w:ascii="Times New Roman" w:hAnsi="Times New Roman" w:cs="Times New Roman"/>
              </w:rPr>
            </w:pPr>
            <w:r w:rsidRPr="004D4D70">
              <w:rPr>
                <w:rFonts w:ascii="Times New Roman" w:hAnsi="Times New Roman" w:cs="Times New Roman"/>
              </w:rPr>
              <w:t>МО</w:t>
            </w:r>
          </w:p>
        </w:tc>
        <w:tc>
          <w:tcPr>
            <w:tcW w:w="6729" w:type="dxa"/>
            <w:gridSpan w:val="3"/>
            <w:tcBorders>
              <w:top w:val="single" w:sz="4" w:space="0" w:color="auto"/>
              <w:left w:val="single" w:sz="4" w:space="0" w:color="auto"/>
              <w:bottom w:val="single" w:sz="4" w:space="0" w:color="auto"/>
              <w:right w:val="single" w:sz="4" w:space="0" w:color="auto"/>
            </w:tcBorders>
          </w:tcPr>
          <w:p w:rsidR="00630798" w:rsidRPr="004D4D70" w:rsidRDefault="00630798" w:rsidP="00630798">
            <w:pPr>
              <w:jc w:val="center"/>
              <w:rPr>
                <w:rFonts w:ascii="Times New Roman" w:hAnsi="Times New Roman" w:cs="Times New Roman"/>
              </w:rPr>
            </w:pPr>
            <w:r w:rsidRPr="004D4D70">
              <w:rPr>
                <w:rFonts w:ascii="Times New Roman" w:hAnsi="Times New Roman" w:cs="Times New Roman"/>
              </w:rPr>
              <w:t>Количество СЭЗ выданных   на проекты обоснования</w:t>
            </w:r>
            <w:r w:rsidR="004D4D70">
              <w:rPr>
                <w:rFonts w:ascii="Times New Roman" w:hAnsi="Times New Roman" w:cs="Times New Roman"/>
              </w:rPr>
              <w:t xml:space="preserve"> санитарно-защитных зон (СЗЗ), </w:t>
            </w:r>
            <w:r w:rsidRPr="004D4D70">
              <w:rPr>
                <w:rFonts w:ascii="Times New Roman" w:hAnsi="Times New Roman" w:cs="Times New Roman"/>
              </w:rPr>
              <w:t>соответствующих, из них   не соответствующих</w:t>
            </w:r>
          </w:p>
        </w:tc>
      </w:tr>
      <w:tr w:rsidR="00630798" w:rsidRPr="004D4D70" w:rsidTr="00630798">
        <w:tc>
          <w:tcPr>
            <w:tcW w:w="2451" w:type="dxa"/>
            <w:vMerge/>
            <w:tcBorders>
              <w:top w:val="single" w:sz="4" w:space="0" w:color="auto"/>
              <w:left w:val="single" w:sz="4" w:space="0" w:color="auto"/>
              <w:bottom w:val="single" w:sz="4" w:space="0" w:color="auto"/>
              <w:right w:val="single" w:sz="4" w:space="0" w:color="auto"/>
            </w:tcBorders>
            <w:vAlign w:val="center"/>
          </w:tcPr>
          <w:p w:rsidR="00630798" w:rsidRPr="004D4D70" w:rsidRDefault="00630798" w:rsidP="00630798">
            <w:pPr>
              <w:rPr>
                <w:rFonts w:ascii="Times New Roman" w:hAnsi="Times New Roman" w:cs="Times New Roman"/>
              </w:rPr>
            </w:pPr>
          </w:p>
        </w:tc>
        <w:tc>
          <w:tcPr>
            <w:tcW w:w="1910" w:type="dxa"/>
            <w:tcBorders>
              <w:top w:val="single" w:sz="4" w:space="0" w:color="auto"/>
              <w:left w:val="single" w:sz="4" w:space="0" w:color="auto"/>
              <w:bottom w:val="single" w:sz="4" w:space="0" w:color="auto"/>
              <w:right w:val="single" w:sz="4" w:space="0" w:color="auto"/>
            </w:tcBorders>
          </w:tcPr>
          <w:p w:rsidR="00630798" w:rsidRPr="004D4D70" w:rsidRDefault="00630798" w:rsidP="00630798">
            <w:pPr>
              <w:jc w:val="center"/>
              <w:rPr>
                <w:rFonts w:ascii="Times New Roman" w:hAnsi="Times New Roman" w:cs="Times New Roman"/>
              </w:rPr>
            </w:pPr>
            <w:r w:rsidRPr="004D4D70">
              <w:rPr>
                <w:rFonts w:ascii="Times New Roman" w:hAnsi="Times New Roman" w:cs="Times New Roman"/>
              </w:rPr>
              <w:t>2018 год</w:t>
            </w:r>
          </w:p>
        </w:tc>
        <w:tc>
          <w:tcPr>
            <w:tcW w:w="2268" w:type="dxa"/>
            <w:tcBorders>
              <w:top w:val="single" w:sz="4" w:space="0" w:color="auto"/>
              <w:left w:val="single" w:sz="4" w:space="0" w:color="auto"/>
              <w:bottom w:val="single" w:sz="4" w:space="0" w:color="auto"/>
              <w:right w:val="single" w:sz="4" w:space="0" w:color="auto"/>
            </w:tcBorders>
          </w:tcPr>
          <w:p w:rsidR="00630798" w:rsidRPr="004D4D70" w:rsidRDefault="00630798" w:rsidP="00630798">
            <w:pPr>
              <w:jc w:val="center"/>
              <w:rPr>
                <w:rFonts w:ascii="Times New Roman" w:hAnsi="Times New Roman" w:cs="Times New Roman"/>
              </w:rPr>
            </w:pPr>
            <w:r w:rsidRPr="004D4D70">
              <w:rPr>
                <w:rFonts w:ascii="Times New Roman" w:hAnsi="Times New Roman" w:cs="Times New Roman"/>
              </w:rPr>
              <w:t>2019 год</w:t>
            </w:r>
          </w:p>
        </w:tc>
        <w:tc>
          <w:tcPr>
            <w:tcW w:w="2551" w:type="dxa"/>
            <w:tcBorders>
              <w:top w:val="single" w:sz="4" w:space="0" w:color="auto"/>
              <w:left w:val="single" w:sz="4" w:space="0" w:color="auto"/>
              <w:bottom w:val="single" w:sz="4" w:space="0" w:color="auto"/>
              <w:right w:val="single" w:sz="4" w:space="0" w:color="auto"/>
            </w:tcBorders>
          </w:tcPr>
          <w:p w:rsidR="00630798" w:rsidRPr="004D4D70" w:rsidRDefault="00630798" w:rsidP="00630798">
            <w:pPr>
              <w:jc w:val="center"/>
              <w:rPr>
                <w:rFonts w:ascii="Times New Roman" w:hAnsi="Times New Roman" w:cs="Times New Roman"/>
              </w:rPr>
            </w:pPr>
            <w:r w:rsidRPr="004D4D70">
              <w:rPr>
                <w:rFonts w:ascii="Times New Roman" w:hAnsi="Times New Roman" w:cs="Times New Roman"/>
              </w:rPr>
              <w:t>2020 год</w:t>
            </w:r>
          </w:p>
        </w:tc>
      </w:tr>
      <w:tr w:rsidR="00630798" w:rsidRPr="004D4D70" w:rsidTr="00630798">
        <w:tc>
          <w:tcPr>
            <w:tcW w:w="2451" w:type="dxa"/>
            <w:tcBorders>
              <w:top w:val="single" w:sz="4" w:space="0" w:color="auto"/>
              <w:left w:val="single" w:sz="4" w:space="0" w:color="auto"/>
              <w:bottom w:val="single" w:sz="4" w:space="0" w:color="auto"/>
              <w:right w:val="single" w:sz="4" w:space="0" w:color="auto"/>
            </w:tcBorders>
          </w:tcPr>
          <w:p w:rsidR="00630798" w:rsidRPr="004D4D70" w:rsidRDefault="00630798" w:rsidP="00630798">
            <w:pPr>
              <w:jc w:val="both"/>
              <w:rPr>
                <w:rFonts w:ascii="Times New Roman" w:hAnsi="Times New Roman" w:cs="Times New Roman"/>
              </w:rPr>
            </w:pPr>
            <w:r w:rsidRPr="004D4D70">
              <w:rPr>
                <w:rFonts w:ascii="Times New Roman" w:hAnsi="Times New Roman" w:cs="Times New Roman"/>
              </w:rPr>
              <w:t>г.Пыть-Ях</w:t>
            </w:r>
          </w:p>
        </w:tc>
        <w:tc>
          <w:tcPr>
            <w:tcW w:w="1910" w:type="dxa"/>
            <w:tcBorders>
              <w:top w:val="single" w:sz="4" w:space="0" w:color="auto"/>
              <w:left w:val="single" w:sz="4" w:space="0" w:color="auto"/>
              <w:bottom w:val="single" w:sz="4" w:space="0" w:color="auto"/>
              <w:right w:val="single" w:sz="4" w:space="0" w:color="auto"/>
            </w:tcBorders>
          </w:tcPr>
          <w:p w:rsidR="00630798" w:rsidRPr="004D4D70" w:rsidRDefault="00630798" w:rsidP="00630798">
            <w:pPr>
              <w:jc w:val="center"/>
              <w:rPr>
                <w:rFonts w:ascii="Times New Roman" w:hAnsi="Times New Roman" w:cs="Times New Roman"/>
              </w:rPr>
            </w:pPr>
            <w:r w:rsidRPr="004D4D70">
              <w:rPr>
                <w:rFonts w:ascii="Times New Roman" w:hAnsi="Times New Roman" w:cs="Times New Roman"/>
              </w:rPr>
              <w:t>3/0</w:t>
            </w:r>
          </w:p>
        </w:tc>
        <w:tc>
          <w:tcPr>
            <w:tcW w:w="2268" w:type="dxa"/>
            <w:tcBorders>
              <w:top w:val="single" w:sz="4" w:space="0" w:color="auto"/>
              <w:left w:val="single" w:sz="4" w:space="0" w:color="auto"/>
              <w:bottom w:val="single" w:sz="4" w:space="0" w:color="auto"/>
              <w:right w:val="single" w:sz="4" w:space="0" w:color="auto"/>
            </w:tcBorders>
          </w:tcPr>
          <w:p w:rsidR="00630798" w:rsidRPr="004D4D70" w:rsidRDefault="00630798" w:rsidP="00630798">
            <w:pPr>
              <w:jc w:val="center"/>
              <w:rPr>
                <w:rFonts w:ascii="Times New Roman" w:hAnsi="Times New Roman" w:cs="Times New Roman"/>
              </w:rPr>
            </w:pPr>
            <w:r w:rsidRPr="004D4D70">
              <w:rPr>
                <w:rFonts w:ascii="Times New Roman" w:hAnsi="Times New Roman" w:cs="Times New Roman"/>
              </w:rPr>
              <w:t>3/0</w:t>
            </w:r>
          </w:p>
        </w:tc>
        <w:tc>
          <w:tcPr>
            <w:tcW w:w="2551" w:type="dxa"/>
            <w:tcBorders>
              <w:top w:val="single" w:sz="4" w:space="0" w:color="auto"/>
              <w:left w:val="single" w:sz="4" w:space="0" w:color="auto"/>
              <w:bottom w:val="single" w:sz="4" w:space="0" w:color="auto"/>
              <w:right w:val="single" w:sz="4" w:space="0" w:color="auto"/>
            </w:tcBorders>
          </w:tcPr>
          <w:p w:rsidR="00630798" w:rsidRPr="004D4D70" w:rsidRDefault="00630798" w:rsidP="00630798">
            <w:pPr>
              <w:jc w:val="center"/>
              <w:rPr>
                <w:rFonts w:ascii="Times New Roman" w:hAnsi="Times New Roman" w:cs="Times New Roman"/>
              </w:rPr>
            </w:pPr>
            <w:r w:rsidRPr="004D4D70">
              <w:rPr>
                <w:rFonts w:ascii="Times New Roman" w:hAnsi="Times New Roman" w:cs="Times New Roman"/>
              </w:rPr>
              <w:t>0/0</w:t>
            </w:r>
          </w:p>
        </w:tc>
      </w:tr>
    </w:tbl>
    <w:p w:rsidR="00630798" w:rsidRDefault="00630798" w:rsidP="00630798">
      <w:pPr>
        <w:pStyle w:val="51"/>
        <w:shd w:val="clear" w:color="auto" w:fill="auto"/>
        <w:spacing w:before="0" w:after="0"/>
        <w:ind w:right="120" w:firstLine="0"/>
        <w:jc w:val="both"/>
        <w:rPr>
          <w:sz w:val="24"/>
          <w:szCs w:val="24"/>
        </w:rPr>
      </w:pPr>
    </w:p>
    <w:p w:rsidR="00630798" w:rsidRPr="004D4D70" w:rsidRDefault="00630798" w:rsidP="004D4D70">
      <w:pPr>
        <w:pStyle w:val="51"/>
        <w:shd w:val="clear" w:color="auto" w:fill="auto"/>
        <w:spacing w:before="0" w:after="0" w:line="240" w:lineRule="auto"/>
        <w:ind w:left="120" w:right="120" w:firstLine="560"/>
        <w:jc w:val="both"/>
        <w:rPr>
          <w:rFonts w:ascii="Times New Roman" w:hAnsi="Times New Roman" w:cs="Times New Roman"/>
          <w:sz w:val="24"/>
          <w:szCs w:val="24"/>
        </w:rPr>
      </w:pPr>
      <w:r w:rsidRPr="004D4D70">
        <w:rPr>
          <w:rFonts w:ascii="Times New Roman" w:hAnsi="Times New Roman" w:cs="Times New Roman"/>
          <w:sz w:val="24"/>
          <w:szCs w:val="24"/>
        </w:rPr>
        <w:t>Концентрация атмосферных загрязнений зависит от ряда факторов, а именно: величины выброса, высоты выброса, расстояния от источника выброса, метеорологических условий (направление, скорость ветра, влажность, атмосферное давление, температурная инверсия, солнечная радиация).</w:t>
      </w:r>
    </w:p>
    <w:p w:rsidR="00630798" w:rsidRPr="004D4D70" w:rsidRDefault="00630798" w:rsidP="004D4D70">
      <w:pPr>
        <w:pStyle w:val="51"/>
        <w:shd w:val="clear" w:color="auto" w:fill="auto"/>
        <w:spacing w:before="0" w:after="0" w:line="240" w:lineRule="auto"/>
        <w:ind w:left="120" w:right="120" w:firstLine="560"/>
        <w:jc w:val="both"/>
        <w:rPr>
          <w:rFonts w:ascii="Times New Roman" w:hAnsi="Times New Roman" w:cs="Times New Roman"/>
          <w:sz w:val="24"/>
          <w:szCs w:val="24"/>
        </w:rPr>
      </w:pPr>
      <w:r w:rsidRPr="004D4D70">
        <w:rPr>
          <w:rFonts w:ascii="Times New Roman" w:hAnsi="Times New Roman" w:cs="Times New Roman"/>
          <w:sz w:val="24"/>
          <w:szCs w:val="24"/>
        </w:rPr>
        <w:t>Мониторинг за состоянием атмосферного воздуха осуществляется филиалом ФБУЗ «ЦГиЭ в ХМАО-Югре» в зоне территории жилой застройки, в зоне влияния автомагистралей, маршрутные и подфакельные исследования в зоне влияния промышленных предприятий, где  с 2009 года исследование проводится по  определенным маршрутным постам, превышение в атмосферном воздухе  ПДК взвешенных  частиц, формальдегида и фенола по другим показателям   в течение 3-х лет не регистрируется.</w:t>
      </w:r>
    </w:p>
    <w:p w:rsidR="00630798" w:rsidRPr="004D4D70" w:rsidRDefault="00630798" w:rsidP="004D4D70">
      <w:pPr>
        <w:spacing w:after="0" w:line="240" w:lineRule="auto"/>
        <w:jc w:val="both"/>
        <w:rPr>
          <w:rFonts w:ascii="Times New Roman" w:hAnsi="Times New Roman" w:cs="Times New Roman"/>
          <w:sz w:val="24"/>
          <w:szCs w:val="24"/>
        </w:rPr>
      </w:pPr>
      <w:r w:rsidRPr="004D4D70">
        <w:rPr>
          <w:rFonts w:ascii="Times New Roman" w:hAnsi="Times New Roman" w:cs="Times New Roman"/>
          <w:sz w:val="24"/>
          <w:szCs w:val="24"/>
        </w:rPr>
        <w:t xml:space="preserve">        Всего в 2020 г. ИЛЦ ФБУЗ «ЦГиЭ в ХМАО - Югре» исследовано 468 пробы атмосферного воздуха в МО города Пыть-Ях. Приоритетными загрязняющими веществами, которые исследуются испытательной лабораторией  филиала ФБУЗ «ЦГиЭ в ХМАО - Югре» в городских поселениях являются: - взвешенные вещества – 66 пробы (несоответствующие -0 проб);  сера диоксид – 66 проб; дигидросульфид-66; - углерода оксид – 66 проб; азота диоксид -66; - азота оксид – 66 проб;  - гидроксибензол и его производные –69 пробы;  - формальдегид – 69 пробы;  </w:t>
      </w:r>
    </w:p>
    <w:p w:rsidR="00630798" w:rsidRPr="004D4D70" w:rsidRDefault="00630798" w:rsidP="004D4D70">
      <w:pPr>
        <w:spacing w:after="0" w:line="240" w:lineRule="auto"/>
        <w:jc w:val="both"/>
        <w:rPr>
          <w:rFonts w:ascii="Times New Roman" w:hAnsi="Times New Roman" w:cs="Times New Roman"/>
          <w:sz w:val="24"/>
          <w:szCs w:val="24"/>
        </w:rPr>
      </w:pPr>
      <w:r w:rsidRPr="004D4D70">
        <w:rPr>
          <w:rFonts w:ascii="Times New Roman" w:hAnsi="Times New Roman" w:cs="Times New Roman"/>
          <w:sz w:val="24"/>
          <w:szCs w:val="24"/>
        </w:rPr>
        <w:t xml:space="preserve">   </w:t>
      </w:r>
      <w:r w:rsidR="00D74571">
        <w:rPr>
          <w:rFonts w:ascii="Times New Roman" w:hAnsi="Times New Roman" w:cs="Times New Roman"/>
          <w:sz w:val="24"/>
          <w:szCs w:val="24"/>
        </w:rPr>
        <w:tab/>
      </w:r>
      <w:r w:rsidRPr="004D4D70">
        <w:rPr>
          <w:rFonts w:ascii="Times New Roman" w:hAnsi="Times New Roman" w:cs="Times New Roman"/>
          <w:sz w:val="24"/>
          <w:szCs w:val="24"/>
        </w:rPr>
        <w:t xml:space="preserve"> Все  468  пробы  отобраны  в зоне влияния автомагистралей на территорию жилой застройки, маршрутные и подфакельные исследования в зоне влияния промышленных предприятий , превышение ПДК взвешенных веществ в атмосферном воздухе маршрутных и подфакельных исследований в зоне влияния промышленных предприятий. не зарегистрировано</w:t>
      </w:r>
    </w:p>
    <w:p w:rsidR="00630798" w:rsidRPr="004D4D70" w:rsidRDefault="00630798" w:rsidP="004D4D70">
      <w:pPr>
        <w:pStyle w:val="51"/>
        <w:shd w:val="clear" w:color="auto" w:fill="auto"/>
        <w:spacing w:before="0" w:after="0" w:line="240" w:lineRule="auto"/>
        <w:ind w:right="120" w:firstLine="0"/>
        <w:jc w:val="both"/>
        <w:rPr>
          <w:rFonts w:ascii="Times New Roman" w:hAnsi="Times New Roman" w:cs="Times New Roman"/>
          <w:sz w:val="24"/>
          <w:szCs w:val="24"/>
        </w:rPr>
      </w:pPr>
      <w:r w:rsidRPr="004D4D70">
        <w:rPr>
          <w:rFonts w:ascii="Times New Roman" w:hAnsi="Times New Roman" w:cs="Times New Roman"/>
          <w:sz w:val="24"/>
          <w:szCs w:val="24"/>
        </w:rPr>
        <w:t xml:space="preserve">        </w:t>
      </w:r>
      <w:r w:rsidRPr="004D4D70">
        <w:rPr>
          <w:rFonts w:ascii="Times New Roman" w:eastAsia="Arial Unicode MS" w:hAnsi="Times New Roman" w:cs="Times New Roman"/>
          <w:sz w:val="24"/>
          <w:szCs w:val="24"/>
        </w:rPr>
        <w:t xml:space="preserve">Превышение концентрации загрязняющих веществ в воздухе города зависит от большого скопления в часы «пик» количества автотранспорта, узких улиц, не рассчитанных для большого количества техники, песчаного (намывного) рельефа города, недостатка зеленых насаждений. Результаты лабораторного контроля анализируются и ежегодно направляются в виде информации в адрес администрации города.     </w:t>
      </w:r>
      <w:r w:rsidRPr="004D4D70">
        <w:rPr>
          <w:rFonts w:ascii="Times New Roman" w:hAnsi="Times New Roman" w:cs="Times New Roman"/>
          <w:sz w:val="24"/>
          <w:szCs w:val="24"/>
        </w:rPr>
        <w:t>В последние годы в городе Пыть-Ях активно проводится благоустройство  микрорайонов города, строятся внутриквартальные, объездные дороги, ведется озеленение городской территории, формируются новые газоны на улицах города вдоль пешеходных тротуаров, восстанавливаются цветники, зеленые лужайки, в микрорайонах  в летний период  меняется твердое покрытие,  проводится асфальтирование проездов, пешеходных дорожек и т.д. Проведенная работа по благоустройству города Пыть-Ях существенно отражается на качестве атмосферного воздуха.</w:t>
      </w:r>
    </w:p>
    <w:p w:rsidR="00630798" w:rsidRPr="00D74571" w:rsidRDefault="00630798" w:rsidP="00D74571">
      <w:pPr>
        <w:spacing w:after="0" w:line="240" w:lineRule="auto"/>
        <w:jc w:val="both"/>
        <w:rPr>
          <w:rFonts w:ascii="Times New Roman" w:hAnsi="Times New Roman" w:cs="Times New Roman"/>
          <w:b/>
          <w:sz w:val="24"/>
          <w:szCs w:val="24"/>
        </w:rPr>
      </w:pPr>
      <w:r w:rsidRPr="00D74571">
        <w:rPr>
          <w:rFonts w:ascii="Times New Roman" w:hAnsi="Times New Roman" w:cs="Times New Roman"/>
          <w:sz w:val="24"/>
          <w:szCs w:val="24"/>
        </w:rPr>
        <w:t xml:space="preserve">     В 2020 г. контрольно-надзорных мероприятий в области обеспечения санитарно-эпидемиологического благополучия населения в части охраны атмосферного воздуха в Пыть-Ях не проводились.  </w:t>
      </w:r>
    </w:p>
    <w:p w:rsidR="00630798" w:rsidRPr="00994CD3" w:rsidRDefault="00630798" w:rsidP="00630798">
      <w:pPr>
        <w:pStyle w:val="a5"/>
        <w:rPr>
          <w:b/>
          <w:sz w:val="24"/>
          <w:szCs w:val="24"/>
        </w:rPr>
      </w:pPr>
      <w:r>
        <w:rPr>
          <w:b/>
          <w:sz w:val="24"/>
          <w:szCs w:val="24"/>
        </w:rPr>
        <w:lastRenderedPageBreak/>
        <w:tab/>
      </w:r>
    </w:p>
    <w:p w:rsidR="00630798" w:rsidRPr="00D74571" w:rsidRDefault="00630798" w:rsidP="00D74571">
      <w:pPr>
        <w:pStyle w:val="a5"/>
        <w:rPr>
          <w:b/>
          <w:sz w:val="24"/>
          <w:szCs w:val="24"/>
        </w:rPr>
      </w:pPr>
      <w:r w:rsidRPr="00D74571">
        <w:rPr>
          <w:b/>
          <w:sz w:val="24"/>
          <w:szCs w:val="24"/>
        </w:rPr>
        <w:t>2.1.2 Результаты деятельности по улучшению качества питьевой воды</w:t>
      </w:r>
    </w:p>
    <w:p w:rsidR="00630798" w:rsidRPr="00D74571" w:rsidRDefault="00630798" w:rsidP="00D74571">
      <w:pPr>
        <w:pStyle w:val="51"/>
        <w:shd w:val="clear" w:color="auto" w:fill="auto"/>
        <w:spacing w:before="0" w:after="0" w:line="240" w:lineRule="auto"/>
        <w:ind w:right="120" w:firstLine="0"/>
        <w:jc w:val="both"/>
        <w:rPr>
          <w:rFonts w:ascii="Times New Roman" w:hAnsi="Times New Roman" w:cs="Times New Roman"/>
          <w:color w:val="000000"/>
          <w:spacing w:val="-1"/>
          <w:sz w:val="24"/>
          <w:szCs w:val="24"/>
        </w:rPr>
      </w:pPr>
    </w:p>
    <w:p w:rsidR="00630798" w:rsidRPr="00D74571" w:rsidRDefault="00630798" w:rsidP="00D74571">
      <w:pPr>
        <w:pStyle w:val="51"/>
        <w:shd w:val="clear" w:color="auto" w:fill="auto"/>
        <w:spacing w:before="0" w:after="0" w:line="240" w:lineRule="auto"/>
        <w:ind w:right="120" w:firstLine="0"/>
        <w:jc w:val="both"/>
        <w:rPr>
          <w:rFonts w:ascii="Times New Roman" w:hAnsi="Times New Roman" w:cs="Times New Roman"/>
          <w:sz w:val="24"/>
          <w:szCs w:val="24"/>
        </w:rPr>
      </w:pPr>
      <w:r w:rsidRPr="00D74571">
        <w:rPr>
          <w:rFonts w:ascii="Times New Roman" w:eastAsia="Calibri" w:hAnsi="Times New Roman" w:cs="Times New Roman"/>
          <w:spacing w:val="0"/>
          <w:sz w:val="24"/>
          <w:szCs w:val="24"/>
        </w:rPr>
        <w:t xml:space="preserve">  </w:t>
      </w:r>
      <w:r w:rsidRPr="00D74571">
        <w:rPr>
          <w:rFonts w:ascii="Times New Roman" w:eastAsia="Calibri" w:hAnsi="Times New Roman" w:cs="Times New Roman"/>
          <w:sz w:val="24"/>
          <w:szCs w:val="24"/>
        </w:rPr>
        <w:t xml:space="preserve"> </w:t>
      </w:r>
      <w:r w:rsidR="00D74571">
        <w:rPr>
          <w:rFonts w:ascii="Times New Roman" w:eastAsia="Calibri" w:hAnsi="Times New Roman" w:cs="Times New Roman"/>
          <w:sz w:val="24"/>
          <w:szCs w:val="24"/>
        </w:rPr>
        <w:tab/>
      </w:r>
      <w:r w:rsidRPr="00D74571">
        <w:rPr>
          <w:rFonts w:ascii="Times New Roman" w:hAnsi="Times New Roman" w:cs="Times New Roman"/>
          <w:sz w:val="24"/>
          <w:szCs w:val="24"/>
        </w:rPr>
        <w:t xml:space="preserve">В 2020 г. </w:t>
      </w:r>
      <w:r w:rsidRPr="00D74571">
        <w:rPr>
          <w:rStyle w:val="35"/>
          <w:rFonts w:ascii="Times New Roman" w:hAnsi="Times New Roman" w:cs="Times New Roman"/>
          <w:sz w:val="24"/>
          <w:szCs w:val="24"/>
        </w:rPr>
        <w:t>осуществлялся   государственный санитарно</w:t>
      </w:r>
      <w:r w:rsidRPr="00D74571">
        <w:rPr>
          <w:rStyle w:val="35"/>
          <w:rFonts w:ascii="Times New Roman" w:hAnsi="Times New Roman" w:cs="Times New Roman"/>
          <w:sz w:val="24"/>
          <w:szCs w:val="24"/>
        </w:rPr>
        <w:softHyphen/>
        <w:t xml:space="preserve">-эпидемиологический надзор территориальным отделам Управления Роспотребнадзора по Ханты-Мансийскому автономному округу - Югре </w:t>
      </w:r>
      <w:r w:rsidRPr="00D74571">
        <w:rPr>
          <w:rFonts w:ascii="Times New Roman" w:hAnsi="Times New Roman" w:cs="Times New Roman"/>
          <w:sz w:val="24"/>
          <w:szCs w:val="24"/>
        </w:rPr>
        <w:t xml:space="preserve">за соблюдением санитарного законодательства в отношении объектов источников централизованного водоснабжения. </w:t>
      </w:r>
    </w:p>
    <w:p w:rsidR="00630798" w:rsidRPr="00D74571" w:rsidRDefault="00630798" w:rsidP="00D74571">
      <w:pPr>
        <w:spacing w:after="0" w:line="240" w:lineRule="auto"/>
        <w:ind w:firstLine="567"/>
        <w:jc w:val="both"/>
        <w:rPr>
          <w:rFonts w:ascii="Times New Roman" w:hAnsi="Times New Roman" w:cs="Times New Roman"/>
          <w:sz w:val="24"/>
          <w:szCs w:val="24"/>
        </w:rPr>
      </w:pPr>
      <w:r w:rsidRPr="00D74571">
        <w:rPr>
          <w:rFonts w:ascii="Times New Roman" w:hAnsi="Times New Roman" w:cs="Times New Roman"/>
          <w:sz w:val="24"/>
          <w:szCs w:val="24"/>
        </w:rPr>
        <w:t xml:space="preserve">     По сравнению с прошлым 2019 годом в городе  Пыть-Ях не произошли изменение в количестве объектов источников питьевого централизованного водоснабжения (подземные), водопроводов и объектов распределения воды.   В питьевой воде г.Пыть-Ях– приоритетным загрязнением является повышенное содержание железа, перманганатной окисляемости, цветность, что характерно для подземных водоисточников.  Железо находящиеся в подземных водах главным образом в виде дигидрокарбоната железа (II) Fе(НСОз)2. При контакте воды с воздухом железо окисляется, образуя гидроксид железа (III) — Fe(OH)3, придающий воде мутность и бурую окраску .</w:t>
      </w:r>
    </w:p>
    <w:p w:rsidR="00630798" w:rsidRPr="00D74571" w:rsidRDefault="00630798" w:rsidP="00D74571">
      <w:pPr>
        <w:spacing w:after="0" w:line="240" w:lineRule="auto"/>
        <w:ind w:firstLine="567"/>
        <w:jc w:val="both"/>
        <w:rPr>
          <w:rFonts w:ascii="Times New Roman" w:hAnsi="Times New Roman" w:cs="Times New Roman"/>
          <w:sz w:val="24"/>
          <w:szCs w:val="24"/>
        </w:rPr>
      </w:pPr>
      <w:r w:rsidRPr="00D74571">
        <w:rPr>
          <w:rFonts w:ascii="Times New Roman" w:hAnsi="Times New Roman" w:cs="Times New Roman"/>
          <w:sz w:val="24"/>
          <w:szCs w:val="24"/>
        </w:rPr>
        <w:t xml:space="preserve">   В 2020 году на территории города Пыть-Ях функционировали  5 </w:t>
      </w:r>
      <w:r w:rsidRPr="00D74571">
        <w:rPr>
          <w:rFonts w:ascii="Times New Roman" w:hAnsi="Times New Roman" w:cs="Times New Roman"/>
          <w:color w:val="000000"/>
          <w:spacing w:val="-1"/>
          <w:sz w:val="24"/>
          <w:szCs w:val="24"/>
        </w:rPr>
        <w:t xml:space="preserve">подземных </w:t>
      </w:r>
      <w:r w:rsidRPr="00D74571">
        <w:rPr>
          <w:rFonts w:ascii="Times New Roman" w:hAnsi="Times New Roman" w:cs="Times New Roman"/>
          <w:sz w:val="24"/>
          <w:szCs w:val="24"/>
        </w:rPr>
        <w:t xml:space="preserve">источников  питьевого централизованного водоснабжения города  (ВОС- 1,ВОС-2,ВОС-3,ВОС-4 -МУП «УГХ», и  ВОС -  филиала АО «СибурТрансГаз» «ЮБ ГПЗ») используется для обеспечения теплоснабжением и горячей водой населения города.     </w:t>
      </w:r>
    </w:p>
    <w:p w:rsidR="00630798" w:rsidRPr="00D74571" w:rsidRDefault="00630798" w:rsidP="00D74571">
      <w:pPr>
        <w:spacing w:after="0" w:line="240" w:lineRule="auto"/>
        <w:jc w:val="both"/>
        <w:rPr>
          <w:rFonts w:ascii="Times New Roman" w:hAnsi="Times New Roman" w:cs="Times New Roman"/>
          <w:i/>
          <w:sz w:val="24"/>
          <w:szCs w:val="24"/>
        </w:rPr>
      </w:pPr>
      <w:r w:rsidRPr="00D74571">
        <w:rPr>
          <w:rFonts w:ascii="Times New Roman" w:hAnsi="Times New Roman" w:cs="Times New Roman"/>
          <w:sz w:val="24"/>
          <w:szCs w:val="24"/>
        </w:rPr>
        <w:t xml:space="preserve">   </w:t>
      </w:r>
      <w:r w:rsidR="00D74571">
        <w:rPr>
          <w:rFonts w:ascii="Times New Roman" w:hAnsi="Times New Roman" w:cs="Times New Roman"/>
          <w:sz w:val="24"/>
          <w:szCs w:val="24"/>
        </w:rPr>
        <w:tab/>
      </w:r>
      <w:r w:rsidRPr="00D74571">
        <w:rPr>
          <w:rFonts w:ascii="Times New Roman" w:hAnsi="Times New Roman" w:cs="Times New Roman"/>
          <w:sz w:val="24"/>
          <w:szCs w:val="24"/>
        </w:rPr>
        <w:t>Водоснабжение  города Пыть-Ях, с численностью населения 39844 человек централизованное, пользуются водой коммунального водопровода МУП  «Управление городского хозяйства» и филиала АО «СибурТрансГаз» «ЮБ ГПЗ» (обслуживающие население  7 микрорайона города), предприятия осуществляют холодное и горячее водоснабжение. Вышеуказанные организации признаны гарантирующими (письмо №14-3003 от 23.05.2013г, распоряжение №653-ра от т27.03.2013г.).</w:t>
      </w:r>
      <w:r w:rsidRPr="00D74571">
        <w:rPr>
          <w:rFonts w:ascii="Times New Roman" w:hAnsi="Times New Roman" w:cs="Times New Roman"/>
          <w:i/>
          <w:sz w:val="24"/>
          <w:szCs w:val="24"/>
        </w:rPr>
        <w:t xml:space="preserve"> </w:t>
      </w:r>
    </w:p>
    <w:p w:rsidR="00630798" w:rsidRPr="00D74571" w:rsidRDefault="00630798" w:rsidP="00D74571">
      <w:pPr>
        <w:widowControl w:val="0"/>
        <w:spacing w:after="0" w:line="240" w:lineRule="auto"/>
        <w:ind w:right="120"/>
        <w:jc w:val="both"/>
        <w:rPr>
          <w:rFonts w:ascii="Times New Roman" w:hAnsi="Times New Roman" w:cs="Times New Roman"/>
          <w:i/>
          <w:sz w:val="24"/>
          <w:szCs w:val="24"/>
        </w:rPr>
      </w:pPr>
      <w:r w:rsidRPr="00D74571">
        <w:rPr>
          <w:rFonts w:ascii="Times New Roman" w:hAnsi="Times New Roman" w:cs="Times New Roman"/>
          <w:sz w:val="24"/>
          <w:szCs w:val="24"/>
        </w:rPr>
        <w:t xml:space="preserve">          Водоподготовка  пресной подземной воды осуществляется на 5-ти  городских водозаборов - ВОС -1 (3200 м3/сут), ВОС-2 (32500 м3/сут), ВОС -3 (8000 м3/сут), ВОС -4(1150м3/сут) и ВОС (32500 м3/сут) филиала АО «СибурТрансГаз» «ЮБ ГПЗ»,  добыча подземных вод путем эксплуатации групповых водозаборов. В гПыть-Ях  артезианских скважин - 45, из них 39 коммунальных, 6 ведомственных. Водоносный горизонт размещен на глубине 280-300 метров. Скважины оборудованы глубинными насосами размещенными на глубине 100 метров. Зона строгого режима артскважин ограждена, благоустроена. На оголовках скважин оборудованы павильоны.</w:t>
      </w:r>
    </w:p>
    <w:p w:rsidR="00630798" w:rsidRPr="00D74571" w:rsidRDefault="00630798" w:rsidP="00D74571">
      <w:pPr>
        <w:autoSpaceDE w:val="0"/>
        <w:autoSpaceDN w:val="0"/>
        <w:spacing w:after="0" w:line="240" w:lineRule="auto"/>
        <w:ind w:firstLine="708"/>
        <w:jc w:val="both"/>
        <w:rPr>
          <w:rFonts w:ascii="Times New Roman" w:hAnsi="Times New Roman" w:cs="Times New Roman"/>
          <w:sz w:val="24"/>
          <w:szCs w:val="24"/>
        </w:rPr>
      </w:pPr>
      <w:r w:rsidRPr="00D74571">
        <w:rPr>
          <w:rFonts w:ascii="Times New Roman" w:hAnsi="Times New Roman" w:cs="Times New Roman"/>
          <w:sz w:val="24"/>
          <w:szCs w:val="24"/>
        </w:rPr>
        <w:t xml:space="preserve">  На  всех городских  ВОС, кроме ВОС -1 и ВОС филиала АО «СибурТрансГаз» «ЮБ ГПЗ»  не производится очистка воды. Очистные сооружения МУП «УГХ» установлены на  ВОС-1 ( ведено  в эксплуатацию  в 2010г объект строительства  «Реконструкция ВОС-1 первая  очередь»), где  предусмотрено: дегазация, обезжелезивание воды, обеззараживание воды предусмотрено УФО, что не соответствует требованиям 6.209.СНИП 11-31-74. Качество воды подаваемой населению города не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630798" w:rsidRPr="00D74571" w:rsidRDefault="00630798" w:rsidP="00D74571">
      <w:pPr>
        <w:shd w:val="clear" w:color="auto" w:fill="FFFFFF"/>
        <w:spacing w:after="0" w:line="240" w:lineRule="auto"/>
        <w:ind w:right="48"/>
        <w:jc w:val="both"/>
        <w:rPr>
          <w:rFonts w:ascii="Times New Roman" w:hAnsi="Times New Roman" w:cs="Times New Roman"/>
          <w:sz w:val="24"/>
          <w:szCs w:val="24"/>
        </w:rPr>
      </w:pPr>
      <w:r w:rsidRPr="00D74571">
        <w:rPr>
          <w:rFonts w:ascii="Times New Roman" w:hAnsi="Times New Roman" w:cs="Times New Roman"/>
          <w:sz w:val="24"/>
          <w:szCs w:val="24"/>
        </w:rPr>
        <w:t xml:space="preserve">      </w:t>
      </w:r>
      <w:r w:rsidR="00D74571">
        <w:rPr>
          <w:rFonts w:ascii="Times New Roman" w:hAnsi="Times New Roman" w:cs="Times New Roman"/>
          <w:sz w:val="24"/>
          <w:szCs w:val="24"/>
        </w:rPr>
        <w:tab/>
      </w:r>
      <w:r w:rsidRPr="00D74571">
        <w:rPr>
          <w:rFonts w:ascii="Times New Roman" w:hAnsi="Times New Roman" w:cs="Times New Roman"/>
          <w:sz w:val="24"/>
          <w:szCs w:val="24"/>
        </w:rPr>
        <w:t>В микрорайонах города (кроме 1, 1 а мко и 2 мкр,  7мрн) вода для хозяйственно-питьевых нужд поступает населению без соответствующей очистки и водоподготовки.  На ВОС-1, ВОС-3 МУП «УГХ» и ВОС филиала АО «СибурТрансГаз» «ЮБ ГПЗ»,  имеется проект ЗСО согласованный и утверждённый в установленном порядке.  Имеются очистные сооружения на  ВОС филиала ОАО «СибурТрансГаз» «ЮБ ГПЗ». С  целью повышения качества услуг водоснабжения и обеспечения чистой водой  населения жителей 2А мкр-она после ВОС-1, т.к. существующая технология очистки воды не позволяет обеспечить  её нормативное качество, согласно информации администрации  необходимо провести работы по объекту ВОС-1 «Реконструкции ВОС-1(2 очередь)».</w:t>
      </w:r>
    </w:p>
    <w:p w:rsidR="00630798" w:rsidRPr="00D74571" w:rsidRDefault="00630798" w:rsidP="00D74571">
      <w:pPr>
        <w:spacing w:after="0" w:line="240" w:lineRule="auto"/>
        <w:jc w:val="both"/>
        <w:rPr>
          <w:rFonts w:ascii="Times New Roman" w:hAnsi="Times New Roman" w:cs="Times New Roman"/>
          <w:sz w:val="24"/>
          <w:szCs w:val="24"/>
        </w:rPr>
      </w:pPr>
      <w:r w:rsidRPr="00D74571">
        <w:rPr>
          <w:rFonts w:ascii="Times New Roman" w:hAnsi="Times New Roman" w:cs="Times New Roman"/>
          <w:sz w:val="24"/>
          <w:szCs w:val="24"/>
        </w:rPr>
        <w:t xml:space="preserve">       На ВОС-1 и ВОС филиала АО «СибурТрансГаз» «ЮБ ГПЗ» п</w:t>
      </w:r>
      <w:r w:rsidRPr="00D74571">
        <w:rPr>
          <w:rFonts w:ascii="Times New Roman" w:hAnsi="Times New Roman" w:cs="Times New Roman"/>
          <w:bCs/>
          <w:iCs/>
          <w:sz w:val="24"/>
          <w:szCs w:val="24"/>
        </w:rPr>
        <w:t>роекты зон санитарной охраны группового водозабора пресных подземных вод гПыть-Ях, разработан, получено положительное</w:t>
      </w:r>
      <w:r w:rsidRPr="00D74571">
        <w:rPr>
          <w:rFonts w:ascii="Times New Roman" w:hAnsi="Times New Roman" w:cs="Times New Roman"/>
          <w:sz w:val="24"/>
          <w:szCs w:val="24"/>
        </w:rPr>
        <w:t xml:space="preserve">     санитарно-эпидемиологическое заключение</w:t>
      </w:r>
      <w:r w:rsidRPr="00D74571">
        <w:rPr>
          <w:rFonts w:ascii="Times New Roman" w:hAnsi="Times New Roman" w:cs="Times New Roman"/>
          <w:bCs/>
          <w:iCs/>
          <w:sz w:val="24"/>
          <w:szCs w:val="24"/>
        </w:rPr>
        <w:t xml:space="preserve"> УРПН по ХМАО-Югре .</w:t>
      </w:r>
      <w:r w:rsidRPr="00D74571">
        <w:rPr>
          <w:rFonts w:ascii="Times New Roman" w:hAnsi="Times New Roman" w:cs="Times New Roman"/>
          <w:sz w:val="24"/>
          <w:szCs w:val="24"/>
        </w:rPr>
        <w:t xml:space="preserve"> </w:t>
      </w:r>
    </w:p>
    <w:p w:rsidR="00630798" w:rsidRPr="00D74571" w:rsidRDefault="00630798" w:rsidP="00D74571">
      <w:pPr>
        <w:adjustRightInd w:val="0"/>
        <w:spacing w:after="0" w:line="240" w:lineRule="auto"/>
        <w:jc w:val="center"/>
        <w:rPr>
          <w:rFonts w:ascii="Times New Roman" w:hAnsi="Times New Roman" w:cs="Times New Roman"/>
          <w:b/>
          <w:sz w:val="24"/>
          <w:szCs w:val="24"/>
        </w:rPr>
      </w:pPr>
    </w:p>
    <w:p w:rsidR="00630798" w:rsidRPr="00D74571" w:rsidRDefault="00630798" w:rsidP="00D74571">
      <w:pPr>
        <w:adjustRightInd w:val="0"/>
        <w:spacing w:after="0" w:line="240" w:lineRule="auto"/>
        <w:jc w:val="center"/>
        <w:rPr>
          <w:rFonts w:ascii="Times New Roman" w:hAnsi="Times New Roman" w:cs="Times New Roman"/>
          <w:b/>
          <w:sz w:val="24"/>
          <w:szCs w:val="24"/>
        </w:rPr>
      </w:pPr>
      <w:r w:rsidRPr="00D74571">
        <w:rPr>
          <w:rFonts w:ascii="Times New Roman" w:hAnsi="Times New Roman" w:cs="Times New Roman"/>
          <w:b/>
          <w:sz w:val="24"/>
          <w:szCs w:val="24"/>
        </w:rPr>
        <w:t>Сведения по водопроводным очистным сооружениям</w:t>
      </w:r>
    </w:p>
    <w:p w:rsidR="00630798" w:rsidRPr="00D74571" w:rsidRDefault="00630798" w:rsidP="00D74571">
      <w:pPr>
        <w:pStyle w:val="a5"/>
        <w:tabs>
          <w:tab w:val="left" w:pos="5314"/>
        </w:tabs>
        <w:rPr>
          <w:sz w:val="24"/>
          <w:szCs w:val="24"/>
        </w:rPr>
      </w:pPr>
    </w:p>
    <w:p w:rsidR="00630798" w:rsidRPr="00D74571" w:rsidRDefault="00630798" w:rsidP="00D74571">
      <w:pPr>
        <w:pStyle w:val="a5"/>
        <w:tabs>
          <w:tab w:val="left" w:pos="5314"/>
        </w:tabs>
        <w:ind w:firstLine="567"/>
        <w:jc w:val="both"/>
        <w:rPr>
          <w:sz w:val="24"/>
          <w:szCs w:val="24"/>
        </w:rPr>
      </w:pPr>
      <w:r w:rsidRPr="00D74571">
        <w:rPr>
          <w:sz w:val="24"/>
          <w:szCs w:val="24"/>
        </w:rPr>
        <w:t xml:space="preserve">    Источниками централизованного водоснабжения являются: ВОС-1 расположенный в Северо-восточной промзоне, ул. Первопроходцев - 1 мкр. и 2 мкр.; ВОС-2 в Северной промзоне - мкр. Пионерный,  3 мкр.;  ВОС-3 в Мамонтовской промзоне №5 - мкр.Мамонтово, 4 мкр., 5 мкр.;  ВОС-4 в Лесозаготовительной промзоне №4 – 2а мкр.  Источниками питьевого централизованного водоснабжения являются 43 артезианские скважины 4-х водозаборов - ВОС-1, ВОС-2, ВОС-3 и ВОС-4. Координаты указаны по периметру водозаборов угловых точек.  Протяженность водопровода  </w:t>
      </w:r>
      <w:smartTag w:uri="urn:schemas-microsoft-com:office:smarttags" w:element="metricconverter">
        <w:smartTagPr>
          <w:attr w:name="ProductID" w:val="71,3 км"/>
        </w:smartTagPr>
        <w:r w:rsidRPr="00D74571">
          <w:rPr>
            <w:sz w:val="24"/>
            <w:szCs w:val="24"/>
          </w:rPr>
          <w:t>71,3 км</w:t>
        </w:r>
      </w:smartTag>
      <w:r w:rsidRPr="00D74571">
        <w:rPr>
          <w:sz w:val="24"/>
          <w:szCs w:val="24"/>
        </w:rPr>
        <w:t xml:space="preserve">. Полный комплекс очистки сырой воды производится только на ВОС-1. Система очистки предусматривает следующий технологический процесс: дегазация, коагуляция, обезжелезивание и обеззараживание воды установками УФО.  На остальных ВОС производится естественное отстаивание воды в резервуарах хранения воды, а также обеззараживание. </w:t>
      </w:r>
    </w:p>
    <w:p w:rsidR="00630798" w:rsidRPr="00D74571" w:rsidRDefault="00630798" w:rsidP="00D74571">
      <w:pPr>
        <w:tabs>
          <w:tab w:val="left" w:pos="1110"/>
        </w:tabs>
        <w:spacing w:after="0" w:line="240" w:lineRule="auto"/>
        <w:ind w:firstLine="567"/>
        <w:jc w:val="both"/>
        <w:rPr>
          <w:rFonts w:ascii="Times New Roman" w:hAnsi="Times New Roman" w:cs="Times New Roman"/>
          <w:sz w:val="24"/>
          <w:szCs w:val="24"/>
        </w:rPr>
      </w:pPr>
      <w:r w:rsidRPr="00D74571">
        <w:rPr>
          <w:rFonts w:ascii="Times New Roman" w:hAnsi="Times New Roman" w:cs="Times New Roman"/>
          <w:sz w:val="24"/>
          <w:szCs w:val="24"/>
        </w:rPr>
        <w:t xml:space="preserve">       На ВОС-1 имеется проект ЗСО согласованный в Управлении Роспотребнадзора по ХМАО-Югре экспертное заключение от 13.08.2014г. №ХЦ.01.000.Т.001437.08.14. </w:t>
      </w:r>
    </w:p>
    <w:p w:rsidR="00630798" w:rsidRDefault="00630798" w:rsidP="00630798">
      <w:pPr>
        <w:pStyle w:val="a5"/>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236"/>
        <w:gridCol w:w="1024"/>
        <w:gridCol w:w="2219"/>
        <w:gridCol w:w="1467"/>
      </w:tblGrid>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center"/>
              <w:rPr>
                <w:rFonts w:ascii="Times New Roman" w:hAnsi="Times New Roman" w:cs="Times New Roman"/>
                <w:i/>
              </w:rPr>
            </w:pPr>
            <w:r w:rsidRPr="00D74571">
              <w:rPr>
                <w:rFonts w:ascii="Times New Roman" w:hAnsi="Times New Roman" w:cs="Times New Roman"/>
                <w:i/>
              </w:rPr>
              <w:t>Наименование источника</w:t>
            </w:r>
          </w:p>
          <w:p w:rsidR="00630798" w:rsidRPr="00D74571" w:rsidRDefault="00630798" w:rsidP="00630798">
            <w:pPr>
              <w:jc w:val="center"/>
              <w:rPr>
                <w:rFonts w:ascii="Times New Roman" w:hAnsi="Times New Roman" w:cs="Times New Roman"/>
                <w:b/>
                <w:i/>
              </w:rPr>
            </w:pPr>
            <w:r w:rsidRPr="00D74571">
              <w:rPr>
                <w:rFonts w:ascii="Times New Roman" w:hAnsi="Times New Roman" w:cs="Times New Roman"/>
                <w:b/>
                <w:i/>
              </w:rPr>
              <w:t>ВОС-1</w:t>
            </w:r>
          </w:p>
        </w:tc>
        <w:tc>
          <w:tcPr>
            <w:tcW w:w="3260" w:type="dxa"/>
            <w:gridSpan w:val="2"/>
            <w:tcBorders>
              <w:top w:val="single" w:sz="4" w:space="0" w:color="auto"/>
              <w:left w:val="single" w:sz="4" w:space="0" w:color="auto"/>
              <w:bottom w:val="single" w:sz="4" w:space="0" w:color="auto"/>
              <w:right w:val="single" w:sz="4" w:space="0" w:color="auto"/>
            </w:tcBorders>
          </w:tcPr>
          <w:p w:rsidR="00630798" w:rsidRPr="00D74571" w:rsidRDefault="00630798" w:rsidP="00630798">
            <w:pPr>
              <w:jc w:val="center"/>
              <w:rPr>
                <w:rFonts w:ascii="Times New Roman" w:hAnsi="Times New Roman" w:cs="Times New Roman"/>
                <w:i/>
              </w:rPr>
            </w:pPr>
            <w:r w:rsidRPr="00D74571">
              <w:rPr>
                <w:rFonts w:ascii="Times New Roman" w:hAnsi="Times New Roman" w:cs="Times New Roman"/>
                <w:i/>
              </w:rPr>
              <w:t>Координаты</w:t>
            </w:r>
          </w:p>
          <w:p w:rsidR="00630798" w:rsidRPr="00D74571" w:rsidRDefault="00630798" w:rsidP="00630798">
            <w:pPr>
              <w:jc w:val="center"/>
              <w:rPr>
                <w:rFonts w:ascii="Times New Roman" w:hAnsi="Times New Roman" w:cs="Times New Roman"/>
                <w:i/>
              </w:rPr>
            </w:pPr>
          </w:p>
        </w:tc>
        <w:tc>
          <w:tcPr>
            <w:tcW w:w="3686" w:type="dxa"/>
            <w:gridSpan w:val="2"/>
            <w:tcBorders>
              <w:top w:val="single" w:sz="4" w:space="0" w:color="auto"/>
              <w:left w:val="single" w:sz="4" w:space="0" w:color="auto"/>
              <w:bottom w:val="single" w:sz="4" w:space="0" w:color="auto"/>
              <w:right w:val="single" w:sz="4" w:space="0" w:color="auto"/>
            </w:tcBorders>
          </w:tcPr>
          <w:p w:rsidR="00630798" w:rsidRPr="00D74571" w:rsidRDefault="00630798" w:rsidP="00630798">
            <w:pPr>
              <w:jc w:val="center"/>
              <w:rPr>
                <w:rFonts w:ascii="Times New Roman" w:hAnsi="Times New Roman" w:cs="Times New Roman"/>
                <w:i/>
              </w:rPr>
            </w:pPr>
            <w:r w:rsidRPr="00D74571">
              <w:rPr>
                <w:rFonts w:ascii="Times New Roman" w:hAnsi="Times New Roman" w:cs="Times New Roman"/>
                <w:i/>
              </w:rPr>
              <w:t>Координаты</w:t>
            </w:r>
          </w:p>
          <w:p w:rsidR="00630798" w:rsidRPr="00D74571" w:rsidRDefault="00630798" w:rsidP="00630798">
            <w:pPr>
              <w:jc w:val="center"/>
              <w:rPr>
                <w:rFonts w:ascii="Times New Roman" w:hAnsi="Times New Roman" w:cs="Times New Roman"/>
                <w:i/>
              </w:rPr>
            </w:pP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№1</w:t>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60°45'42,30"</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72°50'59,52"</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№2</w:t>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60°45'45,07"</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72°50'56,89"</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№3</w:t>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60°45'46,47"</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72°51'00,33"</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№4</w:t>
            </w:r>
            <w:r w:rsidRPr="00D74571">
              <w:rPr>
                <w:rFonts w:ascii="Times New Roman" w:eastAsia="Calibri" w:hAnsi="Times New Roman" w:cs="Times New Roman"/>
              </w:rPr>
              <w:tab/>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60°45'47,59"</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72°51'00"</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№5</w:t>
            </w:r>
            <w:r w:rsidRPr="00D74571">
              <w:rPr>
                <w:rFonts w:ascii="Times New Roman" w:eastAsia="Calibri" w:hAnsi="Times New Roman" w:cs="Times New Roman"/>
              </w:rPr>
              <w:tab/>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60°45'48,97"</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72°51'15,82"</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№6</w:t>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60°45'47,82"</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72°51'17,42"</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№7</w:t>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60°45'46,43"</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72°51'16,98"</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№8</w:t>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60°45'44,05"</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72°51'19,96"</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№9</w:t>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60°45'43,66"</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72°51'19,94"</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№10</w:t>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60°45'42,16"</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72°51'15,65"</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№11</w:t>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60°45'42,77"</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72°51'08,78"</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№12</w:t>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60°45'44,07"</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72°51'07,51"</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bl>
    <w:p w:rsidR="00630798" w:rsidRPr="00D74571" w:rsidRDefault="00630798" w:rsidP="00D74571">
      <w:pPr>
        <w:pStyle w:val="a5"/>
        <w:jc w:val="left"/>
        <w:rPr>
          <w:sz w:val="24"/>
        </w:rPr>
      </w:pPr>
      <w:r w:rsidRPr="00D74571">
        <w:t xml:space="preserve"> </w:t>
      </w:r>
    </w:p>
    <w:p w:rsidR="00630798" w:rsidRPr="00D74571" w:rsidRDefault="00630798" w:rsidP="00630798">
      <w:pPr>
        <w:pStyle w:val="a5"/>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236"/>
        <w:gridCol w:w="1024"/>
        <w:gridCol w:w="2219"/>
        <w:gridCol w:w="1467"/>
      </w:tblGrid>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center"/>
              <w:rPr>
                <w:rFonts w:ascii="Times New Roman" w:hAnsi="Times New Roman" w:cs="Times New Roman"/>
              </w:rPr>
            </w:pPr>
            <w:r w:rsidRPr="00D74571">
              <w:rPr>
                <w:rFonts w:ascii="Times New Roman" w:hAnsi="Times New Roman" w:cs="Times New Roman"/>
              </w:rPr>
              <w:t>Наименование источника</w:t>
            </w:r>
          </w:p>
          <w:p w:rsidR="00630798" w:rsidRPr="00D74571" w:rsidRDefault="00630798" w:rsidP="00630798">
            <w:pPr>
              <w:jc w:val="center"/>
              <w:rPr>
                <w:rFonts w:ascii="Times New Roman" w:hAnsi="Times New Roman" w:cs="Times New Roman"/>
                <w:b/>
              </w:rPr>
            </w:pPr>
            <w:r w:rsidRPr="00D74571">
              <w:rPr>
                <w:rFonts w:ascii="Times New Roman" w:hAnsi="Times New Roman" w:cs="Times New Roman"/>
                <w:b/>
              </w:rPr>
              <w:t>ВОС-2</w:t>
            </w:r>
          </w:p>
        </w:tc>
        <w:tc>
          <w:tcPr>
            <w:tcW w:w="3260" w:type="dxa"/>
            <w:gridSpan w:val="2"/>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center"/>
              <w:rPr>
                <w:rFonts w:ascii="Times New Roman" w:hAnsi="Times New Roman" w:cs="Times New Roman"/>
              </w:rPr>
            </w:pPr>
            <w:r w:rsidRPr="00D74571">
              <w:rPr>
                <w:rFonts w:ascii="Times New Roman" w:hAnsi="Times New Roman" w:cs="Times New Roman"/>
              </w:rPr>
              <w:t>Координаты</w:t>
            </w:r>
          </w:p>
        </w:tc>
        <w:tc>
          <w:tcPr>
            <w:tcW w:w="3686" w:type="dxa"/>
            <w:gridSpan w:val="2"/>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center"/>
              <w:rPr>
                <w:rFonts w:ascii="Times New Roman" w:hAnsi="Times New Roman" w:cs="Times New Roman"/>
              </w:rPr>
            </w:pPr>
            <w:r w:rsidRPr="00D74571">
              <w:rPr>
                <w:rFonts w:ascii="Times New Roman" w:hAnsi="Times New Roman" w:cs="Times New Roman"/>
              </w:rPr>
              <w:t>Координаты</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№1</w:t>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60°45'30,96"</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72°47'30,47"</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№2</w:t>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60°45'32,16"</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72°47'31,94"</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№3</w:t>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60°45'37,49"</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72°47'08,84"</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№4</w:t>
            </w:r>
            <w:r w:rsidRPr="00D74571">
              <w:rPr>
                <w:rFonts w:ascii="Times New Roman" w:eastAsia="Calibri" w:hAnsi="Times New Roman" w:cs="Times New Roman"/>
              </w:rPr>
              <w:tab/>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60°45'41,09"</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72°47'11,31"</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lastRenderedPageBreak/>
              <w:t>Точка №5</w:t>
            </w:r>
            <w:r w:rsidRPr="00D74571">
              <w:rPr>
                <w:rFonts w:ascii="Times New Roman" w:eastAsia="Calibri" w:hAnsi="Times New Roman" w:cs="Times New Roman"/>
              </w:rPr>
              <w:tab/>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60°45'33,64"</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72°47'44,89"</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№6</w:t>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60°45'30,24"</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72°47'41,59"</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№7</w:t>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60°45'30,73"</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72°47'39,63"</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№8</w:t>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60°45'28,97"</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72°47'37,60"</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bl>
    <w:p w:rsidR="00630798" w:rsidRPr="00D74571" w:rsidRDefault="00630798" w:rsidP="00630798">
      <w:pPr>
        <w:ind w:left="705"/>
        <w:jc w:val="both"/>
        <w:rPr>
          <w:rFonts w:ascii="Times New Roman" w:hAnsi="Times New Roman" w:cs="Times New Roman"/>
          <w:sz w:val="20"/>
        </w:rPr>
      </w:pP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237"/>
        <w:gridCol w:w="1024"/>
        <w:gridCol w:w="2220"/>
        <w:gridCol w:w="1468"/>
      </w:tblGrid>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center"/>
              <w:rPr>
                <w:rFonts w:ascii="Times New Roman" w:hAnsi="Times New Roman" w:cs="Times New Roman"/>
              </w:rPr>
            </w:pPr>
            <w:r w:rsidRPr="00D74571">
              <w:rPr>
                <w:rFonts w:ascii="Times New Roman" w:hAnsi="Times New Roman" w:cs="Times New Roman"/>
              </w:rPr>
              <w:t xml:space="preserve">                                                                                                                               Наименование источника</w:t>
            </w:r>
          </w:p>
          <w:p w:rsidR="00630798" w:rsidRPr="00D74571" w:rsidRDefault="00630798" w:rsidP="00630798">
            <w:pPr>
              <w:jc w:val="center"/>
              <w:rPr>
                <w:rFonts w:ascii="Times New Roman" w:hAnsi="Times New Roman" w:cs="Times New Roman"/>
                <w:b/>
              </w:rPr>
            </w:pPr>
            <w:r w:rsidRPr="00D74571">
              <w:rPr>
                <w:rFonts w:ascii="Times New Roman" w:hAnsi="Times New Roman" w:cs="Times New Roman"/>
                <w:b/>
              </w:rPr>
              <w:t>ВОС-4</w:t>
            </w:r>
          </w:p>
        </w:tc>
        <w:tc>
          <w:tcPr>
            <w:tcW w:w="3260" w:type="dxa"/>
            <w:gridSpan w:val="2"/>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center"/>
              <w:rPr>
                <w:rFonts w:ascii="Times New Roman" w:hAnsi="Times New Roman" w:cs="Times New Roman"/>
              </w:rPr>
            </w:pPr>
            <w:r w:rsidRPr="00D74571">
              <w:rPr>
                <w:rFonts w:ascii="Times New Roman" w:hAnsi="Times New Roman" w:cs="Times New Roman"/>
              </w:rPr>
              <w:t>Координаты</w:t>
            </w:r>
          </w:p>
        </w:tc>
        <w:tc>
          <w:tcPr>
            <w:tcW w:w="3686" w:type="dxa"/>
            <w:gridSpan w:val="2"/>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center"/>
              <w:rPr>
                <w:rFonts w:ascii="Times New Roman" w:hAnsi="Times New Roman" w:cs="Times New Roman"/>
              </w:rPr>
            </w:pPr>
            <w:r w:rsidRPr="00D74571">
              <w:rPr>
                <w:rFonts w:ascii="Times New Roman" w:hAnsi="Times New Roman" w:cs="Times New Roman"/>
              </w:rPr>
              <w:t>Координаты</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№1</w:t>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60°44'29,5"</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72°51'06,7"</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№2</w:t>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60°44'28,6"</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72°51'19,6"</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№3</w:t>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60°44'27,1"</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72°51'19,1"</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№4</w:t>
            </w:r>
            <w:r w:rsidRPr="00D74571">
              <w:rPr>
                <w:rFonts w:ascii="Times New Roman" w:eastAsia="Calibri" w:hAnsi="Times New Roman" w:cs="Times New Roman"/>
              </w:rPr>
              <w:tab/>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60°44'23,0"</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72°51'11,8"</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№5</w:t>
            </w:r>
            <w:r w:rsidRPr="00D74571">
              <w:rPr>
                <w:rFonts w:ascii="Times New Roman" w:eastAsia="Calibri" w:hAnsi="Times New Roman" w:cs="Times New Roman"/>
              </w:rPr>
              <w:tab/>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60°44'22,9"</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72°51'08,5"</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Точка №6</w:t>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60°44'28,0"</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72°51'05,9"</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bl>
    <w:p w:rsidR="00630798" w:rsidRPr="00D74571" w:rsidRDefault="00630798" w:rsidP="00630798">
      <w:pPr>
        <w:ind w:left="705"/>
        <w:jc w:val="both"/>
        <w:rPr>
          <w:rFonts w:ascii="Times New Roman" w:hAnsi="Times New Roman" w:cs="Times New Roman"/>
          <w:sz w:val="20"/>
        </w:rPr>
      </w:pP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237"/>
        <w:gridCol w:w="1024"/>
        <w:gridCol w:w="2220"/>
        <w:gridCol w:w="1468"/>
      </w:tblGrid>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center"/>
              <w:rPr>
                <w:rFonts w:ascii="Times New Roman" w:hAnsi="Times New Roman" w:cs="Times New Roman"/>
              </w:rPr>
            </w:pPr>
            <w:r w:rsidRPr="00D74571">
              <w:rPr>
                <w:rFonts w:ascii="Times New Roman" w:hAnsi="Times New Roman" w:cs="Times New Roman"/>
              </w:rPr>
              <w:t xml:space="preserve">                                                                                                                               Наименование источника</w:t>
            </w:r>
          </w:p>
          <w:p w:rsidR="00630798" w:rsidRPr="00D74571" w:rsidRDefault="00630798" w:rsidP="00630798">
            <w:pPr>
              <w:jc w:val="center"/>
              <w:rPr>
                <w:rFonts w:ascii="Times New Roman" w:hAnsi="Times New Roman" w:cs="Times New Roman"/>
                <w:b/>
              </w:rPr>
            </w:pPr>
            <w:r w:rsidRPr="00D74571">
              <w:rPr>
                <w:rFonts w:ascii="Times New Roman" w:hAnsi="Times New Roman" w:cs="Times New Roman"/>
                <w:b/>
              </w:rPr>
              <w:t>ВОС-3</w:t>
            </w:r>
          </w:p>
        </w:tc>
        <w:tc>
          <w:tcPr>
            <w:tcW w:w="3260" w:type="dxa"/>
            <w:gridSpan w:val="2"/>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center"/>
              <w:rPr>
                <w:rFonts w:ascii="Times New Roman" w:hAnsi="Times New Roman" w:cs="Times New Roman"/>
              </w:rPr>
            </w:pPr>
            <w:r w:rsidRPr="00D74571">
              <w:rPr>
                <w:rFonts w:ascii="Times New Roman" w:hAnsi="Times New Roman" w:cs="Times New Roman"/>
              </w:rPr>
              <w:t>Координаты</w:t>
            </w:r>
          </w:p>
        </w:tc>
        <w:tc>
          <w:tcPr>
            <w:tcW w:w="3686" w:type="dxa"/>
            <w:gridSpan w:val="2"/>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center"/>
              <w:rPr>
                <w:rFonts w:ascii="Times New Roman" w:hAnsi="Times New Roman" w:cs="Times New Roman"/>
              </w:rPr>
            </w:pPr>
            <w:r w:rsidRPr="00D74571">
              <w:rPr>
                <w:rFonts w:ascii="Times New Roman" w:hAnsi="Times New Roman" w:cs="Times New Roman"/>
              </w:rPr>
              <w:t>Координаты</w:t>
            </w:r>
          </w:p>
        </w:tc>
      </w:tr>
      <w:tr w:rsidR="00630798" w:rsidRPr="00D74571" w:rsidTr="00630798">
        <w:tc>
          <w:tcPr>
            <w:tcW w:w="2410"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Центр водозабора</w:t>
            </w:r>
          </w:p>
        </w:tc>
        <w:tc>
          <w:tcPr>
            <w:tcW w:w="223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60°45'00"</w:t>
            </w:r>
          </w:p>
        </w:tc>
        <w:tc>
          <w:tcPr>
            <w:tcW w:w="102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с.ш.</w:t>
            </w:r>
          </w:p>
        </w:tc>
        <w:tc>
          <w:tcPr>
            <w:tcW w:w="2219"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jc w:val="both"/>
              <w:rPr>
                <w:rFonts w:ascii="Times New Roman" w:eastAsia="Calibri" w:hAnsi="Times New Roman" w:cs="Times New Roman"/>
              </w:rPr>
            </w:pPr>
            <w:r w:rsidRPr="00D74571">
              <w:rPr>
                <w:rFonts w:ascii="Times New Roman" w:eastAsia="Calibri" w:hAnsi="Times New Roman" w:cs="Times New Roman"/>
              </w:rPr>
              <w:t>72°43'00"</w:t>
            </w:r>
          </w:p>
        </w:tc>
        <w:tc>
          <w:tcPr>
            <w:tcW w:w="1467" w:type="dxa"/>
            <w:tcBorders>
              <w:top w:val="single" w:sz="4" w:space="0" w:color="auto"/>
              <w:left w:val="single" w:sz="4" w:space="0" w:color="auto"/>
              <w:bottom w:val="single" w:sz="4" w:space="0" w:color="auto"/>
              <w:right w:val="single" w:sz="4" w:space="0" w:color="auto"/>
            </w:tcBorders>
            <w:hideMark/>
          </w:tcPr>
          <w:p w:rsidR="00630798" w:rsidRPr="00D74571" w:rsidRDefault="00630798" w:rsidP="00630798">
            <w:pPr>
              <w:rPr>
                <w:rFonts w:ascii="Times New Roman" w:eastAsia="Calibri" w:hAnsi="Times New Roman" w:cs="Times New Roman"/>
              </w:rPr>
            </w:pPr>
            <w:r w:rsidRPr="00D74571">
              <w:rPr>
                <w:rFonts w:ascii="Times New Roman" w:eastAsia="Calibri" w:hAnsi="Times New Roman" w:cs="Times New Roman"/>
              </w:rPr>
              <w:t>в.д.</w:t>
            </w:r>
          </w:p>
        </w:tc>
      </w:tr>
    </w:tbl>
    <w:p w:rsidR="00630798" w:rsidRDefault="00630798" w:rsidP="00630798">
      <w:pPr>
        <w:ind w:left="705"/>
        <w:jc w:val="both"/>
        <w:rPr>
          <w:sz w:val="20"/>
        </w:rPr>
      </w:pPr>
    </w:p>
    <w:p w:rsidR="00630798" w:rsidRPr="00D74571" w:rsidRDefault="00630798" w:rsidP="00D74571">
      <w:pPr>
        <w:tabs>
          <w:tab w:val="left" w:pos="1110"/>
        </w:tabs>
        <w:spacing w:after="0" w:line="240" w:lineRule="auto"/>
        <w:ind w:firstLine="567"/>
        <w:jc w:val="both"/>
        <w:rPr>
          <w:rFonts w:ascii="Times New Roman" w:hAnsi="Times New Roman" w:cs="Times New Roman"/>
          <w:sz w:val="24"/>
          <w:szCs w:val="24"/>
        </w:rPr>
      </w:pPr>
      <w:r w:rsidRPr="00D74571">
        <w:rPr>
          <w:rFonts w:ascii="Times New Roman" w:hAnsi="Times New Roman" w:cs="Times New Roman"/>
          <w:sz w:val="24"/>
          <w:szCs w:val="24"/>
        </w:rPr>
        <w:t xml:space="preserve">      МКУ УКС  г. Пыть-Ях ведут проектные  работы по реконструкции ВОС-3. На данный период разработан проект «Реконструкция ВОС-3 в г. Пыть-Ях»,  в составе которого  разработан «Проект зон санитарной охраны сооружений водоснабжения». В настоящее время проект ЗСО находится в стадии рассмотрения и  согласования. По окончанию работ по реконструкции ВОС-3, ВОС-2 планируется вывести  из технологического режима. </w:t>
      </w:r>
    </w:p>
    <w:p w:rsidR="00630798" w:rsidRPr="00D74571" w:rsidRDefault="00630798" w:rsidP="00D74571">
      <w:pPr>
        <w:tabs>
          <w:tab w:val="left" w:pos="1110"/>
        </w:tabs>
        <w:spacing w:after="0" w:line="240" w:lineRule="auto"/>
        <w:ind w:firstLine="567"/>
        <w:jc w:val="both"/>
        <w:rPr>
          <w:rFonts w:ascii="Times New Roman" w:hAnsi="Times New Roman" w:cs="Times New Roman"/>
          <w:sz w:val="24"/>
          <w:szCs w:val="24"/>
        </w:rPr>
      </w:pPr>
      <w:r w:rsidRPr="00D74571">
        <w:rPr>
          <w:rFonts w:ascii="Times New Roman" w:hAnsi="Times New Roman" w:cs="Times New Roman"/>
          <w:sz w:val="24"/>
          <w:szCs w:val="24"/>
        </w:rPr>
        <w:t xml:space="preserve">      Водоочистные сооружения их мощность эксплуатируемые предприятием </w:t>
      </w:r>
    </w:p>
    <w:p w:rsidR="00630798" w:rsidRDefault="00630798" w:rsidP="00630798">
      <w:pPr>
        <w:tabs>
          <w:tab w:val="left" w:pos="1110"/>
        </w:tabs>
        <w:jc w:val="right"/>
        <w:rPr>
          <w:szCs w:val="20"/>
        </w:rPr>
      </w:pPr>
      <w:r>
        <w:t>Таблица 2</w:t>
      </w: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1843"/>
        <w:gridCol w:w="2976"/>
        <w:gridCol w:w="1843"/>
        <w:gridCol w:w="1843"/>
      </w:tblGrid>
      <w:tr w:rsidR="00630798" w:rsidRPr="00D63050" w:rsidTr="00630798">
        <w:tc>
          <w:tcPr>
            <w:tcW w:w="184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Наименование городского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630798" w:rsidRPr="00D74571" w:rsidRDefault="00630798" w:rsidP="00D74571">
            <w:pPr>
              <w:spacing w:after="0" w:line="240" w:lineRule="auto"/>
              <w:ind w:right="-158"/>
              <w:rPr>
                <w:rFonts w:ascii="Times New Roman" w:hAnsi="Times New Roman" w:cs="Times New Roman"/>
              </w:rPr>
            </w:pPr>
            <w:r w:rsidRPr="00D74571">
              <w:rPr>
                <w:rFonts w:ascii="Times New Roman" w:hAnsi="Times New Roman" w:cs="Times New Roman"/>
              </w:rPr>
              <w:t xml:space="preserve">Наименование водоочистных сооружений </w:t>
            </w:r>
          </w:p>
          <w:p w:rsidR="00630798" w:rsidRPr="00D74571" w:rsidRDefault="00630798" w:rsidP="00D74571">
            <w:pPr>
              <w:spacing w:after="0" w:line="240" w:lineRule="auto"/>
              <w:ind w:right="-158"/>
              <w:rPr>
                <w:rFonts w:ascii="Times New Roman" w:hAnsi="Times New Roman" w:cs="Times New Roman"/>
              </w:rPr>
            </w:pPr>
            <w:r w:rsidRPr="00D74571">
              <w:rPr>
                <w:rFonts w:ascii="Times New Roman" w:hAnsi="Times New Roman" w:cs="Times New Roman"/>
              </w:rPr>
              <w:t>(далее ВОС)</w:t>
            </w:r>
          </w:p>
        </w:tc>
        <w:tc>
          <w:tcPr>
            <w:tcW w:w="2976" w:type="dxa"/>
            <w:tcBorders>
              <w:top w:val="single" w:sz="4" w:space="0" w:color="auto"/>
              <w:left w:val="single" w:sz="4" w:space="0" w:color="auto"/>
              <w:bottom w:val="single" w:sz="4" w:space="0" w:color="auto"/>
              <w:right w:val="single" w:sz="4" w:space="0" w:color="auto"/>
            </w:tcBorders>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Организация эксплуатирующая ВОС</w:t>
            </w:r>
          </w:p>
          <w:p w:rsidR="00630798" w:rsidRPr="00D74571" w:rsidRDefault="00630798" w:rsidP="00D74571">
            <w:pPr>
              <w:spacing w:after="0" w:line="240" w:lineRule="auto"/>
              <w:ind w:right="-108"/>
              <w:jc w:val="center"/>
              <w:rPr>
                <w:rFonts w:ascii="Times New Roman" w:hAnsi="Times New Roman" w:cs="Times New Roman"/>
              </w:rPr>
            </w:pPr>
            <w:r w:rsidRPr="00D74571">
              <w:rPr>
                <w:rFonts w:ascii="Times New Roman" w:hAnsi="Times New Roman" w:cs="Times New Roman"/>
              </w:rPr>
              <w:t>(абревиатуру расшифровать)</w:t>
            </w:r>
          </w:p>
        </w:tc>
        <w:tc>
          <w:tcPr>
            <w:tcW w:w="1843" w:type="dxa"/>
            <w:tcBorders>
              <w:top w:val="single" w:sz="4" w:space="0" w:color="auto"/>
              <w:left w:val="single" w:sz="4" w:space="0" w:color="auto"/>
              <w:bottom w:val="single" w:sz="4" w:space="0" w:color="auto"/>
              <w:right w:val="single" w:sz="4" w:space="0" w:color="auto"/>
            </w:tcBorders>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Мощность ВОС</w:t>
            </w:r>
          </w:p>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м3/сут.)</w:t>
            </w:r>
          </w:p>
        </w:tc>
        <w:tc>
          <w:tcPr>
            <w:tcW w:w="1843" w:type="dxa"/>
            <w:tcBorders>
              <w:top w:val="single" w:sz="4" w:space="0" w:color="auto"/>
              <w:left w:val="single" w:sz="4" w:space="0" w:color="auto"/>
              <w:bottom w:val="single" w:sz="4" w:space="0" w:color="auto"/>
              <w:right w:val="single" w:sz="4" w:space="0" w:color="auto"/>
            </w:tcBorders>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Лицензия</w:t>
            </w:r>
          </w:p>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xml:space="preserve"> (№, дата)</w:t>
            </w:r>
          </w:p>
        </w:tc>
      </w:tr>
      <w:tr w:rsidR="00630798" w:rsidRPr="00D63050" w:rsidTr="00630798">
        <w:trPr>
          <w:cantSplit/>
        </w:trPr>
        <w:tc>
          <w:tcPr>
            <w:tcW w:w="1844" w:type="dxa"/>
            <w:tcBorders>
              <w:top w:val="single" w:sz="4" w:space="0" w:color="auto"/>
              <w:left w:val="single" w:sz="4" w:space="0" w:color="auto"/>
              <w:bottom w:val="single" w:sz="4" w:space="0" w:color="auto"/>
              <w:right w:val="single" w:sz="4" w:space="0" w:color="auto"/>
            </w:tcBorders>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г. Пыть-Ях</w:t>
            </w:r>
          </w:p>
        </w:tc>
        <w:tc>
          <w:tcPr>
            <w:tcW w:w="1843" w:type="dxa"/>
            <w:tcBorders>
              <w:top w:val="single" w:sz="4" w:space="0" w:color="auto"/>
              <w:left w:val="single" w:sz="4" w:space="0" w:color="auto"/>
              <w:bottom w:val="single" w:sz="4" w:space="0" w:color="auto"/>
              <w:right w:val="single" w:sz="4" w:space="0" w:color="auto"/>
            </w:tcBorders>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ВОС-1</w:t>
            </w:r>
          </w:p>
        </w:tc>
        <w:tc>
          <w:tcPr>
            <w:tcW w:w="2976" w:type="dxa"/>
            <w:vMerge w:val="restart"/>
            <w:tcBorders>
              <w:top w:val="single" w:sz="4" w:space="0" w:color="auto"/>
              <w:left w:val="single" w:sz="4" w:space="0" w:color="auto"/>
              <w:bottom w:val="single" w:sz="4" w:space="0" w:color="auto"/>
              <w:right w:val="single" w:sz="4" w:space="0" w:color="auto"/>
            </w:tcBorders>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Муниципальное унитарное предприятие «Управление городского хозяйства» муниципального образования г. Пыть-Ях</w:t>
            </w:r>
          </w:p>
        </w:tc>
        <w:tc>
          <w:tcPr>
            <w:tcW w:w="1843" w:type="dxa"/>
            <w:tcBorders>
              <w:top w:val="single" w:sz="4" w:space="0" w:color="auto"/>
              <w:left w:val="single" w:sz="4" w:space="0" w:color="auto"/>
              <w:bottom w:val="single" w:sz="4" w:space="0" w:color="auto"/>
              <w:right w:val="single" w:sz="4" w:space="0" w:color="auto"/>
            </w:tcBorders>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xml:space="preserve">4500 </w:t>
            </w:r>
          </w:p>
        </w:tc>
        <w:tc>
          <w:tcPr>
            <w:tcW w:w="1843" w:type="dxa"/>
            <w:tcBorders>
              <w:top w:val="single" w:sz="4" w:space="0" w:color="auto"/>
              <w:left w:val="single" w:sz="4" w:space="0" w:color="auto"/>
              <w:bottom w:val="single" w:sz="4" w:space="0" w:color="auto"/>
              <w:right w:val="single" w:sz="4" w:space="0" w:color="auto"/>
            </w:tcBorders>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ХМН  03039 ВЭ от 11.12.2014г.</w:t>
            </w:r>
          </w:p>
        </w:tc>
      </w:tr>
      <w:tr w:rsidR="00630798" w:rsidRPr="00D63050" w:rsidTr="00630798">
        <w:trPr>
          <w:cantSplit/>
        </w:trPr>
        <w:tc>
          <w:tcPr>
            <w:tcW w:w="1844"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ВОС-2</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30798" w:rsidRPr="00D74571" w:rsidRDefault="00630798" w:rsidP="00D74571">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630798" w:rsidRPr="00D74571" w:rsidRDefault="00630798" w:rsidP="00D74571">
            <w:pPr>
              <w:pStyle w:val="af2"/>
              <w:tabs>
                <w:tab w:val="left" w:pos="708"/>
              </w:tabs>
              <w:rPr>
                <w:sz w:val="22"/>
                <w:szCs w:val="22"/>
              </w:rPr>
            </w:pPr>
            <w:r w:rsidRPr="00D74571">
              <w:rPr>
                <w:sz w:val="22"/>
                <w:szCs w:val="22"/>
              </w:rPr>
              <w:t>2500</w:t>
            </w:r>
          </w:p>
        </w:tc>
        <w:tc>
          <w:tcPr>
            <w:tcW w:w="1843" w:type="dxa"/>
            <w:tcBorders>
              <w:top w:val="single" w:sz="4" w:space="0" w:color="auto"/>
              <w:left w:val="single" w:sz="4" w:space="0" w:color="auto"/>
              <w:bottom w:val="single" w:sz="4" w:space="0" w:color="auto"/>
              <w:right w:val="single" w:sz="4" w:space="0" w:color="auto"/>
            </w:tcBorders>
            <w:hideMark/>
          </w:tcPr>
          <w:p w:rsidR="00630798" w:rsidRPr="00D74571" w:rsidRDefault="00630798" w:rsidP="00D74571">
            <w:pPr>
              <w:pStyle w:val="af2"/>
              <w:tabs>
                <w:tab w:val="left" w:pos="708"/>
              </w:tabs>
              <w:rPr>
                <w:sz w:val="22"/>
                <w:szCs w:val="22"/>
              </w:rPr>
            </w:pPr>
            <w:r w:rsidRPr="00D74571">
              <w:rPr>
                <w:sz w:val="22"/>
                <w:szCs w:val="22"/>
              </w:rPr>
              <w:t>ХМН  03047 ВЭ от 22.01.2015г.</w:t>
            </w:r>
          </w:p>
        </w:tc>
      </w:tr>
      <w:tr w:rsidR="00630798" w:rsidRPr="00D63050" w:rsidTr="00630798">
        <w:trPr>
          <w:cantSplit/>
        </w:trPr>
        <w:tc>
          <w:tcPr>
            <w:tcW w:w="1844"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ВОС-3</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30798" w:rsidRPr="00D74571" w:rsidRDefault="00630798" w:rsidP="00D74571">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630798" w:rsidRPr="00D74571" w:rsidRDefault="00630798" w:rsidP="00D74571">
            <w:pPr>
              <w:pStyle w:val="af2"/>
              <w:tabs>
                <w:tab w:val="left" w:pos="708"/>
              </w:tabs>
              <w:rPr>
                <w:sz w:val="22"/>
                <w:szCs w:val="22"/>
              </w:rPr>
            </w:pPr>
            <w:r w:rsidRPr="00D74571">
              <w:rPr>
                <w:sz w:val="22"/>
                <w:szCs w:val="22"/>
              </w:rPr>
              <w:t>8000</w:t>
            </w:r>
          </w:p>
        </w:tc>
        <w:tc>
          <w:tcPr>
            <w:tcW w:w="1843" w:type="dxa"/>
            <w:tcBorders>
              <w:top w:val="single" w:sz="4" w:space="0" w:color="auto"/>
              <w:left w:val="single" w:sz="4" w:space="0" w:color="auto"/>
              <w:bottom w:val="single" w:sz="4" w:space="0" w:color="auto"/>
              <w:right w:val="single" w:sz="4" w:space="0" w:color="auto"/>
            </w:tcBorders>
            <w:hideMark/>
          </w:tcPr>
          <w:p w:rsidR="00630798" w:rsidRPr="00D74571" w:rsidRDefault="00630798" w:rsidP="00D74571">
            <w:pPr>
              <w:pStyle w:val="af2"/>
              <w:tabs>
                <w:tab w:val="left" w:pos="708"/>
              </w:tabs>
              <w:rPr>
                <w:sz w:val="22"/>
                <w:szCs w:val="22"/>
              </w:rPr>
            </w:pPr>
            <w:r w:rsidRPr="00D74571">
              <w:rPr>
                <w:sz w:val="22"/>
                <w:szCs w:val="22"/>
              </w:rPr>
              <w:t>ХМН  02263 ВЭ от 07.06.2008г.</w:t>
            </w:r>
          </w:p>
        </w:tc>
      </w:tr>
      <w:tr w:rsidR="00630798" w:rsidRPr="00D63050" w:rsidTr="00630798">
        <w:trPr>
          <w:cantSplit/>
          <w:trHeight w:val="201"/>
        </w:trPr>
        <w:tc>
          <w:tcPr>
            <w:tcW w:w="1844"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ВОС-4</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30798" w:rsidRPr="00D74571" w:rsidRDefault="00630798" w:rsidP="00D74571">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1100</w:t>
            </w:r>
          </w:p>
        </w:tc>
        <w:tc>
          <w:tcPr>
            <w:tcW w:w="1843" w:type="dxa"/>
            <w:tcBorders>
              <w:top w:val="single" w:sz="4" w:space="0" w:color="auto"/>
              <w:left w:val="single" w:sz="4" w:space="0" w:color="auto"/>
              <w:bottom w:val="single" w:sz="4" w:space="0" w:color="auto"/>
              <w:right w:val="single" w:sz="4" w:space="0" w:color="auto"/>
            </w:tcBorders>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ХМН  03048 ВЭ от 22.01.2015г.</w:t>
            </w:r>
          </w:p>
        </w:tc>
      </w:tr>
    </w:tbl>
    <w:p w:rsidR="00630798" w:rsidRPr="00D74571" w:rsidRDefault="00630798" w:rsidP="00D74571">
      <w:pPr>
        <w:adjustRightInd w:val="0"/>
        <w:spacing w:after="0" w:line="240" w:lineRule="auto"/>
        <w:ind w:firstLine="567"/>
        <w:rPr>
          <w:rFonts w:ascii="Times New Roman" w:hAnsi="Times New Roman" w:cs="Times New Roman"/>
          <w:color w:val="000000"/>
          <w:sz w:val="24"/>
          <w:szCs w:val="24"/>
        </w:rPr>
      </w:pPr>
      <w:r w:rsidRPr="00D74571">
        <w:rPr>
          <w:rFonts w:ascii="Times New Roman" w:hAnsi="Times New Roman" w:cs="Times New Roman"/>
          <w:color w:val="000000"/>
          <w:sz w:val="24"/>
          <w:szCs w:val="24"/>
        </w:rPr>
        <w:t xml:space="preserve">Лицензия  серия ХМН № 003039 вид лицензии ВЭ от 07.06.2008г. с целевым назначением и видам работ: добыча пресных подземных вод для  технического </w:t>
      </w:r>
      <w:r w:rsidRPr="00D74571">
        <w:rPr>
          <w:rFonts w:ascii="Times New Roman" w:hAnsi="Times New Roman" w:cs="Times New Roman"/>
          <w:color w:val="000000"/>
          <w:sz w:val="24"/>
          <w:szCs w:val="24"/>
        </w:rPr>
        <w:lastRenderedPageBreak/>
        <w:t>водоснабжения. Срок окончания действия лицензии  17.09.2017г., продлен до 01.04.2041г. (ВОС-1);</w:t>
      </w:r>
    </w:p>
    <w:p w:rsidR="00630798" w:rsidRPr="00D74571" w:rsidRDefault="00630798" w:rsidP="00D74571">
      <w:pPr>
        <w:adjustRightInd w:val="0"/>
        <w:spacing w:after="0" w:line="240" w:lineRule="auto"/>
        <w:ind w:firstLine="567"/>
        <w:jc w:val="both"/>
        <w:rPr>
          <w:rFonts w:ascii="Times New Roman" w:hAnsi="Times New Roman" w:cs="Times New Roman"/>
          <w:color w:val="000000"/>
          <w:sz w:val="24"/>
          <w:szCs w:val="24"/>
        </w:rPr>
      </w:pPr>
      <w:r w:rsidRPr="00D74571">
        <w:rPr>
          <w:rFonts w:ascii="Times New Roman" w:hAnsi="Times New Roman" w:cs="Times New Roman"/>
          <w:b/>
          <w:color w:val="000000"/>
          <w:sz w:val="24"/>
          <w:szCs w:val="24"/>
        </w:rPr>
        <w:softHyphen/>
      </w:r>
      <w:r w:rsidRPr="00D74571">
        <w:rPr>
          <w:rFonts w:ascii="Times New Roman" w:hAnsi="Times New Roman" w:cs="Times New Roman"/>
          <w:color w:val="000000"/>
          <w:sz w:val="24"/>
          <w:szCs w:val="24"/>
        </w:rPr>
        <w:t>Лицензия  серия ХМН № 02263 вид лицензии ВЭ от 07.06.2008г. с целевым назначением и видам работ: добыча пресных подземных вод для  технического водоснабжения. Срок окончания действия лицензии  17.09.2017г., продлен до 01.08.2019г. (ВОС-3);</w:t>
      </w:r>
    </w:p>
    <w:p w:rsidR="00630798" w:rsidRPr="00D74571" w:rsidRDefault="00630798" w:rsidP="00D74571">
      <w:pPr>
        <w:adjustRightInd w:val="0"/>
        <w:spacing w:after="0" w:line="240" w:lineRule="auto"/>
        <w:ind w:firstLine="567"/>
        <w:jc w:val="both"/>
        <w:rPr>
          <w:rFonts w:ascii="Times New Roman" w:hAnsi="Times New Roman" w:cs="Times New Roman"/>
          <w:color w:val="000000"/>
          <w:sz w:val="24"/>
          <w:szCs w:val="24"/>
        </w:rPr>
      </w:pPr>
      <w:r w:rsidRPr="00D74571">
        <w:rPr>
          <w:rFonts w:ascii="Times New Roman" w:hAnsi="Times New Roman" w:cs="Times New Roman"/>
          <w:b/>
          <w:color w:val="000000"/>
          <w:sz w:val="24"/>
          <w:szCs w:val="24"/>
        </w:rPr>
        <w:softHyphen/>
      </w:r>
      <w:r w:rsidRPr="00D74571">
        <w:rPr>
          <w:rFonts w:ascii="Times New Roman" w:hAnsi="Times New Roman" w:cs="Times New Roman"/>
          <w:color w:val="000000"/>
          <w:sz w:val="24"/>
          <w:szCs w:val="24"/>
        </w:rPr>
        <w:t>Лицензия  серия ХМН № 03047 вид лицензии ВЭ от 07.06.2008г. с целевым назначением и видам работ: добыча пресных подземных вод для  технического водоснабжения. Срок окончания действия лицензии  21.01.2025г. (ВОС-2); Лицензия  серия ХМН № 03048  вид лицензии ВЭ от 22.01.2015. с целевым назначением и видам работ: добыча пресных подземных вод для  технического водоснабжения. Срок окончания действия лицензии  21.01.2025г. (ВОС-4);</w:t>
      </w:r>
      <w:r w:rsidRPr="00D74571">
        <w:rPr>
          <w:rFonts w:ascii="Times New Roman" w:hAnsi="Times New Roman" w:cs="Times New Roman"/>
          <w:sz w:val="24"/>
          <w:szCs w:val="24"/>
        </w:rPr>
        <w:t xml:space="preserve">  Полученные лицензии  на  всех ВОС гПыть-Ях на добычу пресных подземных вод для производственно- технического  водоснабжения.   </w:t>
      </w:r>
    </w:p>
    <w:p w:rsidR="00630798" w:rsidRPr="00D74571" w:rsidRDefault="00630798" w:rsidP="00D74571">
      <w:pPr>
        <w:shd w:val="clear" w:color="auto" w:fill="FFFFFF"/>
        <w:spacing w:after="0" w:line="240" w:lineRule="auto"/>
        <w:ind w:right="48" w:firstLine="567"/>
        <w:jc w:val="both"/>
        <w:rPr>
          <w:rFonts w:ascii="Times New Roman" w:hAnsi="Times New Roman" w:cs="Times New Roman"/>
          <w:bCs/>
          <w:sz w:val="24"/>
          <w:szCs w:val="24"/>
          <w:u w:val="single"/>
        </w:rPr>
      </w:pPr>
      <w:r w:rsidRPr="00D74571">
        <w:rPr>
          <w:rFonts w:ascii="Times New Roman" w:hAnsi="Times New Roman" w:cs="Times New Roman"/>
          <w:bCs/>
          <w:sz w:val="24"/>
          <w:szCs w:val="24"/>
        </w:rPr>
        <w:t xml:space="preserve">      Для всех водозаборов </w:t>
      </w:r>
      <w:r w:rsidRPr="00D74571">
        <w:rPr>
          <w:rFonts w:ascii="Times New Roman" w:hAnsi="Times New Roman" w:cs="Times New Roman"/>
          <w:sz w:val="24"/>
          <w:szCs w:val="24"/>
        </w:rPr>
        <w:t xml:space="preserve">МУП «УГХ» и филиала АО «СибурТрансГаз» «ЮБ ГПЗ»  </w:t>
      </w:r>
      <w:r w:rsidRPr="00D74571">
        <w:rPr>
          <w:rFonts w:ascii="Times New Roman" w:hAnsi="Times New Roman" w:cs="Times New Roman"/>
          <w:bCs/>
          <w:sz w:val="24"/>
          <w:szCs w:val="24"/>
        </w:rPr>
        <w:t xml:space="preserve">санитарно-эпидемиологические заключения о соответствии водных объектов (источников водоснабжения) санитарным правилам отсутствуют - </w:t>
      </w:r>
      <w:r w:rsidRPr="00D74571">
        <w:rPr>
          <w:rFonts w:ascii="Times New Roman" w:hAnsi="Times New Roman" w:cs="Times New Roman"/>
          <w:bCs/>
          <w:sz w:val="24"/>
          <w:szCs w:val="24"/>
          <w:u w:val="single"/>
        </w:rPr>
        <w:t>по  причине несоответствия качества воды нормативным требованиям.</w:t>
      </w:r>
    </w:p>
    <w:p w:rsidR="00630798" w:rsidRPr="00D74571" w:rsidRDefault="00630798" w:rsidP="00D74571">
      <w:pPr>
        <w:spacing w:after="0" w:line="240" w:lineRule="auto"/>
        <w:ind w:firstLine="567"/>
        <w:jc w:val="both"/>
        <w:rPr>
          <w:rFonts w:ascii="Times New Roman" w:hAnsi="Times New Roman" w:cs="Times New Roman"/>
          <w:sz w:val="24"/>
          <w:szCs w:val="24"/>
        </w:rPr>
      </w:pPr>
      <w:r w:rsidRPr="00D74571">
        <w:rPr>
          <w:rFonts w:ascii="Times New Roman" w:hAnsi="Times New Roman" w:cs="Times New Roman"/>
          <w:sz w:val="24"/>
          <w:szCs w:val="24"/>
        </w:rPr>
        <w:t xml:space="preserve"> Обеспечением водоснабжением населения 7-го микрорайона города Пыть-Ях является  ресурсоснабжающая  организация АО «Сибур Тюмень Газ» (далее  «Южно-Балыкский ГПК») имеющая очистные сооружения  ВОС-1170,55 куб.м\сут. и управляющие организации </w:t>
      </w:r>
      <w:r w:rsidRPr="00D74571">
        <w:rPr>
          <w:rFonts w:ascii="Times New Roman" w:hAnsi="Times New Roman" w:cs="Times New Roman"/>
          <w:bCs/>
          <w:sz w:val="24"/>
          <w:szCs w:val="24"/>
        </w:rPr>
        <w:t xml:space="preserve">многоквартирными домами, которые предоставляют  </w:t>
      </w:r>
      <w:r w:rsidRPr="00D74571">
        <w:rPr>
          <w:rFonts w:ascii="Times New Roman" w:hAnsi="Times New Roman" w:cs="Times New Roman"/>
          <w:sz w:val="24"/>
          <w:szCs w:val="24"/>
        </w:rPr>
        <w:t xml:space="preserve">жилищно-коммунальные услуги населению, включая коммунальные услуги по водоснабжению, а именно  отвечают за качество воды, использование общего имущества при подаче воды ( содержание системы водопровода и т.п.).  На водоподъёме филиала АО «Сибур Тюмень Газ» (далее  «Южно-Балыкский ГПК»)  очистные сооружения   ВОС не имеет необходимого комплекса  водоочистных сооружений  и современных обеззараживающих установок  используемых для  холодного водоснабжения. Производственный контроль качества питьевой воды филиала АО «СибурТрансГаз» «ЮБ ГПЗ»  выполняется  согласно утвержденным  программам  производственного контроля качества питьевой воды. Исследования проводятся  собственной аккредитованной лабораторией в соответствии с её областью аккредитации, кроме того, бактериологические, радиологические исследования, и ряд химических показателей, а также вирусологические исследования проводятся  в  аккредитованных лабораториях ИЛЦ Филиала ФБУЗ «ЦГиЭ» (по договорам). </w:t>
      </w:r>
    </w:p>
    <w:p w:rsidR="00630798" w:rsidRPr="00D74571" w:rsidRDefault="00630798" w:rsidP="00D74571">
      <w:pPr>
        <w:tabs>
          <w:tab w:val="center" w:pos="5102"/>
          <w:tab w:val="right" w:pos="10205"/>
        </w:tabs>
        <w:spacing w:after="0" w:line="240" w:lineRule="auto"/>
        <w:ind w:firstLine="567"/>
        <w:jc w:val="both"/>
        <w:outlineLvl w:val="0"/>
        <w:rPr>
          <w:rFonts w:ascii="Times New Roman" w:hAnsi="Times New Roman" w:cs="Times New Roman"/>
          <w:color w:val="000000"/>
          <w:sz w:val="24"/>
          <w:szCs w:val="24"/>
          <w:shd w:val="clear" w:color="auto" w:fill="FFFFFF"/>
        </w:rPr>
      </w:pPr>
      <w:r w:rsidRPr="00D74571">
        <w:rPr>
          <w:rFonts w:ascii="Times New Roman" w:hAnsi="Times New Roman" w:cs="Times New Roman"/>
          <w:sz w:val="24"/>
          <w:szCs w:val="24"/>
        </w:rPr>
        <w:t xml:space="preserve">         В городе Пыть-Ях ведется постоянное наблюдение за качеством воды из подземных источников водоснабжения, используемых в питьевых, хозяйственно-бытовых целях, а также из водопроводов, распределительной сети, централизованных  источников водоснабжения. Мониторинг за состоянием воды осуществляется с помощью лаборатории филиала ФБУЗ</w:t>
      </w:r>
      <w:r w:rsidRPr="00D74571">
        <w:rPr>
          <w:rFonts w:ascii="Times New Roman" w:hAnsi="Times New Roman" w:cs="Times New Roman"/>
          <w:bCs/>
          <w:sz w:val="24"/>
          <w:szCs w:val="24"/>
        </w:rPr>
        <w:t xml:space="preserve"> «ЦГиЭ в ХМАО – Югре в гНефтеюганске, Нефтеюганском районе и гПыть-Ях»  </w:t>
      </w:r>
      <w:r w:rsidRPr="00D74571">
        <w:rPr>
          <w:rFonts w:ascii="Times New Roman" w:hAnsi="Times New Roman" w:cs="Times New Roman"/>
          <w:bCs/>
          <w:sz w:val="24"/>
          <w:szCs w:val="24"/>
          <w:shd w:val="clear" w:color="auto" w:fill="FFFFFF"/>
        </w:rPr>
        <w:t>в  19</w:t>
      </w:r>
      <w:r w:rsidRPr="00D74571">
        <w:rPr>
          <w:rFonts w:ascii="Times New Roman" w:hAnsi="Times New Roman" w:cs="Times New Roman"/>
          <w:bCs/>
          <w:sz w:val="24"/>
          <w:szCs w:val="24"/>
        </w:rPr>
        <w:t xml:space="preserve">-х мониторинговых точках, </w:t>
      </w:r>
      <w:r w:rsidRPr="00D74571">
        <w:rPr>
          <w:rFonts w:ascii="Times New Roman" w:hAnsi="Times New Roman" w:cs="Times New Roman"/>
          <w:sz w:val="24"/>
          <w:szCs w:val="24"/>
        </w:rPr>
        <w:t xml:space="preserve">вода подаваемая  населению гПыть-Ях  в   100 %  проб отобранной питьевой  воды не соответствует  требованиям  норм </w:t>
      </w:r>
      <w:r w:rsidRPr="00D74571">
        <w:rPr>
          <w:rFonts w:ascii="Times New Roman" w:hAnsi="Times New Roman" w:cs="Times New Roman"/>
          <w:color w:val="000000"/>
          <w:sz w:val="24"/>
          <w:szCs w:val="24"/>
          <w:shd w:val="clear" w:color="auto" w:fill="FFFFFF"/>
        </w:rPr>
        <w:t xml:space="preserve">СанПиН 2.1.4.1074-01.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 по содержанию железа, которое превышает ПДК в среднем в 2 раза, аммиака и </w:t>
      </w:r>
      <w:r w:rsidRPr="00D74571">
        <w:rPr>
          <w:rFonts w:ascii="Times New Roman" w:hAnsi="Times New Roman" w:cs="Times New Roman"/>
          <w:sz w:val="24"/>
          <w:szCs w:val="24"/>
        </w:rPr>
        <w:t xml:space="preserve">перманганатная окисляемость </w:t>
      </w:r>
      <w:r w:rsidRPr="00D74571">
        <w:rPr>
          <w:rFonts w:ascii="Times New Roman" w:hAnsi="Times New Roman" w:cs="Times New Roman"/>
          <w:color w:val="000000"/>
          <w:sz w:val="24"/>
          <w:szCs w:val="24"/>
          <w:shd w:val="clear" w:color="auto" w:fill="FFFFFF"/>
        </w:rPr>
        <w:t>в 1.2. раз.</w:t>
      </w:r>
      <w:r w:rsidRPr="00D74571">
        <w:rPr>
          <w:rFonts w:ascii="Times New Roman" w:hAnsi="Times New Roman" w:cs="Times New Roman"/>
          <w:sz w:val="24"/>
          <w:szCs w:val="24"/>
        </w:rPr>
        <w:t xml:space="preserve"> </w:t>
      </w:r>
      <w:r w:rsidRPr="00D74571">
        <w:rPr>
          <w:rFonts w:ascii="Times New Roman" w:hAnsi="Times New Roman" w:cs="Times New Roman"/>
          <w:color w:val="000000"/>
          <w:sz w:val="24"/>
          <w:szCs w:val="24"/>
          <w:shd w:val="clear" w:color="auto" w:fill="FFFFFF"/>
        </w:rPr>
        <w:t xml:space="preserve"> В целом, качество воды в  городе  Пыть-Ях улучшилось в связи с  эксплуатацией  вводом очистных сооружений ВОС-1 (1 очередь реконструкции). Содержание железа снизилось с 5-ти и более ПДК до 2-х,  тем не менее, качество воды остается неудовлетворительным по содержанию железа, аммиака, цветности.</w:t>
      </w:r>
      <w:r w:rsidRPr="00D74571">
        <w:rPr>
          <w:rFonts w:ascii="Times New Roman" w:hAnsi="Times New Roman" w:cs="Times New Roman"/>
          <w:color w:val="222222"/>
          <w:sz w:val="24"/>
          <w:szCs w:val="24"/>
        </w:rPr>
        <w:t xml:space="preserve">    </w:t>
      </w:r>
      <w:r w:rsidRPr="00D74571">
        <w:rPr>
          <w:rFonts w:ascii="Times New Roman" w:hAnsi="Times New Roman" w:cs="Times New Roman"/>
          <w:sz w:val="24"/>
          <w:szCs w:val="24"/>
        </w:rPr>
        <w:t>В соответствии с п. 3.1 СанПиН 2.1.4.1074-01 "Питьевая вода …»  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    В городе Пыть-Ях питьевая вода безопасна в эпидемическом и радиационном отношении, по химическому составу и органолептическим</w:t>
      </w:r>
      <w:r>
        <w:t xml:space="preserve">  </w:t>
      </w:r>
      <w:r w:rsidRPr="00D74571">
        <w:rPr>
          <w:rFonts w:ascii="Times New Roman" w:hAnsi="Times New Roman" w:cs="Times New Roman"/>
          <w:sz w:val="24"/>
          <w:szCs w:val="24"/>
        </w:rPr>
        <w:t xml:space="preserve">свойства не соответствуют требованиям СанПиН 2.1.4.1074-01"Питьевая вода …». Заболевания среди населения города  связанных </w:t>
      </w:r>
      <w:r w:rsidRPr="00D74571">
        <w:rPr>
          <w:rFonts w:ascii="Times New Roman" w:hAnsi="Times New Roman" w:cs="Times New Roman"/>
          <w:sz w:val="24"/>
          <w:szCs w:val="24"/>
        </w:rPr>
        <w:lastRenderedPageBreak/>
        <w:t>с употреблением некачественной питьевой воды с повышенным содержанием микроэлементов - железа и др.. не зарегистрировано.</w:t>
      </w:r>
    </w:p>
    <w:p w:rsidR="00630798" w:rsidRPr="00D74571" w:rsidRDefault="00630798" w:rsidP="00D74571">
      <w:pPr>
        <w:pStyle w:val="a5"/>
        <w:rPr>
          <w:b/>
          <w:i/>
          <w:sz w:val="24"/>
          <w:szCs w:val="24"/>
        </w:rPr>
      </w:pPr>
      <w:r w:rsidRPr="00D74571">
        <w:rPr>
          <w:sz w:val="24"/>
          <w:szCs w:val="24"/>
        </w:rPr>
        <w:t xml:space="preserve">   </w:t>
      </w:r>
      <w:r w:rsidRPr="00D74571">
        <w:rPr>
          <w:b/>
          <w:bCs/>
          <w:iCs/>
          <w:sz w:val="24"/>
          <w:szCs w:val="24"/>
          <w:u w:val="single"/>
        </w:rPr>
        <w:t>Принимаемые меры по улучшению качества воды</w:t>
      </w:r>
    </w:p>
    <w:p w:rsidR="00630798" w:rsidRPr="00D74571" w:rsidRDefault="00630798" w:rsidP="00D74571">
      <w:pPr>
        <w:pStyle w:val="51"/>
        <w:shd w:val="clear" w:color="auto" w:fill="auto"/>
        <w:spacing w:before="0" w:after="0" w:line="240" w:lineRule="auto"/>
        <w:ind w:left="120" w:right="80" w:firstLine="600"/>
        <w:jc w:val="both"/>
        <w:rPr>
          <w:rFonts w:ascii="Times New Roman" w:hAnsi="Times New Roman" w:cs="Times New Roman"/>
          <w:sz w:val="24"/>
          <w:szCs w:val="24"/>
        </w:rPr>
      </w:pPr>
      <w:r w:rsidRPr="00D74571">
        <w:rPr>
          <w:rStyle w:val="35"/>
          <w:rFonts w:ascii="Times New Roman" w:hAnsi="Times New Roman" w:cs="Times New Roman"/>
          <w:sz w:val="24"/>
          <w:szCs w:val="24"/>
        </w:rPr>
        <w:t>В целях обеспечения населения города Пыть-Ях качественной питьевой водой и защиты природной воды от попадания в нее загрязняющих веществ, принимаются меры д</w:t>
      </w:r>
      <w:r w:rsidRPr="00D74571">
        <w:rPr>
          <w:rFonts w:ascii="Times New Roman" w:hAnsi="Times New Roman" w:cs="Times New Roman"/>
          <w:sz w:val="24"/>
          <w:szCs w:val="24"/>
        </w:rPr>
        <w:t xml:space="preserve">ля реализации </w:t>
      </w:r>
      <w:r w:rsidRPr="00D74571">
        <w:rPr>
          <w:rFonts w:ascii="Times New Roman" w:hAnsi="Times New Roman" w:cs="Times New Roman"/>
          <w:spacing w:val="-1"/>
          <w:sz w:val="24"/>
          <w:szCs w:val="24"/>
          <w:shd w:val="clear" w:color="auto" w:fill="FFFFFF"/>
        </w:rPr>
        <w:t xml:space="preserve">мероприятий  программы «Чистая вода» на территории МО г. Пыть-Ях осуществляемая   </w:t>
      </w:r>
      <w:r w:rsidRPr="00D74571">
        <w:rPr>
          <w:rFonts w:ascii="Times New Roman" w:hAnsi="Times New Roman" w:cs="Times New Roman"/>
          <w:sz w:val="24"/>
          <w:szCs w:val="24"/>
        </w:rPr>
        <w:t>с  2014 года</w:t>
      </w:r>
      <w:r w:rsidRPr="00D74571">
        <w:rPr>
          <w:rFonts w:ascii="Times New Roman" w:hAnsi="Times New Roman" w:cs="Times New Roman"/>
          <w:spacing w:val="-1"/>
          <w:sz w:val="24"/>
          <w:szCs w:val="24"/>
          <w:shd w:val="clear" w:color="auto" w:fill="FFFFFF"/>
        </w:rPr>
        <w:t xml:space="preserve"> в рамках Муниципальной программы «Развитие жилищно-коммунального комплекса и повышение энергетической эффективности в МО г. Пыть-Ях на 2014-2020г.г.» (далее Программы).</w:t>
      </w:r>
    </w:p>
    <w:p w:rsidR="00630798" w:rsidRPr="00D74571" w:rsidRDefault="00630798" w:rsidP="00D74571">
      <w:pPr>
        <w:autoSpaceDE w:val="0"/>
        <w:autoSpaceDN w:val="0"/>
        <w:adjustRightInd w:val="0"/>
        <w:spacing w:after="0" w:line="240" w:lineRule="auto"/>
        <w:jc w:val="both"/>
        <w:rPr>
          <w:rFonts w:ascii="Times New Roman" w:hAnsi="Times New Roman" w:cs="Times New Roman"/>
          <w:sz w:val="24"/>
          <w:szCs w:val="24"/>
        </w:rPr>
      </w:pPr>
      <w:r w:rsidRPr="00D74571">
        <w:rPr>
          <w:rFonts w:ascii="Times New Roman" w:hAnsi="Times New Roman" w:cs="Times New Roman"/>
          <w:i/>
          <w:spacing w:val="-1"/>
          <w:sz w:val="24"/>
          <w:szCs w:val="24"/>
          <w:shd w:val="clear" w:color="auto" w:fill="FFFFFF"/>
        </w:rPr>
        <w:t xml:space="preserve">      </w:t>
      </w:r>
      <w:r w:rsidRPr="00D74571">
        <w:rPr>
          <w:rFonts w:ascii="Times New Roman" w:hAnsi="Times New Roman" w:cs="Times New Roman"/>
          <w:sz w:val="24"/>
          <w:szCs w:val="24"/>
        </w:rPr>
        <w:t>За периоды 2013-2020г.г. в  рамках Программы, в целях улучшения качества воды в муниципальном образовании города Пыть-Ях:</w:t>
      </w:r>
    </w:p>
    <w:p w:rsidR="00630798" w:rsidRPr="00D74571" w:rsidRDefault="00630798" w:rsidP="00D74571">
      <w:pPr>
        <w:pStyle w:val="51"/>
        <w:shd w:val="clear" w:color="auto" w:fill="auto"/>
        <w:spacing w:before="0" w:after="0" w:line="240" w:lineRule="auto"/>
        <w:ind w:left="120" w:right="80" w:firstLine="600"/>
        <w:jc w:val="both"/>
        <w:rPr>
          <w:rFonts w:ascii="Times New Roman" w:hAnsi="Times New Roman" w:cs="Times New Roman"/>
          <w:sz w:val="24"/>
          <w:szCs w:val="24"/>
        </w:rPr>
      </w:pPr>
      <w:r w:rsidRPr="00D74571">
        <w:rPr>
          <w:rFonts w:ascii="Times New Roman" w:hAnsi="Times New Roman" w:cs="Times New Roman"/>
          <w:sz w:val="24"/>
          <w:szCs w:val="24"/>
        </w:rPr>
        <w:t xml:space="preserve">Для реализации Программы в 2016 году было освоено денежных средств из местного и  бюджета автономного округа – 119921,0тыс. рублей.  </w:t>
      </w:r>
    </w:p>
    <w:p w:rsidR="00630798" w:rsidRPr="00D74571" w:rsidRDefault="00630798" w:rsidP="00D74571">
      <w:pPr>
        <w:pStyle w:val="51"/>
        <w:shd w:val="clear" w:color="auto" w:fill="auto"/>
        <w:spacing w:before="0" w:after="0" w:line="240" w:lineRule="auto"/>
        <w:ind w:left="120" w:right="80" w:firstLine="600"/>
        <w:jc w:val="both"/>
        <w:rPr>
          <w:rFonts w:ascii="Times New Roman" w:hAnsi="Times New Roman" w:cs="Times New Roman"/>
          <w:sz w:val="24"/>
          <w:szCs w:val="24"/>
        </w:rPr>
      </w:pPr>
      <w:r w:rsidRPr="00D74571">
        <w:rPr>
          <w:rFonts w:ascii="Times New Roman" w:hAnsi="Times New Roman" w:cs="Times New Roman"/>
          <w:sz w:val="24"/>
          <w:szCs w:val="24"/>
        </w:rPr>
        <w:t xml:space="preserve">Для реализации Программы в 2017 году было освоено денежных средств из местного бюджета -33787,0 тыс. рублей.  </w:t>
      </w:r>
    </w:p>
    <w:p w:rsidR="00630798" w:rsidRPr="00D74571" w:rsidRDefault="00630798" w:rsidP="00D74571">
      <w:pPr>
        <w:pStyle w:val="51"/>
        <w:shd w:val="clear" w:color="auto" w:fill="auto"/>
        <w:spacing w:before="0" w:after="0" w:line="240" w:lineRule="auto"/>
        <w:ind w:left="120" w:right="80" w:firstLine="600"/>
        <w:jc w:val="both"/>
        <w:rPr>
          <w:rFonts w:ascii="Times New Roman" w:hAnsi="Times New Roman" w:cs="Times New Roman"/>
          <w:sz w:val="24"/>
          <w:szCs w:val="24"/>
        </w:rPr>
      </w:pPr>
      <w:r w:rsidRPr="00D74571">
        <w:rPr>
          <w:rFonts w:ascii="Times New Roman" w:hAnsi="Times New Roman" w:cs="Times New Roman"/>
          <w:sz w:val="24"/>
          <w:szCs w:val="24"/>
        </w:rPr>
        <w:t xml:space="preserve">Для реализации Программы в 2018 году было освоено денежных средств из местного бюджета -23787,0 тыс. рублей. </w:t>
      </w:r>
    </w:p>
    <w:p w:rsidR="00630798" w:rsidRPr="00D74571" w:rsidRDefault="00630798" w:rsidP="00D74571">
      <w:pPr>
        <w:pStyle w:val="51"/>
        <w:shd w:val="clear" w:color="auto" w:fill="auto"/>
        <w:spacing w:before="0" w:after="0" w:line="240" w:lineRule="auto"/>
        <w:ind w:left="120" w:right="80" w:firstLine="600"/>
        <w:jc w:val="both"/>
        <w:rPr>
          <w:rStyle w:val="35"/>
          <w:rFonts w:ascii="Times New Roman" w:hAnsi="Times New Roman" w:cs="Times New Roman"/>
          <w:i/>
          <w:sz w:val="24"/>
          <w:szCs w:val="24"/>
        </w:rPr>
      </w:pPr>
      <w:r w:rsidRPr="00D74571">
        <w:rPr>
          <w:rFonts w:ascii="Times New Roman" w:hAnsi="Times New Roman" w:cs="Times New Roman"/>
          <w:sz w:val="24"/>
          <w:szCs w:val="24"/>
        </w:rPr>
        <w:t xml:space="preserve">Для реализации Программы в 2019 году было освоено денежных средств из местного бюджета -3787,0 тыс. рублей   </w:t>
      </w:r>
    </w:p>
    <w:p w:rsidR="00630798" w:rsidRPr="00D74571" w:rsidRDefault="00630798" w:rsidP="00D74571">
      <w:pPr>
        <w:autoSpaceDE w:val="0"/>
        <w:autoSpaceDN w:val="0"/>
        <w:adjustRightInd w:val="0"/>
        <w:spacing w:after="0" w:line="240" w:lineRule="auto"/>
        <w:ind w:firstLine="567"/>
        <w:jc w:val="both"/>
        <w:rPr>
          <w:rFonts w:ascii="Times New Roman" w:hAnsi="Times New Roman" w:cs="Times New Roman"/>
          <w:sz w:val="24"/>
          <w:szCs w:val="24"/>
          <w:u w:val="single"/>
        </w:rPr>
      </w:pPr>
      <w:r w:rsidRPr="00D74571">
        <w:rPr>
          <w:rFonts w:ascii="Times New Roman" w:hAnsi="Times New Roman" w:cs="Times New Roman"/>
          <w:b/>
          <w:sz w:val="24"/>
          <w:szCs w:val="24"/>
          <w:u w:val="single"/>
        </w:rPr>
        <w:t>За периоды 2014-2020г.г.</w:t>
      </w:r>
      <w:r w:rsidRPr="00D74571">
        <w:rPr>
          <w:rFonts w:ascii="Times New Roman" w:hAnsi="Times New Roman" w:cs="Times New Roman"/>
          <w:b/>
          <w:sz w:val="24"/>
          <w:szCs w:val="24"/>
        </w:rPr>
        <w:t xml:space="preserve"> в  рамках Программы, </w:t>
      </w:r>
      <w:r w:rsidRPr="00D74571">
        <w:rPr>
          <w:rFonts w:ascii="Times New Roman" w:hAnsi="Times New Roman" w:cs="Times New Roman"/>
          <w:sz w:val="24"/>
          <w:szCs w:val="24"/>
          <w:u w:val="single"/>
        </w:rPr>
        <w:t xml:space="preserve">в целях улучшения качества воды и </w:t>
      </w:r>
      <w:r w:rsidRPr="00D74571">
        <w:rPr>
          <w:rFonts w:ascii="Times New Roman" w:hAnsi="Times New Roman" w:cs="Times New Roman"/>
          <w:sz w:val="24"/>
          <w:szCs w:val="24"/>
        </w:rPr>
        <w:t xml:space="preserve">водоснабжения в </w:t>
      </w:r>
      <w:r w:rsidRPr="00D74571">
        <w:rPr>
          <w:rFonts w:ascii="Times New Roman" w:hAnsi="Times New Roman" w:cs="Times New Roman"/>
          <w:sz w:val="24"/>
          <w:szCs w:val="24"/>
          <w:u w:val="single"/>
        </w:rPr>
        <w:t xml:space="preserve"> муниципальном образовании г.Пыть-Ях   проведены </w:t>
      </w:r>
      <w:r w:rsidRPr="00D74571">
        <w:rPr>
          <w:rFonts w:ascii="Times New Roman" w:hAnsi="Times New Roman" w:cs="Times New Roman"/>
          <w:sz w:val="24"/>
          <w:szCs w:val="24"/>
        </w:rPr>
        <w:t>следующие</w:t>
      </w:r>
      <w:r w:rsidRPr="00D74571">
        <w:rPr>
          <w:rFonts w:ascii="Times New Roman" w:hAnsi="Times New Roman" w:cs="Times New Roman"/>
          <w:sz w:val="24"/>
          <w:szCs w:val="24"/>
          <w:u w:val="single"/>
        </w:rPr>
        <w:t xml:space="preserve"> мероприятия:</w:t>
      </w:r>
    </w:p>
    <w:p w:rsidR="00630798" w:rsidRPr="00D74571" w:rsidRDefault="00630798" w:rsidP="006A23B3">
      <w:pPr>
        <w:pStyle w:val="aff"/>
        <w:numPr>
          <w:ilvl w:val="0"/>
          <w:numId w:val="16"/>
        </w:numPr>
        <w:autoSpaceDE w:val="0"/>
        <w:autoSpaceDN w:val="0"/>
        <w:adjustRightInd w:val="0"/>
        <w:spacing w:after="0" w:line="240" w:lineRule="auto"/>
        <w:ind w:left="0" w:firstLine="567"/>
        <w:jc w:val="both"/>
        <w:rPr>
          <w:rFonts w:ascii="Times New Roman" w:hAnsi="Times New Roman"/>
          <w:sz w:val="24"/>
          <w:szCs w:val="24"/>
          <w:u w:val="single"/>
        </w:rPr>
      </w:pPr>
      <w:r w:rsidRPr="00D74571">
        <w:rPr>
          <w:rFonts w:ascii="Times New Roman" w:hAnsi="Times New Roman"/>
          <w:sz w:val="24"/>
          <w:szCs w:val="24"/>
        </w:rPr>
        <w:t xml:space="preserve">Ежегодно проводится гидропневматическая промывка и дезинфекция  водопроводных сетей города Пыть-Ях </w:t>
      </w:r>
      <w:r w:rsidRPr="00D74571">
        <w:rPr>
          <w:rFonts w:ascii="Times New Roman" w:hAnsi="Times New Roman"/>
          <w:bCs/>
          <w:iCs/>
          <w:sz w:val="24"/>
          <w:szCs w:val="24"/>
        </w:rPr>
        <w:t xml:space="preserve">в период сентябрь-октябрь </w:t>
      </w:r>
      <w:r w:rsidRPr="00D74571">
        <w:rPr>
          <w:rFonts w:ascii="Times New Roman" w:hAnsi="Times New Roman"/>
          <w:sz w:val="24"/>
          <w:szCs w:val="24"/>
        </w:rPr>
        <w:t xml:space="preserve">ресурсоснабжающей организацией (МУП «УГХ») в соответствии с графиком ППР. </w:t>
      </w:r>
    </w:p>
    <w:p w:rsidR="00630798" w:rsidRPr="00D74571" w:rsidRDefault="00630798" w:rsidP="006A23B3">
      <w:pPr>
        <w:pStyle w:val="aff"/>
        <w:numPr>
          <w:ilvl w:val="0"/>
          <w:numId w:val="16"/>
        </w:numPr>
        <w:autoSpaceDE w:val="0"/>
        <w:autoSpaceDN w:val="0"/>
        <w:adjustRightInd w:val="0"/>
        <w:spacing w:after="0" w:line="240" w:lineRule="auto"/>
        <w:ind w:left="0" w:firstLine="567"/>
        <w:jc w:val="both"/>
        <w:rPr>
          <w:rFonts w:ascii="Times New Roman" w:hAnsi="Times New Roman"/>
          <w:sz w:val="24"/>
          <w:szCs w:val="24"/>
          <w:u w:val="single"/>
        </w:rPr>
      </w:pPr>
      <w:r w:rsidRPr="00D74571">
        <w:rPr>
          <w:rFonts w:ascii="Times New Roman" w:hAnsi="Times New Roman"/>
          <w:sz w:val="24"/>
          <w:szCs w:val="24"/>
        </w:rPr>
        <w:t xml:space="preserve">В период 2014-2020 годов, в рамках Программы, проведены проектно-изыскательские работы на реконструкцию ВОС-1 (2 очередь), заключен контракт на выполнение строительно-монтажных работ на объекте. Данный объект был включен в окружную Адресную инвестиционную программу Ханты - Мансийского автономного округа - Югры на 2013 и на плановый период 2014 и 2015 года. </w:t>
      </w:r>
    </w:p>
    <w:p w:rsidR="00630798" w:rsidRPr="00D74571" w:rsidRDefault="00630798" w:rsidP="006A23B3">
      <w:pPr>
        <w:pStyle w:val="a5"/>
        <w:numPr>
          <w:ilvl w:val="0"/>
          <w:numId w:val="16"/>
        </w:numPr>
        <w:ind w:left="0" w:firstLine="567"/>
        <w:jc w:val="both"/>
        <w:rPr>
          <w:sz w:val="24"/>
          <w:szCs w:val="24"/>
        </w:rPr>
      </w:pPr>
      <w:r w:rsidRPr="00D74571">
        <w:rPr>
          <w:sz w:val="24"/>
          <w:szCs w:val="24"/>
        </w:rPr>
        <w:t>В 2014 году завершены проектно-изыскательские работы по реконструкции ВОС-1 (II очередь). Документация прошла государственную экспертизу, после чего объект «Реконструкция ВОС-1 (II очередь)» включен в окружную Адресную инвестиционную программу. Заключен муниципальный контракт на сумму 97 703 980,0 руб. с ООО «ЮграТеплоГазСтрой» на выполнение строительно-монтажных работ на объекте ВОС-1 (II очередь). Данный объект включён в окружную Адресную инвестиционную программу ХМАО-Югры на 2013 и на плановый период 2014-2015 года.</w:t>
      </w:r>
    </w:p>
    <w:p w:rsidR="00630798" w:rsidRPr="00D74571" w:rsidRDefault="00630798" w:rsidP="006A23B3">
      <w:pPr>
        <w:pStyle w:val="a5"/>
        <w:numPr>
          <w:ilvl w:val="0"/>
          <w:numId w:val="16"/>
        </w:numPr>
        <w:shd w:val="clear" w:color="auto" w:fill="FFFFFF"/>
        <w:ind w:left="0" w:right="48" w:firstLine="567"/>
        <w:jc w:val="both"/>
        <w:rPr>
          <w:sz w:val="24"/>
          <w:szCs w:val="24"/>
        </w:rPr>
      </w:pPr>
      <w:r w:rsidRPr="00D74571">
        <w:rPr>
          <w:sz w:val="24"/>
          <w:szCs w:val="24"/>
        </w:rPr>
        <w:t>В 2014 году для реализации программы по улучшению качества воды, был построен «Переход сетей ТВС и через железнодорожные пути» для снабжения жителей 2а мкр. дочищенной  водой с ВОС-1.</w:t>
      </w:r>
    </w:p>
    <w:p w:rsidR="00630798" w:rsidRPr="00D74571" w:rsidRDefault="00630798" w:rsidP="006A23B3">
      <w:pPr>
        <w:numPr>
          <w:ilvl w:val="0"/>
          <w:numId w:val="16"/>
        </w:numPr>
        <w:shd w:val="clear" w:color="auto" w:fill="FFFFFF"/>
        <w:spacing w:after="0" w:line="240" w:lineRule="auto"/>
        <w:ind w:left="0" w:right="48" w:firstLine="567"/>
        <w:jc w:val="both"/>
        <w:rPr>
          <w:rFonts w:ascii="Times New Roman" w:hAnsi="Times New Roman" w:cs="Times New Roman"/>
          <w:sz w:val="24"/>
          <w:szCs w:val="24"/>
        </w:rPr>
      </w:pPr>
      <w:r w:rsidRPr="00D74571">
        <w:rPr>
          <w:rFonts w:ascii="Times New Roman" w:hAnsi="Times New Roman" w:cs="Times New Roman"/>
          <w:sz w:val="24"/>
          <w:szCs w:val="24"/>
        </w:rPr>
        <w:t>В  2015 года проведён открытый аукцион в электронной форме на выполнение работ по корректировке проектной документации на объект реконструкция ВОС-3 в г. Пыть-Яхе, для этих целей из местного бюджета выделено 5 140 тыс. рублей. Победителем аукциона было признано ОАО «Научно-исследовательский и проектный институт экономических проблем» Оренбургская область.</w:t>
      </w:r>
    </w:p>
    <w:p w:rsidR="00630798" w:rsidRPr="00D74571" w:rsidRDefault="00630798" w:rsidP="006A23B3">
      <w:pPr>
        <w:numPr>
          <w:ilvl w:val="0"/>
          <w:numId w:val="16"/>
        </w:numPr>
        <w:shd w:val="clear" w:color="auto" w:fill="FFFFFF"/>
        <w:spacing w:after="0" w:line="240" w:lineRule="auto"/>
        <w:ind w:left="0" w:right="48" w:firstLine="567"/>
        <w:jc w:val="both"/>
        <w:rPr>
          <w:rFonts w:ascii="Times New Roman" w:hAnsi="Times New Roman" w:cs="Times New Roman"/>
          <w:sz w:val="24"/>
          <w:szCs w:val="24"/>
        </w:rPr>
      </w:pPr>
      <w:r w:rsidRPr="00D74571">
        <w:rPr>
          <w:rFonts w:ascii="Times New Roman" w:hAnsi="Times New Roman" w:cs="Times New Roman"/>
          <w:sz w:val="24"/>
          <w:szCs w:val="24"/>
        </w:rPr>
        <w:t xml:space="preserve">В 2016 году проводились  инженерно-геологические изыскания под размещение резервуаров, забито свайное поле, выполнены демонтажные работы, сборка оборудования. Выполнено обследование технологического  состояния конструкций здания БКО, фтора торной и кабельной эскадры. </w:t>
      </w:r>
    </w:p>
    <w:p w:rsidR="00630798" w:rsidRPr="005A1AC6" w:rsidRDefault="00630798" w:rsidP="006A23B3">
      <w:pPr>
        <w:numPr>
          <w:ilvl w:val="0"/>
          <w:numId w:val="16"/>
        </w:numPr>
        <w:shd w:val="clear" w:color="auto" w:fill="FFFFFF"/>
        <w:spacing w:after="0" w:line="240" w:lineRule="auto"/>
        <w:ind w:left="0" w:right="48" w:firstLine="567"/>
        <w:jc w:val="both"/>
      </w:pPr>
      <w:r w:rsidRPr="00D74571">
        <w:rPr>
          <w:rFonts w:ascii="Times New Roman" w:hAnsi="Times New Roman" w:cs="Times New Roman"/>
          <w:sz w:val="24"/>
          <w:szCs w:val="24"/>
        </w:rPr>
        <w:t xml:space="preserve">В 2016 году  на объекте ВОС-1 введён в эксплуатацию первый пусковой комплекс, доочищенная  вода с водоочистных сооружений №1 подаётся на часть многоквартирных домов 2 «а» микрорайона. В процессе изготовления и монтажа оборудования выявлены конструктивные особенности, которые потребовали внесения </w:t>
      </w:r>
      <w:r w:rsidRPr="00D74571">
        <w:rPr>
          <w:rFonts w:ascii="Times New Roman" w:hAnsi="Times New Roman" w:cs="Times New Roman"/>
          <w:sz w:val="24"/>
          <w:szCs w:val="24"/>
        </w:rPr>
        <w:lastRenderedPageBreak/>
        <w:t xml:space="preserve">изменений в  проектную документацию, в связи </w:t>
      </w:r>
      <w:r w:rsidRPr="005A1AC6">
        <w:t>с тем, что существующая технология очистки не позволяет обеспечить нормативное качество очистки воды.</w:t>
      </w:r>
    </w:p>
    <w:p w:rsidR="00630798" w:rsidRPr="00D74571" w:rsidRDefault="00630798" w:rsidP="006A23B3">
      <w:pPr>
        <w:numPr>
          <w:ilvl w:val="0"/>
          <w:numId w:val="16"/>
        </w:numPr>
        <w:shd w:val="clear" w:color="auto" w:fill="FFFFFF"/>
        <w:spacing w:after="0" w:line="240" w:lineRule="auto"/>
        <w:ind w:left="0" w:right="48" w:firstLine="564"/>
        <w:jc w:val="both"/>
        <w:rPr>
          <w:rFonts w:ascii="Times New Roman" w:hAnsi="Times New Roman" w:cs="Times New Roman"/>
          <w:sz w:val="24"/>
          <w:szCs w:val="24"/>
        </w:rPr>
      </w:pPr>
      <w:r w:rsidRPr="00D74571">
        <w:rPr>
          <w:rFonts w:ascii="Times New Roman" w:hAnsi="Times New Roman" w:cs="Times New Roman"/>
          <w:sz w:val="24"/>
          <w:szCs w:val="24"/>
        </w:rPr>
        <w:t xml:space="preserve">В настоящий момент  проводятся строительно-монтажные работы по объекту «Реконструкции ВОС-1(2 очередь)» с  целью повышения качества услуг водоснабжения и обеспечения чистой водой остальных жителей 2А мкр-она, в связи с тем, что существующая технология очистки не позволяет обеспечить нормативное качество очистки воды.    </w:t>
      </w:r>
    </w:p>
    <w:p w:rsidR="00630798" w:rsidRPr="00D74571" w:rsidRDefault="00630798" w:rsidP="006A23B3">
      <w:pPr>
        <w:numPr>
          <w:ilvl w:val="0"/>
          <w:numId w:val="16"/>
        </w:numPr>
        <w:shd w:val="clear" w:color="auto" w:fill="FFFFFF"/>
        <w:spacing w:after="0" w:line="240" w:lineRule="auto"/>
        <w:ind w:left="0" w:right="48" w:firstLine="564"/>
        <w:jc w:val="both"/>
        <w:rPr>
          <w:rFonts w:ascii="Times New Roman" w:hAnsi="Times New Roman" w:cs="Times New Roman"/>
          <w:sz w:val="24"/>
          <w:szCs w:val="24"/>
        </w:rPr>
      </w:pPr>
      <w:r w:rsidRPr="00D74571">
        <w:rPr>
          <w:rFonts w:ascii="Times New Roman" w:hAnsi="Times New Roman" w:cs="Times New Roman"/>
          <w:sz w:val="24"/>
          <w:szCs w:val="24"/>
        </w:rPr>
        <w:t xml:space="preserve">В период 2014 г.-2017 г. (по программе МБУ «УКС» г. Пыть-Ях)  разработан проект «Реконструкция ВОС-3» и «Проект зон санитарной охраны сооружения водоснабжения»,  проект зон санитарной охраны согласован. По окончанию работ по реконструкции ВОС-3 будут выведены из технологического режима ВОС-2 . </w:t>
      </w:r>
    </w:p>
    <w:p w:rsidR="00630798" w:rsidRPr="00D74571" w:rsidRDefault="00630798" w:rsidP="006A23B3">
      <w:pPr>
        <w:numPr>
          <w:ilvl w:val="0"/>
          <w:numId w:val="16"/>
        </w:numPr>
        <w:shd w:val="clear" w:color="auto" w:fill="FFFFFF"/>
        <w:spacing w:after="0" w:line="240" w:lineRule="auto"/>
        <w:ind w:left="0" w:right="48" w:firstLine="564"/>
        <w:jc w:val="both"/>
        <w:rPr>
          <w:rFonts w:ascii="Times New Roman" w:hAnsi="Times New Roman" w:cs="Times New Roman"/>
          <w:sz w:val="24"/>
          <w:szCs w:val="24"/>
        </w:rPr>
      </w:pPr>
      <w:r w:rsidRPr="00D74571">
        <w:rPr>
          <w:rFonts w:ascii="Times New Roman" w:hAnsi="Times New Roman" w:cs="Times New Roman"/>
          <w:sz w:val="24"/>
          <w:szCs w:val="24"/>
        </w:rPr>
        <w:t>Для обеспечения чистой водой 2 «а» микрорайон приобретено оборудование для очистки воды, которое будет установлено на площадке ВОС-4Для реализации программы по улучшению качества воды и обеспечения чистой водой жителей 2 а мкр на объекте ВОС-4 в 2016 году проведён капитальный ремонт оборудования.</w:t>
      </w:r>
    </w:p>
    <w:p w:rsidR="00630798" w:rsidRPr="00D74571" w:rsidRDefault="00630798" w:rsidP="006A23B3">
      <w:pPr>
        <w:numPr>
          <w:ilvl w:val="0"/>
          <w:numId w:val="16"/>
        </w:numPr>
        <w:shd w:val="clear" w:color="auto" w:fill="FFFFFF"/>
        <w:spacing w:after="0" w:line="240" w:lineRule="auto"/>
        <w:ind w:left="0" w:right="48" w:firstLine="564"/>
        <w:jc w:val="both"/>
        <w:rPr>
          <w:rFonts w:ascii="Times New Roman" w:hAnsi="Times New Roman" w:cs="Times New Roman"/>
          <w:sz w:val="24"/>
          <w:szCs w:val="24"/>
        </w:rPr>
      </w:pPr>
      <w:r w:rsidRPr="00D74571">
        <w:rPr>
          <w:rFonts w:ascii="Times New Roman" w:hAnsi="Times New Roman" w:cs="Times New Roman"/>
          <w:sz w:val="24"/>
          <w:szCs w:val="24"/>
        </w:rPr>
        <w:t xml:space="preserve">Предприятие постоянно выполняет </w:t>
      </w:r>
      <w:r w:rsidRPr="00D74571">
        <w:rPr>
          <w:rFonts w:ascii="Times New Roman" w:hAnsi="Times New Roman" w:cs="Times New Roman"/>
          <w:color w:val="FF0000"/>
          <w:sz w:val="24"/>
          <w:szCs w:val="24"/>
        </w:rPr>
        <w:t xml:space="preserve"> </w:t>
      </w:r>
      <w:r w:rsidRPr="00D74571">
        <w:rPr>
          <w:rFonts w:ascii="Times New Roman" w:hAnsi="Times New Roman" w:cs="Times New Roman"/>
          <w:sz w:val="24"/>
          <w:szCs w:val="24"/>
        </w:rPr>
        <w:t>режимные мероприятия по улучшению санитарного состояния территории ЗСО и предупреждению загрязнений подземных вод.  По программе МКУ УКС г. Пыть-Ях разработан проект «Реконструкция ВОС-3 в г.Пыть-Ях»,  в томе 12-2  разработан «Проект зон санитарной охраны сооружений водоснабжения». В настоящее время ведутся работы по рассмотрению и согласованию проекта ЗСО. Ведутся работы по разработке проекта ЗСО на ВОС-4.</w:t>
      </w:r>
    </w:p>
    <w:p w:rsidR="00630798" w:rsidRPr="00D74571" w:rsidRDefault="00630798" w:rsidP="006A23B3">
      <w:pPr>
        <w:numPr>
          <w:ilvl w:val="0"/>
          <w:numId w:val="16"/>
        </w:numPr>
        <w:shd w:val="clear" w:color="auto" w:fill="FFFFFF"/>
        <w:spacing w:after="0" w:line="240" w:lineRule="auto"/>
        <w:ind w:left="0" w:right="48" w:firstLine="564"/>
        <w:jc w:val="both"/>
        <w:rPr>
          <w:rFonts w:ascii="Times New Roman" w:hAnsi="Times New Roman" w:cs="Times New Roman"/>
          <w:sz w:val="24"/>
          <w:szCs w:val="24"/>
        </w:rPr>
      </w:pPr>
      <w:r w:rsidRPr="00D74571">
        <w:rPr>
          <w:rFonts w:ascii="Times New Roman" w:hAnsi="Times New Roman" w:cs="Times New Roman"/>
          <w:sz w:val="24"/>
          <w:szCs w:val="24"/>
        </w:rPr>
        <w:t>Для реализации программы по улучшению качества воды и обеспечения чистой водой жителей 2А мкр. на объекте ВОС-4  в 2016 году   проведен капитальный ремонт оборудования. В  настоящее время на водоочистных сооружениях проводятся пусконаладочные работы.</w:t>
      </w:r>
      <w:r w:rsidRPr="00D74571">
        <w:rPr>
          <w:rFonts w:ascii="Times New Roman" w:hAnsi="Times New Roman" w:cs="Times New Roman"/>
          <w:color w:val="FF0000"/>
          <w:sz w:val="24"/>
          <w:szCs w:val="24"/>
        </w:rPr>
        <w:t xml:space="preserve"> </w:t>
      </w:r>
    </w:p>
    <w:p w:rsidR="00630798" w:rsidRPr="00D74571" w:rsidRDefault="00630798" w:rsidP="006A23B3">
      <w:pPr>
        <w:numPr>
          <w:ilvl w:val="0"/>
          <w:numId w:val="16"/>
        </w:numPr>
        <w:shd w:val="clear" w:color="auto" w:fill="FFFFFF"/>
        <w:spacing w:after="0" w:line="240" w:lineRule="auto"/>
        <w:ind w:left="0" w:right="48" w:firstLine="564"/>
        <w:jc w:val="both"/>
        <w:rPr>
          <w:rFonts w:ascii="Times New Roman" w:hAnsi="Times New Roman" w:cs="Times New Roman"/>
          <w:sz w:val="24"/>
          <w:szCs w:val="24"/>
        </w:rPr>
      </w:pPr>
      <w:r w:rsidRPr="00D74571">
        <w:rPr>
          <w:rFonts w:ascii="Times New Roman" w:hAnsi="Times New Roman" w:cs="Times New Roman"/>
          <w:sz w:val="24"/>
          <w:szCs w:val="24"/>
        </w:rPr>
        <w:t xml:space="preserve">  2018-</w:t>
      </w:r>
      <w:smartTag w:uri="urn:schemas-microsoft-com:office:smarttags" w:element="metricconverter">
        <w:smartTagPr>
          <w:attr w:name="ProductID" w:val="2019 г"/>
        </w:smartTagPr>
        <w:r w:rsidRPr="00D74571">
          <w:rPr>
            <w:rFonts w:ascii="Times New Roman" w:hAnsi="Times New Roman" w:cs="Times New Roman"/>
            <w:sz w:val="24"/>
            <w:szCs w:val="24"/>
          </w:rPr>
          <w:t>2019 г</w:t>
        </w:r>
      </w:smartTag>
      <w:r w:rsidRPr="00D74571">
        <w:rPr>
          <w:rFonts w:ascii="Times New Roman" w:hAnsi="Times New Roman" w:cs="Times New Roman"/>
          <w:sz w:val="24"/>
          <w:szCs w:val="24"/>
        </w:rPr>
        <w:t xml:space="preserve">.г.  в рамках инвестиционной программы Югры запланирована  реконструкция по объекту «Реконструкция ВОС-1 вторая очередь" с  увеличением мощности водозабора до 4,5 тыс. м3/сутки. После завершения, которой жители 2а мкр. будут обеспечены водой питьевого качества. </w:t>
      </w:r>
    </w:p>
    <w:p w:rsidR="00630798" w:rsidRPr="00D74571" w:rsidRDefault="00630798" w:rsidP="006A23B3">
      <w:pPr>
        <w:numPr>
          <w:ilvl w:val="0"/>
          <w:numId w:val="16"/>
        </w:numPr>
        <w:shd w:val="clear" w:color="auto" w:fill="FFFFFF"/>
        <w:spacing w:after="0" w:line="240" w:lineRule="auto"/>
        <w:ind w:left="0" w:right="48" w:firstLine="564"/>
        <w:jc w:val="both"/>
        <w:rPr>
          <w:rFonts w:ascii="Times New Roman" w:hAnsi="Times New Roman" w:cs="Times New Roman"/>
          <w:sz w:val="24"/>
          <w:szCs w:val="24"/>
        </w:rPr>
      </w:pPr>
      <w:r w:rsidRPr="00D74571">
        <w:rPr>
          <w:rFonts w:ascii="Times New Roman" w:hAnsi="Times New Roman" w:cs="Times New Roman"/>
          <w:sz w:val="24"/>
          <w:szCs w:val="24"/>
        </w:rPr>
        <w:t xml:space="preserve">   Также по программе МКУ «УКС» г. Пыть-Ях  разработан проект  «Реконструкция ВОС-3», что  в будущем обеспечит снабжение чистой водой остальные микрорайоны города.</w:t>
      </w:r>
    </w:p>
    <w:p w:rsidR="00630798" w:rsidRPr="00D74571" w:rsidRDefault="00630798" w:rsidP="006A23B3">
      <w:pPr>
        <w:numPr>
          <w:ilvl w:val="0"/>
          <w:numId w:val="16"/>
        </w:numPr>
        <w:shd w:val="clear" w:color="auto" w:fill="FFFFFF"/>
        <w:spacing w:after="0" w:line="240" w:lineRule="auto"/>
        <w:ind w:left="0" w:right="48" w:firstLine="564"/>
        <w:jc w:val="both"/>
        <w:rPr>
          <w:rFonts w:ascii="Times New Roman" w:hAnsi="Times New Roman" w:cs="Times New Roman"/>
          <w:sz w:val="24"/>
          <w:szCs w:val="24"/>
        </w:rPr>
      </w:pPr>
      <w:r w:rsidRPr="00D74571">
        <w:rPr>
          <w:rFonts w:ascii="Times New Roman" w:hAnsi="Times New Roman" w:cs="Times New Roman"/>
          <w:sz w:val="24"/>
          <w:szCs w:val="24"/>
        </w:rPr>
        <w:t>На предприятии имеется  аккредитованная химико-аналитическая лаборатория, которая проводит анализы качества воды по химическим показателям на основании выданного 18.11.2015г. аттестата аккредитации №</w:t>
      </w:r>
      <w:r w:rsidRPr="00D74571">
        <w:rPr>
          <w:rFonts w:ascii="Times New Roman" w:hAnsi="Times New Roman" w:cs="Times New Roman"/>
          <w:sz w:val="24"/>
          <w:szCs w:val="24"/>
          <w:lang w:val="en-US"/>
        </w:rPr>
        <w:t>R</w:t>
      </w:r>
      <w:r w:rsidRPr="00D74571">
        <w:rPr>
          <w:rFonts w:ascii="Times New Roman" w:hAnsi="Times New Roman" w:cs="Times New Roman"/>
          <w:sz w:val="24"/>
          <w:szCs w:val="24"/>
        </w:rPr>
        <w:t>А.</w:t>
      </w:r>
      <w:r w:rsidRPr="00D74571">
        <w:rPr>
          <w:rFonts w:ascii="Times New Roman" w:hAnsi="Times New Roman" w:cs="Times New Roman"/>
          <w:sz w:val="24"/>
          <w:szCs w:val="24"/>
          <w:lang w:val="en-US"/>
        </w:rPr>
        <w:t>RU</w:t>
      </w:r>
      <w:r w:rsidRPr="00D74571">
        <w:rPr>
          <w:rFonts w:ascii="Times New Roman" w:hAnsi="Times New Roman" w:cs="Times New Roman"/>
          <w:sz w:val="24"/>
          <w:szCs w:val="24"/>
        </w:rPr>
        <w:t>.512934 от 18.11.2015г. Копию прилагаем.</w:t>
      </w:r>
    </w:p>
    <w:p w:rsidR="00630798" w:rsidRPr="00D74571" w:rsidRDefault="00630798" w:rsidP="006A23B3">
      <w:pPr>
        <w:numPr>
          <w:ilvl w:val="0"/>
          <w:numId w:val="16"/>
        </w:numPr>
        <w:shd w:val="clear" w:color="auto" w:fill="FFFFFF"/>
        <w:spacing w:after="0" w:line="240" w:lineRule="auto"/>
        <w:ind w:left="357" w:right="48" w:firstLine="207"/>
        <w:jc w:val="both"/>
        <w:rPr>
          <w:rFonts w:ascii="Times New Roman" w:hAnsi="Times New Roman" w:cs="Times New Roman"/>
          <w:sz w:val="24"/>
          <w:szCs w:val="24"/>
        </w:rPr>
      </w:pPr>
      <w:r w:rsidRPr="00D74571">
        <w:rPr>
          <w:rFonts w:ascii="Times New Roman" w:hAnsi="Times New Roman" w:cs="Times New Roman"/>
          <w:sz w:val="24"/>
          <w:szCs w:val="24"/>
        </w:rPr>
        <w:t xml:space="preserve"> Проведены работы по разработке «Проекта зон санитарной охраны сооружения водоснабжения ВОС-4», проводится согласование проектов. </w:t>
      </w:r>
    </w:p>
    <w:p w:rsidR="00630798" w:rsidRPr="00D74571" w:rsidRDefault="00630798" w:rsidP="006A23B3">
      <w:pPr>
        <w:numPr>
          <w:ilvl w:val="0"/>
          <w:numId w:val="16"/>
        </w:numPr>
        <w:shd w:val="clear" w:color="auto" w:fill="FFFFFF"/>
        <w:spacing w:after="0" w:line="240" w:lineRule="auto"/>
        <w:ind w:left="0" w:right="48" w:firstLine="564"/>
        <w:jc w:val="both"/>
        <w:rPr>
          <w:rFonts w:ascii="Times New Roman" w:hAnsi="Times New Roman" w:cs="Times New Roman"/>
          <w:sz w:val="24"/>
          <w:szCs w:val="24"/>
        </w:rPr>
      </w:pPr>
      <w:r w:rsidRPr="00D74571">
        <w:rPr>
          <w:rFonts w:ascii="Times New Roman" w:hAnsi="Times New Roman" w:cs="Times New Roman"/>
          <w:sz w:val="24"/>
          <w:szCs w:val="24"/>
        </w:rPr>
        <w:t>В 2016 году Федеральным государственным автономным образовательным учреждением высшего профессионального образования «Национальный исследовательский Томский политехнический университет» завершены работы по корректировке проектной документации на реконструкцию ВОС-3. В  2017 году разработан проект «Реконструкция ВОС-3 г. Пыть-Ях».</w:t>
      </w:r>
    </w:p>
    <w:p w:rsidR="00630798" w:rsidRPr="00D74571" w:rsidRDefault="00630798" w:rsidP="006A23B3">
      <w:pPr>
        <w:numPr>
          <w:ilvl w:val="0"/>
          <w:numId w:val="16"/>
        </w:numPr>
        <w:shd w:val="clear" w:color="auto" w:fill="FFFFFF"/>
        <w:spacing w:after="0" w:line="240" w:lineRule="auto"/>
        <w:ind w:left="0" w:right="48" w:firstLine="564"/>
        <w:jc w:val="both"/>
        <w:rPr>
          <w:rFonts w:ascii="Times New Roman" w:hAnsi="Times New Roman" w:cs="Times New Roman"/>
          <w:sz w:val="24"/>
          <w:szCs w:val="24"/>
        </w:rPr>
      </w:pPr>
      <w:r w:rsidRPr="00D74571">
        <w:rPr>
          <w:rFonts w:ascii="Times New Roman" w:hAnsi="Times New Roman" w:cs="Times New Roman"/>
          <w:sz w:val="24"/>
          <w:szCs w:val="24"/>
        </w:rPr>
        <w:t xml:space="preserve"> 2018-2020 г.г. в рамках инвестиционной программы Югры запланирована реконструкция по объекту «Реконструкция ВОС-1 вторая очередь» с увеличением мощности водозабора до 4,5 тыс м3/сут.</w:t>
      </w:r>
    </w:p>
    <w:p w:rsidR="00630798" w:rsidRPr="00D74571" w:rsidRDefault="00630798" w:rsidP="006A23B3">
      <w:pPr>
        <w:numPr>
          <w:ilvl w:val="0"/>
          <w:numId w:val="16"/>
        </w:numPr>
        <w:shd w:val="clear" w:color="auto" w:fill="FFFFFF"/>
        <w:spacing w:after="0" w:line="240" w:lineRule="auto"/>
        <w:ind w:left="0" w:right="48" w:firstLine="564"/>
        <w:jc w:val="both"/>
        <w:rPr>
          <w:rFonts w:ascii="Times New Roman" w:hAnsi="Times New Roman" w:cs="Times New Roman"/>
          <w:sz w:val="24"/>
          <w:szCs w:val="24"/>
        </w:rPr>
      </w:pPr>
      <w:r w:rsidRPr="00D74571">
        <w:rPr>
          <w:rFonts w:ascii="Times New Roman" w:hAnsi="Times New Roman" w:cs="Times New Roman"/>
          <w:sz w:val="24"/>
          <w:szCs w:val="24"/>
        </w:rPr>
        <w:t xml:space="preserve">В целях исключения вторичного загрязнения очищенной воды, поступающей с водоочистных сооружений в городские сети водоснабжения, в рамках Программы, ежегодно реализуются мероприятия по замене магистральных и квартальных сетей водоснабжения. В период с 2013 года по 2017 год выполнена замена </w:t>
      </w:r>
      <w:r w:rsidRPr="00D74571">
        <w:rPr>
          <w:rFonts w:ascii="Times New Roman" w:hAnsi="Times New Roman" w:cs="Times New Roman"/>
          <w:sz w:val="24"/>
          <w:szCs w:val="24"/>
          <w:u w:val="single"/>
        </w:rPr>
        <w:t>более 9,59  км сетей водоснабжения,</w:t>
      </w:r>
      <w:r w:rsidRPr="00D74571">
        <w:rPr>
          <w:rFonts w:ascii="Times New Roman" w:hAnsi="Times New Roman" w:cs="Times New Roman"/>
          <w:sz w:val="24"/>
          <w:szCs w:val="24"/>
        </w:rPr>
        <w:t xml:space="preserve"> в том числе в 2016 году произведены работы по капитальному ремонту сетей водоснабжения от ТК-102 до ТК-</w:t>
      </w:r>
      <w:smartTag w:uri="urn:schemas-microsoft-com:office:smarttags" w:element="metricconverter">
        <w:smartTagPr>
          <w:attr w:name="ProductID" w:val="142, г"/>
        </w:smartTagPr>
        <w:r w:rsidRPr="00D74571">
          <w:rPr>
            <w:rFonts w:ascii="Times New Roman" w:hAnsi="Times New Roman" w:cs="Times New Roman"/>
            <w:sz w:val="24"/>
            <w:szCs w:val="24"/>
          </w:rPr>
          <w:t>142, г</w:t>
        </w:r>
      </w:smartTag>
      <w:r w:rsidRPr="00D74571">
        <w:rPr>
          <w:rFonts w:ascii="Times New Roman" w:hAnsi="Times New Roman" w:cs="Times New Roman"/>
          <w:sz w:val="24"/>
          <w:szCs w:val="24"/>
        </w:rPr>
        <w:t xml:space="preserve">. Пыть-Ях, микрорайон 3 "Кедровый", ж/д № 27 до ж/д № 90"а" - протяженностью </w:t>
      </w:r>
      <w:smartTag w:uri="urn:schemas-microsoft-com:office:smarttags" w:element="metricconverter">
        <w:smartTagPr>
          <w:attr w:name="ProductID" w:val="0,819 км"/>
        </w:smartTagPr>
        <w:r w:rsidRPr="00D74571">
          <w:rPr>
            <w:rFonts w:ascii="Times New Roman" w:hAnsi="Times New Roman" w:cs="Times New Roman"/>
            <w:sz w:val="24"/>
            <w:szCs w:val="24"/>
          </w:rPr>
          <w:t>0,819 км</w:t>
        </w:r>
      </w:smartTag>
      <w:r w:rsidRPr="00D74571">
        <w:rPr>
          <w:rFonts w:ascii="Times New Roman" w:hAnsi="Times New Roman" w:cs="Times New Roman"/>
          <w:sz w:val="24"/>
          <w:szCs w:val="24"/>
        </w:rPr>
        <w:t xml:space="preserve">; сети водопровода индивидуальной застройки (участок сети водоснабжения от ВК-5 до ВК ул. Мира), г. Пыть-Ях, микрорайон </w:t>
      </w:r>
      <w:r w:rsidRPr="00D74571">
        <w:rPr>
          <w:rFonts w:ascii="Times New Roman" w:hAnsi="Times New Roman" w:cs="Times New Roman"/>
          <w:sz w:val="24"/>
          <w:szCs w:val="24"/>
        </w:rPr>
        <w:lastRenderedPageBreak/>
        <w:t xml:space="preserve">9 "Черемушки", ул. Мира - протяженностью </w:t>
      </w:r>
      <w:smartTag w:uri="urn:schemas-microsoft-com:office:smarttags" w:element="metricconverter">
        <w:smartTagPr>
          <w:attr w:name="ProductID" w:val="0,152 км"/>
        </w:smartTagPr>
        <w:r w:rsidRPr="00D74571">
          <w:rPr>
            <w:rFonts w:ascii="Times New Roman" w:hAnsi="Times New Roman" w:cs="Times New Roman"/>
            <w:sz w:val="24"/>
            <w:szCs w:val="24"/>
          </w:rPr>
          <w:t>0,152 км</w:t>
        </w:r>
      </w:smartTag>
      <w:r w:rsidRPr="00D74571">
        <w:rPr>
          <w:rFonts w:ascii="Times New Roman" w:hAnsi="Times New Roman" w:cs="Times New Roman"/>
          <w:sz w:val="24"/>
          <w:szCs w:val="24"/>
        </w:rPr>
        <w:t xml:space="preserve">; сети водопровода индивидуальной застройки (участок сети водоснабжения от ПГ-1 до ВК-5), г. Пыть-Ях, микрорайон 9 "Черемушки", ул. Югорская - протяженностью </w:t>
      </w:r>
      <w:smartTag w:uri="urn:schemas-microsoft-com:office:smarttags" w:element="metricconverter">
        <w:smartTagPr>
          <w:attr w:name="ProductID" w:val="0,112 км"/>
        </w:smartTagPr>
        <w:r w:rsidRPr="00D74571">
          <w:rPr>
            <w:rFonts w:ascii="Times New Roman" w:hAnsi="Times New Roman" w:cs="Times New Roman"/>
            <w:sz w:val="24"/>
            <w:szCs w:val="24"/>
          </w:rPr>
          <w:t>0,112 км</w:t>
        </w:r>
      </w:smartTag>
      <w:r w:rsidRPr="00D74571">
        <w:rPr>
          <w:rFonts w:ascii="Times New Roman" w:hAnsi="Times New Roman" w:cs="Times New Roman"/>
          <w:sz w:val="24"/>
          <w:szCs w:val="24"/>
        </w:rPr>
        <w:t>.</w:t>
      </w:r>
    </w:p>
    <w:p w:rsidR="00630798" w:rsidRPr="00D74571" w:rsidRDefault="00630798" w:rsidP="006A23B3">
      <w:pPr>
        <w:numPr>
          <w:ilvl w:val="0"/>
          <w:numId w:val="16"/>
        </w:numPr>
        <w:shd w:val="clear" w:color="auto" w:fill="FFFFFF"/>
        <w:spacing w:after="0" w:line="240" w:lineRule="auto"/>
        <w:ind w:left="0" w:right="48" w:firstLine="564"/>
        <w:jc w:val="both"/>
        <w:rPr>
          <w:rFonts w:ascii="Times New Roman" w:hAnsi="Times New Roman" w:cs="Times New Roman"/>
          <w:sz w:val="24"/>
          <w:szCs w:val="24"/>
        </w:rPr>
      </w:pPr>
      <w:r w:rsidRPr="00D74571">
        <w:rPr>
          <w:rFonts w:ascii="Times New Roman" w:hAnsi="Times New Roman" w:cs="Times New Roman"/>
          <w:sz w:val="24"/>
          <w:szCs w:val="24"/>
        </w:rPr>
        <w:t xml:space="preserve">В 2014 ЗСО «ЮБ ГПК»- филиал  АО «Сибур Тюмень Газ» и  МУП «УГХ» - ВОС 1 на проект  ЗСО на ВОС получено   положительные  заключения. </w:t>
      </w:r>
    </w:p>
    <w:p w:rsidR="00630798" w:rsidRPr="00D74571" w:rsidRDefault="00630798" w:rsidP="006A23B3">
      <w:pPr>
        <w:pStyle w:val="a5"/>
        <w:numPr>
          <w:ilvl w:val="0"/>
          <w:numId w:val="16"/>
        </w:numPr>
        <w:ind w:left="0" w:firstLine="567"/>
        <w:jc w:val="both"/>
        <w:rPr>
          <w:sz w:val="24"/>
          <w:szCs w:val="24"/>
        </w:rPr>
      </w:pPr>
      <w:r w:rsidRPr="00D74571">
        <w:rPr>
          <w:sz w:val="24"/>
          <w:szCs w:val="24"/>
        </w:rPr>
        <w:t>В филиале ОАО «СибурТрансГаз» «ЮБ ГПЗ»  проведена замена реагента на водоочистных сооружениях, в связи с чем показатели  качества воды улучшились  в два раза (цветность была 40 стала 20, железо 1,5мг/м куб. стало 1,1мг/м куб).</w:t>
      </w:r>
    </w:p>
    <w:p w:rsidR="00630798" w:rsidRPr="00D74571" w:rsidRDefault="00630798" w:rsidP="006A23B3">
      <w:pPr>
        <w:numPr>
          <w:ilvl w:val="0"/>
          <w:numId w:val="16"/>
        </w:numPr>
        <w:spacing w:after="0" w:line="240" w:lineRule="auto"/>
        <w:ind w:left="0" w:firstLine="567"/>
        <w:jc w:val="both"/>
        <w:rPr>
          <w:rFonts w:ascii="Times New Roman" w:hAnsi="Times New Roman" w:cs="Times New Roman"/>
          <w:sz w:val="24"/>
          <w:szCs w:val="24"/>
        </w:rPr>
      </w:pPr>
      <w:r w:rsidRPr="00D74571">
        <w:rPr>
          <w:rFonts w:ascii="Times New Roman" w:hAnsi="Times New Roman" w:cs="Times New Roman"/>
          <w:sz w:val="24"/>
          <w:szCs w:val="24"/>
        </w:rPr>
        <w:t>В соответствии ФЗ №416 –ФЗ «О водоснабжении и водоотведении …» планы мероприятий по приведению качества питьевой воды в соответствие с установленными требованиями гарантирующих организаций «ЮБ ГПК»- филиал  АО «Сибур Тюмень газ» и  МУП «УГХ» (ВОС-1, ВОС-2,ВОС-3.ВОС-4 )  разработаны и утверждены.</w:t>
      </w:r>
    </w:p>
    <w:p w:rsidR="00630798" w:rsidRPr="00D74571" w:rsidRDefault="00630798" w:rsidP="006A23B3">
      <w:pPr>
        <w:numPr>
          <w:ilvl w:val="0"/>
          <w:numId w:val="16"/>
        </w:numPr>
        <w:suppressAutoHyphens/>
        <w:spacing w:after="0" w:line="240" w:lineRule="auto"/>
        <w:ind w:left="0" w:firstLine="567"/>
        <w:jc w:val="both"/>
        <w:rPr>
          <w:rFonts w:ascii="Times New Roman" w:hAnsi="Times New Roman" w:cs="Times New Roman"/>
          <w:sz w:val="24"/>
          <w:szCs w:val="24"/>
        </w:rPr>
      </w:pPr>
      <w:r w:rsidRPr="00D74571">
        <w:rPr>
          <w:rFonts w:ascii="Times New Roman" w:hAnsi="Times New Roman" w:cs="Times New Roman"/>
          <w:bCs/>
          <w:iCs/>
          <w:sz w:val="24"/>
          <w:szCs w:val="24"/>
        </w:rPr>
        <w:t xml:space="preserve">Программы производственного контроля </w:t>
      </w:r>
      <w:r w:rsidRPr="00D74571">
        <w:rPr>
          <w:rFonts w:ascii="Times New Roman" w:hAnsi="Times New Roman" w:cs="Times New Roman"/>
          <w:sz w:val="24"/>
          <w:szCs w:val="24"/>
        </w:rPr>
        <w:t xml:space="preserve">МУП «УГХ»» и «ЮБ ГПК»- филиал  АО «Сибур Тюмень газ»-  </w:t>
      </w:r>
      <w:r w:rsidRPr="00D74571">
        <w:rPr>
          <w:rFonts w:ascii="Times New Roman" w:hAnsi="Times New Roman" w:cs="Times New Roman"/>
          <w:bCs/>
          <w:iCs/>
          <w:sz w:val="24"/>
          <w:szCs w:val="24"/>
        </w:rPr>
        <w:t xml:space="preserve"> реализованы в  2018 г.</w:t>
      </w:r>
    </w:p>
    <w:p w:rsidR="00630798" w:rsidRPr="00D74571" w:rsidRDefault="00630798" w:rsidP="006A23B3">
      <w:pPr>
        <w:numPr>
          <w:ilvl w:val="0"/>
          <w:numId w:val="16"/>
        </w:numPr>
        <w:suppressAutoHyphens/>
        <w:spacing w:after="0" w:line="240" w:lineRule="auto"/>
        <w:ind w:left="0" w:firstLine="567"/>
        <w:jc w:val="both"/>
        <w:rPr>
          <w:rFonts w:ascii="Times New Roman" w:hAnsi="Times New Roman" w:cs="Times New Roman"/>
          <w:sz w:val="24"/>
          <w:szCs w:val="24"/>
        </w:rPr>
      </w:pPr>
      <w:r w:rsidRPr="00D74571">
        <w:rPr>
          <w:rFonts w:ascii="Times New Roman" w:hAnsi="Times New Roman" w:cs="Times New Roman"/>
          <w:sz w:val="24"/>
          <w:szCs w:val="24"/>
        </w:rPr>
        <w:t xml:space="preserve">Ведомственные   комплексные   химико-аналитическая  лаборатории  МУП «УГХ»» и «ЮБ ГПК»- филиал  АО «Сибур Тюмень газ» аккредитованы.  </w:t>
      </w:r>
    </w:p>
    <w:p w:rsidR="00630798" w:rsidRPr="00D74571" w:rsidRDefault="00630798" w:rsidP="006A23B3">
      <w:pPr>
        <w:numPr>
          <w:ilvl w:val="0"/>
          <w:numId w:val="16"/>
        </w:numPr>
        <w:spacing w:after="0" w:line="240" w:lineRule="auto"/>
        <w:ind w:left="0" w:firstLine="567"/>
        <w:jc w:val="both"/>
        <w:rPr>
          <w:rFonts w:ascii="Times New Roman" w:hAnsi="Times New Roman" w:cs="Times New Roman"/>
          <w:sz w:val="24"/>
          <w:szCs w:val="24"/>
        </w:rPr>
      </w:pPr>
      <w:r w:rsidRPr="00D74571">
        <w:rPr>
          <w:rFonts w:ascii="Times New Roman" w:hAnsi="Times New Roman" w:cs="Times New Roman"/>
          <w:sz w:val="24"/>
          <w:szCs w:val="24"/>
        </w:rPr>
        <w:t>В рамках ФЗ №416 –ФЗ «О водоснабжении и водоотведении …», на территории МО гПыть-Ях  разработаны, утверждены схемы по водоснабжению и водоотведению постановлением администрации города от 16.09.2014  № 231-па "Об утверждении схем водоснабжения и водоотведения муниципального образования городской округ город Пыть-Ях ХМАО-Югры».</w:t>
      </w:r>
    </w:p>
    <w:p w:rsidR="00630798" w:rsidRPr="00D74571" w:rsidRDefault="00630798" w:rsidP="006A23B3">
      <w:pPr>
        <w:pStyle w:val="aff"/>
        <w:numPr>
          <w:ilvl w:val="0"/>
          <w:numId w:val="16"/>
        </w:numPr>
        <w:spacing w:after="0" w:line="240" w:lineRule="auto"/>
        <w:ind w:left="0" w:firstLine="567"/>
        <w:jc w:val="both"/>
        <w:rPr>
          <w:rFonts w:ascii="Times New Roman" w:hAnsi="Times New Roman"/>
          <w:sz w:val="24"/>
          <w:szCs w:val="24"/>
        </w:rPr>
      </w:pPr>
      <w:r w:rsidRPr="00D74571">
        <w:rPr>
          <w:rFonts w:ascii="Times New Roman" w:hAnsi="Times New Roman"/>
          <w:sz w:val="24"/>
          <w:szCs w:val="24"/>
        </w:rPr>
        <w:t>В рамках муниципальной программы разработан проект  программы по реконструкции, модернизации и развитию систем водоснабжения и водоотведения МУП  «УГХ» МО города Пыть-Ях на 2016-2020 годы,  который возвращен Департаментом жилищно-коммунального комплекса и энергетики автономного округа в адрес ресурсоснабжающей организации на доработку.</w:t>
      </w:r>
    </w:p>
    <w:p w:rsidR="00630798" w:rsidRPr="00D74571" w:rsidRDefault="00630798" w:rsidP="006A23B3">
      <w:pPr>
        <w:pStyle w:val="aff"/>
        <w:numPr>
          <w:ilvl w:val="0"/>
          <w:numId w:val="16"/>
        </w:numPr>
        <w:spacing w:after="0" w:line="240" w:lineRule="auto"/>
        <w:ind w:left="0" w:firstLine="567"/>
        <w:jc w:val="both"/>
        <w:rPr>
          <w:rFonts w:ascii="Times New Roman" w:hAnsi="Times New Roman"/>
          <w:bCs/>
          <w:iCs/>
          <w:sz w:val="24"/>
          <w:szCs w:val="24"/>
        </w:rPr>
      </w:pPr>
      <w:r w:rsidRPr="00D74571">
        <w:rPr>
          <w:rFonts w:ascii="Times New Roman" w:hAnsi="Times New Roman"/>
          <w:bCs/>
          <w:iCs/>
          <w:sz w:val="24"/>
          <w:szCs w:val="24"/>
        </w:rPr>
        <w:t xml:space="preserve"> За период 2015-2020 г.г. уведомлений о временном прекращении  или ограничении оказания услуг водоснабжения и водоотведения из-за  возникновения аварий и устранения последствий  аварий  на центральных системах водоснабжения  в органы власти не направлялись.</w:t>
      </w:r>
    </w:p>
    <w:p w:rsidR="00630798" w:rsidRPr="00D74571" w:rsidRDefault="00630798" w:rsidP="006A23B3">
      <w:pPr>
        <w:pStyle w:val="aff"/>
        <w:numPr>
          <w:ilvl w:val="0"/>
          <w:numId w:val="16"/>
        </w:numPr>
        <w:spacing w:after="0" w:line="240" w:lineRule="auto"/>
        <w:ind w:left="0" w:firstLine="567"/>
        <w:jc w:val="both"/>
        <w:rPr>
          <w:rFonts w:ascii="Times New Roman" w:hAnsi="Times New Roman"/>
          <w:bCs/>
          <w:iCs/>
          <w:sz w:val="24"/>
          <w:szCs w:val="24"/>
        </w:rPr>
      </w:pPr>
      <w:r w:rsidRPr="00D74571">
        <w:rPr>
          <w:rFonts w:ascii="Times New Roman" w:hAnsi="Times New Roman"/>
          <w:sz w:val="24"/>
          <w:szCs w:val="24"/>
          <w:u w:val="single"/>
        </w:rPr>
        <w:t>В соответствии с требованиями ст. 23 ФЗ-416 «</w:t>
      </w:r>
      <w:r w:rsidRPr="00D74571">
        <w:rPr>
          <w:rFonts w:ascii="Times New Roman" w:hAnsi="Times New Roman"/>
          <w:sz w:val="24"/>
          <w:szCs w:val="24"/>
        </w:rPr>
        <w:t xml:space="preserve">О водоснабжении и водоотведении»  31 января 2020 года  в адрес органов местного самоуправления и в адрес гарантирующих организаций </w:t>
      </w:r>
      <w:r w:rsidRPr="00D74571">
        <w:rPr>
          <w:rFonts w:ascii="Times New Roman" w:hAnsi="Times New Roman"/>
          <w:b/>
          <w:sz w:val="24"/>
          <w:szCs w:val="24"/>
          <w:u w:val="single"/>
        </w:rPr>
        <w:t xml:space="preserve">г.Пыть-Ях </w:t>
      </w:r>
      <w:r w:rsidRPr="00D74571">
        <w:rPr>
          <w:rFonts w:ascii="Times New Roman" w:hAnsi="Times New Roman"/>
          <w:sz w:val="24"/>
          <w:szCs w:val="24"/>
        </w:rPr>
        <w:t xml:space="preserve"> направлены уведомления  «О несоответствии качества воды требованиям СанПиН  за  2020 год». В</w:t>
      </w:r>
      <w:r w:rsidRPr="00D74571">
        <w:rPr>
          <w:rFonts w:ascii="Times New Roman" w:hAnsi="Times New Roman"/>
          <w:bCs/>
          <w:sz w:val="24"/>
          <w:szCs w:val="24"/>
        </w:rPr>
        <w:t xml:space="preserve"> рамках осуществления государственного санитарно - эпидемиологического надзора за соблюдением требований санитарного законодательства ФЗ </w:t>
      </w:r>
      <w:r w:rsidRPr="00D74571">
        <w:rPr>
          <w:rFonts w:ascii="Times New Roman" w:hAnsi="Times New Roman"/>
          <w:sz w:val="24"/>
          <w:szCs w:val="24"/>
        </w:rPr>
        <w:t xml:space="preserve">№ 52-ФЗ от 30.03.99г.  и законодательства в сфере защиты прав потребителей ФЗ №2300 –01 за качеством питьевой  воды и горячего водоснабжения были  направлены  информации  о средних уровнях показателей питьевой и горячей воды после водоподготовки МУП  «УГХ» и  «ЮБ ГПК»- филиал  АО «Сибур Тюмень Газ» исследованных в течение календарного 2020 года, результаты которых  не соответствуют нормативам качества и безопасности  питьевой воды по органолептическим и санитарно-химическим  показателям, </w:t>
      </w:r>
      <w:r w:rsidRPr="00D74571">
        <w:rPr>
          <w:rFonts w:ascii="Times New Roman" w:hAnsi="Times New Roman"/>
          <w:sz w:val="24"/>
          <w:szCs w:val="24"/>
          <w:u w:val="single"/>
        </w:rPr>
        <w:t>где было предложено  до 01.03.2021г</w:t>
      </w:r>
      <w:r w:rsidRPr="00D74571">
        <w:rPr>
          <w:rFonts w:ascii="Times New Roman" w:hAnsi="Times New Roman"/>
          <w:sz w:val="24"/>
          <w:szCs w:val="24"/>
        </w:rPr>
        <w:t xml:space="preserve">.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г.Пыть-Ях  в соответствие с установленными требованиями и предложено </w:t>
      </w:r>
      <w:r w:rsidRPr="00D74571">
        <w:rPr>
          <w:rFonts w:ascii="Times New Roman" w:hAnsi="Times New Roman"/>
          <w:sz w:val="24"/>
          <w:szCs w:val="24"/>
          <w:u w:val="single"/>
        </w:rPr>
        <w:t>в срок до 01.07.2021г.</w:t>
      </w:r>
      <w:r w:rsidRPr="00D74571">
        <w:rPr>
          <w:rFonts w:ascii="Times New Roman" w:hAnsi="Times New Roman"/>
          <w:sz w:val="24"/>
          <w:szCs w:val="24"/>
        </w:rPr>
        <w:t xml:space="preserve"> закончить  работу по согласованию  с Управлением Роспотребнадзора по ХМАО-Югре в г. Нефтеюганске, Нефтеюганском районе и г. Пыть-Ях  Плана мероприятий по приведению качества питьевой воды в соответствие с установленными требованиями в городе Пыть-Ях.</w:t>
      </w:r>
    </w:p>
    <w:p w:rsidR="00D74571" w:rsidRDefault="00630798" w:rsidP="00D74571">
      <w:pPr>
        <w:spacing w:after="0" w:line="240" w:lineRule="auto"/>
        <w:ind w:firstLine="567"/>
        <w:contextualSpacing/>
        <w:jc w:val="both"/>
        <w:rPr>
          <w:rFonts w:ascii="Times New Roman" w:hAnsi="Times New Roman" w:cs="Times New Roman"/>
          <w:b/>
          <w:bCs/>
          <w:spacing w:val="-1"/>
          <w:sz w:val="24"/>
          <w:szCs w:val="24"/>
        </w:rPr>
      </w:pPr>
      <w:r w:rsidRPr="00D74571">
        <w:rPr>
          <w:rFonts w:ascii="Times New Roman" w:hAnsi="Times New Roman" w:cs="Times New Roman"/>
          <w:b/>
          <w:bCs/>
          <w:spacing w:val="-1"/>
          <w:sz w:val="24"/>
          <w:szCs w:val="24"/>
        </w:rPr>
        <w:t xml:space="preserve">    </w:t>
      </w:r>
    </w:p>
    <w:p w:rsidR="00630798" w:rsidRPr="00D74571" w:rsidRDefault="00630798" w:rsidP="00D74571">
      <w:pPr>
        <w:spacing w:after="0" w:line="240" w:lineRule="auto"/>
        <w:ind w:firstLine="567"/>
        <w:contextualSpacing/>
        <w:jc w:val="both"/>
        <w:rPr>
          <w:rFonts w:ascii="Times New Roman" w:hAnsi="Times New Roman" w:cs="Times New Roman"/>
          <w:b/>
          <w:bCs/>
          <w:spacing w:val="-1"/>
          <w:sz w:val="24"/>
          <w:szCs w:val="24"/>
        </w:rPr>
      </w:pPr>
      <w:r w:rsidRPr="00D74571">
        <w:rPr>
          <w:rFonts w:ascii="Times New Roman" w:hAnsi="Times New Roman" w:cs="Times New Roman"/>
          <w:b/>
          <w:bCs/>
          <w:spacing w:val="-1"/>
          <w:sz w:val="24"/>
          <w:szCs w:val="24"/>
        </w:rPr>
        <w:t>Средние уровни показателей качества питьевой воды</w:t>
      </w:r>
      <w:r w:rsidRPr="00D74571">
        <w:rPr>
          <w:rFonts w:ascii="Times New Roman" w:hAnsi="Times New Roman" w:cs="Times New Roman"/>
          <w:b/>
          <w:sz w:val="24"/>
          <w:szCs w:val="24"/>
        </w:rPr>
        <w:t xml:space="preserve"> централизованной системы хозяйственно-питьевого  водоснабжения</w:t>
      </w:r>
      <w:r w:rsidRPr="00D74571">
        <w:rPr>
          <w:rFonts w:ascii="Times New Roman" w:hAnsi="Times New Roman" w:cs="Times New Roman"/>
          <w:b/>
          <w:bCs/>
          <w:spacing w:val="-1"/>
          <w:sz w:val="24"/>
          <w:szCs w:val="24"/>
        </w:rPr>
        <w:t>, отобранных после водоподготовки в разводящей сети, в рамках СГМ и надзорных мероприятий  (выход на город ВОС№1 подземный водозабор, разводящая сеть (холодное водоснабжение) за период 2020 год.</w:t>
      </w:r>
    </w:p>
    <w:p w:rsidR="00630798" w:rsidRPr="00D74571" w:rsidRDefault="00630798" w:rsidP="00D74571">
      <w:pPr>
        <w:autoSpaceDE w:val="0"/>
        <w:autoSpaceDN w:val="0"/>
        <w:adjustRightInd w:val="0"/>
        <w:spacing w:after="0" w:line="240" w:lineRule="auto"/>
        <w:jc w:val="both"/>
        <w:rPr>
          <w:rFonts w:ascii="Times New Roman" w:hAnsi="Times New Roman" w:cs="Times New Roman"/>
          <w:b/>
          <w:sz w:val="24"/>
          <w:szCs w:val="24"/>
        </w:rPr>
      </w:pPr>
      <w:r w:rsidRPr="00D74571">
        <w:rPr>
          <w:rFonts w:ascii="Times New Roman" w:hAnsi="Times New Roman" w:cs="Times New Roman"/>
          <w:b/>
          <w:sz w:val="24"/>
          <w:szCs w:val="24"/>
        </w:rPr>
        <w:t>По ВОС-1 МУП «УГХ» (г. Пыть-Ях, 1, 2, и 2 а  микрорайон «Нефтяников»):</w:t>
      </w:r>
    </w:p>
    <w:p w:rsidR="00630798" w:rsidRPr="00D74571" w:rsidRDefault="00630798" w:rsidP="00D74571">
      <w:pPr>
        <w:spacing w:line="240" w:lineRule="auto"/>
        <w:jc w:val="center"/>
        <w:rPr>
          <w:rFonts w:ascii="Times New Roman" w:hAnsi="Times New Roman" w:cs="Times New Roman"/>
          <w:sz w:val="24"/>
          <w:szCs w:val="24"/>
          <w:u w:val="single"/>
        </w:rPr>
      </w:pPr>
      <w:r w:rsidRPr="00D74571">
        <w:rPr>
          <w:rFonts w:ascii="Times New Roman" w:hAnsi="Times New Roman" w:cs="Times New Roman"/>
          <w:sz w:val="24"/>
          <w:szCs w:val="24"/>
        </w:rPr>
        <w:lastRenderedPageBreak/>
        <w:t xml:space="preserve">1 </w:t>
      </w:r>
      <w:r w:rsidRPr="00D74571">
        <w:rPr>
          <w:rFonts w:ascii="Times New Roman" w:hAnsi="Times New Roman" w:cs="Times New Roman"/>
          <w:sz w:val="24"/>
          <w:szCs w:val="24"/>
          <w:u w:val="single"/>
        </w:rPr>
        <w:t>Расчет среднего уровня показателей  проб воды  централизованной системы хозяйственно-питьевого  водоснабжения  на выходе после очистки с ВОС-1, по результатам протоколов лабораторных испытаний.</w:t>
      </w:r>
    </w:p>
    <w:tbl>
      <w:tblPr>
        <w:tblW w:w="10491" w:type="dxa"/>
        <w:tblInd w:w="-318" w:type="dxa"/>
        <w:tblLayout w:type="fixed"/>
        <w:tblLook w:val="04A0" w:firstRow="1" w:lastRow="0" w:firstColumn="1" w:lastColumn="0" w:noHBand="0" w:noVBand="1"/>
      </w:tblPr>
      <w:tblGrid>
        <w:gridCol w:w="568"/>
        <w:gridCol w:w="1985"/>
        <w:gridCol w:w="1701"/>
        <w:gridCol w:w="1842"/>
        <w:gridCol w:w="1560"/>
        <w:gridCol w:w="1701"/>
        <w:gridCol w:w="1134"/>
      </w:tblGrid>
      <w:tr w:rsidR="00630798" w:rsidRPr="00D74571" w:rsidTr="00630798">
        <w:trPr>
          <w:trHeight w:val="360"/>
        </w:trPr>
        <w:tc>
          <w:tcPr>
            <w:tcW w:w="568"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 п\п</w:t>
            </w:r>
          </w:p>
        </w:tc>
        <w:tc>
          <w:tcPr>
            <w:tcW w:w="1985"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Показатели</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Результаты исследований</w:t>
            </w:r>
            <w:r w:rsidRPr="00D74571">
              <w:rPr>
                <w:rFonts w:ascii="Times New Roman" w:hAnsi="Times New Roman" w:cs="Times New Roman"/>
                <w:u w:val="single"/>
              </w:rPr>
              <w:t xml:space="preserve"> воды централизованной системы хозяйственно-питьевого  водоснабжения</w:t>
            </w:r>
          </w:p>
        </w:tc>
        <w:tc>
          <w:tcPr>
            <w:tcW w:w="1560"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b/>
              </w:rPr>
            </w:pPr>
            <w:r w:rsidRPr="00D74571">
              <w:rPr>
                <w:rFonts w:ascii="Times New Roman" w:hAnsi="Times New Roman" w:cs="Times New Roman"/>
                <w:b/>
              </w:rPr>
              <w:t xml:space="preserve">Средний показатель </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Гигиенический норматив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Единицы измерения</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1</w:t>
            </w:r>
          </w:p>
        </w:tc>
        <w:tc>
          <w:tcPr>
            <w:tcW w:w="1985"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Аммиак (по азоту)</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line="240" w:lineRule="auto"/>
              <w:jc w:val="center"/>
              <w:rPr>
                <w:rFonts w:ascii="Times New Roman" w:hAnsi="Times New Roman" w:cs="Times New Roman"/>
                <w:b/>
              </w:rPr>
            </w:pPr>
            <w:r w:rsidRPr="00D74571">
              <w:rPr>
                <w:rFonts w:ascii="Times New Roman" w:hAnsi="Times New Roman" w:cs="Times New Roman"/>
                <w:b/>
              </w:rPr>
              <w:t>2,26 ± 0,45</w:t>
            </w:r>
          </w:p>
        </w:tc>
        <w:tc>
          <w:tcPr>
            <w:tcW w:w="1842"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line="240" w:lineRule="auto"/>
              <w:rPr>
                <w:rFonts w:ascii="Times New Roman" w:hAnsi="Times New Roman" w:cs="Times New Roman"/>
                <w:b/>
                <w:bCs/>
              </w:rPr>
            </w:pPr>
            <w:r w:rsidRPr="00D74571">
              <w:rPr>
                <w:rFonts w:ascii="Times New Roman" w:hAnsi="Times New Roman" w:cs="Times New Roman"/>
                <w:b/>
              </w:rPr>
              <w:t>2,38 ± 0,33</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1,67</w:t>
            </w:r>
          </w:p>
        </w:tc>
        <w:tc>
          <w:tcPr>
            <w:tcW w:w="1701"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1,5(2)</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2</w:t>
            </w:r>
          </w:p>
        </w:tc>
        <w:tc>
          <w:tcPr>
            <w:tcW w:w="1985"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Железо</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line="240" w:lineRule="auto"/>
              <w:jc w:val="center"/>
              <w:rPr>
                <w:rFonts w:ascii="Times New Roman" w:hAnsi="Times New Roman" w:cs="Times New Roman"/>
                <w:b/>
              </w:rPr>
            </w:pPr>
            <w:r w:rsidRPr="00D74571">
              <w:rPr>
                <w:rFonts w:ascii="Times New Roman" w:hAnsi="Times New Roman" w:cs="Times New Roman"/>
                <w:b/>
              </w:rPr>
              <w:t>0,36 ± 0,07</w:t>
            </w:r>
          </w:p>
        </w:tc>
        <w:tc>
          <w:tcPr>
            <w:tcW w:w="1842"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line="240" w:lineRule="auto"/>
              <w:rPr>
                <w:rFonts w:ascii="Times New Roman" w:hAnsi="Times New Roman" w:cs="Times New Roman"/>
                <w:b/>
                <w:bCs/>
              </w:rPr>
            </w:pPr>
            <w:r w:rsidRPr="00D74571">
              <w:rPr>
                <w:rFonts w:ascii="Times New Roman" w:hAnsi="Times New Roman" w:cs="Times New Roman"/>
                <w:b/>
              </w:rPr>
              <w:t>1,15 ± 0,17</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b/>
              </w:rPr>
            </w:pPr>
            <w:r w:rsidRPr="00D74571">
              <w:rPr>
                <w:rFonts w:ascii="Times New Roman" w:hAnsi="Times New Roman" w:cs="Times New Roman"/>
                <w:b/>
              </w:rPr>
              <w:t>0,56</w:t>
            </w:r>
          </w:p>
        </w:tc>
        <w:tc>
          <w:tcPr>
            <w:tcW w:w="1701"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0,3 (1)</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3</w:t>
            </w:r>
          </w:p>
        </w:tc>
        <w:tc>
          <w:tcPr>
            <w:tcW w:w="1985"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Нитраты (по NO3)</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менее 0,1</w:t>
            </w:r>
          </w:p>
        </w:tc>
        <w:tc>
          <w:tcPr>
            <w:tcW w:w="1842" w:type="dxa"/>
            <w:tcBorders>
              <w:top w:val="single" w:sz="4" w:space="0" w:color="auto"/>
              <w:left w:val="nil"/>
              <w:bottom w:val="single" w:sz="4" w:space="0" w:color="auto"/>
              <w:right w:val="single" w:sz="4" w:space="0" w:color="auto"/>
            </w:tcBorders>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Менее 0,1</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Менее 0,5</w:t>
            </w:r>
          </w:p>
        </w:tc>
        <w:tc>
          <w:tcPr>
            <w:tcW w:w="1701"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45</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4</w:t>
            </w:r>
          </w:p>
        </w:tc>
        <w:tc>
          <w:tcPr>
            <w:tcW w:w="1985"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Нитриты (по NO2)</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менее 0,003</w:t>
            </w:r>
          </w:p>
        </w:tc>
        <w:tc>
          <w:tcPr>
            <w:tcW w:w="1842" w:type="dxa"/>
            <w:tcBorders>
              <w:top w:val="single" w:sz="4" w:space="0" w:color="auto"/>
              <w:left w:val="nil"/>
              <w:bottom w:val="single" w:sz="4" w:space="0" w:color="auto"/>
              <w:right w:val="single" w:sz="4" w:space="0" w:color="auto"/>
            </w:tcBorders>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Менее 0,003</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Менее 0,003</w:t>
            </w:r>
          </w:p>
        </w:tc>
        <w:tc>
          <w:tcPr>
            <w:tcW w:w="1701"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3</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5</w:t>
            </w:r>
          </w:p>
        </w:tc>
        <w:tc>
          <w:tcPr>
            <w:tcW w:w="1985"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line="240" w:lineRule="auto"/>
              <w:rPr>
                <w:rFonts w:ascii="Times New Roman" w:hAnsi="Times New Roman" w:cs="Times New Roman"/>
                <w:color w:val="000000"/>
              </w:rPr>
            </w:pPr>
            <w:r w:rsidRPr="00D74571">
              <w:rPr>
                <w:rFonts w:ascii="Times New Roman" w:hAnsi="Times New Roman" w:cs="Times New Roman"/>
                <w:color w:val="000000"/>
              </w:rPr>
              <w:t>Сульфаты</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5,0 ± 1</w:t>
            </w:r>
          </w:p>
        </w:tc>
        <w:tc>
          <w:tcPr>
            <w:tcW w:w="1842"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Менее 2,0</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6,75</w:t>
            </w:r>
          </w:p>
        </w:tc>
        <w:tc>
          <w:tcPr>
            <w:tcW w:w="1701"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500</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line="240" w:lineRule="auto"/>
              <w:rPr>
                <w:rFonts w:ascii="Times New Roman" w:hAnsi="Times New Roman" w:cs="Times New Roman"/>
                <w:color w:val="000000"/>
                <w:vertAlign w:val="superscript"/>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6</w:t>
            </w:r>
          </w:p>
        </w:tc>
        <w:tc>
          <w:tcPr>
            <w:tcW w:w="1985"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line="240" w:lineRule="auto"/>
              <w:rPr>
                <w:rFonts w:ascii="Times New Roman" w:hAnsi="Times New Roman" w:cs="Times New Roman"/>
                <w:color w:val="000000"/>
              </w:rPr>
            </w:pPr>
            <w:r w:rsidRPr="00D74571">
              <w:rPr>
                <w:rFonts w:ascii="Times New Roman" w:hAnsi="Times New Roman" w:cs="Times New Roman"/>
                <w:color w:val="000000"/>
              </w:rPr>
              <w:t xml:space="preserve">Кадмий </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line="240" w:lineRule="auto"/>
              <w:jc w:val="center"/>
              <w:rPr>
                <w:rFonts w:ascii="Times New Roman" w:hAnsi="Times New Roman" w:cs="Times New Roman"/>
              </w:rPr>
            </w:pPr>
            <w:r w:rsidRPr="00D74571">
              <w:rPr>
                <w:rFonts w:ascii="Times New Roman" w:hAnsi="Times New Roman" w:cs="Times New Roman"/>
              </w:rPr>
              <w:t>менее 0,0002</w:t>
            </w:r>
          </w:p>
        </w:tc>
        <w:tc>
          <w:tcPr>
            <w:tcW w:w="1842" w:type="dxa"/>
            <w:tcBorders>
              <w:top w:val="single" w:sz="4" w:space="0" w:color="auto"/>
              <w:left w:val="nil"/>
              <w:bottom w:val="single" w:sz="4" w:space="0" w:color="auto"/>
              <w:right w:val="single" w:sz="4" w:space="0" w:color="auto"/>
            </w:tcBorders>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autoSpaceDE w:val="0"/>
              <w:autoSpaceDN w:val="0"/>
              <w:adjustRightInd w:val="0"/>
              <w:spacing w:line="240" w:lineRule="auto"/>
              <w:jc w:val="center"/>
              <w:rPr>
                <w:rFonts w:ascii="Times New Roman" w:hAnsi="Times New Roman" w:cs="Times New Roman"/>
              </w:rPr>
            </w:pPr>
            <w:r w:rsidRPr="00D74571">
              <w:rPr>
                <w:rFonts w:ascii="Times New Roman" w:hAnsi="Times New Roman" w:cs="Times New Roman"/>
              </w:rPr>
              <w:t>менее 0,0002</w:t>
            </w:r>
          </w:p>
        </w:tc>
        <w:tc>
          <w:tcPr>
            <w:tcW w:w="1701"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0,001</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7</w:t>
            </w:r>
          </w:p>
        </w:tc>
        <w:tc>
          <w:tcPr>
            <w:tcW w:w="1985"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line="240" w:lineRule="auto"/>
              <w:rPr>
                <w:rFonts w:ascii="Times New Roman" w:hAnsi="Times New Roman" w:cs="Times New Roman"/>
                <w:color w:val="000000"/>
              </w:rPr>
            </w:pPr>
            <w:r w:rsidRPr="00D74571">
              <w:rPr>
                <w:rFonts w:ascii="Times New Roman" w:hAnsi="Times New Roman" w:cs="Times New Roman"/>
                <w:color w:val="000000"/>
              </w:rPr>
              <w:t>Марганец</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w:t>
            </w:r>
          </w:p>
        </w:tc>
        <w:tc>
          <w:tcPr>
            <w:tcW w:w="1842"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rPr>
            </w:pPr>
          </w:p>
        </w:tc>
        <w:tc>
          <w:tcPr>
            <w:tcW w:w="1701"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0,1</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8</w:t>
            </w:r>
          </w:p>
        </w:tc>
        <w:tc>
          <w:tcPr>
            <w:tcW w:w="1985"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line="240" w:lineRule="auto"/>
              <w:rPr>
                <w:rFonts w:ascii="Times New Roman" w:hAnsi="Times New Roman" w:cs="Times New Roman"/>
                <w:color w:val="000000"/>
              </w:rPr>
            </w:pPr>
            <w:r w:rsidRPr="00D74571">
              <w:rPr>
                <w:rFonts w:ascii="Times New Roman" w:hAnsi="Times New Roman" w:cs="Times New Roman"/>
                <w:color w:val="000000"/>
              </w:rPr>
              <w:t>Мышьяк</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line="240" w:lineRule="auto"/>
              <w:jc w:val="center"/>
              <w:rPr>
                <w:rFonts w:ascii="Times New Roman" w:hAnsi="Times New Roman" w:cs="Times New Roman"/>
              </w:rPr>
            </w:pPr>
            <w:r w:rsidRPr="00D74571">
              <w:rPr>
                <w:rFonts w:ascii="Times New Roman" w:hAnsi="Times New Roman" w:cs="Times New Roman"/>
              </w:rPr>
              <w:t>-</w:t>
            </w:r>
          </w:p>
        </w:tc>
        <w:tc>
          <w:tcPr>
            <w:tcW w:w="1842" w:type="dxa"/>
            <w:tcBorders>
              <w:top w:val="single" w:sz="4" w:space="0" w:color="auto"/>
              <w:left w:val="nil"/>
              <w:bottom w:val="single" w:sz="4" w:space="0" w:color="auto"/>
              <w:right w:val="single" w:sz="4" w:space="0" w:color="auto"/>
            </w:tcBorders>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w:t>
            </w:r>
          </w:p>
        </w:tc>
        <w:tc>
          <w:tcPr>
            <w:tcW w:w="1701"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0,05</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9</w:t>
            </w:r>
          </w:p>
        </w:tc>
        <w:tc>
          <w:tcPr>
            <w:tcW w:w="1985"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line="240" w:lineRule="auto"/>
              <w:rPr>
                <w:rFonts w:ascii="Times New Roman" w:hAnsi="Times New Roman" w:cs="Times New Roman"/>
                <w:color w:val="000000"/>
              </w:rPr>
            </w:pPr>
            <w:r w:rsidRPr="00D74571">
              <w:rPr>
                <w:rFonts w:ascii="Times New Roman" w:hAnsi="Times New Roman" w:cs="Times New Roman"/>
                <w:color w:val="000000"/>
              </w:rPr>
              <w:t>Никель</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w:t>
            </w:r>
          </w:p>
        </w:tc>
        <w:tc>
          <w:tcPr>
            <w:tcW w:w="1842" w:type="dxa"/>
            <w:tcBorders>
              <w:top w:val="single" w:sz="4" w:space="0" w:color="auto"/>
              <w:left w:val="nil"/>
              <w:bottom w:val="single" w:sz="4" w:space="0" w:color="auto"/>
              <w:right w:val="single" w:sz="4" w:space="0" w:color="auto"/>
            </w:tcBorders>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w:t>
            </w:r>
          </w:p>
        </w:tc>
        <w:tc>
          <w:tcPr>
            <w:tcW w:w="1701"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0,1</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10</w:t>
            </w:r>
          </w:p>
        </w:tc>
        <w:tc>
          <w:tcPr>
            <w:tcW w:w="1985"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line="240" w:lineRule="auto"/>
              <w:rPr>
                <w:rFonts w:ascii="Times New Roman" w:hAnsi="Times New Roman" w:cs="Times New Roman"/>
                <w:color w:val="000000"/>
              </w:rPr>
            </w:pPr>
            <w:r w:rsidRPr="00D74571">
              <w:rPr>
                <w:rFonts w:ascii="Times New Roman" w:hAnsi="Times New Roman" w:cs="Times New Roman"/>
                <w:color w:val="000000"/>
              </w:rPr>
              <w:t>Свинец</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менее 0,0006</w:t>
            </w:r>
          </w:p>
        </w:tc>
        <w:tc>
          <w:tcPr>
            <w:tcW w:w="1842" w:type="dxa"/>
            <w:tcBorders>
              <w:top w:val="single" w:sz="4" w:space="0" w:color="auto"/>
              <w:left w:val="nil"/>
              <w:bottom w:val="single" w:sz="4" w:space="0" w:color="auto"/>
              <w:right w:val="single" w:sz="4" w:space="0" w:color="auto"/>
            </w:tcBorders>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менее 0,0002</w:t>
            </w:r>
          </w:p>
        </w:tc>
        <w:tc>
          <w:tcPr>
            <w:tcW w:w="1701"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0,03</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11</w:t>
            </w:r>
          </w:p>
        </w:tc>
        <w:tc>
          <w:tcPr>
            <w:tcW w:w="1985"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line="240" w:lineRule="auto"/>
              <w:rPr>
                <w:rFonts w:ascii="Times New Roman" w:hAnsi="Times New Roman" w:cs="Times New Roman"/>
                <w:color w:val="000000"/>
              </w:rPr>
            </w:pPr>
            <w:r w:rsidRPr="00D74571">
              <w:rPr>
                <w:rFonts w:ascii="Times New Roman" w:hAnsi="Times New Roman" w:cs="Times New Roman"/>
                <w:color w:val="000000"/>
              </w:rPr>
              <w:t>Медь</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менее 0,01</w:t>
            </w:r>
          </w:p>
        </w:tc>
        <w:tc>
          <w:tcPr>
            <w:tcW w:w="1842" w:type="dxa"/>
            <w:tcBorders>
              <w:top w:val="single" w:sz="4" w:space="0" w:color="auto"/>
              <w:left w:val="nil"/>
              <w:bottom w:val="single" w:sz="4" w:space="0" w:color="auto"/>
              <w:right w:val="single" w:sz="4" w:space="0" w:color="auto"/>
            </w:tcBorders>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w:t>
            </w:r>
          </w:p>
        </w:tc>
        <w:tc>
          <w:tcPr>
            <w:tcW w:w="1560"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менее 0,01</w:t>
            </w:r>
          </w:p>
        </w:tc>
        <w:tc>
          <w:tcPr>
            <w:tcW w:w="1701"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1</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12</w:t>
            </w:r>
          </w:p>
        </w:tc>
        <w:tc>
          <w:tcPr>
            <w:tcW w:w="1985"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line="240" w:lineRule="auto"/>
              <w:rPr>
                <w:rFonts w:ascii="Times New Roman" w:hAnsi="Times New Roman" w:cs="Times New Roman"/>
                <w:color w:val="000000"/>
              </w:rPr>
            </w:pPr>
            <w:r w:rsidRPr="00D74571">
              <w:rPr>
                <w:rFonts w:ascii="Times New Roman" w:hAnsi="Times New Roman" w:cs="Times New Roman"/>
                <w:color w:val="000000"/>
              </w:rPr>
              <w:t>Цинк</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 xml:space="preserve">0,0005 </w:t>
            </w:r>
          </w:p>
        </w:tc>
        <w:tc>
          <w:tcPr>
            <w:tcW w:w="1842" w:type="dxa"/>
            <w:tcBorders>
              <w:top w:val="single" w:sz="4" w:space="0" w:color="auto"/>
              <w:left w:val="nil"/>
              <w:bottom w:val="single" w:sz="4" w:space="0" w:color="auto"/>
              <w:right w:val="single" w:sz="4" w:space="0" w:color="auto"/>
            </w:tcBorders>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w:t>
            </w:r>
          </w:p>
        </w:tc>
        <w:tc>
          <w:tcPr>
            <w:tcW w:w="1560"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0,167</w:t>
            </w:r>
          </w:p>
        </w:tc>
        <w:tc>
          <w:tcPr>
            <w:tcW w:w="1701"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5</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93"/>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13</w:t>
            </w:r>
          </w:p>
        </w:tc>
        <w:tc>
          <w:tcPr>
            <w:tcW w:w="1985"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line="240" w:lineRule="auto"/>
              <w:rPr>
                <w:rFonts w:ascii="Times New Roman" w:hAnsi="Times New Roman" w:cs="Times New Roman"/>
                <w:color w:val="000000"/>
              </w:rPr>
            </w:pPr>
            <w:r w:rsidRPr="00D74571">
              <w:rPr>
                <w:rFonts w:ascii="Times New Roman" w:hAnsi="Times New Roman" w:cs="Times New Roman"/>
                <w:color w:val="000000"/>
              </w:rPr>
              <w:t xml:space="preserve">Фтор </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w:t>
            </w:r>
          </w:p>
        </w:tc>
        <w:tc>
          <w:tcPr>
            <w:tcW w:w="1842" w:type="dxa"/>
            <w:tcBorders>
              <w:top w:val="single" w:sz="4" w:space="0" w:color="auto"/>
              <w:left w:val="nil"/>
              <w:bottom w:val="single" w:sz="4" w:space="0" w:color="auto"/>
              <w:right w:val="single" w:sz="4" w:space="0" w:color="auto"/>
            </w:tcBorders>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w:t>
            </w:r>
          </w:p>
        </w:tc>
        <w:tc>
          <w:tcPr>
            <w:tcW w:w="1560"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w:t>
            </w:r>
          </w:p>
        </w:tc>
        <w:tc>
          <w:tcPr>
            <w:tcW w:w="1701"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1,5</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14</w:t>
            </w:r>
          </w:p>
        </w:tc>
        <w:tc>
          <w:tcPr>
            <w:tcW w:w="1985"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line="240" w:lineRule="auto"/>
              <w:rPr>
                <w:rFonts w:ascii="Times New Roman" w:hAnsi="Times New Roman" w:cs="Times New Roman"/>
                <w:color w:val="000000"/>
              </w:rPr>
            </w:pPr>
            <w:r w:rsidRPr="00D74571">
              <w:rPr>
                <w:rFonts w:ascii="Times New Roman" w:hAnsi="Times New Roman" w:cs="Times New Roman"/>
                <w:color w:val="000000"/>
              </w:rPr>
              <w:t>Хлориды</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87,4 ± 1,4</w:t>
            </w:r>
          </w:p>
        </w:tc>
        <w:tc>
          <w:tcPr>
            <w:tcW w:w="1842"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105,0 ± 1,4</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99,0</w:t>
            </w:r>
          </w:p>
        </w:tc>
        <w:tc>
          <w:tcPr>
            <w:tcW w:w="1701"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350</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15</w:t>
            </w:r>
          </w:p>
        </w:tc>
        <w:tc>
          <w:tcPr>
            <w:tcW w:w="1985"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line="240" w:lineRule="auto"/>
              <w:rPr>
                <w:rFonts w:ascii="Times New Roman" w:hAnsi="Times New Roman" w:cs="Times New Roman"/>
                <w:color w:val="000000"/>
              </w:rPr>
            </w:pPr>
            <w:r w:rsidRPr="00D74571">
              <w:rPr>
                <w:rFonts w:ascii="Times New Roman" w:hAnsi="Times New Roman" w:cs="Times New Roman"/>
                <w:color w:val="000000"/>
              </w:rPr>
              <w:t>Щелочность</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jc w:val="center"/>
              <w:rPr>
                <w:rFonts w:ascii="Times New Roman" w:hAnsi="Times New Roman" w:cs="Times New Roman"/>
                <w:bCs/>
              </w:rPr>
            </w:pPr>
            <w:r w:rsidRPr="00D74571">
              <w:rPr>
                <w:rFonts w:ascii="Times New Roman" w:hAnsi="Times New Roman" w:cs="Times New Roman"/>
                <w:bCs/>
              </w:rPr>
              <w:t>-</w:t>
            </w:r>
          </w:p>
        </w:tc>
        <w:tc>
          <w:tcPr>
            <w:tcW w:w="1842" w:type="dxa"/>
            <w:tcBorders>
              <w:top w:val="single" w:sz="4" w:space="0" w:color="auto"/>
              <w:left w:val="nil"/>
              <w:bottom w:val="single" w:sz="4" w:space="0" w:color="auto"/>
              <w:right w:val="single" w:sz="4" w:space="0" w:color="auto"/>
            </w:tcBorders>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bCs/>
              </w:rPr>
              <w:t>-</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w:t>
            </w:r>
          </w:p>
        </w:tc>
        <w:tc>
          <w:tcPr>
            <w:tcW w:w="1701"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7</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16</w:t>
            </w:r>
          </w:p>
        </w:tc>
        <w:tc>
          <w:tcPr>
            <w:tcW w:w="1985"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Жесткость общая</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2,7 ± 0,4</w:t>
            </w:r>
          </w:p>
        </w:tc>
        <w:tc>
          <w:tcPr>
            <w:tcW w:w="1842"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2,50 ± 0,38</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1,106</w:t>
            </w:r>
          </w:p>
        </w:tc>
        <w:tc>
          <w:tcPr>
            <w:tcW w:w="1701"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7</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оЖ</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17</w:t>
            </w:r>
          </w:p>
        </w:tc>
        <w:tc>
          <w:tcPr>
            <w:tcW w:w="1985"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рН</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7,6 ± 0,2</w:t>
            </w:r>
          </w:p>
        </w:tc>
        <w:tc>
          <w:tcPr>
            <w:tcW w:w="1842"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8,1 ± 0,2</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7,4</w:t>
            </w:r>
          </w:p>
        </w:tc>
        <w:tc>
          <w:tcPr>
            <w:tcW w:w="1701"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от 6 до 9</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единицы pH</w:t>
            </w:r>
          </w:p>
        </w:tc>
      </w:tr>
      <w:tr w:rsidR="00630798" w:rsidRPr="00D74571" w:rsidTr="00630798">
        <w:trPr>
          <w:trHeight w:val="300"/>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18</w:t>
            </w:r>
          </w:p>
        </w:tc>
        <w:tc>
          <w:tcPr>
            <w:tcW w:w="1985"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Окисляемость перманганатная</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Менее 0,0005</w:t>
            </w:r>
          </w:p>
        </w:tc>
        <w:tc>
          <w:tcPr>
            <w:tcW w:w="1842"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line="240" w:lineRule="auto"/>
              <w:rPr>
                <w:rFonts w:ascii="Times New Roman" w:hAnsi="Times New Roman" w:cs="Times New Roman"/>
                <w:b/>
              </w:rPr>
            </w:pPr>
            <w:r w:rsidRPr="00D74571">
              <w:rPr>
                <w:rFonts w:ascii="Times New Roman" w:hAnsi="Times New Roman" w:cs="Times New Roman"/>
                <w:b/>
              </w:rPr>
              <w:t>7,44 ± 0,74</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b/>
              </w:rPr>
            </w:pPr>
            <w:r w:rsidRPr="00D74571">
              <w:rPr>
                <w:rFonts w:ascii="Times New Roman" w:hAnsi="Times New Roman" w:cs="Times New Roman"/>
              </w:rPr>
              <w:t>Менее 3,72</w:t>
            </w:r>
          </w:p>
        </w:tc>
        <w:tc>
          <w:tcPr>
            <w:tcW w:w="1701"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5</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мгО2/дм3</w:t>
            </w:r>
          </w:p>
        </w:tc>
      </w:tr>
      <w:tr w:rsidR="00630798" w:rsidRPr="00D74571" w:rsidTr="00630798">
        <w:trPr>
          <w:trHeight w:val="469"/>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19</w:t>
            </w:r>
          </w:p>
        </w:tc>
        <w:tc>
          <w:tcPr>
            <w:tcW w:w="1985"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Общая минерализация (сухой остаток)</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454,00 ± 40,8</w:t>
            </w:r>
          </w:p>
        </w:tc>
        <w:tc>
          <w:tcPr>
            <w:tcW w:w="1842"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405,0 ± 36,49</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447,00</w:t>
            </w:r>
          </w:p>
          <w:p w:rsidR="00630798" w:rsidRPr="00D74571" w:rsidRDefault="00630798" w:rsidP="00D74571">
            <w:pPr>
              <w:spacing w:line="240" w:lineRule="auto"/>
              <w:jc w:val="center"/>
              <w:rPr>
                <w:rFonts w:ascii="Times New Roman" w:hAnsi="Times New Roman" w:cs="Times New Roman"/>
              </w:rPr>
            </w:pPr>
          </w:p>
        </w:tc>
        <w:tc>
          <w:tcPr>
            <w:tcW w:w="1701"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1000 (1500)</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469"/>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20</w:t>
            </w:r>
          </w:p>
        </w:tc>
        <w:tc>
          <w:tcPr>
            <w:tcW w:w="1985"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ПАВанионо-активные</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менее 0,025</w:t>
            </w:r>
          </w:p>
        </w:tc>
        <w:tc>
          <w:tcPr>
            <w:tcW w:w="1842" w:type="dxa"/>
            <w:tcBorders>
              <w:top w:val="single" w:sz="4" w:space="0" w:color="auto"/>
              <w:left w:val="nil"/>
              <w:bottom w:val="single" w:sz="4" w:space="0" w:color="auto"/>
              <w:right w:val="single" w:sz="4" w:space="0" w:color="auto"/>
            </w:tcBorders>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менее 0,025</w:t>
            </w:r>
          </w:p>
        </w:tc>
        <w:tc>
          <w:tcPr>
            <w:tcW w:w="1701"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0,5</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469"/>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21</w:t>
            </w:r>
          </w:p>
        </w:tc>
        <w:tc>
          <w:tcPr>
            <w:tcW w:w="1985" w:type="dxa"/>
            <w:tcBorders>
              <w:top w:val="single" w:sz="4" w:space="0" w:color="auto"/>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Нефтепродукты (суммарно)</w:t>
            </w:r>
          </w:p>
        </w:tc>
        <w:tc>
          <w:tcPr>
            <w:tcW w:w="1701" w:type="dxa"/>
            <w:tcBorders>
              <w:top w:val="single" w:sz="4" w:space="0" w:color="auto"/>
              <w:left w:val="nil"/>
              <w:bottom w:val="single" w:sz="4" w:space="0" w:color="auto"/>
              <w:right w:val="single" w:sz="4" w:space="0" w:color="auto"/>
            </w:tcBorders>
            <w:shd w:val="clear" w:color="auto" w:fill="auto"/>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0,09 ± 0,03</w:t>
            </w:r>
          </w:p>
        </w:tc>
        <w:tc>
          <w:tcPr>
            <w:tcW w:w="1842"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0,010 ± 0,005</w:t>
            </w:r>
          </w:p>
        </w:tc>
        <w:tc>
          <w:tcPr>
            <w:tcW w:w="1560"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0,05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0,1</w:t>
            </w:r>
          </w:p>
        </w:tc>
        <w:tc>
          <w:tcPr>
            <w:tcW w:w="1134" w:type="dxa"/>
            <w:tcBorders>
              <w:top w:val="single" w:sz="4" w:space="0" w:color="auto"/>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469"/>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22</w:t>
            </w:r>
          </w:p>
        </w:tc>
        <w:tc>
          <w:tcPr>
            <w:tcW w:w="1985"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Формальдегид</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w:t>
            </w:r>
          </w:p>
        </w:tc>
        <w:tc>
          <w:tcPr>
            <w:tcW w:w="1842" w:type="dxa"/>
            <w:tcBorders>
              <w:top w:val="single" w:sz="4" w:space="0" w:color="auto"/>
              <w:left w:val="nil"/>
              <w:bottom w:val="single" w:sz="4" w:space="0" w:color="auto"/>
              <w:right w:val="single" w:sz="4" w:space="0" w:color="auto"/>
            </w:tcBorders>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w:t>
            </w:r>
          </w:p>
        </w:tc>
        <w:tc>
          <w:tcPr>
            <w:tcW w:w="1701"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0,5</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469"/>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23</w:t>
            </w:r>
          </w:p>
        </w:tc>
        <w:tc>
          <w:tcPr>
            <w:tcW w:w="1985"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Гидроксибензол</w:t>
            </w:r>
          </w:p>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(Фенол)</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менее 0,0005</w:t>
            </w:r>
          </w:p>
        </w:tc>
        <w:tc>
          <w:tcPr>
            <w:tcW w:w="1842" w:type="dxa"/>
            <w:tcBorders>
              <w:top w:val="single" w:sz="4" w:space="0" w:color="auto"/>
              <w:left w:val="nil"/>
              <w:bottom w:val="single" w:sz="4" w:space="0" w:color="auto"/>
              <w:right w:val="single" w:sz="4" w:space="0" w:color="auto"/>
            </w:tcBorders>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менее 0,0005</w:t>
            </w:r>
          </w:p>
        </w:tc>
        <w:tc>
          <w:tcPr>
            <w:tcW w:w="1701"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0,001</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24</w:t>
            </w:r>
          </w:p>
        </w:tc>
        <w:tc>
          <w:tcPr>
            <w:tcW w:w="1985"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Запах при 20 °C</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1</w:t>
            </w:r>
          </w:p>
        </w:tc>
        <w:tc>
          <w:tcPr>
            <w:tcW w:w="1842" w:type="dxa"/>
            <w:tcBorders>
              <w:top w:val="single" w:sz="4" w:space="0" w:color="auto"/>
              <w:left w:val="nil"/>
              <w:bottom w:val="single" w:sz="4" w:space="0" w:color="auto"/>
              <w:right w:val="single" w:sz="4" w:space="0" w:color="auto"/>
            </w:tcBorders>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1</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1</w:t>
            </w:r>
          </w:p>
        </w:tc>
        <w:tc>
          <w:tcPr>
            <w:tcW w:w="1701"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2</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25</w:t>
            </w:r>
          </w:p>
        </w:tc>
        <w:tc>
          <w:tcPr>
            <w:tcW w:w="1985"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Запах при 60 °C</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2</w:t>
            </w:r>
          </w:p>
        </w:tc>
        <w:tc>
          <w:tcPr>
            <w:tcW w:w="1842" w:type="dxa"/>
            <w:tcBorders>
              <w:top w:val="single" w:sz="4" w:space="0" w:color="auto"/>
              <w:left w:val="nil"/>
              <w:bottom w:val="single" w:sz="4" w:space="0" w:color="auto"/>
              <w:right w:val="single" w:sz="4" w:space="0" w:color="auto"/>
            </w:tcBorders>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2</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2</w:t>
            </w:r>
          </w:p>
        </w:tc>
        <w:tc>
          <w:tcPr>
            <w:tcW w:w="1701"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2</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lastRenderedPageBreak/>
              <w:t>26</w:t>
            </w:r>
          </w:p>
        </w:tc>
        <w:tc>
          <w:tcPr>
            <w:tcW w:w="1985"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Мутность</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jc w:val="center"/>
              <w:rPr>
                <w:rFonts w:ascii="Times New Roman" w:hAnsi="Times New Roman" w:cs="Times New Roman"/>
                <w:b/>
              </w:rPr>
            </w:pPr>
            <w:r w:rsidRPr="00D74571">
              <w:rPr>
                <w:rFonts w:ascii="Times New Roman" w:hAnsi="Times New Roman" w:cs="Times New Roman"/>
                <w:b/>
              </w:rPr>
              <w:t>1,67± 0,33</w:t>
            </w:r>
          </w:p>
        </w:tc>
        <w:tc>
          <w:tcPr>
            <w:tcW w:w="1842" w:type="dxa"/>
            <w:tcBorders>
              <w:top w:val="single" w:sz="4" w:space="0" w:color="auto"/>
              <w:left w:val="nil"/>
              <w:bottom w:val="single" w:sz="4" w:space="0" w:color="auto"/>
              <w:right w:val="single" w:sz="4" w:space="0" w:color="auto"/>
            </w:tcBorders>
          </w:tcPr>
          <w:p w:rsidR="00630798" w:rsidRPr="00D74571" w:rsidRDefault="00630798" w:rsidP="00D74571">
            <w:pPr>
              <w:spacing w:line="240" w:lineRule="auto"/>
              <w:rPr>
                <w:rFonts w:ascii="Times New Roman" w:hAnsi="Times New Roman" w:cs="Times New Roman"/>
                <w:b/>
              </w:rPr>
            </w:pPr>
            <w:r w:rsidRPr="00D74571">
              <w:rPr>
                <w:rFonts w:ascii="Times New Roman" w:hAnsi="Times New Roman" w:cs="Times New Roman"/>
                <w:b/>
              </w:rPr>
              <w:t>7,11 ± 1,42</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b/>
              </w:rPr>
            </w:pPr>
            <w:r w:rsidRPr="00D74571">
              <w:rPr>
                <w:rFonts w:ascii="Times New Roman" w:hAnsi="Times New Roman" w:cs="Times New Roman"/>
                <w:b/>
              </w:rPr>
              <w:t>3,196</w:t>
            </w:r>
          </w:p>
        </w:tc>
        <w:tc>
          <w:tcPr>
            <w:tcW w:w="1701"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1,5 (2)</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27</w:t>
            </w:r>
          </w:p>
        </w:tc>
        <w:tc>
          <w:tcPr>
            <w:tcW w:w="1985"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Привкус</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2</w:t>
            </w:r>
          </w:p>
        </w:tc>
        <w:tc>
          <w:tcPr>
            <w:tcW w:w="1842" w:type="dxa"/>
            <w:tcBorders>
              <w:top w:val="single" w:sz="4" w:space="0" w:color="auto"/>
              <w:left w:val="nil"/>
              <w:bottom w:val="single" w:sz="4" w:space="0" w:color="auto"/>
              <w:right w:val="single" w:sz="4" w:space="0" w:color="auto"/>
            </w:tcBorders>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2</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2</w:t>
            </w:r>
          </w:p>
        </w:tc>
        <w:tc>
          <w:tcPr>
            <w:tcW w:w="1701"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 xml:space="preserve"> не более 2</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28</w:t>
            </w:r>
          </w:p>
        </w:tc>
        <w:tc>
          <w:tcPr>
            <w:tcW w:w="1985"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Цветность</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12,10 ± 2,42</w:t>
            </w:r>
          </w:p>
        </w:tc>
        <w:tc>
          <w:tcPr>
            <w:tcW w:w="1842"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59,2 ± 5,9</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15,72</w:t>
            </w:r>
          </w:p>
        </w:tc>
        <w:tc>
          <w:tcPr>
            <w:tcW w:w="1701"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20 (35)</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град.</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29</w:t>
            </w:r>
          </w:p>
        </w:tc>
        <w:tc>
          <w:tcPr>
            <w:tcW w:w="1985"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 xml:space="preserve">Алюминий остаточный </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jc w:val="center"/>
              <w:rPr>
                <w:rFonts w:ascii="Times New Roman" w:hAnsi="Times New Roman" w:cs="Times New Roman"/>
                <w:b/>
                <w:bCs/>
              </w:rPr>
            </w:pPr>
            <w:r w:rsidRPr="00D74571">
              <w:rPr>
                <w:rFonts w:ascii="Times New Roman" w:hAnsi="Times New Roman" w:cs="Times New Roman"/>
              </w:rPr>
              <w:t>Менее 0,02</w:t>
            </w:r>
          </w:p>
        </w:tc>
        <w:tc>
          <w:tcPr>
            <w:tcW w:w="1842" w:type="dxa"/>
            <w:tcBorders>
              <w:top w:val="single" w:sz="4" w:space="0" w:color="auto"/>
              <w:left w:val="nil"/>
              <w:bottom w:val="single" w:sz="4" w:space="0" w:color="auto"/>
              <w:right w:val="single" w:sz="4" w:space="0" w:color="auto"/>
            </w:tcBorders>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Менее 0,04</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line="240" w:lineRule="auto"/>
              <w:jc w:val="center"/>
              <w:rPr>
                <w:rFonts w:ascii="Times New Roman" w:hAnsi="Times New Roman" w:cs="Times New Roman"/>
              </w:rPr>
            </w:pPr>
            <w:r w:rsidRPr="00D74571">
              <w:rPr>
                <w:rFonts w:ascii="Times New Roman" w:hAnsi="Times New Roman" w:cs="Times New Roman"/>
              </w:rPr>
              <w:t>Менее 0,023</w:t>
            </w:r>
          </w:p>
        </w:tc>
        <w:tc>
          <w:tcPr>
            <w:tcW w:w="1701"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Не более 0,5</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2553" w:type="dxa"/>
            <w:gridSpan w:val="2"/>
            <w:tcBorders>
              <w:top w:val="single" w:sz="4" w:space="0" w:color="auto"/>
              <w:left w:val="single" w:sz="4" w:space="0" w:color="auto"/>
              <w:bottom w:val="single" w:sz="4" w:space="0" w:color="auto"/>
              <w:right w:val="single" w:sz="4" w:space="0" w:color="auto"/>
            </w:tcBorders>
            <w:shd w:val="clear" w:color="auto" w:fill="auto"/>
            <w:noWrap/>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 протокола, дата и место отбора проб</w:t>
            </w:r>
          </w:p>
        </w:tc>
        <w:tc>
          <w:tcPr>
            <w:tcW w:w="1701" w:type="dxa"/>
            <w:tcBorders>
              <w:top w:val="single" w:sz="4" w:space="0" w:color="auto"/>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 3195.20 от 20.05.2020г., дата отбора 13.05.2020г.,выход с ВОС-1</w:t>
            </w:r>
          </w:p>
        </w:tc>
        <w:tc>
          <w:tcPr>
            <w:tcW w:w="1842" w:type="dxa"/>
            <w:tcBorders>
              <w:top w:val="single" w:sz="4" w:space="0" w:color="auto"/>
              <w:left w:val="nil"/>
              <w:bottom w:val="single" w:sz="4" w:space="0" w:color="auto"/>
              <w:right w:val="single" w:sz="4" w:space="0" w:color="auto"/>
            </w:tcBorders>
          </w:tcPr>
          <w:p w:rsidR="00630798" w:rsidRPr="00D74571" w:rsidRDefault="00630798" w:rsidP="00D74571">
            <w:pPr>
              <w:spacing w:line="240" w:lineRule="auto"/>
              <w:rPr>
                <w:rFonts w:ascii="Times New Roman" w:hAnsi="Times New Roman" w:cs="Times New Roman"/>
              </w:rPr>
            </w:pPr>
            <w:r w:rsidRPr="00D74571">
              <w:rPr>
                <w:rFonts w:ascii="Times New Roman" w:hAnsi="Times New Roman" w:cs="Times New Roman"/>
              </w:rPr>
              <w:t>№ 3376.20 от 25.05.2020г., дата отбора 19.05.2020г.,выход с ВОС-1</w:t>
            </w:r>
          </w:p>
        </w:tc>
        <w:tc>
          <w:tcPr>
            <w:tcW w:w="1560"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tcPr>
          <w:p w:rsidR="00630798" w:rsidRPr="00D74571" w:rsidRDefault="00630798" w:rsidP="00D74571">
            <w:pPr>
              <w:spacing w:line="240" w:lineRule="auto"/>
              <w:rPr>
                <w:rFonts w:ascii="Times New Roman" w:hAnsi="Times New Roman" w:cs="Times New Roman"/>
              </w:rPr>
            </w:pPr>
          </w:p>
        </w:tc>
      </w:tr>
    </w:tbl>
    <w:p w:rsidR="00630798" w:rsidRPr="00D74571" w:rsidRDefault="00630798" w:rsidP="00D74571">
      <w:pPr>
        <w:spacing w:line="240" w:lineRule="auto"/>
        <w:rPr>
          <w:rFonts w:ascii="Times New Roman" w:hAnsi="Times New Roman" w:cs="Times New Roman"/>
        </w:rPr>
      </w:pPr>
    </w:p>
    <w:p w:rsidR="00630798" w:rsidRPr="00D74571" w:rsidRDefault="00630798" w:rsidP="00D74571">
      <w:pPr>
        <w:spacing w:line="240" w:lineRule="auto"/>
        <w:jc w:val="center"/>
        <w:rPr>
          <w:rFonts w:ascii="Times New Roman" w:hAnsi="Times New Roman" w:cs="Times New Roman"/>
          <w:sz w:val="24"/>
          <w:szCs w:val="24"/>
          <w:u w:val="single"/>
        </w:rPr>
      </w:pPr>
      <w:r w:rsidRPr="00D74571">
        <w:rPr>
          <w:rFonts w:ascii="Times New Roman" w:hAnsi="Times New Roman" w:cs="Times New Roman"/>
          <w:sz w:val="24"/>
          <w:szCs w:val="24"/>
        </w:rPr>
        <w:t xml:space="preserve">2 </w:t>
      </w:r>
      <w:r w:rsidRPr="00D74571">
        <w:rPr>
          <w:rFonts w:ascii="Times New Roman" w:hAnsi="Times New Roman" w:cs="Times New Roman"/>
          <w:sz w:val="24"/>
          <w:szCs w:val="24"/>
          <w:u w:val="single"/>
        </w:rPr>
        <w:t>Расчет среднего уровня показателей  проб воды  централизованной системы хозяйственно-питьевого  водоснабжения  отобранных из магистральной сети ВОС-1, по результатам протоколов лабораторных испытаний.</w:t>
      </w:r>
    </w:p>
    <w:tbl>
      <w:tblPr>
        <w:tblW w:w="10491" w:type="dxa"/>
        <w:tblInd w:w="-318" w:type="dxa"/>
        <w:tblLayout w:type="fixed"/>
        <w:tblLook w:val="04A0" w:firstRow="1" w:lastRow="0" w:firstColumn="1" w:lastColumn="0" w:noHBand="0" w:noVBand="1"/>
      </w:tblPr>
      <w:tblGrid>
        <w:gridCol w:w="568"/>
        <w:gridCol w:w="1843"/>
        <w:gridCol w:w="1701"/>
        <w:gridCol w:w="1984"/>
        <w:gridCol w:w="1560"/>
        <w:gridCol w:w="1701"/>
        <w:gridCol w:w="1134"/>
      </w:tblGrid>
      <w:tr w:rsidR="00630798" w:rsidRPr="00D74571" w:rsidTr="00630798">
        <w:trPr>
          <w:trHeight w:val="360"/>
        </w:trPr>
        <w:tc>
          <w:tcPr>
            <w:tcW w:w="568"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п\п</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Показатели</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Результаты исследований</w:t>
            </w:r>
            <w:r w:rsidRPr="00D74571">
              <w:rPr>
                <w:rFonts w:ascii="Times New Roman" w:hAnsi="Times New Roman" w:cs="Times New Roman"/>
                <w:u w:val="single"/>
              </w:rPr>
              <w:t xml:space="preserve"> воды централизованной системы хозяйственно-питьевого  водоснабжения</w:t>
            </w:r>
          </w:p>
        </w:tc>
        <w:tc>
          <w:tcPr>
            <w:tcW w:w="1560"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xml:space="preserve">Средний показатель </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Гигиенический норматив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Единицы измерения</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w:t>
            </w:r>
          </w:p>
        </w:tc>
        <w:tc>
          <w:tcPr>
            <w:tcW w:w="184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Аммиак (по азоту)</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1,21 ± 0,24</w:t>
            </w:r>
          </w:p>
        </w:tc>
        <w:tc>
          <w:tcPr>
            <w:tcW w:w="1984"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0.68 ± 0,14</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1,396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1,5(2)</w:t>
            </w:r>
          </w:p>
        </w:tc>
        <w:tc>
          <w:tcPr>
            <w:tcW w:w="1134"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w:t>
            </w:r>
          </w:p>
        </w:tc>
        <w:tc>
          <w:tcPr>
            <w:tcW w:w="184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Железо</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0,28 ± 0,06</w:t>
            </w:r>
          </w:p>
        </w:tc>
        <w:tc>
          <w:tcPr>
            <w:tcW w:w="1984"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1,37 ± 0,27</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0,673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xml:space="preserve">не более 0,3 </w:t>
            </w:r>
            <w:r w:rsidRPr="00D74571">
              <w:rPr>
                <w:rFonts w:ascii="Times New Roman" w:hAnsi="Times New Roman" w:cs="Times New Roman"/>
                <w:b/>
              </w:rPr>
              <w:t>(1)</w:t>
            </w:r>
          </w:p>
        </w:tc>
        <w:tc>
          <w:tcPr>
            <w:tcW w:w="1134"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3</w:t>
            </w:r>
          </w:p>
        </w:tc>
        <w:tc>
          <w:tcPr>
            <w:tcW w:w="184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Нитраты (по NO3)</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0,5</w:t>
            </w:r>
          </w:p>
        </w:tc>
        <w:tc>
          <w:tcPr>
            <w:tcW w:w="1984"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sz w:val="20"/>
                <w:szCs w:val="20"/>
              </w:rPr>
            </w:pPr>
            <w:r w:rsidRPr="00D74571">
              <w:rPr>
                <w:rFonts w:ascii="Times New Roman" w:hAnsi="Times New Roman" w:cs="Times New Roman"/>
              </w:rPr>
              <w:t>Менее 0,4</w:t>
            </w:r>
          </w:p>
        </w:tc>
        <w:tc>
          <w:tcPr>
            <w:tcW w:w="1560"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sz w:val="20"/>
                <w:szCs w:val="20"/>
              </w:rPr>
            </w:pPr>
            <w:r w:rsidRPr="00D74571">
              <w:rPr>
                <w:rFonts w:ascii="Times New Roman" w:hAnsi="Times New Roman" w:cs="Times New Roman"/>
              </w:rPr>
              <w:t>Менее 0,5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45</w:t>
            </w:r>
          </w:p>
        </w:tc>
        <w:tc>
          <w:tcPr>
            <w:tcW w:w="1134"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4</w:t>
            </w:r>
          </w:p>
        </w:tc>
        <w:tc>
          <w:tcPr>
            <w:tcW w:w="184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Нитриты (по NO2)</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0,003</w:t>
            </w:r>
          </w:p>
        </w:tc>
        <w:tc>
          <w:tcPr>
            <w:tcW w:w="1984"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sz w:val="20"/>
                <w:szCs w:val="20"/>
              </w:rPr>
            </w:pPr>
            <w:r w:rsidRPr="00D74571">
              <w:rPr>
                <w:rFonts w:ascii="Times New Roman" w:hAnsi="Times New Roman" w:cs="Times New Roman"/>
              </w:rPr>
              <w:t>0,008 ± 0,004</w:t>
            </w:r>
          </w:p>
        </w:tc>
        <w:tc>
          <w:tcPr>
            <w:tcW w:w="1560"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sz w:val="20"/>
                <w:szCs w:val="20"/>
              </w:rPr>
            </w:pPr>
            <w:r w:rsidRPr="00D74571">
              <w:rPr>
                <w:rFonts w:ascii="Times New Roman" w:hAnsi="Times New Roman" w:cs="Times New Roman"/>
              </w:rPr>
              <w:t>Менее 0,007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3</w:t>
            </w:r>
          </w:p>
        </w:tc>
        <w:tc>
          <w:tcPr>
            <w:tcW w:w="1134"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5</w:t>
            </w:r>
          </w:p>
        </w:tc>
        <w:tc>
          <w:tcPr>
            <w:tcW w:w="184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Окисляемость перманганатная</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3,56 ± 0,59</w:t>
            </w:r>
          </w:p>
        </w:tc>
        <w:tc>
          <w:tcPr>
            <w:tcW w:w="1984"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3,16 ± 0,32</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3,746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5</w:t>
            </w:r>
          </w:p>
        </w:tc>
        <w:tc>
          <w:tcPr>
            <w:tcW w:w="1134"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мгО2/дм3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6</w:t>
            </w:r>
          </w:p>
        </w:tc>
        <w:tc>
          <w:tcPr>
            <w:tcW w:w="184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Запах при 20 °C</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w:t>
            </w:r>
          </w:p>
        </w:tc>
        <w:tc>
          <w:tcPr>
            <w:tcW w:w="1984"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sz w:val="20"/>
                <w:szCs w:val="20"/>
              </w:rPr>
            </w:pPr>
            <w:r w:rsidRPr="00D74571">
              <w:rPr>
                <w:rFonts w:ascii="Times New Roman" w:hAnsi="Times New Roman" w:cs="Times New Roman"/>
              </w:rPr>
              <w:t>1</w:t>
            </w:r>
          </w:p>
        </w:tc>
        <w:tc>
          <w:tcPr>
            <w:tcW w:w="1560"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w:t>
            </w:r>
          </w:p>
        </w:tc>
        <w:tc>
          <w:tcPr>
            <w:tcW w:w="1134"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7</w:t>
            </w:r>
          </w:p>
        </w:tc>
        <w:tc>
          <w:tcPr>
            <w:tcW w:w="184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Запах при 60 °C</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1984"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sz w:val="20"/>
                <w:szCs w:val="20"/>
              </w:rPr>
            </w:pPr>
            <w:r w:rsidRPr="00D74571">
              <w:rPr>
                <w:rFonts w:ascii="Times New Roman" w:hAnsi="Times New Roman" w:cs="Times New Roman"/>
                <w:b/>
              </w:rPr>
              <w:t>1</w:t>
            </w:r>
          </w:p>
        </w:tc>
        <w:tc>
          <w:tcPr>
            <w:tcW w:w="1560"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w:t>
            </w:r>
          </w:p>
        </w:tc>
        <w:tc>
          <w:tcPr>
            <w:tcW w:w="1134"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8</w:t>
            </w:r>
          </w:p>
        </w:tc>
        <w:tc>
          <w:tcPr>
            <w:tcW w:w="184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Мутность</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1,28 ± 0,12</w:t>
            </w:r>
          </w:p>
        </w:tc>
        <w:tc>
          <w:tcPr>
            <w:tcW w:w="1984"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1,38 ± 0,28</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1,276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xml:space="preserve">не более 1,5 </w:t>
            </w:r>
            <w:r w:rsidRPr="00D74571">
              <w:rPr>
                <w:rFonts w:ascii="Times New Roman" w:hAnsi="Times New Roman" w:cs="Times New Roman"/>
                <w:b/>
              </w:rPr>
              <w:t>(2)</w:t>
            </w:r>
          </w:p>
        </w:tc>
        <w:tc>
          <w:tcPr>
            <w:tcW w:w="1134"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Привкус</w:t>
            </w:r>
          </w:p>
        </w:tc>
        <w:tc>
          <w:tcPr>
            <w:tcW w:w="1701"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1984"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xml:space="preserve"> не более 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10</w:t>
            </w:r>
          </w:p>
        </w:tc>
        <w:tc>
          <w:tcPr>
            <w:tcW w:w="184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Цветность</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19,7 ± 8,56</w:t>
            </w:r>
          </w:p>
        </w:tc>
        <w:tc>
          <w:tcPr>
            <w:tcW w:w="1984"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15,10 ± 3,77</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20 (35)</w:t>
            </w:r>
          </w:p>
        </w:tc>
        <w:tc>
          <w:tcPr>
            <w:tcW w:w="1134"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град.</w:t>
            </w:r>
          </w:p>
        </w:tc>
      </w:tr>
      <w:tr w:rsidR="00630798" w:rsidRPr="00D74571" w:rsidTr="00630798">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Алюминий остаточный</w:t>
            </w:r>
          </w:p>
        </w:tc>
        <w:tc>
          <w:tcPr>
            <w:tcW w:w="1701"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0,02</w:t>
            </w:r>
          </w:p>
        </w:tc>
        <w:tc>
          <w:tcPr>
            <w:tcW w:w="1984"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0,118 ± 0,024</w:t>
            </w:r>
          </w:p>
        </w:tc>
        <w:tc>
          <w:tcPr>
            <w:tcW w:w="1560"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0,5</w:t>
            </w:r>
          </w:p>
        </w:tc>
        <w:tc>
          <w:tcPr>
            <w:tcW w:w="1134" w:type="dxa"/>
            <w:tcBorders>
              <w:top w:val="single" w:sz="4" w:space="0" w:color="auto"/>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24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3373.20 от 25.05.2020г., дата отбора 19.05.2020г., 1около дома № 5, ТК №6</w:t>
            </w:r>
          </w:p>
        </w:tc>
        <w:tc>
          <w:tcPr>
            <w:tcW w:w="1984"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7933.20 от 07.09.2020г., дата отбора 01.09.2020г 1 мкр., около дома № 5, ТК4</w:t>
            </w:r>
          </w:p>
        </w:tc>
        <w:tc>
          <w:tcPr>
            <w:tcW w:w="1560"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p>
        </w:tc>
      </w:tr>
    </w:tbl>
    <w:p w:rsidR="00630798" w:rsidRPr="00D74571" w:rsidRDefault="00630798" w:rsidP="00D74571">
      <w:pPr>
        <w:spacing w:after="0" w:line="240" w:lineRule="auto"/>
        <w:rPr>
          <w:rFonts w:ascii="Times New Roman" w:hAnsi="Times New Roman" w:cs="Times New Roman"/>
          <w:u w:val="single"/>
        </w:rPr>
      </w:pPr>
    </w:p>
    <w:p w:rsidR="00630798" w:rsidRPr="00D74571" w:rsidRDefault="00630798" w:rsidP="00D74571">
      <w:pPr>
        <w:spacing w:after="0" w:line="240" w:lineRule="auto"/>
        <w:rPr>
          <w:rFonts w:ascii="Times New Roman" w:hAnsi="Times New Roman" w:cs="Times New Roman"/>
          <w:u w:val="single"/>
        </w:rPr>
      </w:pPr>
      <w:r w:rsidRPr="00D74571">
        <w:rPr>
          <w:rFonts w:ascii="Times New Roman" w:hAnsi="Times New Roman" w:cs="Times New Roman"/>
          <w:u w:val="single"/>
        </w:rPr>
        <w:t>3. Расчет среднего уровня показателей  проб воды  централизованной системы хозяйственно-питьевого  водоснабжения  (холодной) отобранных в распределительной  сети ВОС-1, по результатам протоколов лабораторных испытаний:</w:t>
      </w:r>
    </w:p>
    <w:tbl>
      <w:tblPr>
        <w:tblW w:w="11180" w:type="dxa"/>
        <w:tblInd w:w="-885" w:type="dxa"/>
        <w:tblLayout w:type="fixed"/>
        <w:tblLook w:val="04A0" w:firstRow="1" w:lastRow="0" w:firstColumn="1" w:lastColumn="0" w:noHBand="0" w:noVBand="1"/>
      </w:tblPr>
      <w:tblGrid>
        <w:gridCol w:w="564"/>
        <w:gridCol w:w="1419"/>
        <w:gridCol w:w="1306"/>
        <w:gridCol w:w="1418"/>
        <w:gridCol w:w="1061"/>
        <w:gridCol w:w="327"/>
        <w:gridCol w:w="670"/>
        <w:gridCol w:w="210"/>
        <w:gridCol w:w="26"/>
        <w:gridCol w:w="242"/>
        <w:gridCol w:w="591"/>
        <w:gridCol w:w="67"/>
        <w:gridCol w:w="236"/>
        <w:gridCol w:w="1106"/>
        <w:gridCol w:w="9"/>
        <w:gridCol w:w="841"/>
        <w:gridCol w:w="9"/>
        <w:gridCol w:w="842"/>
        <w:gridCol w:w="8"/>
        <w:gridCol w:w="228"/>
      </w:tblGrid>
      <w:tr w:rsidR="00630798" w:rsidRPr="00D74571" w:rsidTr="00766BAB">
        <w:trPr>
          <w:gridAfter w:val="1"/>
          <w:wAfter w:w="227" w:type="dxa"/>
          <w:trHeight w:val="360"/>
        </w:trPr>
        <w:tc>
          <w:tcPr>
            <w:tcW w:w="565"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п\п</w:t>
            </w:r>
          </w:p>
        </w:tc>
        <w:tc>
          <w:tcPr>
            <w:tcW w:w="1419"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Показатели</w:t>
            </w:r>
          </w:p>
        </w:tc>
        <w:tc>
          <w:tcPr>
            <w:tcW w:w="585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Результаты исследований</w:t>
            </w:r>
            <w:r w:rsidRPr="00D74571">
              <w:rPr>
                <w:rFonts w:ascii="Times New Roman" w:hAnsi="Times New Roman" w:cs="Times New Roman"/>
                <w:u w:val="single"/>
              </w:rPr>
              <w:t xml:space="preserve"> воды централизованной системы хозяйственно-питьевого  водоснабжения (холодная)</w:t>
            </w:r>
          </w:p>
        </w:tc>
        <w:tc>
          <w:tcPr>
            <w:tcW w:w="1418" w:type="dxa"/>
            <w:gridSpan w:val="4"/>
            <w:tcBorders>
              <w:top w:val="single" w:sz="4" w:space="0" w:color="auto"/>
              <w:left w:val="single" w:sz="4" w:space="0" w:color="auto"/>
              <w:bottom w:val="single" w:sz="4" w:space="0" w:color="auto"/>
              <w:right w:val="nil"/>
            </w:tcBorders>
            <w:shd w:val="clear" w:color="auto" w:fill="auto"/>
            <w:noWrap/>
            <w:hideMark/>
          </w:tcPr>
          <w:p w:rsidR="00630798" w:rsidRPr="00D74571" w:rsidRDefault="00630798" w:rsidP="00D74571">
            <w:pPr>
              <w:spacing w:after="0" w:line="240" w:lineRule="auto"/>
              <w:jc w:val="center"/>
              <w:rPr>
                <w:rFonts w:ascii="Times New Roman" w:hAnsi="Times New Roman" w:cs="Times New Roman"/>
                <w:sz w:val="18"/>
                <w:szCs w:val="18"/>
              </w:rPr>
            </w:pPr>
            <w:r w:rsidRPr="00D74571">
              <w:rPr>
                <w:rFonts w:ascii="Times New Roman" w:hAnsi="Times New Roman" w:cs="Times New Roman"/>
                <w:sz w:val="18"/>
                <w:szCs w:val="18"/>
              </w:rPr>
              <w:t xml:space="preserve">Средний показатель </w:t>
            </w:r>
          </w:p>
        </w:tc>
        <w:tc>
          <w:tcPr>
            <w:tcW w:w="850" w:type="dxa"/>
            <w:gridSpan w:val="2"/>
            <w:tcBorders>
              <w:top w:val="single" w:sz="4" w:space="0" w:color="auto"/>
              <w:left w:val="single" w:sz="4" w:space="0" w:color="auto"/>
              <w:bottom w:val="single" w:sz="4" w:space="0" w:color="auto"/>
              <w:right w:val="nil"/>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sz w:val="18"/>
                <w:szCs w:val="18"/>
              </w:rPr>
            </w:pPr>
            <w:r w:rsidRPr="00D74571">
              <w:rPr>
                <w:rFonts w:ascii="Times New Roman" w:hAnsi="Times New Roman" w:cs="Times New Roman"/>
                <w:sz w:val="18"/>
                <w:szCs w:val="18"/>
              </w:rPr>
              <w:t xml:space="preserve">Гигиенический </w:t>
            </w:r>
          </w:p>
          <w:p w:rsidR="00630798" w:rsidRPr="00D74571" w:rsidRDefault="00630798" w:rsidP="00D74571">
            <w:pPr>
              <w:spacing w:after="0" w:line="240" w:lineRule="auto"/>
              <w:jc w:val="center"/>
              <w:rPr>
                <w:rFonts w:ascii="Times New Roman" w:hAnsi="Times New Roman" w:cs="Times New Roman"/>
                <w:sz w:val="18"/>
                <w:szCs w:val="18"/>
              </w:rPr>
            </w:pPr>
            <w:r w:rsidRPr="00D74571">
              <w:rPr>
                <w:rFonts w:ascii="Times New Roman" w:hAnsi="Times New Roman" w:cs="Times New Roman"/>
                <w:sz w:val="18"/>
                <w:szCs w:val="18"/>
              </w:rPr>
              <w:t>норматив</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Единицы измерения</w:t>
            </w:r>
          </w:p>
        </w:tc>
      </w:tr>
      <w:tr w:rsidR="00766BAB" w:rsidRPr="00D74571" w:rsidTr="00766BAB">
        <w:trPr>
          <w:gridAfter w:val="1"/>
          <w:wAfter w:w="227" w:type="dxa"/>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1</w:t>
            </w:r>
          </w:p>
          <w:p w:rsidR="00766BAB" w:rsidRPr="00D74571" w:rsidRDefault="00766BAB" w:rsidP="00D74571">
            <w:pPr>
              <w:spacing w:after="0" w:line="240" w:lineRule="auto"/>
              <w:rPr>
                <w:rFonts w:ascii="Times New Roman" w:hAnsi="Times New Roman" w:cs="Times New Roman"/>
              </w:rPr>
            </w:pPr>
          </w:p>
        </w:tc>
        <w:tc>
          <w:tcPr>
            <w:tcW w:w="1419" w:type="dxa"/>
            <w:tcBorders>
              <w:top w:val="nil"/>
              <w:left w:val="single" w:sz="4" w:space="0" w:color="auto"/>
              <w:bottom w:val="single" w:sz="4" w:space="0" w:color="auto"/>
              <w:right w:val="single" w:sz="4" w:space="0" w:color="auto"/>
            </w:tcBorders>
            <w:shd w:val="clear" w:color="auto" w:fill="auto"/>
            <w:vAlign w:val="center"/>
          </w:tcPr>
          <w:p w:rsidR="00766BAB" w:rsidRPr="00D74571" w:rsidRDefault="00766BAB" w:rsidP="00D74571">
            <w:pPr>
              <w:spacing w:after="0" w:line="240" w:lineRule="auto"/>
              <w:rPr>
                <w:rFonts w:ascii="Times New Roman" w:hAnsi="Times New Roman" w:cs="Times New Roman"/>
              </w:rPr>
            </w:pPr>
            <w:proofErr w:type="gramStart"/>
            <w:r w:rsidRPr="00D74571">
              <w:rPr>
                <w:rFonts w:ascii="Times New Roman" w:hAnsi="Times New Roman" w:cs="Times New Roman"/>
              </w:rPr>
              <w:t>Аммиак(</w:t>
            </w:r>
            <w:proofErr w:type="gramEnd"/>
            <w:r w:rsidRPr="00D74571">
              <w:rPr>
                <w:rFonts w:ascii="Times New Roman" w:hAnsi="Times New Roman" w:cs="Times New Roman"/>
              </w:rPr>
              <w:t>по азоту)</w:t>
            </w:r>
          </w:p>
          <w:p w:rsidR="00766BAB" w:rsidRPr="00D74571" w:rsidRDefault="00766BAB" w:rsidP="00D74571">
            <w:pPr>
              <w:spacing w:after="0" w:line="240" w:lineRule="auto"/>
              <w:rPr>
                <w:rFonts w:ascii="Times New Roman" w:hAnsi="Times New Roman" w:cs="Times New Roman"/>
              </w:rPr>
            </w:pPr>
          </w:p>
        </w:tc>
        <w:tc>
          <w:tcPr>
            <w:tcW w:w="1306" w:type="dxa"/>
            <w:tcBorders>
              <w:top w:val="nil"/>
              <w:left w:val="nil"/>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b/>
              </w:rPr>
            </w:pPr>
            <w:r w:rsidRPr="00D74571">
              <w:rPr>
                <w:rFonts w:ascii="Times New Roman" w:hAnsi="Times New Roman" w:cs="Times New Roman"/>
                <w:b/>
              </w:rPr>
              <w:t>2,09 ± 0,42</w:t>
            </w:r>
          </w:p>
        </w:tc>
        <w:tc>
          <w:tcPr>
            <w:tcW w:w="1418" w:type="dxa"/>
            <w:tcBorders>
              <w:top w:val="single" w:sz="4" w:space="0" w:color="auto"/>
              <w:left w:val="nil"/>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0,61± 0,32</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0,25 ± 0,05</w:t>
            </w:r>
          </w:p>
        </w:tc>
        <w:tc>
          <w:tcPr>
            <w:tcW w:w="859" w:type="dxa"/>
            <w:gridSpan w:val="3"/>
            <w:tcBorders>
              <w:top w:val="nil"/>
              <w:left w:val="single" w:sz="4" w:space="0" w:color="auto"/>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0,58 ± 0,12</w:t>
            </w:r>
          </w:p>
        </w:tc>
        <w:tc>
          <w:tcPr>
            <w:tcW w:w="1418" w:type="dxa"/>
            <w:gridSpan w:val="4"/>
            <w:tcBorders>
              <w:top w:val="nil"/>
              <w:left w:val="single" w:sz="4" w:space="0" w:color="auto"/>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1,43</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sz w:val="18"/>
                <w:szCs w:val="18"/>
              </w:rPr>
            </w:pPr>
            <w:r w:rsidRPr="00D74571">
              <w:rPr>
                <w:rFonts w:ascii="Times New Roman" w:hAnsi="Times New Roman" w:cs="Times New Roman"/>
                <w:sz w:val="18"/>
                <w:szCs w:val="18"/>
              </w:rPr>
              <w:t>не более 1,5</w:t>
            </w:r>
          </w:p>
        </w:tc>
        <w:tc>
          <w:tcPr>
            <w:tcW w:w="850" w:type="dxa"/>
            <w:gridSpan w:val="2"/>
            <w:tcBorders>
              <w:top w:val="nil"/>
              <w:left w:val="nil"/>
              <w:bottom w:val="single" w:sz="4" w:space="0" w:color="auto"/>
              <w:right w:val="single" w:sz="4" w:space="0" w:color="auto"/>
            </w:tcBorders>
            <w:shd w:val="clear" w:color="auto" w:fill="auto"/>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766BAB" w:rsidRPr="00D74571" w:rsidTr="00766BAB">
        <w:trPr>
          <w:gridAfter w:val="1"/>
          <w:wAfter w:w="227" w:type="dxa"/>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lastRenderedPageBreak/>
              <w:t>2</w:t>
            </w:r>
          </w:p>
        </w:tc>
        <w:tc>
          <w:tcPr>
            <w:tcW w:w="1419" w:type="dxa"/>
            <w:tcBorders>
              <w:top w:val="nil"/>
              <w:left w:val="nil"/>
              <w:bottom w:val="single" w:sz="4" w:space="0" w:color="auto"/>
              <w:right w:val="single" w:sz="4" w:space="0" w:color="auto"/>
            </w:tcBorders>
            <w:shd w:val="clear" w:color="auto" w:fill="auto"/>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Железо</w:t>
            </w:r>
          </w:p>
        </w:tc>
        <w:tc>
          <w:tcPr>
            <w:tcW w:w="1306" w:type="dxa"/>
            <w:tcBorders>
              <w:top w:val="nil"/>
              <w:left w:val="nil"/>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b/>
              </w:rPr>
            </w:pPr>
            <w:r w:rsidRPr="00D74571">
              <w:rPr>
                <w:rFonts w:ascii="Times New Roman" w:hAnsi="Times New Roman" w:cs="Times New Roman"/>
                <w:b/>
              </w:rPr>
              <w:t>1,079 ± 0,162</w:t>
            </w:r>
          </w:p>
        </w:tc>
        <w:tc>
          <w:tcPr>
            <w:tcW w:w="1418" w:type="dxa"/>
            <w:tcBorders>
              <w:top w:val="single" w:sz="4" w:space="0" w:color="auto"/>
              <w:left w:val="nil"/>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b/>
              </w:rPr>
            </w:pPr>
            <w:r w:rsidRPr="00D74571">
              <w:rPr>
                <w:rFonts w:ascii="Times New Roman" w:hAnsi="Times New Roman" w:cs="Times New Roman"/>
                <w:b/>
              </w:rPr>
              <w:t>1,14 ± 0,22</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0,18 ± 0,05</w:t>
            </w:r>
          </w:p>
        </w:tc>
        <w:tc>
          <w:tcPr>
            <w:tcW w:w="859" w:type="dxa"/>
            <w:gridSpan w:val="3"/>
            <w:tcBorders>
              <w:top w:val="nil"/>
              <w:left w:val="single" w:sz="4" w:space="0" w:color="auto"/>
              <w:bottom w:val="single" w:sz="4" w:space="0" w:color="auto"/>
              <w:right w:val="single" w:sz="4" w:space="0" w:color="auto"/>
            </w:tcBorders>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0,3 ± 0,075</w:t>
            </w:r>
          </w:p>
        </w:tc>
        <w:tc>
          <w:tcPr>
            <w:tcW w:w="1418" w:type="dxa"/>
            <w:gridSpan w:val="4"/>
            <w:tcBorders>
              <w:top w:val="nil"/>
              <w:left w:val="single" w:sz="4" w:space="0" w:color="auto"/>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b/>
                <w:sz w:val="20"/>
                <w:szCs w:val="20"/>
              </w:rPr>
            </w:pPr>
            <w:r w:rsidRPr="00D74571">
              <w:rPr>
                <w:rFonts w:ascii="Times New Roman" w:hAnsi="Times New Roman" w:cs="Times New Roman"/>
                <w:b/>
                <w:sz w:val="20"/>
                <w:szCs w:val="20"/>
              </w:rPr>
              <w:t>1.10</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sz w:val="18"/>
                <w:szCs w:val="18"/>
              </w:rPr>
            </w:pPr>
            <w:r w:rsidRPr="00D74571">
              <w:rPr>
                <w:rFonts w:ascii="Times New Roman" w:hAnsi="Times New Roman" w:cs="Times New Roman"/>
                <w:sz w:val="18"/>
                <w:szCs w:val="18"/>
              </w:rPr>
              <w:t>не более 0,3 (1)</w:t>
            </w:r>
          </w:p>
        </w:tc>
        <w:tc>
          <w:tcPr>
            <w:tcW w:w="850" w:type="dxa"/>
            <w:gridSpan w:val="2"/>
            <w:tcBorders>
              <w:top w:val="nil"/>
              <w:left w:val="nil"/>
              <w:bottom w:val="single" w:sz="4" w:space="0" w:color="auto"/>
              <w:right w:val="single" w:sz="4" w:space="0" w:color="auto"/>
            </w:tcBorders>
            <w:shd w:val="clear" w:color="auto" w:fill="auto"/>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766BAB" w:rsidRPr="00D74571" w:rsidTr="00766BAB">
        <w:trPr>
          <w:gridAfter w:val="1"/>
          <w:wAfter w:w="227" w:type="dxa"/>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3</w:t>
            </w:r>
          </w:p>
        </w:tc>
        <w:tc>
          <w:tcPr>
            <w:tcW w:w="1419" w:type="dxa"/>
            <w:tcBorders>
              <w:top w:val="nil"/>
              <w:left w:val="nil"/>
              <w:bottom w:val="single" w:sz="4" w:space="0" w:color="auto"/>
              <w:right w:val="single" w:sz="4" w:space="0" w:color="auto"/>
            </w:tcBorders>
            <w:shd w:val="clear" w:color="auto" w:fill="auto"/>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Нитраты (по NO3)</w:t>
            </w:r>
          </w:p>
        </w:tc>
        <w:tc>
          <w:tcPr>
            <w:tcW w:w="1306" w:type="dxa"/>
            <w:tcBorders>
              <w:top w:val="nil"/>
              <w:left w:val="nil"/>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Менее 0,5</w:t>
            </w:r>
          </w:p>
        </w:tc>
        <w:tc>
          <w:tcPr>
            <w:tcW w:w="1418" w:type="dxa"/>
            <w:tcBorders>
              <w:top w:val="single" w:sz="4" w:space="0" w:color="auto"/>
              <w:left w:val="nil"/>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9,53± 1,43</w:t>
            </w:r>
          </w:p>
        </w:tc>
        <w:tc>
          <w:tcPr>
            <w:tcW w:w="1388" w:type="dxa"/>
            <w:gridSpan w:val="2"/>
            <w:tcBorders>
              <w:top w:val="single" w:sz="4" w:space="0" w:color="auto"/>
              <w:left w:val="single" w:sz="4" w:space="0" w:color="auto"/>
              <w:bottom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p>
        </w:tc>
        <w:tc>
          <w:tcPr>
            <w:tcW w:w="880" w:type="dxa"/>
            <w:gridSpan w:val="2"/>
            <w:tcBorders>
              <w:top w:val="single" w:sz="4" w:space="0" w:color="auto"/>
              <w:left w:val="nil"/>
              <w:bottom w:val="single" w:sz="4" w:space="0" w:color="auto"/>
              <w:right w:val="single" w:sz="4" w:space="0" w:color="auto"/>
            </w:tcBorders>
            <w:vAlign w:val="center"/>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w:t>
            </w:r>
          </w:p>
        </w:tc>
        <w:tc>
          <w:tcPr>
            <w:tcW w:w="859" w:type="dxa"/>
            <w:gridSpan w:val="3"/>
            <w:tcBorders>
              <w:top w:val="nil"/>
              <w:left w:val="single" w:sz="4" w:space="0" w:color="auto"/>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418" w:type="dxa"/>
            <w:gridSpan w:val="4"/>
            <w:tcBorders>
              <w:top w:val="nil"/>
              <w:left w:val="single" w:sz="4" w:space="0" w:color="auto"/>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5,015</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sz w:val="16"/>
                <w:szCs w:val="16"/>
              </w:rPr>
            </w:pPr>
            <w:r w:rsidRPr="00D74571">
              <w:rPr>
                <w:rFonts w:ascii="Times New Roman" w:hAnsi="Times New Roman" w:cs="Times New Roman"/>
                <w:sz w:val="16"/>
                <w:szCs w:val="16"/>
              </w:rPr>
              <w:t>не более</w:t>
            </w:r>
          </w:p>
          <w:p w:rsidR="00766BAB" w:rsidRPr="00D74571" w:rsidRDefault="00766BAB" w:rsidP="00D74571">
            <w:pPr>
              <w:spacing w:after="0" w:line="240" w:lineRule="auto"/>
              <w:jc w:val="center"/>
              <w:rPr>
                <w:rFonts w:ascii="Times New Roman" w:hAnsi="Times New Roman" w:cs="Times New Roman"/>
                <w:sz w:val="16"/>
                <w:szCs w:val="16"/>
              </w:rPr>
            </w:pPr>
            <w:r w:rsidRPr="00D74571">
              <w:rPr>
                <w:rFonts w:ascii="Times New Roman" w:hAnsi="Times New Roman" w:cs="Times New Roman"/>
                <w:sz w:val="16"/>
                <w:szCs w:val="16"/>
              </w:rPr>
              <w:t xml:space="preserve"> 45</w:t>
            </w:r>
          </w:p>
        </w:tc>
        <w:tc>
          <w:tcPr>
            <w:tcW w:w="850" w:type="dxa"/>
            <w:gridSpan w:val="2"/>
            <w:tcBorders>
              <w:top w:val="nil"/>
              <w:left w:val="nil"/>
              <w:bottom w:val="single" w:sz="4" w:space="0" w:color="auto"/>
              <w:right w:val="single" w:sz="4" w:space="0" w:color="auto"/>
            </w:tcBorders>
            <w:shd w:val="clear" w:color="auto" w:fill="auto"/>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766BAB" w:rsidRPr="00D74571" w:rsidTr="00766BAB">
        <w:trPr>
          <w:gridAfter w:val="1"/>
          <w:wAfter w:w="227" w:type="dxa"/>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4</w:t>
            </w:r>
          </w:p>
        </w:tc>
        <w:tc>
          <w:tcPr>
            <w:tcW w:w="1419" w:type="dxa"/>
            <w:tcBorders>
              <w:top w:val="nil"/>
              <w:left w:val="nil"/>
              <w:bottom w:val="single" w:sz="4" w:space="0" w:color="auto"/>
              <w:right w:val="single" w:sz="4" w:space="0" w:color="auto"/>
            </w:tcBorders>
            <w:shd w:val="clear" w:color="auto" w:fill="auto"/>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Нитриты (по NO2)</w:t>
            </w:r>
          </w:p>
        </w:tc>
        <w:tc>
          <w:tcPr>
            <w:tcW w:w="1306" w:type="dxa"/>
            <w:tcBorders>
              <w:top w:val="nil"/>
              <w:left w:val="nil"/>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Менее 0,003</w:t>
            </w:r>
          </w:p>
        </w:tc>
        <w:tc>
          <w:tcPr>
            <w:tcW w:w="1418" w:type="dxa"/>
            <w:tcBorders>
              <w:top w:val="single" w:sz="4" w:space="0" w:color="auto"/>
              <w:left w:val="nil"/>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Менее 0,003</w:t>
            </w:r>
          </w:p>
        </w:tc>
        <w:tc>
          <w:tcPr>
            <w:tcW w:w="1061" w:type="dxa"/>
            <w:tcBorders>
              <w:top w:val="single" w:sz="4" w:space="0" w:color="auto"/>
              <w:left w:val="single" w:sz="4" w:space="0" w:color="auto"/>
              <w:bottom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p>
        </w:tc>
        <w:tc>
          <w:tcPr>
            <w:tcW w:w="997" w:type="dxa"/>
            <w:gridSpan w:val="2"/>
            <w:tcBorders>
              <w:top w:val="single" w:sz="4" w:space="0" w:color="auto"/>
              <w:left w:val="nil"/>
              <w:bottom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236" w:type="dxa"/>
            <w:gridSpan w:val="2"/>
            <w:tcBorders>
              <w:top w:val="single" w:sz="4" w:space="0" w:color="auto"/>
              <w:left w:val="nil"/>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p>
        </w:tc>
        <w:tc>
          <w:tcPr>
            <w:tcW w:w="833" w:type="dxa"/>
            <w:gridSpan w:val="2"/>
            <w:tcBorders>
              <w:top w:val="nil"/>
              <w:left w:val="single" w:sz="4" w:space="0" w:color="auto"/>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418" w:type="dxa"/>
            <w:gridSpan w:val="4"/>
            <w:tcBorders>
              <w:top w:val="nil"/>
              <w:left w:val="single" w:sz="4" w:space="0" w:color="auto"/>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0,010</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sz w:val="18"/>
                <w:szCs w:val="18"/>
              </w:rPr>
            </w:pPr>
            <w:r w:rsidRPr="00D74571">
              <w:rPr>
                <w:rFonts w:ascii="Times New Roman" w:hAnsi="Times New Roman" w:cs="Times New Roman"/>
                <w:sz w:val="18"/>
                <w:szCs w:val="18"/>
              </w:rPr>
              <w:t>не более</w:t>
            </w:r>
          </w:p>
          <w:p w:rsidR="00766BAB" w:rsidRPr="00D74571" w:rsidRDefault="00766BAB" w:rsidP="00D74571">
            <w:pPr>
              <w:spacing w:after="0" w:line="240" w:lineRule="auto"/>
              <w:jc w:val="center"/>
              <w:rPr>
                <w:rFonts w:ascii="Times New Roman" w:hAnsi="Times New Roman" w:cs="Times New Roman"/>
                <w:sz w:val="18"/>
                <w:szCs w:val="18"/>
              </w:rPr>
            </w:pPr>
            <w:r w:rsidRPr="00D74571">
              <w:rPr>
                <w:rFonts w:ascii="Times New Roman" w:hAnsi="Times New Roman" w:cs="Times New Roman"/>
                <w:sz w:val="18"/>
                <w:szCs w:val="18"/>
              </w:rPr>
              <w:t xml:space="preserve"> 3</w:t>
            </w:r>
          </w:p>
        </w:tc>
        <w:tc>
          <w:tcPr>
            <w:tcW w:w="850" w:type="dxa"/>
            <w:gridSpan w:val="2"/>
            <w:tcBorders>
              <w:top w:val="nil"/>
              <w:left w:val="nil"/>
              <w:bottom w:val="single" w:sz="4" w:space="0" w:color="auto"/>
              <w:right w:val="single" w:sz="4" w:space="0" w:color="auto"/>
            </w:tcBorders>
            <w:shd w:val="clear" w:color="auto" w:fill="auto"/>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766BAB" w:rsidRPr="00D74571" w:rsidTr="00766BAB">
        <w:trPr>
          <w:gridAfter w:val="1"/>
          <w:wAfter w:w="227" w:type="dxa"/>
          <w:trHeight w:val="469"/>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5</w:t>
            </w:r>
          </w:p>
        </w:tc>
        <w:tc>
          <w:tcPr>
            <w:tcW w:w="1419" w:type="dxa"/>
            <w:tcBorders>
              <w:top w:val="nil"/>
              <w:left w:val="nil"/>
              <w:bottom w:val="single" w:sz="4" w:space="0" w:color="auto"/>
              <w:right w:val="single" w:sz="4" w:space="0" w:color="auto"/>
            </w:tcBorders>
            <w:shd w:val="clear" w:color="auto" w:fill="auto"/>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pH</w:t>
            </w:r>
          </w:p>
        </w:tc>
        <w:tc>
          <w:tcPr>
            <w:tcW w:w="1306" w:type="dxa"/>
            <w:tcBorders>
              <w:top w:val="nil"/>
              <w:left w:val="nil"/>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418" w:type="dxa"/>
            <w:tcBorders>
              <w:top w:val="single" w:sz="4" w:space="0" w:color="auto"/>
              <w:left w:val="nil"/>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061" w:type="dxa"/>
            <w:tcBorders>
              <w:top w:val="single" w:sz="4" w:space="0" w:color="auto"/>
              <w:left w:val="single" w:sz="4" w:space="0" w:color="auto"/>
              <w:bottom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p>
        </w:tc>
        <w:tc>
          <w:tcPr>
            <w:tcW w:w="997" w:type="dxa"/>
            <w:gridSpan w:val="2"/>
            <w:tcBorders>
              <w:top w:val="single" w:sz="4" w:space="0" w:color="auto"/>
              <w:bottom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7,0 ± 0,2</w:t>
            </w:r>
          </w:p>
        </w:tc>
        <w:tc>
          <w:tcPr>
            <w:tcW w:w="236" w:type="dxa"/>
            <w:gridSpan w:val="2"/>
            <w:tcBorders>
              <w:top w:val="single" w:sz="4" w:space="0" w:color="auto"/>
              <w:left w:val="nil"/>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p>
        </w:tc>
        <w:tc>
          <w:tcPr>
            <w:tcW w:w="833" w:type="dxa"/>
            <w:gridSpan w:val="2"/>
            <w:tcBorders>
              <w:top w:val="nil"/>
              <w:left w:val="single" w:sz="4" w:space="0" w:color="auto"/>
              <w:bottom w:val="single" w:sz="4" w:space="0" w:color="auto"/>
              <w:right w:val="single" w:sz="4" w:space="0" w:color="auto"/>
            </w:tcBorders>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7,4 ± 0,2</w:t>
            </w:r>
          </w:p>
        </w:tc>
        <w:tc>
          <w:tcPr>
            <w:tcW w:w="1418" w:type="dxa"/>
            <w:gridSpan w:val="4"/>
            <w:tcBorders>
              <w:top w:val="nil"/>
              <w:left w:val="single" w:sz="4" w:space="0" w:color="auto"/>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7,26</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sz w:val="18"/>
                <w:szCs w:val="18"/>
              </w:rPr>
            </w:pPr>
            <w:r w:rsidRPr="00D74571">
              <w:rPr>
                <w:rFonts w:ascii="Times New Roman" w:hAnsi="Times New Roman" w:cs="Times New Roman"/>
                <w:sz w:val="18"/>
                <w:szCs w:val="18"/>
              </w:rPr>
              <w:t>от 6 до 9</w:t>
            </w:r>
          </w:p>
        </w:tc>
        <w:tc>
          <w:tcPr>
            <w:tcW w:w="850" w:type="dxa"/>
            <w:gridSpan w:val="2"/>
            <w:tcBorders>
              <w:top w:val="nil"/>
              <w:left w:val="nil"/>
              <w:bottom w:val="single" w:sz="4" w:space="0" w:color="auto"/>
              <w:right w:val="single" w:sz="4" w:space="0" w:color="auto"/>
            </w:tcBorders>
            <w:shd w:val="clear" w:color="auto" w:fill="auto"/>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766BAB" w:rsidRPr="00D74571" w:rsidTr="00766BAB">
        <w:trPr>
          <w:gridAfter w:val="1"/>
          <w:wAfter w:w="227" w:type="dxa"/>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6</w:t>
            </w:r>
          </w:p>
        </w:tc>
        <w:tc>
          <w:tcPr>
            <w:tcW w:w="1419" w:type="dxa"/>
            <w:tcBorders>
              <w:top w:val="nil"/>
              <w:left w:val="nil"/>
              <w:bottom w:val="single" w:sz="4" w:space="0" w:color="auto"/>
              <w:right w:val="single" w:sz="4" w:space="0" w:color="auto"/>
            </w:tcBorders>
            <w:shd w:val="clear" w:color="auto" w:fill="auto"/>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Окисляемость перманганатная</w:t>
            </w:r>
          </w:p>
        </w:tc>
        <w:tc>
          <w:tcPr>
            <w:tcW w:w="1306" w:type="dxa"/>
            <w:tcBorders>
              <w:top w:val="nil"/>
              <w:left w:val="nil"/>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4,56 ± 0,45</w:t>
            </w:r>
          </w:p>
        </w:tc>
        <w:tc>
          <w:tcPr>
            <w:tcW w:w="1418" w:type="dxa"/>
            <w:tcBorders>
              <w:top w:val="single" w:sz="4" w:space="0" w:color="auto"/>
              <w:left w:val="nil"/>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b/>
              </w:rPr>
            </w:pPr>
            <w:r w:rsidRPr="00D74571">
              <w:rPr>
                <w:rFonts w:ascii="Times New Roman" w:hAnsi="Times New Roman" w:cs="Times New Roman"/>
                <w:b/>
              </w:rPr>
              <w:t>4,44± 0,44</w:t>
            </w:r>
          </w:p>
        </w:tc>
        <w:tc>
          <w:tcPr>
            <w:tcW w:w="1061" w:type="dxa"/>
            <w:tcBorders>
              <w:top w:val="single" w:sz="4" w:space="0" w:color="auto"/>
              <w:left w:val="single" w:sz="4" w:space="0" w:color="auto"/>
              <w:bottom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p>
        </w:tc>
        <w:tc>
          <w:tcPr>
            <w:tcW w:w="997" w:type="dxa"/>
            <w:gridSpan w:val="2"/>
            <w:tcBorders>
              <w:top w:val="single" w:sz="4" w:space="0" w:color="auto"/>
              <w:bottom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4,4 ± 0,4</w:t>
            </w:r>
          </w:p>
        </w:tc>
        <w:tc>
          <w:tcPr>
            <w:tcW w:w="236" w:type="dxa"/>
            <w:gridSpan w:val="2"/>
            <w:tcBorders>
              <w:top w:val="single" w:sz="4" w:space="0" w:color="auto"/>
              <w:left w:val="nil"/>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p>
        </w:tc>
        <w:tc>
          <w:tcPr>
            <w:tcW w:w="833" w:type="dxa"/>
            <w:gridSpan w:val="2"/>
            <w:tcBorders>
              <w:top w:val="nil"/>
              <w:left w:val="single" w:sz="4" w:space="0" w:color="auto"/>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0,44 ± 0,02</w:t>
            </w:r>
          </w:p>
        </w:tc>
        <w:tc>
          <w:tcPr>
            <w:tcW w:w="1418" w:type="dxa"/>
            <w:gridSpan w:val="4"/>
            <w:tcBorders>
              <w:top w:val="nil"/>
              <w:left w:val="single" w:sz="4" w:space="0" w:color="auto"/>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3,48</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sz w:val="18"/>
                <w:szCs w:val="18"/>
              </w:rPr>
            </w:pPr>
            <w:r w:rsidRPr="00D74571">
              <w:rPr>
                <w:rFonts w:ascii="Times New Roman" w:hAnsi="Times New Roman" w:cs="Times New Roman"/>
                <w:sz w:val="18"/>
                <w:szCs w:val="18"/>
              </w:rPr>
              <w:t>не более</w:t>
            </w:r>
          </w:p>
          <w:p w:rsidR="00766BAB" w:rsidRPr="00D74571" w:rsidRDefault="00766BAB" w:rsidP="00D74571">
            <w:pPr>
              <w:spacing w:after="0" w:line="240" w:lineRule="auto"/>
              <w:jc w:val="center"/>
              <w:rPr>
                <w:rFonts w:ascii="Times New Roman" w:hAnsi="Times New Roman" w:cs="Times New Roman"/>
                <w:sz w:val="18"/>
                <w:szCs w:val="18"/>
              </w:rPr>
            </w:pPr>
            <w:r w:rsidRPr="00D74571">
              <w:rPr>
                <w:rFonts w:ascii="Times New Roman" w:hAnsi="Times New Roman" w:cs="Times New Roman"/>
                <w:sz w:val="18"/>
                <w:szCs w:val="18"/>
              </w:rPr>
              <w:t xml:space="preserve"> 5</w:t>
            </w:r>
          </w:p>
        </w:tc>
        <w:tc>
          <w:tcPr>
            <w:tcW w:w="850" w:type="dxa"/>
            <w:gridSpan w:val="2"/>
            <w:tcBorders>
              <w:top w:val="nil"/>
              <w:left w:val="nil"/>
              <w:bottom w:val="single" w:sz="4" w:space="0" w:color="auto"/>
              <w:right w:val="single" w:sz="4" w:space="0" w:color="auto"/>
            </w:tcBorders>
            <w:shd w:val="clear" w:color="auto" w:fill="auto"/>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мгО2/дм3</w:t>
            </w:r>
          </w:p>
        </w:tc>
      </w:tr>
      <w:tr w:rsidR="00766BAB" w:rsidRPr="00D74571" w:rsidTr="00766BAB">
        <w:trPr>
          <w:gridAfter w:val="1"/>
          <w:wAfter w:w="227" w:type="dxa"/>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7</w:t>
            </w:r>
          </w:p>
        </w:tc>
        <w:tc>
          <w:tcPr>
            <w:tcW w:w="1419" w:type="dxa"/>
            <w:tcBorders>
              <w:top w:val="nil"/>
              <w:left w:val="nil"/>
              <w:bottom w:val="single" w:sz="4" w:space="0" w:color="auto"/>
              <w:right w:val="single" w:sz="4" w:space="0" w:color="auto"/>
            </w:tcBorders>
            <w:shd w:val="clear" w:color="auto" w:fill="auto"/>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Запах при 20 °C</w:t>
            </w:r>
          </w:p>
        </w:tc>
        <w:tc>
          <w:tcPr>
            <w:tcW w:w="1306" w:type="dxa"/>
            <w:tcBorders>
              <w:top w:val="nil"/>
              <w:left w:val="nil"/>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1</w:t>
            </w:r>
          </w:p>
        </w:tc>
        <w:tc>
          <w:tcPr>
            <w:tcW w:w="1418" w:type="dxa"/>
            <w:tcBorders>
              <w:top w:val="single" w:sz="4" w:space="0" w:color="auto"/>
              <w:left w:val="nil"/>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1061" w:type="dxa"/>
            <w:tcBorders>
              <w:top w:val="single" w:sz="4" w:space="0" w:color="auto"/>
              <w:left w:val="single" w:sz="4" w:space="0" w:color="auto"/>
              <w:bottom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p>
        </w:tc>
        <w:tc>
          <w:tcPr>
            <w:tcW w:w="997" w:type="dxa"/>
            <w:gridSpan w:val="2"/>
            <w:tcBorders>
              <w:top w:val="single" w:sz="4" w:space="0" w:color="auto"/>
              <w:bottom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236" w:type="dxa"/>
            <w:gridSpan w:val="2"/>
            <w:tcBorders>
              <w:top w:val="single" w:sz="4" w:space="0" w:color="auto"/>
              <w:left w:val="nil"/>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p>
        </w:tc>
        <w:tc>
          <w:tcPr>
            <w:tcW w:w="833" w:type="dxa"/>
            <w:gridSpan w:val="2"/>
            <w:tcBorders>
              <w:top w:val="nil"/>
              <w:left w:val="single" w:sz="4" w:space="0" w:color="auto"/>
              <w:bottom w:val="single" w:sz="4" w:space="0" w:color="auto"/>
              <w:right w:val="single" w:sz="4" w:space="0" w:color="auto"/>
            </w:tcBorders>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1</w:t>
            </w:r>
          </w:p>
        </w:tc>
        <w:tc>
          <w:tcPr>
            <w:tcW w:w="1418" w:type="dxa"/>
            <w:gridSpan w:val="4"/>
            <w:tcBorders>
              <w:top w:val="nil"/>
              <w:left w:val="single" w:sz="4" w:space="0" w:color="auto"/>
              <w:bottom w:val="single" w:sz="4" w:space="0" w:color="auto"/>
              <w:right w:val="single" w:sz="4" w:space="0" w:color="auto"/>
            </w:tcBorders>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1.5</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sz w:val="18"/>
                <w:szCs w:val="18"/>
              </w:rPr>
            </w:pPr>
            <w:r w:rsidRPr="00D74571">
              <w:rPr>
                <w:rFonts w:ascii="Times New Roman" w:hAnsi="Times New Roman" w:cs="Times New Roman"/>
                <w:sz w:val="18"/>
                <w:szCs w:val="18"/>
              </w:rPr>
              <w:t>не более 2</w:t>
            </w:r>
          </w:p>
        </w:tc>
        <w:tc>
          <w:tcPr>
            <w:tcW w:w="850" w:type="dxa"/>
            <w:gridSpan w:val="2"/>
            <w:tcBorders>
              <w:top w:val="nil"/>
              <w:left w:val="nil"/>
              <w:bottom w:val="single" w:sz="4" w:space="0" w:color="auto"/>
              <w:right w:val="single" w:sz="4" w:space="0" w:color="auto"/>
            </w:tcBorders>
            <w:shd w:val="clear" w:color="auto" w:fill="auto"/>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766BAB" w:rsidRPr="00D74571" w:rsidTr="00766BAB">
        <w:trPr>
          <w:gridAfter w:val="1"/>
          <w:wAfter w:w="227" w:type="dxa"/>
          <w:trHeight w:val="270"/>
        </w:trPr>
        <w:tc>
          <w:tcPr>
            <w:tcW w:w="565" w:type="dxa"/>
            <w:vMerge w:val="restart"/>
            <w:tcBorders>
              <w:top w:val="nil"/>
              <w:left w:val="single" w:sz="4" w:space="0" w:color="auto"/>
              <w:right w:val="single" w:sz="4" w:space="0" w:color="auto"/>
            </w:tcBorders>
            <w:shd w:val="clear" w:color="auto" w:fill="auto"/>
            <w:noWrap/>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8</w:t>
            </w:r>
          </w:p>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9</w:t>
            </w:r>
          </w:p>
        </w:tc>
        <w:tc>
          <w:tcPr>
            <w:tcW w:w="1419" w:type="dxa"/>
            <w:vMerge w:val="restart"/>
            <w:tcBorders>
              <w:top w:val="nil"/>
              <w:left w:val="nil"/>
              <w:right w:val="single" w:sz="4" w:space="0" w:color="auto"/>
            </w:tcBorders>
            <w:shd w:val="clear" w:color="auto" w:fill="auto"/>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Запах при 60 °C</w:t>
            </w:r>
          </w:p>
          <w:p w:rsidR="00766BAB" w:rsidRPr="00D74571" w:rsidRDefault="00766BAB" w:rsidP="00D74571">
            <w:pPr>
              <w:spacing w:after="0" w:line="240" w:lineRule="auto"/>
              <w:rPr>
                <w:rFonts w:ascii="Times New Roman" w:hAnsi="Times New Roman" w:cs="Times New Roman"/>
              </w:rPr>
            </w:pPr>
          </w:p>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Мутность</w:t>
            </w:r>
          </w:p>
        </w:tc>
        <w:tc>
          <w:tcPr>
            <w:tcW w:w="1306" w:type="dxa"/>
            <w:tcBorders>
              <w:top w:val="nil"/>
              <w:left w:val="nil"/>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1</w:t>
            </w:r>
          </w:p>
        </w:tc>
        <w:tc>
          <w:tcPr>
            <w:tcW w:w="1418" w:type="dxa"/>
            <w:tcBorders>
              <w:left w:val="nil"/>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b/>
              </w:rPr>
            </w:pPr>
            <w:r w:rsidRPr="00D74571">
              <w:rPr>
                <w:rFonts w:ascii="Times New Roman" w:hAnsi="Times New Roman" w:cs="Times New Roman"/>
                <w:b/>
              </w:rPr>
              <w:t>3</w:t>
            </w:r>
          </w:p>
        </w:tc>
        <w:tc>
          <w:tcPr>
            <w:tcW w:w="1061" w:type="dxa"/>
            <w:tcBorders>
              <w:left w:val="single" w:sz="4" w:space="0" w:color="auto"/>
              <w:bottom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bCs/>
              </w:rPr>
            </w:pPr>
          </w:p>
        </w:tc>
        <w:tc>
          <w:tcPr>
            <w:tcW w:w="997" w:type="dxa"/>
            <w:gridSpan w:val="2"/>
            <w:tcBorders>
              <w:bottom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bCs/>
              </w:rPr>
            </w:pPr>
            <w:r w:rsidRPr="00D74571">
              <w:rPr>
                <w:rFonts w:ascii="Times New Roman" w:hAnsi="Times New Roman" w:cs="Times New Roman"/>
                <w:bCs/>
              </w:rPr>
              <w:t>-</w:t>
            </w:r>
          </w:p>
        </w:tc>
        <w:tc>
          <w:tcPr>
            <w:tcW w:w="236" w:type="dxa"/>
            <w:gridSpan w:val="2"/>
            <w:tcBorders>
              <w:left w:val="nil"/>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b/>
              </w:rPr>
            </w:pPr>
          </w:p>
        </w:tc>
        <w:tc>
          <w:tcPr>
            <w:tcW w:w="833" w:type="dxa"/>
            <w:gridSpan w:val="2"/>
            <w:tcBorders>
              <w:top w:val="nil"/>
              <w:left w:val="single" w:sz="4" w:space="0" w:color="auto"/>
              <w:bottom w:val="single" w:sz="4" w:space="0" w:color="auto"/>
              <w:right w:val="single" w:sz="4" w:space="0" w:color="auto"/>
            </w:tcBorders>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1418" w:type="dxa"/>
            <w:gridSpan w:val="4"/>
            <w:tcBorders>
              <w:top w:val="nil"/>
              <w:left w:val="single" w:sz="4" w:space="0" w:color="auto"/>
              <w:bottom w:val="single" w:sz="4" w:space="0" w:color="auto"/>
              <w:right w:val="single" w:sz="4" w:space="0" w:color="auto"/>
            </w:tcBorders>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sz w:val="18"/>
                <w:szCs w:val="18"/>
              </w:rPr>
            </w:pPr>
            <w:r w:rsidRPr="00D74571">
              <w:rPr>
                <w:rFonts w:ascii="Times New Roman" w:hAnsi="Times New Roman" w:cs="Times New Roman"/>
                <w:sz w:val="18"/>
                <w:szCs w:val="18"/>
              </w:rPr>
              <w:t>не более</w:t>
            </w:r>
          </w:p>
          <w:p w:rsidR="00766BAB" w:rsidRPr="00D74571" w:rsidRDefault="00766BAB" w:rsidP="00D74571">
            <w:pPr>
              <w:spacing w:after="0" w:line="240" w:lineRule="auto"/>
              <w:jc w:val="center"/>
              <w:rPr>
                <w:rFonts w:ascii="Times New Roman" w:hAnsi="Times New Roman" w:cs="Times New Roman"/>
                <w:sz w:val="18"/>
                <w:szCs w:val="18"/>
              </w:rPr>
            </w:pPr>
            <w:r w:rsidRPr="00D74571">
              <w:rPr>
                <w:rFonts w:ascii="Times New Roman" w:hAnsi="Times New Roman" w:cs="Times New Roman"/>
                <w:sz w:val="18"/>
                <w:szCs w:val="18"/>
              </w:rPr>
              <w:t xml:space="preserve"> 2</w:t>
            </w:r>
          </w:p>
        </w:tc>
        <w:tc>
          <w:tcPr>
            <w:tcW w:w="850" w:type="dxa"/>
            <w:gridSpan w:val="2"/>
            <w:tcBorders>
              <w:top w:val="nil"/>
              <w:left w:val="nil"/>
              <w:bottom w:val="single" w:sz="4" w:space="0" w:color="auto"/>
              <w:right w:val="single" w:sz="4" w:space="0" w:color="auto"/>
            </w:tcBorders>
            <w:shd w:val="clear" w:color="auto" w:fill="auto"/>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766BAB" w:rsidRPr="00D74571" w:rsidTr="00766BAB">
        <w:trPr>
          <w:gridAfter w:val="2"/>
          <w:wAfter w:w="235" w:type="dxa"/>
          <w:trHeight w:val="450"/>
        </w:trPr>
        <w:tc>
          <w:tcPr>
            <w:tcW w:w="565" w:type="dxa"/>
            <w:vMerge/>
            <w:tcBorders>
              <w:left w:val="single" w:sz="4" w:space="0" w:color="auto"/>
              <w:right w:val="single" w:sz="4" w:space="0" w:color="auto"/>
            </w:tcBorders>
            <w:shd w:val="clear" w:color="auto" w:fill="auto"/>
            <w:noWrap/>
            <w:vAlign w:val="center"/>
            <w:hideMark/>
          </w:tcPr>
          <w:p w:rsidR="00766BAB" w:rsidRPr="00D74571" w:rsidRDefault="00766BAB" w:rsidP="00D74571">
            <w:pPr>
              <w:spacing w:after="0" w:line="240" w:lineRule="auto"/>
              <w:rPr>
                <w:rFonts w:ascii="Times New Roman" w:hAnsi="Times New Roman" w:cs="Times New Roman"/>
              </w:rPr>
            </w:pPr>
          </w:p>
        </w:tc>
        <w:tc>
          <w:tcPr>
            <w:tcW w:w="1419" w:type="dxa"/>
            <w:vMerge/>
            <w:tcBorders>
              <w:left w:val="nil"/>
              <w:right w:val="single" w:sz="4" w:space="0" w:color="auto"/>
            </w:tcBorders>
            <w:shd w:val="clear" w:color="auto" w:fill="auto"/>
            <w:vAlign w:val="center"/>
            <w:hideMark/>
          </w:tcPr>
          <w:p w:rsidR="00766BAB" w:rsidRPr="00D74571" w:rsidRDefault="00766BAB" w:rsidP="00D74571">
            <w:pPr>
              <w:spacing w:after="0" w:line="240" w:lineRule="auto"/>
              <w:rPr>
                <w:rFonts w:ascii="Times New Roman" w:hAnsi="Times New Roman" w:cs="Times New Roman"/>
              </w:rPr>
            </w:pPr>
          </w:p>
        </w:tc>
        <w:tc>
          <w:tcPr>
            <w:tcW w:w="1306" w:type="dxa"/>
            <w:vMerge w:val="restart"/>
            <w:tcBorders>
              <w:top w:val="single" w:sz="4" w:space="0" w:color="auto"/>
              <w:left w:val="nil"/>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b/>
              </w:rPr>
              <w:t>3,94 ± 0,79</w:t>
            </w:r>
          </w:p>
        </w:tc>
        <w:tc>
          <w:tcPr>
            <w:tcW w:w="1418" w:type="dxa"/>
            <w:vMerge w:val="restart"/>
            <w:tcBorders>
              <w:top w:val="single" w:sz="4" w:space="0" w:color="auto"/>
              <w:left w:val="nil"/>
              <w:right w:val="single" w:sz="4" w:space="0" w:color="auto"/>
            </w:tcBorders>
            <w:vAlign w:val="center"/>
          </w:tcPr>
          <w:p w:rsidR="00766BAB" w:rsidRDefault="00766BAB" w:rsidP="00D74571">
            <w:pPr>
              <w:spacing w:after="0" w:line="240" w:lineRule="auto"/>
              <w:jc w:val="center"/>
              <w:rPr>
                <w:rFonts w:ascii="Times New Roman" w:hAnsi="Times New Roman" w:cs="Times New Roman"/>
                <w:b/>
              </w:rPr>
            </w:pPr>
          </w:p>
          <w:p w:rsidR="00766BAB" w:rsidRPr="00D74571" w:rsidRDefault="00766BAB" w:rsidP="00D74571">
            <w:pPr>
              <w:spacing w:after="0" w:line="240" w:lineRule="auto"/>
              <w:jc w:val="center"/>
              <w:rPr>
                <w:rFonts w:ascii="Times New Roman" w:hAnsi="Times New Roman" w:cs="Times New Roman"/>
                <w:b/>
              </w:rPr>
            </w:pPr>
            <w:r w:rsidRPr="00D74571">
              <w:rPr>
                <w:rFonts w:ascii="Times New Roman" w:hAnsi="Times New Roman" w:cs="Times New Roman"/>
                <w:b/>
              </w:rPr>
              <w:t>2,57± 0,51</w:t>
            </w:r>
          </w:p>
        </w:tc>
        <w:tc>
          <w:tcPr>
            <w:tcW w:w="2058" w:type="dxa"/>
            <w:gridSpan w:val="3"/>
            <w:vMerge w:val="restart"/>
            <w:tcBorders>
              <w:top w:val="single" w:sz="4" w:space="0" w:color="auto"/>
              <w:left w:val="single" w:sz="4" w:space="0" w:color="auto"/>
            </w:tcBorders>
            <w:vAlign w:val="center"/>
          </w:tcPr>
          <w:p w:rsidR="00766BAB" w:rsidRDefault="00766BAB" w:rsidP="00D74571">
            <w:pPr>
              <w:spacing w:after="0" w:line="240" w:lineRule="auto"/>
              <w:jc w:val="center"/>
              <w:rPr>
                <w:rFonts w:ascii="Times New Roman" w:hAnsi="Times New Roman" w:cs="Times New Roman"/>
              </w:rPr>
            </w:pPr>
          </w:p>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Менее 0.58</w:t>
            </w:r>
          </w:p>
        </w:tc>
        <w:tc>
          <w:tcPr>
            <w:tcW w:w="236" w:type="dxa"/>
            <w:gridSpan w:val="2"/>
            <w:vMerge w:val="restart"/>
            <w:tcBorders>
              <w:top w:val="single" w:sz="4" w:space="0" w:color="auto"/>
              <w:left w:val="nil"/>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p>
        </w:tc>
        <w:tc>
          <w:tcPr>
            <w:tcW w:w="833" w:type="dxa"/>
            <w:gridSpan w:val="2"/>
            <w:vMerge w:val="restart"/>
            <w:tcBorders>
              <w:top w:val="single" w:sz="4" w:space="0" w:color="auto"/>
              <w:left w:val="single" w:sz="4" w:space="0" w:color="auto"/>
              <w:right w:val="single" w:sz="4" w:space="0" w:color="auto"/>
            </w:tcBorders>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Менее 0.58</w:t>
            </w:r>
          </w:p>
        </w:tc>
        <w:tc>
          <w:tcPr>
            <w:tcW w:w="1409" w:type="dxa"/>
            <w:gridSpan w:val="3"/>
            <w:tcBorders>
              <w:top w:val="single" w:sz="4" w:space="0" w:color="auto"/>
              <w:left w:val="single" w:sz="4" w:space="0" w:color="auto"/>
              <w:right w:val="single" w:sz="4" w:space="0" w:color="auto"/>
            </w:tcBorders>
            <w:shd w:val="clear" w:color="auto" w:fill="auto"/>
            <w:vAlign w:val="center"/>
            <w:hideMark/>
          </w:tcPr>
          <w:p w:rsidR="00766BAB" w:rsidRPr="00D74571" w:rsidRDefault="00766BAB" w:rsidP="00D74571">
            <w:pPr>
              <w:spacing w:after="0" w:line="240" w:lineRule="auto"/>
              <w:jc w:val="center"/>
              <w:rPr>
                <w:rFonts w:ascii="Times New Roman" w:hAnsi="Times New Roman" w:cs="Times New Roman"/>
                <w:b/>
              </w:rPr>
            </w:pPr>
            <w:r w:rsidRPr="00D74571">
              <w:rPr>
                <w:rFonts w:ascii="Times New Roman" w:hAnsi="Times New Roman" w:cs="Times New Roman"/>
                <w:b/>
              </w:rPr>
              <w:t>1,692</w:t>
            </w:r>
          </w:p>
        </w:tc>
        <w:tc>
          <w:tcPr>
            <w:tcW w:w="850" w:type="dxa"/>
            <w:gridSpan w:val="2"/>
            <w:tcBorders>
              <w:top w:val="single" w:sz="4" w:space="0" w:color="auto"/>
              <w:left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sz w:val="18"/>
                <w:szCs w:val="18"/>
              </w:rPr>
            </w:pPr>
            <w:r w:rsidRPr="00D74571">
              <w:rPr>
                <w:rFonts w:ascii="Times New Roman" w:hAnsi="Times New Roman" w:cs="Times New Roman"/>
                <w:sz w:val="18"/>
                <w:szCs w:val="18"/>
              </w:rPr>
              <w:t>не боле</w:t>
            </w:r>
          </w:p>
          <w:p w:rsidR="00766BAB" w:rsidRPr="00D74571" w:rsidRDefault="00766BAB" w:rsidP="00D74571">
            <w:pPr>
              <w:spacing w:after="0" w:line="240" w:lineRule="auto"/>
              <w:jc w:val="center"/>
              <w:rPr>
                <w:rFonts w:ascii="Times New Roman" w:hAnsi="Times New Roman" w:cs="Times New Roman"/>
                <w:sz w:val="18"/>
                <w:szCs w:val="18"/>
              </w:rPr>
            </w:pPr>
          </w:p>
        </w:tc>
        <w:tc>
          <w:tcPr>
            <w:tcW w:w="851" w:type="dxa"/>
            <w:gridSpan w:val="2"/>
            <w:tcBorders>
              <w:top w:val="single" w:sz="4" w:space="0" w:color="auto"/>
              <w:left w:val="nil"/>
              <w:right w:val="single" w:sz="4" w:space="0" w:color="auto"/>
            </w:tcBorders>
            <w:shd w:val="clear" w:color="auto" w:fill="auto"/>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766BAB" w:rsidRPr="00D74571" w:rsidTr="00766BAB">
        <w:trPr>
          <w:gridAfter w:val="2"/>
          <w:wAfter w:w="235" w:type="dxa"/>
        </w:trPr>
        <w:tc>
          <w:tcPr>
            <w:tcW w:w="565" w:type="dxa"/>
            <w:vMerge/>
            <w:tcBorders>
              <w:left w:val="single" w:sz="4" w:space="0" w:color="auto"/>
              <w:right w:val="single" w:sz="4" w:space="0" w:color="auto"/>
            </w:tcBorders>
            <w:shd w:val="clear" w:color="auto" w:fill="auto"/>
            <w:noWrap/>
            <w:vAlign w:val="center"/>
          </w:tcPr>
          <w:p w:rsidR="00766BAB" w:rsidRPr="00D74571" w:rsidRDefault="00766BAB" w:rsidP="00D74571">
            <w:pPr>
              <w:spacing w:after="0" w:line="240" w:lineRule="auto"/>
              <w:rPr>
                <w:rFonts w:ascii="Times New Roman" w:hAnsi="Times New Roman" w:cs="Times New Roman"/>
              </w:rPr>
            </w:pPr>
          </w:p>
        </w:tc>
        <w:tc>
          <w:tcPr>
            <w:tcW w:w="1419" w:type="dxa"/>
            <w:vMerge/>
            <w:tcBorders>
              <w:left w:val="nil"/>
              <w:right w:val="single" w:sz="4" w:space="0" w:color="auto"/>
            </w:tcBorders>
            <w:shd w:val="clear" w:color="auto" w:fill="auto"/>
            <w:vAlign w:val="center"/>
          </w:tcPr>
          <w:p w:rsidR="00766BAB" w:rsidRPr="00D74571" w:rsidRDefault="00766BAB" w:rsidP="00D74571">
            <w:pPr>
              <w:spacing w:after="0" w:line="240" w:lineRule="auto"/>
              <w:rPr>
                <w:rFonts w:ascii="Times New Roman" w:hAnsi="Times New Roman" w:cs="Times New Roman"/>
              </w:rPr>
            </w:pPr>
          </w:p>
        </w:tc>
        <w:tc>
          <w:tcPr>
            <w:tcW w:w="1306" w:type="dxa"/>
            <w:vMerge/>
            <w:tcBorders>
              <w:left w:val="nil"/>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b/>
              </w:rPr>
            </w:pPr>
          </w:p>
        </w:tc>
        <w:tc>
          <w:tcPr>
            <w:tcW w:w="1418" w:type="dxa"/>
            <w:vMerge/>
            <w:tcBorders>
              <w:left w:val="nil"/>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b/>
              </w:rPr>
            </w:pPr>
          </w:p>
        </w:tc>
        <w:tc>
          <w:tcPr>
            <w:tcW w:w="2058" w:type="dxa"/>
            <w:gridSpan w:val="3"/>
            <w:vMerge/>
            <w:tcBorders>
              <w:lef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p>
        </w:tc>
        <w:tc>
          <w:tcPr>
            <w:tcW w:w="236" w:type="dxa"/>
            <w:gridSpan w:val="2"/>
            <w:vMerge/>
            <w:tcBorders>
              <w:left w:val="nil"/>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p>
        </w:tc>
        <w:tc>
          <w:tcPr>
            <w:tcW w:w="833" w:type="dxa"/>
            <w:gridSpan w:val="2"/>
            <w:vMerge/>
            <w:tcBorders>
              <w:left w:val="single" w:sz="4" w:space="0" w:color="auto"/>
              <w:right w:val="single" w:sz="4" w:space="0" w:color="auto"/>
            </w:tcBorders>
          </w:tcPr>
          <w:p w:rsidR="00766BAB" w:rsidRPr="00D74571" w:rsidRDefault="00766BAB" w:rsidP="00D74571">
            <w:pPr>
              <w:spacing w:after="0" w:line="240" w:lineRule="auto"/>
              <w:jc w:val="center"/>
              <w:rPr>
                <w:rFonts w:ascii="Times New Roman" w:hAnsi="Times New Roman" w:cs="Times New Roman"/>
                <w:b/>
              </w:rPr>
            </w:pPr>
          </w:p>
        </w:tc>
        <w:tc>
          <w:tcPr>
            <w:tcW w:w="3110" w:type="dxa"/>
            <w:gridSpan w:val="7"/>
            <w:tcBorders>
              <w:left w:val="single" w:sz="4" w:space="0" w:color="auto"/>
              <w:right w:val="single" w:sz="4" w:space="0" w:color="auto"/>
            </w:tcBorders>
            <w:shd w:val="clear" w:color="auto" w:fill="auto"/>
            <w:vAlign w:val="center"/>
          </w:tcPr>
          <w:p w:rsidR="00766BAB" w:rsidRPr="00D74571" w:rsidRDefault="00766BAB" w:rsidP="00D74571">
            <w:pPr>
              <w:spacing w:after="0" w:line="240" w:lineRule="auto"/>
              <w:rPr>
                <w:rFonts w:ascii="Times New Roman" w:hAnsi="Times New Roman" w:cs="Times New Roman"/>
              </w:rPr>
            </w:pPr>
          </w:p>
        </w:tc>
      </w:tr>
      <w:tr w:rsidR="00766BAB" w:rsidRPr="00D74571" w:rsidTr="00766BAB">
        <w:trPr>
          <w:gridAfter w:val="2"/>
          <w:wAfter w:w="235" w:type="dxa"/>
          <w:trHeight w:val="375"/>
        </w:trPr>
        <w:tc>
          <w:tcPr>
            <w:tcW w:w="565" w:type="dxa"/>
            <w:vMerge/>
            <w:tcBorders>
              <w:left w:val="single" w:sz="4" w:space="0" w:color="auto"/>
              <w:bottom w:val="single" w:sz="4" w:space="0" w:color="auto"/>
              <w:right w:val="single" w:sz="4" w:space="0" w:color="auto"/>
            </w:tcBorders>
            <w:shd w:val="clear" w:color="auto" w:fill="auto"/>
            <w:noWrap/>
            <w:vAlign w:val="center"/>
          </w:tcPr>
          <w:p w:rsidR="00766BAB" w:rsidRPr="00D74571" w:rsidRDefault="00766BAB" w:rsidP="00D74571">
            <w:pPr>
              <w:spacing w:after="0" w:line="240" w:lineRule="auto"/>
              <w:rPr>
                <w:rFonts w:ascii="Times New Roman" w:hAnsi="Times New Roman" w:cs="Times New Roman"/>
              </w:rPr>
            </w:pPr>
          </w:p>
        </w:tc>
        <w:tc>
          <w:tcPr>
            <w:tcW w:w="1419" w:type="dxa"/>
            <w:vMerge/>
            <w:tcBorders>
              <w:left w:val="nil"/>
              <w:bottom w:val="single" w:sz="4" w:space="0" w:color="auto"/>
              <w:right w:val="single" w:sz="4" w:space="0" w:color="auto"/>
            </w:tcBorders>
            <w:shd w:val="clear" w:color="auto" w:fill="auto"/>
            <w:vAlign w:val="center"/>
          </w:tcPr>
          <w:p w:rsidR="00766BAB" w:rsidRPr="00D74571" w:rsidRDefault="00766BAB" w:rsidP="00D74571">
            <w:pPr>
              <w:spacing w:after="0" w:line="240" w:lineRule="auto"/>
              <w:rPr>
                <w:rFonts w:ascii="Times New Roman" w:hAnsi="Times New Roman" w:cs="Times New Roman"/>
              </w:rPr>
            </w:pPr>
          </w:p>
        </w:tc>
        <w:tc>
          <w:tcPr>
            <w:tcW w:w="1306" w:type="dxa"/>
            <w:vMerge/>
            <w:tcBorders>
              <w:left w:val="nil"/>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rPr>
            </w:pPr>
          </w:p>
        </w:tc>
        <w:tc>
          <w:tcPr>
            <w:tcW w:w="3476" w:type="dxa"/>
            <w:gridSpan w:val="4"/>
            <w:tcBorders>
              <w:left w:val="single" w:sz="4" w:space="0" w:color="auto"/>
              <w:bottom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rPr>
            </w:pPr>
          </w:p>
        </w:tc>
        <w:tc>
          <w:tcPr>
            <w:tcW w:w="236" w:type="dxa"/>
            <w:gridSpan w:val="2"/>
            <w:vMerge/>
            <w:tcBorders>
              <w:left w:val="nil"/>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p>
        </w:tc>
        <w:tc>
          <w:tcPr>
            <w:tcW w:w="833" w:type="dxa"/>
            <w:gridSpan w:val="2"/>
            <w:vMerge/>
            <w:tcBorders>
              <w:left w:val="single" w:sz="4" w:space="0" w:color="auto"/>
              <w:bottom w:val="single" w:sz="4" w:space="0" w:color="auto"/>
              <w:right w:val="single" w:sz="4" w:space="0" w:color="auto"/>
            </w:tcBorders>
          </w:tcPr>
          <w:p w:rsidR="00766BAB" w:rsidRPr="00D74571" w:rsidRDefault="00766BAB" w:rsidP="00D74571">
            <w:pPr>
              <w:spacing w:after="0" w:line="240" w:lineRule="auto"/>
              <w:jc w:val="center"/>
              <w:rPr>
                <w:rFonts w:ascii="Times New Roman" w:hAnsi="Times New Roman" w:cs="Times New Roman"/>
                <w:b/>
              </w:rPr>
            </w:pPr>
          </w:p>
        </w:tc>
        <w:tc>
          <w:tcPr>
            <w:tcW w:w="1409" w:type="dxa"/>
            <w:gridSpan w:val="3"/>
            <w:tcBorders>
              <w:left w:val="single" w:sz="4" w:space="0" w:color="auto"/>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rPr>
            </w:pPr>
          </w:p>
        </w:tc>
        <w:tc>
          <w:tcPr>
            <w:tcW w:w="850" w:type="dxa"/>
            <w:gridSpan w:val="2"/>
            <w:tcBorders>
              <w:left w:val="single" w:sz="4" w:space="0" w:color="auto"/>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sz w:val="18"/>
                <w:szCs w:val="18"/>
              </w:rPr>
            </w:pPr>
            <w:r w:rsidRPr="00D74571">
              <w:rPr>
                <w:rFonts w:ascii="Times New Roman" w:hAnsi="Times New Roman" w:cs="Times New Roman"/>
                <w:sz w:val="18"/>
                <w:szCs w:val="18"/>
              </w:rPr>
              <w:t xml:space="preserve">1,5 </w:t>
            </w:r>
          </w:p>
        </w:tc>
        <w:tc>
          <w:tcPr>
            <w:tcW w:w="851" w:type="dxa"/>
            <w:gridSpan w:val="2"/>
            <w:tcBorders>
              <w:left w:val="nil"/>
              <w:bottom w:val="single" w:sz="4" w:space="0" w:color="auto"/>
              <w:right w:val="single" w:sz="4" w:space="0" w:color="auto"/>
            </w:tcBorders>
            <w:shd w:val="clear" w:color="auto" w:fill="auto"/>
            <w:vAlign w:val="center"/>
          </w:tcPr>
          <w:p w:rsidR="00766BAB" w:rsidRPr="00D74571" w:rsidRDefault="00766BAB" w:rsidP="00D74571">
            <w:pPr>
              <w:spacing w:after="0" w:line="240" w:lineRule="auto"/>
              <w:rPr>
                <w:rFonts w:ascii="Times New Roman" w:hAnsi="Times New Roman" w:cs="Times New Roman"/>
              </w:rPr>
            </w:pPr>
          </w:p>
        </w:tc>
      </w:tr>
      <w:tr w:rsidR="00766BAB" w:rsidRPr="00D74571" w:rsidTr="00766BAB">
        <w:trPr>
          <w:gridAfter w:val="1"/>
          <w:wAfter w:w="227" w:type="dxa"/>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10</w:t>
            </w:r>
          </w:p>
        </w:tc>
        <w:tc>
          <w:tcPr>
            <w:tcW w:w="1419" w:type="dxa"/>
            <w:tcBorders>
              <w:top w:val="nil"/>
              <w:left w:val="nil"/>
              <w:bottom w:val="single" w:sz="4" w:space="0" w:color="auto"/>
              <w:right w:val="single" w:sz="4" w:space="0" w:color="auto"/>
            </w:tcBorders>
            <w:shd w:val="clear" w:color="auto" w:fill="auto"/>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Привкус</w:t>
            </w:r>
          </w:p>
        </w:tc>
        <w:tc>
          <w:tcPr>
            <w:tcW w:w="1306" w:type="dxa"/>
            <w:tcBorders>
              <w:top w:val="nil"/>
              <w:left w:val="nil"/>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1</w:t>
            </w:r>
          </w:p>
        </w:tc>
        <w:tc>
          <w:tcPr>
            <w:tcW w:w="1418" w:type="dxa"/>
            <w:tcBorders>
              <w:top w:val="single" w:sz="4" w:space="0" w:color="auto"/>
              <w:left w:val="nil"/>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1388" w:type="dxa"/>
            <w:gridSpan w:val="2"/>
            <w:tcBorders>
              <w:left w:val="single" w:sz="4" w:space="0" w:color="auto"/>
              <w:bottom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p>
        </w:tc>
        <w:tc>
          <w:tcPr>
            <w:tcW w:w="880" w:type="dxa"/>
            <w:gridSpan w:val="2"/>
            <w:tcBorders>
              <w:bottom w:val="single" w:sz="4" w:space="0" w:color="auto"/>
              <w:right w:val="single" w:sz="4" w:space="0" w:color="auto"/>
            </w:tcBorders>
            <w:vAlign w:val="center"/>
          </w:tcPr>
          <w:p w:rsidR="00766BAB" w:rsidRPr="00D74571" w:rsidRDefault="00766BAB" w:rsidP="00D74571">
            <w:pPr>
              <w:spacing w:after="0" w:line="240" w:lineRule="auto"/>
              <w:rPr>
                <w:rFonts w:ascii="Times New Roman" w:hAnsi="Times New Roman" w:cs="Times New Roman"/>
                <w:b/>
              </w:rPr>
            </w:pPr>
            <w:r w:rsidRPr="00D74571">
              <w:rPr>
                <w:rFonts w:ascii="Times New Roman" w:hAnsi="Times New Roman" w:cs="Times New Roman"/>
                <w:b/>
              </w:rPr>
              <w:t>-</w:t>
            </w:r>
          </w:p>
        </w:tc>
        <w:tc>
          <w:tcPr>
            <w:tcW w:w="859" w:type="dxa"/>
            <w:gridSpan w:val="3"/>
            <w:tcBorders>
              <w:top w:val="nil"/>
              <w:left w:val="single" w:sz="4" w:space="0" w:color="auto"/>
              <w:bottom w:val="single" w:sz="4" w:space="0" w:color="auto"/>
              <w:right w:val="single" w:sz="4" w:space="0" w:color="auto"/>
            </w:tcBorders>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1418" w:type="dxa"/>
            <w:gridSpan w:val="4"/>
            <w:tcBorders>
              <w:top w:val="nil"/>
              <w:left w:val="single" w:sz="4" w:space="0" w:color="auto"/>
              <w:bottom w:val="single" w:sz="4" w:space="0" w:color="auto"/>
              <w:right w:val="single" w:sz="4" w:space="0" w:color="auto"/>
            </w:tcBorders>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sz w:val="18"/>
                <w:szCs w:val="18"/>
              </w:rPr>
            </w:pPr>
            <w:r w:rsidRPr="00D74571">
              <w:rPr>
                <w:rFonts w:ascii="Times New Roman" w:hAnsi="Times New Roman" w:cs="Times New Roman"/>
                <w:sz w:val="18"/>
                <w:szCs w:val="18"/>
              </w:rPr>
              <w:t>не более</w:t>
            </w:r>
          </w:p>
          <w:p w:rsidR="00766BAB" w:rsidRPr="00D74571" w:rsidRDefault="00766BAB" w:rsidP="00D74571">
            <w:pPr>
              <w:spacing w:after="0" w:line="240" w:lineRule="auto"/>
              <w:jc w:val="center"/>
              <w:rPr>
                <w:rFonts w:ascii="Times New Roman" w:hAnsi="Times New Roman" w:cs="Times New Roman"/>
                <w:sz w:val="18"/>
                <w:szCs w:val="18"/>
              </w:rPr>
            </w:pPr>
            <w:r w:rsidRPr="00D74571">
              <w:rPr>
                <w:rFonts w:ascii="Times New Roman" w:hAnsi="Times New Roman" w:cs="Times New Roman"/>
                <w:sz w:val="18"/>
                <w:szCs w:val="18"/>
              </w:rPr>
              <w:t xml:space="preserve"> 2</w:t>
            </w:r>
          </w:p>
        </w:tc>
        <w:tc>
          <w:tcPr>
            <w:tcW w:w="850" w:type="dxa"/>
            <w:gridSpan w:val="2"/>
            <w:tcBorders>
              <w:top w:val="nil"/>
              <w:left w:val="nil"/>
              <w:bottom w:val="single" w:sz="4" w:space="0" w:color="auto"/>
              <w:right w:val="single" w:sz="4" w:space="0" w:color="auto"/>
            </w:tcBorders>
            <w:shd w:val="clear" w:color="auto" w:fill="auto"/>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766BAB" w:rsidRPr="00D74571" w:rsidTr="00766BAB">
        <w:trPr>
          <w:gridAfter w:val="1"/>
          <w:wAfter w:w="227" w:type="dxa"/>
          <w:trHeight w:val="2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11</w:t>
            </w:r>
          </w:p>
        </w:tc>
        <w:tc>
          <w:tcPr>
            <w:tcW w:w="1419" w:type="dxa"/>
            <w:tcBorders>
              <w:top w:val="nil"/>
              <w:left w:val="nil"/>
              <w:bottom w:val="single" w:sz="4" w:space="0" w:color="auto"/>
              <w:right w:val="single" w:sz="4" w:space="0" w:color="auto"/>
            </w:tcBorders>
            <w:shd w:val="clear" w:color="auto" w:fill="auto"/>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Цветность</w:t>
            </w:r>
          </w:p>
        </w:tc>
        <w:tc>
          <w:tcPr>
            <w:tcW w:w="1306" w:type="dxa"/>
            <w:tcBorders>
              <w:top w:val="nil"/>
              <w:left w:val="nil"/>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b/>
              </w:rPr>
              <w:t>36,10 ± 7,22</w:t>
            </w:r>
          </w:p>
        </w:tc>
        <w:tc>
          <w:tcPr>
            <w:tcW w:w="1418" w:type="dxa"/>
            <w:tcBorders>
              <w:top w:val="single" w:sz="4" w:space="0" w:color="auto"/>
              <w:left w:val="nil"/>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b/>
              </w:rPr>
            </w:pPr>
            <w:r w:rsidRPr="00D74571">
              <w:rPr>
                <w:rFonts w:ascii="Times New Roman" w:hAnsi="Times New Roman" w:cs="Times New Roman"/>
              </w:rPr>
              <w:t>17,2 ± 3,4</w:t>
            </w:r>
          </w:p>
        </w:tc>
        <w:tc>
          <w:tcPr>
            <w:tcW w:w="1388" w:type="dxa"/>
            <w:gridSpan w:val="2"/>
            <w:tcBorders>
              <w:top w:val="single" w:sz="4" w:space="0" w:color="auto"/>
              <w:left w:val="single" w:sz="4" w:space="0" w:color="auto"/>
              <w:bottom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p>
        </w:tc>
        <w:tc>
          <w:tcPr>
            <w:tcW w:w="880" w:type="dxa"/>
            <w:gridSpan w:val="2"/>
            <w:tcBorders>
              <w:top w:val="single" w:sz="4" w:space="0" w:color="auto"/>
              <w:bottom w:val="single" w:sz="4" w:space="0" w:color="auto"/>
              <w:right w:val="single" w:sz="4" w:space="0" w:color="auto"/>
            </w:tcBorders>
            <w:vAlign w:val="center"/>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16,5 ± 3,3</w:t>
            </w:r>
          </w:p>
        </w:tc>
        <w:tc>
          <w:tcPr>
            <w:tcW w:w="859" w:type="dxa"/>
            <w:gridSpan w:val="3"/>
            <w:tcBorders>
              <w:top w:val="nil"/>
              <w:left w:val="single" w:sz="4" w:space="0" w:color="auto"/>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5.0± 1,5</w:t>
            </w:r>
          </w:p>
        </w:tc>
        <w:tc>
          <w:tcPr>
            <w:tcW w:w="1418" w:type="dxa"/>
            <w:gridSpan w:val="4"/>
            <w:tcBorders>
              <w:top w:val="nil"/>
              <w:left w:val="single" w:sz="4" w:space="0" w:color="auto"/>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b/>
                <w:sz w:val="18"/>
                <w:szCs w:val="18"/>
              </w:rPr>
            </w:pPr>
            <w:r w:rsidRPr="00D74571">
              <w:rPr>
                <w:rFonts w:ascii="Times New Roman" w:hAnsi="Times New Roman" w:cs="Times New Roman"/>
                <w:b/>
              </w:rPr>
              <w:t>26.65</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sz w:val="18"/>
                <w:szCs w:val="18"/>
              </w:rPr>
            </w:pPr>
            <w:r w:rsidRPr="00D74571">
              <w:rPr>
                <w:rFonts w:ascii="Times New Roman" w:hAnsi="Times New Roman" w:cs="Times New Roman"/>
                <w:sz w:val="18"/>
                <w:szCs w:val="18"/>
              </w:rPr>
              <w:t xml:space="preserve">не более </w:t>
            </w:r>
          </w:p>
          <w:p w:rsidR="00766BAB" w:rsidRPr="00D74571" w:rsidRDefault="00766BAB" w:rsidP="00D74571">
            <w:pPr>
              <w:spacing w:after="0" w:line="240" w:lineRule="auto"/>
              <w:jc w:val="center"/>
              <w:rPr>
                <w:rFonts w:ascii="Times New Roman" w:hAnsi="Times New Roman" w:cs="Times New Roman"/>
                <w:sz w:val="18"/>
                <w:szCs w:val="18"/>
              </w:rPr>
            </w:pPr>
            <w:r w:rsidRPr="00D74571">
              <w:rPr>
                <w:rFonts w:ascii="Times New Roman" w:hAnsi="Times New Roman" w:cs="Times New Roman"/>
                <w:sz w:val="18"/>
                <w:szCs w:val="18"/>
              </w:rPr>
              <w:t>20</w:t>
            </w:r>
          </w:p>
        </w:tc>
        <w:tc>
          <w:tcPr>
            <w:tcW w:w="850" w:type="dxa"/>
            <w:gridSpan w:val="2"/>
            <w:tcBorders>
              <w:top w:val="nil"/>
              <w:left w:val="nil"/>
              <w:bottom w:val="single" w:sz="4" w:space="0" w:color="auto"/>
              <w:right w:val="single" w:sz="4" w:space="0" w:color="auto"/>
            </w:tcBorders>
            <w:shd w:val="clear" w:color="auto" w:fill="auto"/>
            <w:vAlign w:val="center"/>
            <w:hideMark/>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град.</w:t>
            </w:r>
          </w:p>
        </w:tc>
      </w:tr>
      <w:tr w:rsidR="00766BAB" w:rsidRPr="00D74571" w:rsidTr="00766BAB">
        <w:trPr>
          <w:gridAfter w:val="1"/>
          <w:wAfter w:w="227" w:type="dxa"/>
          <w:trHeight w:val="2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12</w:t>
            </w:r>
          </w:p>
        </w:tc>
        <w:tc>
          <w:tcPr>
            <w:tcW w:w="1419" w:type="dxa"/>
            <w:tcBorders>
              <w:top w:val="single" w:sz="4" w:space="0" w:color="auto"/>
              <w:left w:val="nil"/>
              <w:bottom w:val="single" w:sz="4" w:space="0" w:color="auto"/>
              <w:right w:val="single" w:sz="4" w:space="0" w:color="auto"/>
            </w:tcBorders>
            <w:shd w:val="clear" w:color="auto" w:fill="auto"/>
            <w:vAlign w:val="center"/>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Алюминий остаточный</w:t>
            </w:r>
          </w:p>
        </w:tc>
        <w:tc>
          <w:tcPr>
            <w:tcW w:w="1306" w:type="dxa"/>
            <w:tcBorders>
              <w:top w:val="single" w:sz="4" w:space="0" w:color="auto"/>
              <w:left w:val="nil"/>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Менее 0.038</w:t>
            </w:r>
          </w:p>
        </w:tc>
        <w:tc>
          <w:tcPr>
            <w:tcW w:w="1418" w:type="dxa"/>
            <w:tcBorders>
              <w:top w:val="single" w:sz="4" w:space="0" w:color="auto"/>
              <w:left w:val="nil"/>
              <w:bottom w:val="single" w:sz="4" w:space="0" w:color="auto"/>
              <w:right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Менее 0.02</w:t>
            </w:r>
          </w:p>
        </w:tc>
        <w:tc>
          <w:tcPr>
            <w:tcW w:w="1388" w:type="dxa"/>
            <w:gridSpan w:val="2"/>
            <w:tcBorders>
              <w:top w:val="single" w:sz="4" w:space="0" w:color="auto"/>
              <w:left w:val="single" w:sz="4" w:space="0" w:color="auto"/>
              <w:bottom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p>
        </w:tc>
        <w:tc>
          <w:tcPr>
            <w:tcW w:w="880" w:type="dxa"/>
            <w:gridSpan w:val="2"/>
            <w:tcBorders>
              <w:top w:val="single" w:sz="4" w:space="0" w:color="auto"/>
              <w:bottom w:val="single" w:sz="4" w:space="0" w:color="auto"/>
              <w:right w:val="single" w:sz="4" w:space="0" w:color="auto"/>
            </w:tcBorders>
            <w:vAlign w:val="center"/>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w:t>
            </w:r>
          </w:p>
        </w:tc>
        <w:tc>
          <w:tcPr>
            <w:tcW w:w="268" w:type="dxa"/>
            <w:gridSpan w:val="2"/>
            <w:tcBorders>
              <w:top w:val="single" w:sz="4" w:space="0" w:color="auto"/>
              <w:left w:val="single" w:sz="4" w:space="0" w:color="auto"/>
              <w:bottom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p>
        </w:tc>
        <w:tc>
          <w:tcPr>
            <w:tcW w:w="591" w:type="dxa"/>
            <w:tcBorders>
              <w:left w:val="nil"/>
              <w:bottom w:val="single" w:sz="4" w:space="0" w:color="auto"/>
              <w:right w:val="single" w:sz="4" w:space="0" w:color="auto"/>
            </w:tcBorders>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418" w:type="dxa"/>
            <w:gridSpan w:val="4"/>
            <w:tcBorders>
              <w:top w:val="single" w:sz="4" w:space="0" w:color="auto"/>
              <w:left w:val="single" w:sz="4" w:space="0" w:color="auto"/>
              <w:bottom w:val="single" w:sz="4" w:space="0" w:color="auto"/>
              <w:right w:val="single" w:sz="4" w:space="0" w:color="auto"/>
            </w:tcBorders>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0,029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sz w:val="18"/>
                <w:szCs w:val="18"/>
              </w:rPr>
            </w:pPr>
            <w:r w:rsidRPr="00D74571">
              <w:rPr>
                <w:rFonts w:ascii="Times New Roman" w:hAnsi="Times New Roman" w:cs="Times New Roman"/>
                <w:sz w:val="18"/>
                <w:szCs w:val="18"/>
              </w:rPr>
              <w:t>не более 0,5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766BAB" w:rsidRPr="00D74571" w:rsidTr="00766BAB">
        <w:trPr>
          <w:gridAfter w:val="1"/>
          <w:wAfter w:w="227" w:type="dxa"/>
          <w:trHeight w:val="2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13</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Кадмий</w:t>
            </w:r>
          </w:p>
        </w:tc>
        <w:tc>
          <w:tcPr>
            <w:tcW w:w="1306" w:type="dxa"/>
            <w:tcBorders>
              <w:top w:val="single" w:sz="4" w:space="0" w:color="auto"/>
              <w:left w:val="nil"/>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418" w:type="dxa"/>
            <w:tcBorders>
              <w:top w:val="single" w:sz="4" w:space="0" w:color="auto"/>
              <w:left w:val="nil"/>
              <w:bottom w:val="single" w:sz="4" w:space="0" w:color="auto"/>
              <w:right w:val="single" w:sz="4" w:space="0" w:color="auto"/>
            </w:tcBorders>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388" w:type="dxa"/>
            <w:gridSpan w:val="2"/>
            <w:tcBorders>
              <w:top w:val="single" w:sz="4" w:space="0" w:color="auto"/>
              <w:left w:val="single" w:sz="4" w:space="0" w:color="auto"/>
              <w:bottom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p>
        </w:tc>
        <w:tc>
          <w:tcPr>
            <w:tcW w:w="880" w:type="dxa"/>
            <w:gridSpan w:val="2"/>
            <w:tcBorders>
              <w:top w:val="single" w:sz="4" w:space="0" w:color="auto"/>
              <w:bottom w:val="single" w:sz="4" w:space="0" w:color="auto"/>
              <w:right w:val="single" w:sz="4" w:space="0" w:color="auto"/>
            </w:tcBorders>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Менее 0,0002</w:t>
            </w:r>
          </w:p>
        </w:tc>
        <w:tc>
          <w:tcPr>
            <w:tcW w:w="268" w:type="dxa"/>
            <w:gridSpan w:val="2"/>
            <w:tcBorders>
              <w:top w:val="single" w:sz="4" w:space="0" w:color="auto"/>
              <w:left w:val="single" w:sz="4" w:space="0" w:color="auto"/>
              <w:bottom w:val="single" w:sz="4" w:space="0" w:color="auto"/>
            </w:tcBorders>
          </w:tcPr>
          <w:p w:rsidR="00766BAB" w:rsidRPr="00D74571" w:rsidRDefault="00766BAB" w:rsidP="00D74571">
            <w:pPr>
              <w:spacing w:after="0" w:line="240" w:lineRule="auto"/>
              <w:jc w:val="center"/>
              <w:rPr>
                <w:rFonts w:ascii="Times New Roman" w:hAnsi="Times New Roman" w:cs="Times New Roman"/>
              </w:rPr>
            </w:pPr>
          </w:p>
        </w:tc>
        <w:tc>
          <w:tcPr>
            <w:tcW w:w="591" w:type="dxa"/>
            <w:tcBorders>
              <w:top w:val="single" w:sz="4" w:space="0" w:color="auto"/>
              <w:bottom w:val="single" w:sz="4" w:space="0" w:color="auto"/>
              <w:right w:val="single" w:sz="4" w:space="0" w:color="auto"/>
            </w:tcBorders>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Менее 0,0002</w:t>
            </w:r>
          </w:p>
        </w:tc>
        <w:tc>
          <w:tcPr>
            <w:tcW w:w="1418" w:type="dxa"/>
            <w:gridSpan w:val="4"/>
            <w:tcBorders>
              <w:top w:val="single" w:sz="4" w:space="0" w:color="auto"/>
              <w:left w:val="single" w:sz="4" w:space="0" w:color="auto"/>
              <w:bottom w:val="single" w:sz="4" w:space="0" w:color="auto"/>
              <w:right w:val="single" w:sz="4" w:space="0" w:color="auto"/>
            </w:tcBorders>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766BAB" w:rsidRPr="00D74571" w:rsidRDefault="00766BAB" w:rsidP="00D74571">
            <w:pPr>
              <w:spacing w:after="0" w:line="240" w:lineRule="auto"/>
              <w:jc w:val="center"/>
              <w:rPr>
                <w:rFonts w:ascii="Times New Roman" w:hAnsi="Times New Roman" w:cs="Times New Roman"/>
                <w:sz w:val="18"/>
                <w:szCs w:val="18"/>
              </w:rPr>
            </w:pPr>
            <w:r w:rsidRPr="00D74571">
              <w:rPr>
                <w:rFonts w:ascii="Times New Roman" w:hAnsi="Times New Roman" w:cs="Times New Roman"/>
                <w:sz w:val="18"/>
                <w:szCs w:val="18"/>
              </w:rPr>
              <w:t>Не более 0,001</w:t>
            </w:r>
          </w:p>
        </w:tc>
        <w:tc>
          <w:tcPr>
            <w:tcW w:w="850" w:type="dxa"/>
            <w:gridSpan w:val="2"/>
            <w:tcBorders>
              <w:top w:val="single" w:sz="4" w:space="0" w:color="auto"/>
              <w:left w:val="nil"/>
              <w:bottom w:val="single" w:sz="4" w:space="0" w:color="auto"/>
              <w:right w:val="single" w:sz="4" w:space="0" w:color="auto"/>
            </w:tcBorders>
            <w:shd w:val="clear" w:color="auto" w:fill="auto"/>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766BAB" w:rsidRPr="00D74571" w:rsidTr="00766BAB">
        <w:trPr>
          <w:gridAfter w:val="1"/>
          <w:wAfter w:w="227" w:type="dxa"/>
          <w:trHeight w:val="2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14</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Свинец</w:t>
            </w:r>
          </w:p>
        </w:tc>
        <w:tc>
          <w:tcPr>
            <w:tcW w:w="1306" w:type="dxa"/>
            <w:tcBorders>
              <w:top w:val="single" w:sz="4" w:space="0" w:color="auto"/>
              <w:left w:val="nil"/>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418" w:type="dxa"/>
            <w:tcBorders>
              <w:top w:val="single" w:sz="4" w:space="0" w:color="auto"/>
              <w:left w:val="nil"/>
              <w:bottom w:val="single" w:sz="4" w:space="0" w:color="auto"/>
              <w:right w:val="single" w:sz="4" w:space="0" w:color="auto"/>
            </w:tcBorders>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388" w:type="dxa"/>
            <w:gridSpan w:val="2"/>
            <w:tcBorders>
              <w:top w:val="single" w:sz="4" w:space="0" w:color="auto"/>
              <w:left w:val="single" w:sz="4" w:space="0" w:color="auto"/>
              <w:bottom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p>
        </w:tc>
        <w:tc>
          <w:tcPr>
            <w:tcW w:w="880" w:type="dxa"/>
            <w:gridSpan w:val="2"/>
            <w:tcBorders>
              <w:top w:val="single" w:sz="4" w:space="0" w:color="auto"/>
              <w:bottom w:val="single" w:sz="4" w:space="0" w:color="auto"/>
              <w:right w:val="single" w:sz="4" w:space="0" w:color="auto"/>
            </w:tcBorders>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Менее 0,0002</w:t>
            </w:r>
          </w:p>
        </w:tc>
        <w:tc>
          <w:tcPr>
            <w:tcW w:w="268" w:type="dxa"/>
            <w:gridSpan w:val="2"/>
            <w:tcBorders>
              <w:top w:val="single" w:sz="4" w:space="0" w:color="auto"/>
              <w:left w:val="single" w:sz="4" w:space="0" w:color="auto"/>
              <w:bottom w:val="single" w:sz="4" w:space="0" w:color="auto"/>
            </w:tcBorders>
          </w:tcPr>
          <w:p w:rsidR="00766BAB" w:rsidRPr="00D74571" w:rsidRDefault="00766BAB" w:rsidP="00D74571">
            <w:pPr>
              <w:spacing w:after="0" w:line="240" w:lineRule="auto"/>
              <w:jc w:val="center"/>
              <w:rPr>
                <w:rFonts w:ascii="Times New Roman" w:hAnsi="Times New Roman" w:cs="Times New Roman"/>
              </w:rPr>
            </w:pPr>
          </w:p>
        </w:tc>
        <w:tc>
          <w:tcPr>
            <w:tcW w:w="591" w:type="dxa"/>
            <w:tcBorders>
              <w:top w:val="single" w:sz="4" w:space="0" w:color="auto"/>
              <w:bottom w:val="single" w:sz="4" w:space="0" w:color="auto"/>
              <w:right w:val="single" w:sz="4" w:space="0" w:color="auto"/>
            </w:tcBorders>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Менее 0,0002</w:t>
            </w:r>
          </w:p>
        </w:tc>
        <w:tc>
          <w:tcPr>
            <w:tcW w:w="1418" w:type="dxa"/>
            <w:gridSpan w:val="4"/>
            <w:tcBorders>
              <w:top w:val="single" w:sz="4" w:space="0" w:color="auto"/>
              <w:left w:val="single" w:sz="4" w:space="0" w:color="auto"/>
              <w:bottom w:val="single" w:sz="4" w:space="0" w:color="auto"/>
              <w:right w:val="single" w:sz="4" w:space="0" w:color="auto"/>
            </w:tcBorders>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766BAB" w:rsidRPr="00D74571" w:rsidRDefault="00766BAB" w:rsidP="00D74571">
            <w:pPr>
              <w:spacing w:after="0" w:line="240" w:lineRule="auto"/>
              <w:jc w:val="center"/>
              <w:rPr>
                <w:rFonts w:ascii="Times New Roman" w:hAnsi="Times New Roman" w:cs="Times New Roman"/>
                <w:sz w:val="18"/>
                <w:szCs w:val="18"/>
              </w:rPr>
            </w:pPr>
            <w:r w:rsidRPr="00D74571">
              <w:rPr>
                <w:rFonts w:ascii="Times New Roman" w:hAnsi="Times New Roman" w:cs="Times New Roman"/>
                <w:sz w:val="18"/>
                <w:szCs w:val="18"/>
              </w:rPr>
              <w:t>Не более 0,03</w:t>
            </w:r>
          </w:p>
        </w:tc>
        <w:tc>
          <w:tcPr>
            <w:tcW w:w="850" w:type="dxa"/>
            <w:gridSpan w:val="2"/>
            <w:tcBorders>
              <w:top w:val="single" w:sz="4" w:space="0" w:color="auto"/>
              <w:left w:val="nil"/>
              <w:bottom w:val="single" w:sz="4" w:space="0" w:color="auto"/>
              <w:right w:val="single" w:sz="4" w:space="0" w:color="auto"/>
            </w:tcBorders>
            <w:shd w:val="clear" w:color="auto" w:fill="auto"/>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766BAB" w:rsidRPr="00D74571" w:rsidTr="00766BAB">
        <w:trPr>
          <w:gridAfter w:val="1"/>
          <w:wAfter w:w="227" w:type="dxa"/>
          <w:trHeight w:val="2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15</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Мышьяк</w:t>
            </w:r>
          </w:p>
        </w:tc>
        <w:tc>
          <w:tcPr>
            <w:tcW w:w="1306" w:type="dxa"/>
            <w:tcBorders>
              <w:top w:val="single" w:sz="4" w:space="0" w:color="auto"/>
              <w:left w:val="nil"/>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418" w:type="dxa"/>
            <w:tcBorders>
              <w:top w:val="single" w:sz="4" w:space="0" w:color="auto"/>
              <w:left w:val="nil"/>
              <w:bottom w:val="single" w:sz="4" w:space="0" w:color="auto"/>
              <w:right w:val="single" w:sz="4" w:space="0" w:color="auto"/>
            </w:tcBorders>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388" w:type="dxa"/>
            <w:gridSpan w:val="2"/>
            <w:tcBorders>
              <w:top w:val="single" w:sz="4" w:space="0" w:color="auto"/>
              <w:left w:val="single" w:sz="4" w:space="0" w:color="auto"/>
              <w:bottom w:val="single" w:sz="4" w:space="0" w:color="auto"/>
            </w:tcBorders>
            <w:vAlign w:val="center"/>
          </w:tcPr>
          <w:p w:rsidR="00766BAB" w:rsidRPr="00D74571" w:rsidRDefault="00766BAB" w:rsidP="00D74571">
            <w:pPr>
              <w:spacing w:after="0" w:line="240" w:lineRule="auto"/>
              <w:jc w:val="center"/>
              <w:rPr>
                <w:rFonts w:ascii="Times New Roman" w:hAnsi="Times New Roman" w:cs="Times New Roman"/>
              </w:rPr>
            </w:pPr>
          </w:p>
        </w:tc>
        <w:tc>
          <w:tcPr>
            <w:tcW w:w="880" w:type="dxa"/>
            <w:gridSpan w:val="2"/>
            <w:tcBorders>
              <w:top w:val="single" w:sz="4" w:space="0" w:color="auto"/>
              <w:bottom w:val="single" w:sz="4" w:space="0" w:color="auto"/>
              <w:right w:val="single" w:sz="4" w:space="0" w:color="auto"/>
            </w:tcBorders>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Менее 0,001</w:t>
            </w:r>
          </w:p>
        </w:tc>
        <w:tc>
          <w:tcPr>
            <w:tcW w:w="268" w:type="dxa"/>
            <w:gridSpan w:val="2"/>
            <w:tcBorders>
              <w:top w:val="single" w:sz="4" w:space="0" w:color="auto"/>
              <w:left w:val="single" w:sz="4" w:space="0" w:color="auto"/>
              <w:bottom w:val="single" w:sz="4" w:space="0" w:color="auto"/>
            </w:tcBorders>
          </w:tcPr>
          <w:p w:rsidR="00766BAB" w:rsidRPr="00D74571" w:rsidRDefault="00766BAB" w:rsidP="00D74571">
            <w:pPr>
              <w:spacing w:after="0" w:line="240" w:lineRule="auto"/>
              <w:jc w:val="center"/>
              <w:rPr>
                <w:rFonts w:ascii="Times New Roman" w:hAnsi="Times New Roman" w:cs="Times New Roman"/>
              </w:rPr>
            </w:pPr>
          </w:p>
        </w:tc>
        <w:tc>
          <w:tcPr>
            <w:tcW w:w="591" w:type="dxa"/>
            <w:tcBorders>
              <w:top w:val="single" w:sz="4" w:space="0" w:color="auto"/>
              <w:bottom w:val="single" w:sz="4" w:space="0" w:color="auto"/>
              <w:right w:val="single" w:sz="4" w:space="0" w:color="auto"/>
            </w:tcBorders>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Менее 0,01</w:t>
            </w:r>
          </w:p>
        </w:tc>
        <w:tc>
          <w:tcPr>
            <w:tcW w:w="1418" w:type="dxa"/>
            <w:gridSpan w:val="4"/>
            <w:tcBorders>
              <w:top w:val="single" w:sz="4" w:space="0" w:color="auto"/>
              <w:left w:val="single" w:sz="4" w:space="0" w:color="auto"/>
              <w:bottom w:val="single" w:sz="4" w:space="0" w:color="auto"/>
              <w:right w:val="single" w:sz="4" w:space="0" w:color="auto"/>
            </w:tcBorders>
          </w:tcPr>
          <w:p w:rsidR="00766BAB" w:rsidRPr="00D74571" w:rsidRDefault="00766BAB" w:rsidP="00D74571">
            <w:pPr>
              <w:spacing w:after="0" w:line="240" w:lineRule="auto"/>
              <w:jc w:val="center"/>
              <w:rPr>
                <w:rFonts w:ascii="Times New Roman" w:hAnsi="Times New Roman" w:cs="Times New Roman"/>
              </w:rPr>
            </w:pPr>
            <w:r w:rsidRPr="00D74571">
              <w:rPr>
                <w:rFonts w:ascii="Times New Roman" w:hAnsi="Times New Roman" w:cs="Times New Roman"/>
              </w:rPr>
              <w:t>Менее 0,007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766BAB" w:rsidRPr="00D74571" w:rsidRDefault="00766BAB" w:rsidP="00D74571">
            <w:pPr>
              <w:spacing w:after="0" w:line="240" w:lineRule="auto"/>
              <w:jc w:val="center"/>
              <w:rPr>
                <w:rFonts w:ascii="Times New Roman" w:hAnsi="Times New Roman" w:cs="Times New Roman"/>
                <w:sz w:val="18"/>
                <w:szCs w:val="18"/>
              </w:rPr>
            </w:pPr>
            <w:r w:rsidRPr="00D74571">
              <w:rPr>
                <w:rFonts w:ascii="Times New Roman" w:hAnsi="Times New Roman" w:cs="Times New Roman"/>
                <w:sz w:val="18"/>
                <w:szCs w:val="18"/>
              </w:rPr>
              <w:t>Не более 0,05</w:t>
            </w:r>
          </w:p>
        </w:tc>
        <w:tc>
          <w:tcPr>
            <w:tcW w:w="850" w:type="dxa"/>
            <w:gridSpan w:val="2"/>
            <w:tcBorders>
              <w:top w:val="single" w:sz="4" w:space="0" w:color="auto"/>
              <w:left w:val="nil"/>
              <w:bottom w:val="single" w:sz="4" w:space="0" w:color="auto"/>
              <w:right w:val="single" w:sz="4" w:space="0" w:color="auto"/>
            </w:tcBorders>
            <w:shd w:val="clear" w:color="auto" w:fill="auto"/>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766BAB" w:rsidRPr="00D74571" w:rsidTr="00766BAB">
        <w:trPr>
          <w:trHeight w:val="270"/>
        </w:trPr>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 протокола, дата и место отбора проб</w:t>
            </w:r>
          </w:p>
        </w:tc>
        <w:tc>
          <w:tcPr>
            <w:tcW w:w="1306" w:type="dxa"/>
            <w:tcBorders>
              <w:top w:val="single" w:sz="4" w:space="0" w:color="auto"/>
              <w:left w:val="nil"/>
              <w:bottom w:val="single" w:sz="4" w:space="0" w:color="auto"/>
              <w:right w:val="single" w:sz="4" w:space="0" w:color="auto"/>
            </w:tcBorders>
            <w:shd w:val="clear" w:color="auto" w:fill="auto"/>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 3178.20 от 20.05.2020г., дата отбора 13.05.2020г.</w:t>
            </w:r>
          </w:p>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МДОАУ д/с "Родничок" мкр. 2, "Нефтяников", 6а</w:t>
            </w:r>
          </w:p>
        </w:tc>
        <w:tc>
          <w:tcPr>
            <w:tcW w:w="1418" w:type="dxa"/>
            <w:tcBorders>
              <w:top w:val="single" w:sz="4" w:space="0" w:color="auto"/>
              <w:left w:val="nil"/>
              <w:bottom w:val="single" w:sz="4" w:space="0" w:color="auto"/>
              <w:right w:val="single" w:sz="4" w:space="0" w:color="auto"/>
            </w:tcBorders>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 7029.20 от 07.09.2020г., дата отбора 1.09.2020г.</w:t>
            </w:r>
          </w:p>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МДОАУ д/с "Родничок" мкр. 2, "Нефтяников", 6а</w:t>
            </w:r>
          </w:p>
        </w:tc>
        <w:tc>
          <w:tcPr>
            <w:tcW w:w="2058" w:type="dxa"/>
            <w:gridSpan w:val="3"/>
            <w:tcBorders>
              <w:top w:val="single" w:sz="4" w:space="0" w:color="auto"/>
              <w:left w:val="single" w:sz="4" w:space="0" w:color="auto"/>
              <w:bottom w:val="single" w:sz="4" w:space="0" w:color="auto"/>
            </w:tcBorders>
          </w:tcPr>
          <w:p w:rsidR="00766BAB" w:rsidRPr="00D74571" w:rsidRDefault="00766BAB" w:rsidP="00D74571">
            <w:pPr>
              <w:spacing w:after="0" w:line="240" w:lineRule="auto"/>
              <w:rPr>
                <w:rFonts w:ascii="Times New Roman" w:hAnsi="Times New Roman" w:cs="Times New Roman"/>
              </w:rPr>
            </w:pPr>
            <w:r w:rsidRPr="00D74571">
              <w:rPr>
                <w:rFonts w:ascii="Times New Roman" w:hAnsi="Times New Roman" w:cs="Times New Roman"/>
              </w:rPr>
              <w:t>№10151.20 от 27.11.20г..Пыть-Ях,1</w:t>
            </w:r>
            <w:proofErr w:type="gramStart"/>
            <w:r w:rsidRPr="00D74571">
              <w:rPr>
                <w:rFonts w:ascii="Times New Roman" w:hAnsi="Times New Roman" w:cs="Times New Roman"/>
              </w:rPr>
              <w:t>мкр.,</w:t>
            </w:r>
            <w:proofErr w:type="gramEnd"/>
            <w:r w:rsidRPr="00D74571">
              <w:rPr>
                <w:rFonts w:ascii="Times New Roman" w:hAnsi="Times New Roman" w:cs="Times New Roman"/>
              </w:rPr>
              <w:t>кафе «Веранда»,д.9В</w:t>
            </w:r>
          </w:p>
        </w:tc>
        <w:tc>
          <w:tcPr>
            <w:tcW w:w="236" w:type="dxa"/>
            <w:gridSpan w:val="2"/>
            <w:tcBorders>
              <w:top w:val="single" w:sz="4" w:space="0" w:color="auto"/>
              <w:bottom w:val="single" w:sz="4" w:space="0" w:color="auto"/>
              <w:right w:val="single" w:sz="4" w:space="0" w:color="auto"/>
            </w:tcBorders>
          </w:tcPr>
          <w:p w:rsidR="00766BAB" w:rsidRPr="00D74571" w:rsidRDefault="00766BAB" w:rsidP="00D74571">
            <w:pPr>
              <w:spacing w:after="0" w:line="240" w:lineRule="auto"/>
              <w:rPr>
                <w:rFonts w:ascii="Times New Roman" w:hAnsi="Times New Roman" w:cs="Times New Roman"/>
              </w:rPr>
            </w:pPr>
          </w:p>
        </w:tc>
        <w:tc>
          <w:tcPr>
            <w:tcW w:w="900" w:type="dxa"/>
            <w:gridSpan w:val="3"/>
            <w:tcBorders>
              <w:top w:val="single" w:sz="4" w:space="0" w:color="auto"/>
              <w:left w:val="single" w:sz="4" w:space="0" w:color="auto"/>
              <w:bottom w:val="single" w:sz="4" w:space="0" w:color="auto"/>
            </w:tcBorders>
          </w:tcPr>
          <w:p w:rsidR="00766BAB" w:rsidRPr="00D74571" w:rsidRDefault="00766BAB" w:rsidP="00D74571">
            <w:pPr>
              <w:spacing w:after="0" w:line="240" w:lineRule="auto"/>
              <w:rPr>
                <w:rFonts w:ascii="Times New Roman" w:hAnsi="Times New Roman" w:cs="Times New Roman"/>
              </w:rPr>
            </w:pPr>
          </w:p>
        </w:tc>
        <w:tc>
          <w:tcPr>
            <w:tcW w:w="236" w:type="dxa"/>
            <w:tcBorders>
              <w:top w:val="single" w:sz="4" w:space="0" w:color="auto"/>
              <w:bottom w:val="single" w:sz="4" w:space="0" w:color="auto"/>
            </w:tcBorders>
          </w:tcPr>
          <w:p w:rsidR="00766BAB" w:rsidRPr="00D74571" w:rsidRDefault="00766BAB" w:rsidP="00D74571">
            <w:pPr>
              <w:spacing w:after="0" w:line="240" w:lineRule="auto"/>
              <w:rPr>
                <w:rFonts w:ascii="Times New Roman" w:hAnsi="Times New Roman" w:cs="Times New Roman"/>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6BAB" w:rsidRPr="00D74571" w:rsidRDefault="00766BAB" w:rsidP="00D74571">
            <w:pPr>
              <w:spacing w:after="0" w:line="240" w:lineRule="auto"/>
              <w:jc w:val="center"/>
              <w:rPr>
                <w:rFonts w:ascii="Times New Roman" w:hAnsi="Times New Roman" w:cs="Times New Roman"/>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66BAB" w:rsidRPr="00D74571" w:rsidRDefault="00766BAB" w:rsidP="00D74571">
            <w:pPr>
              <w:spacing w:after="0" w:line="240" w:lineRule="auto"/>
              <w:rPr>
                <w:rFonts w:ascii="Times New Roman" w:hAnsi="Times New Roman" w:cs="Times New Roman"/>
              </w:rPr>
            </w:pPr>
          </w:p>
        </w:tc>
        <w:tc>
          <w:tcPr>
            <w:tcW w:w="236" w:type="dxa"/>
            <w:gridSpan w:val="2"/>
            <w:tcBorders>
              <w:left w:val="nil"/>
              <w:bottom w:val="single" w:sz="4" w:space="0" w:color="auto"/>
              <w:right w:val="single" w:sz="4" w:space="0" w:color="auto"/>
            </w:tcBorders>
            <w:shd w:val="clear" w:color="auto" w:fill="auto"/>
            <w:vAlign w:val="center"/>
          </w:tcPr>
          <w:p w:rsidR="00766BAB" w:rsidRPr="00D74571" w:rsidRDefault="00766BAB" w:rsidP="00D74571">
            <w:pPr>
              <w:spacing w:after="0" w:line="240" w:lineRule="auto"/>
              <w:rPr>
                <w:rFonts w:ascii="Times New Roman" w:hAnsi="Times New Roman" w:cs="Times New Roman"/>
              </w:rPr>
            </w:pPr>
          </w:p>
        </w:tc>
      </w:tr>
    </w:tbl>
    <w:p w:rsidR="00630798" w:rsidRPr="00D74571" w:rsidRDefault="00630798" w:rsidP="00D74571">
      <w:pPr>
        <w:autoSpaceDE w:val="0"/>
        <w:autoSpaceDN w:val="0"/>
        <w:adjustRightInd w:val="0"/>
        <w:spacing w:after="0" w:line="240" w:lineRule="auto"/>
        <w:jc w:val="both"/>
        <w:rPr>
          <w:rFonts w:ascii="Times New Roman" w:hAnsi="Times New Roman" w:cs="Times New Roman"/>
        </w:rPr>
      </w:pPr>
    </w:p>
    <w:p w:rsidR="00630798" w:rsidRPr="00D74571" w:rsidRDefault="00630798" w:rsidP="00D74571">
      <w:pPr>
        <w:autoSpaceDE w:val="0"/>
        <w:autoSpaceDN w:val="0"/>
        <w:adjustRightInd w:val="0"/>
        <w:spacing w:after="0" w:line="240" w:lineRule="auto"/>
        <w:jc w:val="both"/>
        <w:rPr>
          <w:rFonts w:ascii="Times New Roman" w:hAnsi="Times New Roman" w:cs="Times New Roman"/>
        </w:rPr>
      </w:pPr>
    </w:p>
    <w:p w:rsidR="00630798" w:rsidRPr="00D74571" w:rsidRDefault="00630798" w:rsidP="00D74571">
      <w:pPr>
        <w:autoSpaceDE w:val="0"/>
        <w:autoSpaceDN w:val="0"/>
        <w:adjustRightInd w:val="0"/>
        <w:spacing w:after="0" w:line="240" w:lineRule="auto"/>
        <w:jc w:val="both"/>
        <w:rPr>
          <w:rFonts w:ascii="Times New Roman" w:hAnsi="Times New Roman" w:cs="Times New Roman"/>
        </w:rPr>
      </w:pPr>
      <w:r w:rsidRPr="00D74571">
        <w:rPr>
          <w:rFonts w:ascii="Times New Roman" w:hAnsi="Times New Roman" w:cs="Times New Roman"/>
        </w:rPr>
        <w:t xml:space="preserve">Средние уровни показателей качества отобранных в течение 2020 г. проб питьевой воды после водоподготовки на ВОС -1, с разводящих сетей </w:t>
      </w:r>
      <w:r w:rsidRPr="00D74571">
        <w:rPr>
          <w:rFonts w:ascii="Times New Roman" w:hAnsi="Times New Roman" w:cs="Times New Roman"/>
          <w:u w:val="single"/>
        </w:rPr>
        <w:t>не соответствуют требованиям</w:t>
      </w:r>
      <w:r w:rsidRPr="00D74571">
        <w:rPr>
          <w:rFonts w:ascii="Times New Roman" w:hAnsi="Times New Roman" w:cs="Times New Roman"/>
        </w:rPr>
        <w:t xml:space="preserve"> СанПиН 2.1.4.1074-</w:t>
      </w:r>
      <w:r w:rsidRPr="00D74571">
        <w:rPr>
          <w:rFonts w:ascii="Times New Roman" w:hAnsi="Times New Roman" w:cs="Times New Roman"/>
        </w:rPr>
        <w:lastRenderedPageBreak/>
        <w:t>01 «Питьевая вода.Гигиенические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 изменениями на 28 июня 2010г.),  ГН 2.1.5.1315-03 «Предельно-допустимые концентрации химических веществ в воде водных объектов хозяйственно-питьевого и культурно-бытового водопользования»:</w:t>
      </w:r>
    </w:p>
    <w:p w:rsidR="00630798" w:rsidRPr="00D74571" w:rsidRDefault="00630798" w:rsidP="00D74571">
      <w:pPr>
        <w:autoSpaceDE w:val="0"/>
        <w:autoSpaceDN w:val="0"/>
        <w:adjustRightInd w:val="0"/>
        <w:spacing w:after="0" w:line="240" w:lineRule="auto"/>
        <w:jc w:val="both"/>
        <w:rPr>
          <w:rFonts w:ascii="Times New Roman" w:hAnsi="Times New Roman" w:cs="Times New Roman"/>
        </w:rPr>
      </w:pPr>
      <w:r w:rsidRPr="00D74571">
        <w:rPr>
          <w:rFonts w:ascii="Times New Roman" w:hAnsi="Times New Roman" w:cs="Times New Roman"/>
        </w:rPr>
        <w:t xml:space="preserve">- на выходе с ВОС-1 -   по средним показателям: железо, </w:t>
      </w:r>
      <w:r w:rsidRPr="00D74571">
        <w:rPr>
          <w:rFonts w:ascii="Times New Roman" w:hAnsi="Times New Roman" w:cs="Times New Roman"/>
          <w:color w:val="000000"/>
        </w:rPr>
        <w:t>мутность.</w:t>
      </w:r>
    </w:p>
    <w:p w:rsidR="00630798" w:rsidRPr="00D74571" w:rsidRDefault="00630798" w:rsidP="00D74571">
      <w:pPr>
        <w:autoSpaceDE w:val="0"/>
        <w:autoSpaceDN w:val="0"/>
        <w:adjustRightInd w:val="0"/>
        <w:spacing w:after="0" w:line="240" w:lineRule="auto"/>
        <w:jc w:val="both"/>
        <w:rPr>
          <w:rFonts w:ascii="Times New Roman" w:hAnsi="Times New Roman" w:cs="Times New Roman"/>
          <w:color w:val="000000"/>
        </w:rPr>
      </w:pPr>
      <w:r w:rsidRPr="00D74571">
        <w:rPr>
          <w:rFonts w:ascii="Times New Roman" w:hAnsi="Times New Roman" w:cs="Times New Roman"/>
        </w:rPr>
        <w:t xml:space="preserve">- разводящей сети, (холодного водоснабжения)- по средним показателям: железо, </w:t>
      </w:r>
      <w:r w:rsidRPr="00D74571">
        <w:rPr>
          <w:rFonts w:ascii="Times New Roman" w:hAnsi="Times New Roman" w:cs="Times New Roman"/>
          <w:color w:val="000000"/>
        </w:rPr>
        <w:t xml:space="preserve"> мутность, цветность.</w:t>
      </w:r>
    </w:p>
    <w:p w:rsidR="00630798" w:rsidRPr="00D74571" w:rsidRDefault="00630798" w:rsidP="00D74571">
      <w:pPr>
        <w:autoSpaceDE w:val="0"/>
        <w:autoSpaceDN w:val="0"/>
        <w:adjustRightInd w:val="0"/>
        <w:spacing w:after="0" w:line="240" w:lineRule="auto"/>
        <w:jc w:val="both"/>
        <w:rPr>
          <w:rFonts w:ascii="Times New Roman" w:hAnsi="Times New Roman" w:cs="Times New Roman"/>
        </w:rPr>
      </w:pPr>
      <w:r w:rsidRPr="00D74571">
        <w:rPr>
          <w:rFonts w:ascii="Times New Roman" w:hAnsi="Times New Roman" w:cs="Times New Roman"/>
          <w:color w:val="000000"/>
        </w:rPr>
        <w:t>- в магистральных сетях</w:t>
      </w:r>
      <w:r w:rsidRPr="00D74571">
        <w:rPr>
          <w:rFonts w:ascii="Times New Roman" w:hAnsi="Times New Roman" w:cs="Times New Roman"/>
        </w:rPr>
        <w:t xml:space="preserve"> по средним показателям: железо.</w:t>
      </w:r>
    </w:p>
    <w:p w:rsidR="00630798" w:rsidRPr="00D74571" w:rsidRDefault="00630798" w:rsidP="00D74571">
      <w:pPr>
        <w:autoSpaceDE w:val="0"/>
        <w:autoSpaceDN w:val="0"/>
        <w:adjustRightInd w:val="0"/>
        <w:spacing w:after="0" w:line="240" w:lineRule="auto"/>
        <w:jc w:val="both"/>
        <w:rPr>
          <w:rFonts w:ascii="Times New Roman" w:hAnsi="Times New Roman" w:cs="Times New Roman"/>
        </w:rPr>
      </w:pPr>
      <w:r w:rsidRPr="00D74571">
        <w:rPr>
          <w:rFonts w:ascii="Times New Roman" w:hAnsi="Times New Roman" w:cs="Times New Roman"/>
        </w:rPr>
        <w:t xml:space="preserve">     </w:t>
      </w:r>
    </w:p>
    <w:p w:rsidR="00630798" w:rsidRPr="00D74571" w:rsidRDefault="00630798" w:rsidP="00D74571">
      <w:pPr>
        <w:spacing w:after="0" w:line="240" w:lineRule="auto"/>
        <w:ind w:left="-142"/>
        <w:rPr>
          <w:rFonts w:ascii="Times New Roman" w:hAnsi="Times New Roman" w:cs="Times New Roman"/>
          <w:b/>
          <w:bCs/>
          <w:spacing w:val="-1"/>
        </w:rPr>
      </w:pPr>
      <w:r w:rsidRPr="00D74571">
        <w:rPr>
          <w:rFonts w:ascii="Times New Roman" w:hAnsi="Times New Roman" w:cs="Times New Roman"/>
          <w:b/>
          <w:bCs/>
          <w:spacing w:val="-1"/>
        </w:rPr>
        <w:t xml:space="preserve">    Средние уровни показателей качества питьевой воды</w:t>
      </w:r>
      <w:r w:rsidRPr="00D74571">
        <w:rPr>
          <w:rFonts w:ascii="Times New Roman" w:hAnsi="Times New Roman" w:cs="Times New Roman"/>
          <w:b/>
        </w:rPr>
        <w:t xml:space="preserve"> централизованной системы хозяйственно-питьевого  водоснабжения</w:t>
      </w:r>
      <w:r w:rsidRPr="00D74571">
        <w:rPr>
          <w:rFonts w:ascii="Times New Roman" w:hAnsi="Times New Roman" w:cs="Times New Roman"/>
          <w:b/>
          <w:bCs/>
          <w:spacing w:val="-1"/>
        </w:rPr>
        <w:t>, отобранных ,</w:t>
      </w:r>
      <w:r w:rsidRPr="00D74571">
        <w:rPr>
          <w:rFonts w:ascii="Times New Roman" w:hAnsi="Times New Roman" w:cs="Times New Roman"/>
          <w:b/>
        </w:rPr>
        <w:t>отобранных  на выходе с ВОС-2,</w:t>
      </w:r>
      <w:r w:rsidRPr="00D74571">
        <w:rPr>
          <w:rFonts w:ascii="Times New Roman" w:hAnsi="Times New Roman" w:cs="Times New Roman"/>
          <w:b/>
          <w:bCs/>
          <w:spacing w:val="-1"/>
        </w:rPr>
        <w:t>в разводящей сети, в рамках СГМ и надзорных мероприятий  (выход на город ВОС№2 подземный водозабор, разводящая сеть(холодное водоснабжение) за период 2020 год.</w:t>
      </w:r>
    </w:p>
    <w:p w:rsidR="00630798" w:rsidRPr="00D74571" w:rsidRDefault="00630798" w:rsidP="00D74571">
      <w:pPr>
        <w:autoSpaceDE w:val="0"/>
        <w:autoSpaceDN w:val="0"/>
        <w:adjustRightInd w:val="0"/>
        <w:spacing w:after="0" w:line="240" w:lineRule="auto"/>
        <w:rPr>
          <w:rFonts w:ascii="Times New Roman" w:hAnsi="Times New Roman" w:cs="Times New Roman"/>
          <w:b/>
        </w:rPr>
      </w:pPr>
      <w:r w:rsidRPr="00D74571">
        <w:rPr>
          <w:rFonts w:ascii="Times New Roman" w:hAnsi="Times New Roman" w:cs="Times New Roman"/>
          <w:b/>
        </w:rPr>
        <w:t>-По ВОС-2 МУП «УГХ», г.Пыть-Ях, 6 микрорайон «Пионерный»:</w:t>
      </w:r>
    </w:p>
    <w:p w:rsidR="00630798" w:rsidRPr="00D74571" w:rsidRDefault="00630798" w:rsidP="00D74571">
      <w:pPr>
        <w:spacing w:after="0" w:line="240" w:lineRule="auto"/>
        <w:jc w:val="center"/>
        <w:rPr>
          <w:rFonts w:ascii="Times New Roman" w:hAnsi="Times New Roman" w:cs="Times New Roman"/>
          <w:u w:val="single"/>
        </w:rPr>
      </w:pPr>
      <w:r w:rsidRPr="00D74571">
        <w:rPr>
          <w:rFonts w:ascii="Times New Roman" w:hAnsi="Times New Roman" w:cs="Times New Roman"/>
        </w:rPr>
        <w:t>1</w:t>
      </w:r>
      <w:r w:rsidRPr="00D74571">
        <w:rPr>
          <w:rFonts w:ascii="Times New Roman" w:hAnsi="Times New Roman" w:cs="Times New Roman"/>
          <w:u w:val="single"/>
        </w:rPr>
        <w:t xml:space="preserve"> Расчет среднего уровня показателей  проб воды  централизованной системы хозяйственно-питьевого  водоснабжения   отобранных на выходе с ВОС-2 , по результатам протоколов лабораторных испытаний.</w:t>
      </w:r>
    </w:p>
    <w:tbl>
      <w:tblPr>
        <w:tblW w:w="10080" w:type="dxa"/>
        <w:tblInd w:w="93" w:type="dxa"/>
        <w:tblLayout w:type="fixed"/>
        <w:tblLook w:val="04A0" w:firstRow="1" w:lastRow="0" w:firstColumn="1" w:lastColumn="0" w:noHBand="0" w:noVBand="1"/>
      </w:tblPr>
      <w:tblGrid>
        <w:gridCol w:w="540"/>
        <w:gridCol w:w="1460"/>
        <w:gridCol w:w="1559"/>
        <w:gridCol w:w="1985"/>
        <w:gridCol w:w="1275"/>
        <w:gridCol w:w="1418"/>
        <w:gridCol w:w="1843"/>
      </w:tblGrid>
      <w:tr w:rsidR="00630798" w:rsidRPr="00D74571" w:rsidTr="00630798">
        <w:trPr>
          <w:trHeight w:val="360"/>
        </w:trPr>
        <w:tc>
          <w:tcPr>
            <w:tcW w:w="540" w:type="dxa"/>
            <w:tcBorders>
              <w:top w:val="single" w:sz="4" w:space="0" w:color="auto"/>
              <w:left w:val="single" w:sz="4" w:space="0" w:color="auto"/>
              <w:bottom w:val="single" w:sz="4" w:space="0" w:color="auto"/>
              <w:right w:val="nil"/>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п\п</w:t>
            </w:r>
          </w:p>
        </w:tc>
        <w:tc>
          <w:tcPr>
            <w:tcW w:w="1460" w:type="dxa"/>
            <w:tcBorders>
              <w:top w:val="single" w:sz="4" w:space="0" w:color="auto"/>
              <w:left w:val="single" w:sz="4" w:space="0" w:color="auto"/>
              <w:bottom w:val="single" w:sz="4" w:space="0" w:color="auto"/>
              <w:right w:val="nil"/>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Показатели</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Результаты исследований</w:t>
            </w:r>
            <w:r w:rsidRPr="00D74571">
              <w:rPr>
                <w:rFonts w:ascii="Times New Roman" w:hAnsi="Times New Roman" w:cs="Times New Roman"/>
                <w:u w:val="single"/>
              </w:rPr>
              <w:t xml:space="preserve"> воды централизованной системы хозяйственно-питьевого  водоснабжения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xml:space="preserve">Средний показатель </w:t>
            </w:r>
          </w:p>
        </w:tc>
        <w:tc>
          <w:tcPr>
            <w:tcW w:w="1418" w:type="dxa"/>
            <w:tcBorders>
              <w:top w:val="single" w:sz="4" w:space="0" w:color="auto"/>
              <w:left w:val="single" w:sz="4" w:space="0" w:color="auto"/>
              <w:bottom w:val="single" w:sz="4" w:space="0" w:color="auto"/>
              <w:right w:val="nil"/>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Гигиенический норматив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Единицы измерения</w:t>
            </w:r>
          </w:p>
        </w:tc>
      </w:tr>
      <w:tr w:rsidR="00630798" w:rsidRPr="00D74571" w:rsidTr="00630798">
        <w:trPr>
          <w:trHeight w:val="270"/>
        </w:trPr>
        <w:tc>
          <w:tcPr>
            <w:tcW w:w="540" w:type="dxa"/>
            <w:tcBorders>
              <w:top w:val="nil"/>
              <w:left w:val="single" w:sz="4" w:space="0" w:color="auto"/>
              <w:bottom w:val="single" w:sz="4" w:space="0" w:color="auto"/>
              <w:right w:val="single" w:sz="4" w:space="0" w:color="auto"/>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w:t>
            </w:r>
          </w:p>
        </w:tc>
        <w:tc>
          <w:tcPr>
            <w:tcW w:w="1460"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Аммиак (по азоту)</w:t>
            </w:r>
          </w:p>
        </w:tc>
        <w:tc>
          <w:tcPr>
            <w:tcW w:w="1559"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2,56 ± 0,51</w:t>
            </w:r>
          </w:p>
        </w:tc>
        <w:tc>
          <w:tcPr>
            <w:tcW w:w="1985"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3,96 ± 0,43</w:t>
            </w:r>
          </w:p>
        </w:tc>
        <w:tc>
          <w:tcPr>
            <w:tcW w:w="127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2,493</w:t>
            </w:r>
          </w:p>
        </w:tc>
        <w:tc>
          <w:tcPr>
            <w:tcW w:w="141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1,5</w:t>
            </w:r>
          </w:p>
        </w:tc>
        <w:tc>
          <w:tcPr>
            <w:tcW w:w="184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40" w:type="dxa"/>
            <w:tcBorders>
              <w:top w:val="nil"/>
              <w:left w:val="single" w:sz="4" w:space="0" w:color="auto"/>
              <w:bottom w:val="single" w:sz="4" w:space="0" w:color="auto"/>
              <w:right w:val="single" w:sz="4" w:space="0" w:color="auto"/>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w:t>
            </w:r>
          </w:p>
        </w:tc>
        <w:tc>
          <w:tcPr>
            <w:tcW w:w="1460"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Железо</w:t>
            </w:r>
          </w:p>
        </w:tc>
        <w:tc>
          <w:tcPr>
            <w:tcW w:w="1559"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1,53 ± 0,21</w:t>
            </w:r>
          </w:p>
        </w:tc>
        <w:tc>
          <w:tcPr>
            <w:tcW w:w="1985"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1,62 ± 0,32</w:t>
            </w:r>
          </w:p>
        </w:tc>
        <w:tc>
          <w:tcPr>
            <w:tcW w:w="127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1,349</w:t>
            </w:r>
          </w:p>
        </w:tc>
        <w:tc>
          <w:tcPr>
            <w:tcW w:w="141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0,3 (1)</w:t>
            </w:r>
          </w:p>
        </w:tc>
        <w:tc>
          <w:tcPr>
            <w:tcW w:w="184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40" w:type="dxa"/>
            <w:tcBorders>
              <w:top w:val="nil"/>
              <w:left w:val="single" w:sz="4" w:space="0" w:color="auto"/>
              <w:bottom w:val="single" w:sz="4" w:space="0" w:color="auto"/>
              <w:right w:val="single" w:sz="4" w:space="0" w:color="auto"/>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3</w:t>
            </w:r>
          </w:p>
        </w:tc>
        <w:tc>
          <w:tcPr>
            <w:tcW w:w="1460"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Нитраты (по NO3)</w:t>
            </w:r>
          </w:p>
        </w:tc>
        <w:tc>
          <w:tcPr>
            <w:tcW w:w="1559"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0,5</w:t>
            </w:r>
          </w:p>
        </w:tc>
        <w:tc>
          <w:tcPr>
            <w:tcW w:w="1985"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0,5</w:t>
            </w:r>
          </w:p>
        </w:tc>
        <w:tc>
          <w:tcPr>
            <w:tcW w:w="1275"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0,5</w:t>
            </w:r>
          </w:p>
        </w:tc>
        <w:tc>
          <w:tcPr>
            <w:tcW w:w="141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45</w:t>
            </w:r>
          </w:p>
        </w:tc>
        <w:tc>
          <w:tcPr>
            <w:tcW w:w="184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40" w:type="dxa"/>
            <w:tcBorders>
              <w:top w:val="nil"/>
              <w:left w:val="single" w:sz="4" w:space="0" w:color="auto"/>
              <w:bottom w:val="single" w:sz="4" w:space="0" w:color="auto"/>
              <w:right w:val="single" w:sz="4" w:space="0" w:color="auto"/>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4</w:t>
            </w:r>
          </w:p>
        </w:tc>
        <w:tc>
          <w:tcPr>
            <w:tcW w:w="1460"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Нитриты (по NO2)</w:t>
            </w:r>
          </w:p>
        </w:tc>
        <w:tc>
          <w:tcPr>
            <w:tcW w:w="1559"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0,003</w:t>
            </w:r>
          </w:p>
        </w:tc>
        <w:tc>
          <w:tcPr>
            <w:tcW w:w="1985"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0,003</w:t>
            </w:r>
          </w:p>
        </w:tc>
        <w:tc>
          <w:tcPr>
            <w:tcW w:w="127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0,003</w:t>
            </w:r>
          </w:p>
        </w:tc>
        <w:tc>
          <w:tcPr>
            <w:tcW w:w="141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3</w:t>
            </w:r>
          </w:p>
        </w:tc>
        <w:tc>
          <w:tcPr>
            <w:tcW w:w="184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40"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5</w:t>
            </w:r>
          </w:p>
        </w:tc>
        <w:tc>
          <w:tcPr>
            <w:tcW w:w="1460"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Сульфаты</w:t>
            </w:r>
          </w:p>
        </w:tc>
        <w:tc>
          <w:tcPr>
            <w:tcW w:w="1559"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6,20 ± 1,24</w:t>
            </w:r>
          </w:p>
        </w:tc>
        <w:tc>
          <w:tcPr>
            <w:tcW w:w="1985"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10,8 ± 2,16</w:t>
            </w:r>
          </w:p>
        </w:tc>
        <w:tc>
          <w:tcPr>
            <w:tcW w:w="127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8,383</w:t>
            </w:r>
          </w:p>
        </w:tc>
        <w:tc>
          <w:tcPr>
            <w:tcW w:w="1418"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500</w:t>
            </w:r>
          </w:p>
        </w:tc>
        <w:tc>
          <w:tcPr>
            <w:tcW w:w="1843"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autoSpaceDE w:val="0"/>
              <w:autoSpaceDN w:val="0"/>
              <w:adjustRightInd w:val="0"/>
              <w:spacing w:after="0" w:line="240" w:lineRule="auto"/>
              <w:jc w:val="center"/>
              <w:rPr>
                <w:rFonts w:ascii="Times New Roman" w:hAnsi="Times New Roman" w:cs="Times New Roman"/>
                <w:color w:val="000000"/>
                <w:vertAlign w:val="superscript"/>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40"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6</w:t>
            </w:r>
          </w:p>
        </w:tc>
        <w:tc>
          <w:tcPr>
            <w:tcW w:w="1460"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 xml:space="preserve">Кадмий </w:t>
            </w:r>
          </w:p>
        </w:tc>
        <w:tc>
          <w:tcPr>
            <w:tcW w:w="1559"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jc w:val="center"/>
              <w:rPr>
                <w:rFonts w:ascii="Times New Roman" w:hAnsi="Times New Roman" w:cs="Times New Roman"/>
              </w:rPr>
            </w:pPr>
            <w:r w:rsidRPr="00D74571">
              <w:rPr>
                <w:rFonts w:ascii="Times New Roman" w:hAnsi="Times New Roman" w:cs="Times New Roman"/>
              </w:rPr>
              <w:t>Менее 0,0002</w:t>
            </w:r>
          </w:p>
        </w:tc>
        <w:tc>
          <w:tcPr>
            <w:tcW w:w="1985"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275" w:type="dxa"/>
            <w:tcBorders>
              <w:top w:val="nil"/>
              <w:left w:val="single" w:sz="4" w:space="0" w:color="auto"/>
              <w:bottom w:val="single" w:sz="4" w:space="0" w:color="auto"/>
              <w:right w:val="single" w:sz="4" w:space="0" w:color="auto"/>
            </w:tcBorders>
          </w:tcPr>
          <w:p w:rsidR="00630798" w:rsidRPr="00D74571" w:rsidRDefault="00630798" w:rsidP="00D74571">
            <w:pPr>
              <w:autoSpaceDE w:val="0"/>
              <w:autoSpaceDN w:val="0"/>
              <w:adjustRightInd w:val="0"/>
              <w:spacing w:after="0" w:line="240" w:lineRule="auto"/>
              <w:jc w:val="center"/>
              <w:rPr>
                <w:rFonts w:ascii="Times New Roman" w:hAnsi="Times New Roman" w:cs="Times New Roman"/>
              </w:rPr>
            </w:pPr>
            <w:r w:rsidRPr="00D74571">
              <w:rPr>
                <w:rFonts w:ascii="Times New Roman" w:hAnsi="Times New Roman" w:cs="Times New Roman"/>
              </w:rPr>
              <w:t>Менее 0,0002</w:t>
            </w:r>
          </w:p>
        </w:tc>
        <w:tc>
          <w:tcPr>
            <w:tcW w:w="1418"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0,001</w:t>
            </w:r>
          </w:p>
        </w:tc>
        <w:tc>
          <w:tcPr>
            <w:tcW w:w="1843"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40"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7</w:t>
            </w:r>
          </w:p>
        </w:tc>
        <w:tc>
          <w:tcPr>
            <w:tcW w:w="1460"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Марганец</w:t>
            </w:r>
          </w:p>
        </w:tc>
        <w:tc>
          <w:tcPr>
            <w:tcW w:w="1559"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0,00301 ± 0,0054</w:t>
            </w:r>
          </w:p>
        </w:tc>
        <w:tc>
          <w:tcPr>
            <w:tcW w:w="1985"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0,035± 0,007</w:t>
            </w:r>
          </w:p>
        </w:tc>
        <w:tc>
          <w:tcPr>
            <w:tcW w:w="1275" w:type="dxa"/>
            <w:tcBorders>
              <w:top w:val="nil"/>
              <w:left w:val="single" w:sz="4" w:space="0" w:color="auto"/>
              <w:bottom w:val="single" w:sz="4" w:space="0" w:color="auto"/>
              <w:right w:val="single" w:sz="4" w:space="0" w:color="auto"/>
            </w:tcBorders>
          </w:tcPr>
          <w:p w:rsidR="00630798" w:rsidRPr="00D74571" w:rsidRDefault="00630798" w:rsidP="00D74571">
            <w:pPr>
              <w:autoSpaceDE w:val="0"/>
              <w:autoSpaceDN w:val="0"/>
              <w:adjustRightInd w:val="0"/>
              <w:spacing w:after="0" w:line="240" w:lineRule="auto"/>
              <w:jc w:val="center"/>
              <w:rPr>
                <w:rFonts w:ascii="Times New Roman" w:hAnsi="Times New Roman" w:cs="Times New Roman"/>
              </w:rPr>
            </w:pPr>
            <w:r w:rsidRPr="00D74571">
              <w:rPr>
                <w:rFonts w:ascii="Times New Roman" w:hAnsi="Times New Roman" w:cs="Times New Roman"/>
              </w:rPr>
              <w:t>0,033</w:t>
            </w:r>
          </w:p>
        </w:tc>
        <w:tc>
          <w:tcPr>
            <w:tcW w:w="1418"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0,1</w:t>
            </w:r>
          </w:p>
        </w:tc>
        <w:tc>
          <w:tcPr>
            <w:tcW w:w="1843"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40"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8</w:t>
            </w:r>
          </w:p>
        </w:tc>
        <w:tc>
          <w:tcPr>
            <w:tcW w:w="1460"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Свинец</w:t>
            </w:r>
          </w:p>
        </w:tc>
        <w:tc>
          <w:tcPr>
            <w:tcW w:w="1559"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0,0002</w:t>
            </w:r>
          </w:p>
        </w:tc>
        <w:tc>
          <w:tcPr>
            <w:tcW w:w="1985"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0,0002</w:t>
            </w:r>
          </w:p>
        </w:tc>
        <w:tc>
          <w:tcPr>
            <w:tcW w:w="127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0,0002</w:t>
            </w:r>
          </w:p>
        </w:tc>
        <w:tc>
          <w:tcPr>
            <w:tcW w:w="1418"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0,03</w:t>
            </w:r>
          </w:p>
        </w:tc>
        <w:tc>
          <w:tcPr>
            <w:tcW w:w="1843"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40"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9</w:t>
            </w:r>
          </w:p>
        </w:tc>
        <w:tc>
          <w:tcPr>
            <w:tcW w:w="1460"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Медь</w:t>
            </w:r>
          </w:p>
        </w:tc>
        <w:tc>
          <w:tcPr>
            <w:tcW w:w="1559"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jc w:val="center"/>
              <w:rPr>
                <w:rFonts w:ascii="Times New Roman" w:hAnsi="Times New Roman" w:cs="Times New Roman"/>
              </w:rPr>
            </w:pPr>
            <w:r w:rsidRPr="00D74571">
              <w:rPr>
                <w:rFonts w:ascii="Times New Roman" w:hAnsi="Times New Roman" w:cs="Times New Roman"/>
              </w:rPr>
              <w:t>Менее 0,001</w:t>
            </w:r>
          </w:p>
        </w:tc>
        <w:tc>
          <w:tcPr>
            <w:tcW w:w="1985"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0,001</w:t>
            </w:r>
          </w:p>
        </w:tc>
        <w:tc>
          <w:tcPr>
            <w:tcW w:w="1275" w:type="dxa"/>
            <w:tcBorders>
              <w:top w:val="nil"/>
              <w:left w:val="single" w:sz="4" w:space="0" w:color="auto"/>
              <w:bottom w:val="single" w:sz="4" w:space="0" w:color="auto"/>
              <w:right w:val="single" w:sz="4" w:space="0" w:color="auto"/>
            </w:tcBorders>
          </w:tcPr>
          <w:p w:rsidR="00630798" w:rsidRPr="00D74571" w:rsidRDefault="00630798" w:rsidP="00D74571">
            <w:pPr>
              <w:autoSpaceDE w:val="0"/>
              <w:autoSpaceDN w:val="0"/>
              <w:adjustRightInd w:val="0"/>
              <w:spacing w:after="0" w:line="240" w:lineRule="auto"/>
              <w:jc w:val="center"/>
              <w:rPr>
                <w:rFonts w:ascii="Times New Roman" w:hAnsi="Times New Roman" w:cs="Times New Roman"/>
              </w:rPr>
            </w:pPr>
            <w:r w:rsidRPr="00D74571">
              <w:rPr>
                <w:rFonts w:ascii="Times New Roman" w:hAnsi="Times New Roman" w:cs="Times New Roman"/>
              </w:rPr>
              <w:t>Менее 0,001</w:t>
            </w:r>
          </w:p>
        </w:tc>
        <w:tc>
          <w:tcPr>
            <w:tcW w:w="1418"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1</w:t>
            </w:r>
          </w:p>
        </w:tc>
        <w:tc>
          <w:tcPr>
            <w:tcW w:w="1843"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40"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10</w:t>
            </w:r>
          </w:p>
        </w:tc>
        <w:tc>
          <w:tcPr>
            <w:tcW w:w="1460"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Цинк</w:t>
            </w:r>
          </w:p>
        </w:tc>
        <w:tc>
          <w:tcPr>
            <w:tcW w:w="1559"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0,0022 ± 0,0008</w:t>
            </w:r>
          </w:p>
        </w:tc>
        <w:tc>
          <w:tcPr>
            <w:tcW w:w="1985"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0,0145 ± 0,0051</w:t>
            </w:r>
          </w:p>
        </w:tc>
        <w:tc>
          <w:tcPr>
            <w:tcW w:w="1275"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0,008</w:t>
            </w:r>
          </w:p>
        </w:tc>
        <w:tc>
          <w:tcPr>
            <w:tcW w:w="1418"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5</w:t>
            </w:r>
          </w:p>
        </w:tc>
        <w:tc>
          <w:tcPr>
            <w:tcW w:w="1843"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40"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11</w:t>
            </w:r>
          </w:p>
        </w:tc>
        <w:tc>
          <w:tcPr>
            <w:tcW w:w="1460"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Фториды</w:t>
            </w:r>
          </w:p>
        </w:tc>
        <w:tc>
          <w:tcPr>
            <w:tcW w:w="1559"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0,1</w:t>
            </w:r>
          </w:p>
        </w:tc>
        <w:tc>
          <w:tcPr>
            <w:tcW w:w="1985"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0,21 ± 0,04</w:t>
            </w:r>
          </w:p>
        </w:tc>
        <w:tc>
          <w:tcPr>
            <w:tcW w:w="1275"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0,155</w:t>
            </w:r>
          </w:p>
        </w:tc>
        <w:tc>
          <w:tcPr>
            <w:tcW w:w="1418"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1,5</w:t>
            </w:r>
          </w:p>
        </w:tc>
        <w:tc>
          <w:tcPr>
            <w:tcW w:w="1843"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40"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12</w:t>
            </w:r>
          </w:p>
        </w:tc>
        <w:tc>
          <w:tcPr>
            <w:tcW w:w="1460"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Хлориды</w:t>
            </w:r>
          </w:p>
        </w:tc>
        <w:tc>
          <w:tcPr>
            <w:tcW w:w="1559"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86,5 ± 1,4</w:t>
            </w:r>
          </w:p>
        </w:tc>
        <w:tc>
          <w:tcPr>
            <w:tcW w:w="1985"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103,5 ± 1,4</w:t>
            </w:r>
          </w:p>
        </w:tc>
        <w:tc>
          <w:tcPr>
            <w:tcW w:w="127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96,666</w:t>
            </w:r>
          </w:p>
        </w:tc>
        <w:tc>
          <w:tcPr>
            <w:tcW w:w="1418"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350</w:t>
            </w:r>
          </w:p>
        </w:tc>
        <w:tc>
          <w:tcPr>
            <w:tcW w:w="1843"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40"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13</w:t>
            </w:r>
          </w:p>
        </w:tc>
        <w:tc>
          <w:tcPr>
            <w:tcW w:w="1460"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Жесткость общая</w:t>
            </w:r>
          </w:p>
        </w:tc>
        <w:tc>
          <w:tcPr>
            <w:tcW w:w="1559"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0,87 ± 0,36</w:t>
            </w:r>
          </w:p>
        </w:tc>
        <w:tc>
          <w:tcPr>
            <w:tcW w:w="1985"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1,55 ± 0,23</w:t>
            </w:r>
          </w:p>
        </w:tc>
        <w:tc>
          <w:tcPr>
            <w:tcW w:w="127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1,08</w:t>
            </w:r>
          </w:p>
        </w:tc>
        <w:tc>
          <w:tcPr>
            <w:tcW w:w="141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7</w:t>
            </w:r>
          </w:p>
        </w:tc>
        <w:tc>
          <w:tcPr>
            <w:tcW w:w="184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оЖ</w:t>
            </w:r>
          </w:p>
        </w:tc>
      </w:tr>
      <w:tr w:rsidR="00630798" w:rsidRPr="00D74571" w:rsidTr="00630798">
        <w:trPr>
          <w:trHeight w:val="270"/>
        </w:trPr>
        <w:tc>
          <w:tcPr>
            <w:tcW w:w="540"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14</w:t>
            </w:r>
          </w:p>
        </w:tc>
        <w:tc>
          <w:tcPr>
            <w:tcW w:w="1460"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рН</w:t>
            </w:r>
          </w:p>
        </w:tc>
        <w:tc>
          <w:tcPr>
            <w:tcW w:w="1559"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7,7 ± 0,2</w:t>
            </w:r>
          </w:p>
        </w:tc>
        <w:tc>
          <w:tcPr>
            <w:tcW w:w="1985"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7,4 ± 0,2</w:t>
            </w:r>
          </w:p>
        </w:tc>
        <w:tc>
          <w:tcPr>
            <w:tcW w:w="127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7,833</w:t>
            </w:r>
          </w:p>
        </w:tc>
        <w:tc>
          <w:tcPr>
            <w:tcW w:w="1418"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от 6 до 9</w:t>
            </w:r>
          </w:p>
        </w:tc>
        <w:tc>
          <w:tcPr>
            <w:tcW w:w="1843"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единицы pH</w:t>
            </w:r>
          </w:p>
        </w:tc>
      </w:tr>
      <w:tr w:rsidR="00630798" w:rsidRPr="00D74571" w:rsidTr="00630798">
        <w:trPr>
          <w:trHeight w:val="300"/>
        </w:trPr>
        <w:tc>
          <w:tcPr>
            <w:tcW w:w="540"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15</w:t>
            </w:r>
          </w:p>
        </w:tc>
        <w:tc>
          <w:tcPr>
            <w:tcW w:w="1460"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Окисляемость перманганатная</w:t>
            </w:r>
          </w:p>
        </w:tc>
        <w:tc>
          <w:tcPr>
            <w:tcW w:w="1559"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6,06 ± 0,6</w:t>
            </w:r>
          </w:p>
        </w:tc>
        <w:tc>
          <w:tcPr>
            <w:tcW w:w="1985"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3.88 ± 0,39</w:t>
            </w:r>
          </w:p>
        </w:tc>
        <w:tc>
          <w:tcPr>
            <w:tcW w:w="127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p>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5,906</w:t>
            </w:r>
          </w:p>
        </w:tc>
        <w:tc>
          <w:tcPr>
            <w:tcW w:w="141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p>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5</w:t>
            </w:r>
          </w:p>
        </w:tc>
        <w:tc>
          <w:tcPr>
            <w:tcW w:w="184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мгО2/дм3</w:t>
            </w:r>
          </w:p>
        </w:tc>
      </w:tr>
      <w:tr w:rsidR="00630798" w:rsidRPr="00D74571" w:rsidTr="00630798">
        <w:trPr>
          <w:trHeight w:val="469"/>
        </w:trPr>
        <w:tc>
          <w:tcPr>
            <w:tcW w:w="540"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16</w:t>
            </w:r>
          </w:p>
        </w:tc>
        <w:tc>
          <w:tcPr>
            <w:tcW w:w="1460"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Общая минерализация (сухой остаток)</w:t>
            </w:r>
          </w:p>
        </w:tc>
        <w:tc>
          <w:tcPr>
            <w:tcW w:w="1559"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488,5 ± 43,1</w:t>
            </w:r>
          </w:p>
        </w:tc>
        <w:tc>
          <w:tcPr>
            <w:tcW w:w="1985"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469,0 ± 42,21</w:t>
            </w:r>
          </w:p>
        </w:tc>
        <w:tc>
          <w:tcPr>
            <w:tcW w:w="127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489,33</w:t>
            </w:r>
          </w:p>
        </w:tc>
        <w:tc>
          <w:tcPr>
            <w:tcW w:w="141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1000 (1500)</w:t>
            </w:r>
          </w:p>
        </w:tc>
        <w:tc>
          <w:tcPr>
            <w:tcW w:w="184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469"/>
        </w:trPr>
        <w:tc>
          <w:tcPr>
            <w:tcW w:w="540"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17</w:t>
            </w:r>
          </w:p>
        </w:tc>
        <w:tc>
          <w:tcPr>
            <w:tcW w:w="1460"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ПАВанионо-активные</w:t>
            </w:r>
          </w:p>
        </w:tc>
        <w:tc>
          <w:tcPr>
            <w:tcW w:w="1559"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0,025</w:t>
            </w:r>
          </w:p>
        </w:tc>
        <w:tc>
          <w:tcPr>
            <w:tcW w:w="1985"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0,025</w:t>
            </w:r>
          </w:p>
        </w:tc>
        <w:tc>
          <w:tcPr>
            <w:tcW w:w="127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0,025</w:t>
            </w:r>
          </w:p>
        </w:tc>
        <w:tc>
          <w:tcPr>
            <w:tcW w:w="1418"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0,5</w:t>
            </w:r>
          </w:p>
        </w:tc>
        <w:tc>
          <w:tcPr>
            <w:tcW w:w="1843"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469"/>
        </w:trPr>
        <w:tc>
          <w:tcPr>
            <w:tcW w:w="540"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lastRenderedPageBreak/>
              <w:t>18</w:t>
            </w:r>
          </w:p>
        </w:tc>
        <w:tc>
          <w:tcPr>
            <w:tcW w:w="1460"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Нефтепродукты (суммарно)</w:t>
            </w:r>
          </w:p>
        </w:tc>
        <w:tc>
          <w:tcPr>
            <w:tcW w:w="1559"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0,018± 0,06</w:t>
            </w:r>
          </w:p>
        </w:tc>
        <w:tc>
          <w:tcPr>
            <w:tcW w:w="1985"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0,027 ± 0,009</w:t>
            </w:r>
          </w:p>
        </w:tc>
        <w:tc>
          <w:tcPr>
            <w:tcW w:w="127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0,189</w:t>
            </w:r>
          </w:p>
        </w:tc>
        <w:tc>
          <w:tcPr>
            <w:tcW w:w="1418"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0,1</w:t>
            </w:r>
          </w:p>
        </w:tc>
        <w:tc>
          <w:tcPr>
            <w:tcW w:w="1843"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469"/>
        </w:trPr>
        <w:tc>
          <w:tcPr>
            <w:tcW w:w="540"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19</w:t>
            </w:r>
          </w:p>
        </w:tc>
        <w:tc>
          <w:tcPr>
            <w:tcW w:w="1460"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Гидроксибензол (Фенол)</w:t>
            </w:r>
          </w:p>
        </w:tc>
        <w:tc>
          <w:tcPr>
            <w:tcW w:w="1559"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0,0005</w:t>
            </w:r>
          </w:p>
        </w:tc>
        <w:tc>
          <w:tcPr>
            <w:tcW w:w="1985"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0,0005</w:t>
            </w:r>
          </w:p>
        </w:tc>
        <w:tc>
          <w:tcPr>
            <w:tcW w:w="127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0,0005</w:t>
            </w:r>
          </w:p>
        </w:tc>
        <w:tc>
          <w:tcPr>
            <w:tcW w:w="1418"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0,001</w:t>
            </w:r>
          </w:p>
        </w:tc>
        <w:tc>
          <w:tcPr>
            <w:tcW w:w="1843"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40"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20</w:t>
            </w:r>
          </w:p>
        </w:tc>
        <w:tc>
          <w:tcPr>
            <w:tcW w:w="1460"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Запах при 20 °C</w:t>
            </w:r>
          </w:p>
        </w:tc>
        <w:tc>
          <w:tcPr>
            <w:tcW w:w="1559"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w:t>
            </w:r>
          </w:p>
        </w:tc>
        <w:tc>
          <w:tcPr>
            <w:tcW w:w="1985"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127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141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2</w:t>
            </w:r>
          </w:p>
        </w:tc>
        <w:tc>
          <w:tcPr>
            <w:tcW w:w="184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454"/>
        </w:trPr>
        <w:tc>
          <w:tcPr>
            <w:tcW w:w="540"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21</w:t>
            </w:r>
          </w:p>
        </w:tc>
        <w:tc>
          <w:tcPr>
            <w:tcW w:w="1460"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Запах при 60 °C</w:t>
            </w:r>
          </w:p>
        </w:tc>
        <w:tc>
          <w:tcPr>
            <w:tcW w:w="1559"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Cs/>
              </w:rPr>
            </w:pPr>
            <w:r w:rsidRPr="00D74571">
              <w:rPr>
                <w:rFonts w:ascii="Times New Roman" w:hAnsi="Times New Roman" w:cs="Times New Roman"/>
                <w:bCs/>
              </w:rPr>
              <w:t>2</w:t>
            </w:r>
          </w:p>
        </w:tc>
        <w:tc>
          <w:tcPr>
            <w:tcW w:w="1985"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127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xml:space="preserve"> 2</w:t>
            </w:r>
          </w:p>
        </w:tc>
        <w:tc>
          <w:tcPr>
            <w:tcW w:w="141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2</w:t>
            </w:r>
          </w:p>
        </w:tc>
        <w:tc>
          <w:tcPr>
            <w:tcW w:w="184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40"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22</w:t>
            </w:r>
          </w:p>
        </w:tc>
        <w:tc>
          <w:tcPr>
            <w:tcW w:w="1460"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Мутность</w:t>
            </w:r>
          </w:p>
        </w:tc>
        <w:tc>
          <w:tcPr>
            <w:tcW w:w="1559"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6,0± 0,6</w:t>
            </w:r>
          </w:p>
        </w:tc>
        <w:tc>
          <w:tcPr>
            <w:tcW w:w="1985"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7,39 ± 1,48</w:t>
            </w:r>
          </w:p>
        </w:tc>
        <w:tc>
          <w:tcPr>
            <w:tcW w:w="127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b/>
              </w:rPr>
            </w:pPr>
            <w:r w:rsidRPr="00D74571">
              <w:rPr>
                <w:rFonts w:ascii="Times New Roman" w:hAnsi="Times New Roman" w:cs="Times New Roman"/>
                <w:b/>
              </w:rPr>
              <w:t xml:space="preserve">   5,24</w:t>
            </w:r>
          </w:p>
        </w:tc>
        <w:tc>
          <w:tcPr>
            <w:tcW w:w="141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1,5 (2)</w:t>
            </w:r>
          </w:p>
        </w:tc>
        <w:tc>
          <w:tcPr>
            <w:tcW w:w="184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40"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23</w:t>
            </w:r>
          </w:p>
        </w:tc>
        <w:tc>
          <w:tcPr>
            <w:tcW w:w="1460"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Привкус</w:t>
            </w:r>
          </w:p>
        </w:tc>
        <w:tc>
          <w:tcPr>
            <w:tcW w:w="1559"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3</w:t>
            </w:r>
          </w:p>
        </w:tc>
        <w:tc>
          <w:tcPr>
            <w:tcW w:w="1985"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bCs/>
              </w:rPr>
            </w:pPr>
            <w:r w:rsidRPr="00D74571">
              <w:rPr>
                <w:rFonts w:ascii="Times New Roman" w:hAnsi="Times New Roman" w:cs="Times New Roman"/>
                <w:b/>
                <w:bCs/>
              </w:rPr>
              <w:t>3</w:t>
            </w:r>
          </w:p>
        </w:tc>
        <w:tc>
          <w:tcPr>
            <w:tcW w:w="127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Более 2</w:t>
            </w:r>
          </w:p>
        </w:tc>
        <w:tc>
          <w:tcPr>
            <w:tcW w:w="141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xml:space="preserve"> не более 2</w:t>
            </w:r>
          </w:p>
        </w:tc>
        <w:tc>
          <w:tcPr>
            <w:tcW w:w="184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40" w:type="dxa"/>
            <w:tcBorders>
              <w:top w:val="nil"/>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28</w:t>
            </w:r>
          </w:p>
        </w:tc>
        <w:tc>
          <w:tcPr>
            <w:tcW w:w="1460"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Цветность</w:t>
            </w:r>
          </w:p>
        </w:tc>
        <w:tc>
          <w:tcPr>
            <w:tcW w:w="1559"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62,50 ± 7,63</w:t>
            </w:r>
          </w:p>
        </w:tc>
        <w:tc>
          <w:tcPr>
            <w:tcW w:w="1985"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22,80± 6,4</w:t>
            </w:r>
          </w:p>
        </w:tc>
        <w:tc>
          <w:tcPr>
            <w:tcW w:w="127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35,033</w:t>
            </w:r>
          </w:p>
        </w:tc>
        <w:tc>
          <w:tcPr>
            <w:tcW w:w="141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20 (35)</w:t>
            </w:r>
          </w:p>
        </w:tc>
        <w:tc>
          <w:tcPr>
            <w:tcW w:w="184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град.</w:t>
            </w:r>
          </w:p>
        </w:tc>
      </w:tr>
      <w:tr w:rsidR="00630798" w:rsidRPr="00D74571" w:rsidTr="00630798">
        <w:trPr>
          <w:trHeight w:val="27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протокола, дата и место отбора проб</w:t>
            </w:r>
          </w:p>
        </w:tc>
        <w:tc>
          <w:tcPr>
            <w:tcW w:w="1559" w:type="dxa"/>
            <w:tcBorders>
              <w:top w:val="single" w:sz="4" w:space="0" w:color="auto"/>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3179.20 от 20.05.2020г., дата отбора 13.05.2020 г.,  выход с ВОС-2</w:t>
            </w:r>
          </w:p>
        </w:tc>
        <w:tc>
          <w:tcPr>
            <w:tcW w:w="1985"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7038.20 от 20.09.2020г., дата отбора 07.09.2020г.,  выход с ВОС-2</w:t>
            </w:r>
          </w:p>
        </w:tc>
        <w:tc>
          <w:tcPr>
            <w:tcW w:w="1275"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p>
        </w:tc>
      </w:tr>
    </w:tbl>
    <w:p w:rsidR="00630798" w:rsidRPr="00D74571" w:rsidRDefault="00630798" w:rsidP="00D74571">
      <w:pPr>
        <w:spacing w:after="0" w:line="240" w:lineRule="auto"/>
        <w:jc w:val="center"/>
        <w:rPr>
          <w:rFonts w:ascii="Times New Roman" w:hAnsi="Times New Roman" w:cs="Times New Roman"/>
        </w:rPr>
      </w:pPr>
    </w:p>
    <w:p w:rsidR="00630798" w:rsidRPr="00D74571" w:rsidRDefault="00630798" w:rsidP="00D74571">
      <w:pPr>
        <w:spacing w:after="0" w:line="240" w:lineRule="auto"/>
        <w:jc w:val="center"/>
        <w:rPr>
          <w:rFonts w:ascii="Times New Roman" w:hAnsi="Times New Roman" w:cs="Times New Roman"/>
        </w:rPr>
      </w:pPr>
    </w:p>
    <w:p w:rsidR="00630798" w:rsidRPr="00D74571" w:rsidRDefault="00630798" w:rsidP="00D74571">
      <w:pPr>
        <w:spacing w:after="0" w:line="240" w:lineRule="auto"/>
        <w:jc w:val="center"/>
        <w:rPr>
          <w:rFonts w:ascii="Times New Roman" w:hAnsi="Times New Roman" w:cs="Times New Roman"/>
          <w:u w:val="single"/>
        </w:rPr>
      </w:pPr>
      <w:r w:rsidRPr="00D74571">
        <w:rPr>
          <w:rFonts w:ascii="Times New Roman" w:hAnsi="Times New Roman" w:cs="Times New Roman"/>
        </w:rPr>
        <w:t xml:space="preserve"> </w:t>
      </w:r>
      <w:r w:rsidRPr="00D74571">
        <w:rPr>
          <w:rFonts w:ascii="Times New Roman" w:hAnsi="Times New Roman" w:cs="Times New Roman"/>
          <w:u w:val="single"/>
        </w:rPr>
        <w:t>Расчет среднего уровня показателей  проб воды  централизованной системы хозяйственно-питьевого  водоснабжения  (холодного) отобранных  в распределительной  сети ВОС-2, по результатам протоколов лабораторных испытаний.</w:t>
      </w:r>
    </w:p>
    <w:p w:rsidR="00630798" w:rsidRPr="00D74571" w:rsidRDefault="00630798" w:rsidP="00D74571">
      <w:pPr>
        <w:spacing w:after="0" w:line="240" w:lineRule="auto"/>
        <w:rPr>
          <w:rFonts w:ascii="Times New Roman" w:hAnsi="Times New Roman" w:cs="Times New Roman"/>
          <w:u w:val="single"/>
        </w:rPr>
      </w:pPr>
    </w:p>
    <w:tbl>
      <w:tblPr>
        <w:tblW w:w="9810" w:type="dxa"/>
        <w:tblInd w:w="108" w:type="dxa"/>
        <w:tblLayout w:type="fixed"/>
        <w:tblLook w:val="04A0" w:firstRow="1" w:lastRow="0" w:firstColumn="1" w:lastColumn="0" w:noHBand="0" w:noVBand="1"/>
      </w:tblPr>
      <w:tblGrid>
        <w:gridCol w:w="426"/>
        <w:gridCol w:w="1559"/>
        <w:gridCol w:w="992"/>
        <w:gridCol w:w="2268"/>
        <w:gridCol w:w="1985"/>
        <w:gridCol w:w="1275"/>
        <w:gridCol w:w="1305"/>
      </w:tblGrid>
      <w:tr w:rsidR="00630798" w:rsidRPr="00D74571" w:rsidTr="00766BAB">
        <w:trPr>
          <w:trHeight w:val="360"/>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п\п</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Показатели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Результаты исследований воды централизованной системы хозяйственно-питьевого  водоснабжения (холодной)</w:t>
            </w:r>
          </w:p>
        </w:tc>
        <w:tc>
          <w:tcPr>
            <w:tcW w:w="1985"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xml:space="preserve">Средний показатель </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Гигиенический норматив</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Единицы измерения</w:t>
            </w:r>
          </w:p>
        </w:tc>
      </w:tr>
      <w:tr w:rsidR="00630798" w:rsidRPr="00D74571" w:rsidTr="00766BAB">
        <w:trPr>
          <w:trHeight w:val="2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w:t>
            </w:r>
          </w:p>
        </w:tc>
        <w:tc>
          <w:tcPr>
            <w:tcW w:w="1559"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Аммиак (по азоту)</w:t>
            </w:r>
          </w:p>
        </w:tc>
        <w:tc>
          <w:tcPr>
            <w:tcW w:w="992"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sz w:val="20"/>
                <w:szCs w:val="20"/>
              </w:rPr>
              <w:t>1,97 ± 0,39</w:t>
            </w:r>
          </w:p>
        </w:tc>
        <w:tc>
          <w:tcPr>
            <w:tcW w:w="226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0,52 ± 0,13</w:t>
            </w:r>
          </w:p>
        </w:tc>
        <w:tc>
          <w:tcPr>
            <w:tcW w:w="198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1,24</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1,5</w:t>
            </w:r>
          </w:p>
        </w:tc>
        <w:tc>
          <w:tcPr>
            <w:tcW w:w="1305"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766BAB">
        <w:trPr>
          <w:trHeight w:val="2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w:t>
            </w:r>
          </w:p>
        </w:tc>
        <w:tc>
          <w:tcPr>
            <w:tcW w:w="1559"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Железо</w:t>
            </w:r>
          </w:p>
        </w:tc>
        <w:tc>
          <w:tcPr>
            <w:tcW w:w="992"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bCs/>
              </w:rPr>
            </w:pPr>
            <w:r w:rsidRPr="00D74571">
              <w:rPr>
                <w:rFonts w:ascii="Times New Roman" w:hAnsi="Times New Roman" w:cs="Times New Roman"/>
                <w:b/>
              </w:rPr>
              <w:t>Более 2</w:t>
            </w:r>
          </w:p>
        </w:tc>
        <w:tc>
          <w:tcPr>
            <w:tcW w:w="226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 xml:space="preserve">0.39 </w:t>
            </w:r>
            <w:r w:rsidRPr="00D74571">
              <w:rPr>
                <w:rFonts w:ascii="Times New Roman" w:hAnsi="Times New Roman" w:cs="Times New Roman"/>
                <w:b/>
                <w:sz w:val="20"/>
                <w:szCs w:val="20"/>
              </w:rPr>
              <w:t xml:space="preserve"> ± 0,08</w:t>
            </w:r>
          </w:p>
        </w:tc>
        <w:tc>
          <w:tcPr>
            <w:tcW w:w="198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Более 1.195</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0,3 (1)</w:t>
            </w:r>
          </w:p>
        </w:tc>
        <w:tc>
          <w:tcPr>
            <w:tcW w:w="1305"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766BAB">
        <w:trPr>
          <w:trHeight w:val="2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3</w:t>
            </w:r>
          </w:p>
        </w:tc>
        <w:tc>
          <w:tcPr>
            <w:tcW w:w="1559"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Нитраты (по NO3)</w:t>
            </w:r>
          </w:p>
        </w:tc>
        <w:tc>
          <w:tcPr>
            <w:tcW w:w="992"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0,5</w:t>
            </w:r>
          </w:p>
        </w:tc>
        <w:tc>
          <w:tcPr>
            <w:tcW w:w="226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0,5</w:t>
            </w:r>
          </w:p>
        </w:tc>
        <w:tc>
          <w:tcPr>
            <w:tcW w:w="1985"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0,5</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45</w:t>
            </w:r>
          </w:p>
        </w:tc>
        <w:tc>
          <w:tcPr>
            <w:tcW w:w="1305"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766BAB">
        <w:trPr>
          <w:trHeight w:val="2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4</w:t>
            </w:r>
          </w:p>
        </w:tc>
        <w:tc>
          <w:tcPr>
            <w:tcW w:w="1559"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Нитриты (по NO2)</w:t>
            </w:r>
          </w:p>
        </w:tc>
        <w:tc>
          <w:tcPr>
            <w:tcW w:w="992"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0,003</w:t>
            </w:r>
          </w:p>
        </w:tc>
        <w:tc>
          <w:tcPr>
            <w:tcW w:w="226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0,004 ± 0,002</w:t>
            </w:r>
          </w:p>
        </w:tc>
        <w:tc>
          <w:tcPr>
            <w:tcW w:w="1985"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0,0035</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3</w:t>
            </w:r>
          </w:p>
        </w:tc>
        <w:tc>
          <w:tcPr>
            <w:tcW w:w="1305"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766BAB">
        <w:trPr>
          <w:trHeight w:val="2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5</w:t>
            </w:r>
          </w:p>
        </w:tc>
        <w:tc>
          <w:tcPr>
            <w:tcW w:w="1559"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Жесткость общая</w:t>
            </w:r>
          </w:p>
        </w:tc>
        <w:tc>
          <w:tcPr>
            <w:tcW w:w="992"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2,45 ± 0,337</w:t>
            </w:r>
          </w:p>
        </w:tc>
        <w:tc>
          <w:tcPr>
            <w:tcW w:w="226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2,55± 0,38</w:t>
            </w:r>
          </w:p>
        </w:tc>
        <w:tc>
          <w:tcPr>
            <w:tcW w:w="198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2,5</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7</w:t>
            </w:r>
          </w:p>
        </w:tc>
        <w:tc>
          <w:tcPr>
            <w:tcW w:w="1305"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оЖ</w:t>
            </w:r>
          </w:p>
        </w:tc>
      </w:tr>
      <w:tr w:rsidR="00630798" w:rsidRPr="00D74571" w:rsidTr="00766BAB">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6</w:t>
            </w:r>
          </w:p>
        </w:tc>
        <w:tc>
          <w:tcPr>
            <w:tcW w:w="1559"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Окисляемость перманганатная</w:t>
            </w:r>
          </w:p>
        </w:tc>
        <w:tc>
          <w:tcPr>
            <w:tcW w:w="992"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6,16 ± 0,62</w:t>
            </w:r>
          </w:p>
        </w:tc>
        <w:tc>
          <w:tcPr>
            <w:tcW w:w="226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6,5 ± 0,062</w:t>
            </w:r>
          </w:p>
        </w:tc>
        <w:tc>
          <w:tcPr>
            <w:tcW w:w="198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6,33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5</w:t>
            </w:r>
          </w:p>
        </w:tc>
        <w:tc>
          <w:tcPr>
            <w:tcW w:w="1305"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мгО2/дм3</w:t>
            </w:r>
          </w:p>
        </w:tc>
      </w:tr>
      <w:tr w:rsidR="00630798" w:rsidRPr="00D74571" w:rsidTr="00766BAB">
        <w:trPr>
          <w:trHeight w:val="2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8</w:t>
            </w:r>
          </w:p>
        </w:tc>
        <w:tc>
          <w:tcPr>
            <w:tcW w:w="1559"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Запах при 20 °C</w:t>
            </w:r>
          </w:p>
        </w:tc>
        <w:tc>
          <w:tcPr>
            <w:tcW w:w="992"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sz w:val="20"/>
                <w:szCs w:val="20"/>
              </w:rPr>
            </w:pPr>
            <w:r w:rsidRPr="00D74571">
              <w:rPr>
                <w:rFonts w:ascii="Times New Roman" w:hAnsi="Times New Roman" w:cs="Times New Roman"/>
              </w:rPr>
              <w:t>2</w:t>
            </w:r>
          </w:p>
        </w:tc>
        <w:tc>
          <w:tcPr>
            <w:tcW w:w="198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w:t>
            </w:r>
          </w:p>
        </w:tc>
        <w:tc>
          <w:tcPr>
            <w:tcW w:w="1305"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766BAB">
        <w:trPr>
          <w:trHeight w:val="2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9</w:t>
            </w:r>
          </w:p>
        </w:tc>
        <w:tc>
          <w:tcPr>
            <w:tcW w:w="1559"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Запах при 60 °C</w:t>
            </w:r>
          </w:p>
        </w:tc>
        <w:tc>
          <w:tcPr>
            <w:tcW w:w="992"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Cs/>
              </w:rPr>
            </w:pPr>
            <w:r w:rsidRPr="00D74571">
              <w:rPr>
                <w:rFonts w:ascii="Times New Roman" w:hAnsi="Times New Roman" w:cs="Times New Roman"/>
                <w:bCs/>
              </w:rPr>
              <w:t>2</w:t>
            </w:r>
          </w:p>
        </w:tc>
        <w:tc>
          <w:tcPr>
            <w:tcW w:w="226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bCs/>
                <w:sz w:val="20"/>
                <w:szCs w:val="20"/>
              </w:rPr>
            </w:pPr>
            <w:r w:rsidRPr="00D74571">
              <w:rPr>
                <w:rFonts w:ascii="Times New Roman" w:hAnsi="Times New Roman" w:cs="Times New Roman"/>
                <w:b/>
              </w:rPr>
              <w:t>3</w:t>
            </w:r>
          </w:p>
        </w:tc>
        <w:tc>
          <w:tcPr>
            <w:tcW w:w="198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Более 2</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w:t>
            </w:r>
          </w:p>
        </w:tc>
        <w:tc>
          <w:tcPr>
            <w:tcW w:w="1305"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766BAB">
        <w:trPr>
          <w:trHeight w:val="2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10</w:t>
            </w:r>
          </w:p>
        </w:tc>
        <w:tc>
          <w:tcPr>
            <w:tcW w:w="1559"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Мутность</w:t>
            </w:r>
          </w:p>
        </w:tc>
        <w:tc>
          <w:tcPr>
            <w:tcW w:w="992"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6,5 ± 1,3</w:t>
            </w:r>
          </w:p>
        </w:tc>
        <w:tc>
          <w:tcPr>
            <w:tcW w:w="226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6,78 ± 1,36</w:t>
            </w:r>
          </w:p>
        </w:tc>
        <w:tc>
          <w:tcPr>
            <w:tcW w:w="198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6,64</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1,5 (2)</w:t>
            </w:r>
          </w:p>
        </w:tc>
        <w:tc>
          <w:tcPr>
            <w:tcW w:w="1305"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766BAB">
        <w:trPr>
          <w:trHeight w:val="2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11</w:t>
            </w:r>
          </w:p>
        </w:tc>
        <w:tc>
          <w:tcPr>
            <w:tcW w:w="1559"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Привкус</w:t>
            </w:r>
          </w:p>
        </w:tc>
        <w:tc>
          <w:tcPr>
            <w:tcW w:w="992"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3</w:t>
            </w:r>
          </w:p>
        </w:tc>
        <w:tc>
          <w:tcPr>
            <w:tcW w:w="226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4</w:t>
            </w:r>
          </w:p>
        </w:tc>
        <w:tc>
          <w:tcPr>
            <w:tcW w:w="198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xml:space="preserve"> не более 2</w:t>
            </w:r>
          </w:p>
        </w:tc>
        <w:tc>
          <w:tcPr>
            <w:tcW w:w="1305"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766BAB">
        <w:trPr>
          <w:trHeight w:val="2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12</w:t>
            </w:r>
          </w:p>
        </w:tc>
        <w:tc>
          <w:tcPr>
            <w:tcW w:w="1559"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Цветность</w:t>
            </w:r>
          </w:p>
        </w:tc>
        <w:tc>
          <w:tcPr>
            <w:tcW w:w="992"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Более 70</w:t>
            </w:r>
          </w:p>
        </w:tc>
        <w:tc>
          <w:tcPr>
            <w:tcW w:w="226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b/>
              </w:rPr>
              <w:t>64,3 ± 6,4</w:t>
            </w:r>
          </w:p>
        </w:tc>
        <w:tc>
          <w:tcPr>
            <w:tcW w:w="1985"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Более 67,15</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20 (35)</w:t>
            </w:r>
          </w:p>
        </w:tc>
        <w:tc>
          <w:tcPr>
            <w:tcW w:w="1305"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град.</w:t>
            </w:r>
          </w:p>
        </w:tc>
      </w:tr>
      <w:tr w:rsidR="00630798" w:rsidRPr="00D74571" w:rsidTr="00766BAB">
        <w:trPr>
          <w:trHeight w:val="27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протокола, дата и место отбора проб</w:t>
            </w:r>
          </w:p>
        </w:tc>
        <w:tc>
          <w:tcPr>
            <w:tcW w:w="992"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autoSpaceDE w:val="0"/>
              <w:autoSpaceDN w:val="0"/>
              <w:adjustRightInd w:val="0"/>
              <w:spacing w:after="0" w:line="240" w:lineRule="auto"/>
              <w:rPr>
                <w:rFonts w:ascii="Times New Roman" w:hAnsi="Times New Roman" w:cs="Times New Roman"/>
              </w:rPr>
            </w:pPr>
            <w:r w:rsidRPr="00D74571">
              <w:rPr>
                <w:rFonts w:ascii="Times New Roman" w:hAnsi="Times New Roman" w:cs="Times New Roman"/>
              </w:rPr>
              <w:t xml:space="preserve">№ 3179.20 от 20.05.2020г., </w:t>
            </w:r>
            <w:r w:rsidRPr="00D74571">
              <w:rPr>
                <w:rFonts w:ascii="Times New Roman" w:hAnsi="Times New Roman" w:cs="Times New Roman"/>
              </w:rPr>
              <w:lastRenderedPageBreak/>
              <w:t xml:space="preserve">дата отбора 13.05.2020г., мрн №6 «Пионерный» дом 25 кв 1 </w:t>
            </w:r>
          </w:p>
        </w:tc>
        <w:tc>
          <w:tcPr>
            <w:tcW w:w="226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lastRenderedPageBreak/>
              <w:t xml:space="preserve">№ 7733.20 от 21.09.2020г., дата отбора 17.07.2020г.,., мрн №6 </w:t>
            </w:r>
            <w:r w:rsidRPr="00D74571">
              <w:rPr>
                <w:rFonts w:ascii="Times New Roman" w:hAnsi="Times New Roman" w:cs="Times New Roman"/>
              </w:rPr>
              <w:lastRenderedPageBreak/>
              <w:t>«Пионерный» дом 25 кв 1</w:t>
            </w:r>
          </w:p>
        </w:tc>
        <w:tc>
          <w:tcPr>
            <w:tcW w:w="1985"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p>
        </w:tc>
        <w:tc>
          <w:tcPr>
            <w:tcW w:w="1305"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p>
        </w:tc>
      </w:tr>
    </w:tbl>
    <w:p w:rsidR="00630798" w:rsidRPr="00D74571" w:rsidRDefault="00630798" w:rsidP="00D74571">
      <w:pPr>
        <w:autoSpaceDE w:val="0"/>
        <w:autoSpaceDN w:val="0"/>
        <w:adjustRightInd w:val="0"/>
        <w:spacing w:after="0" w:line="240" w:lineRule="auto"/>
        <w:ind w:firstLine="708"/>
        <w:jc w:val="both"/>
        <w:rPr>
          <w:rFonts w:ascii="Times New Roman" w:hAnsi="Times New Roman" w:cs="Times New Roman"/>
        </w:rPr>
      </w:pPr>
      <w:r w:rsidRPr="00D74571">
        <w:rPr>
          <w:rFonts w:ascii="Times New Roman" w:hAnsi="Times New Roman" w:cs="Times New Roman"/>
        </w:rPr>
        <w:t>Средние уровни показателей качества отобранных в течении 2020 г. проб питьевой воды после водоподготовки на ВОС -</w:t>
      </w:r>
      <w:proofErr w:type="gramStart"/>
      <w:r w:rsidRPr="00D74571">
        <w:rPr>
          <w:rFonts w:ascii="Times New Roman" w:hAnsi="Times New Roman" w:cs="Times New Roman"/>
        </w:rPr>
        <w:t>2  не</w:t>
      </w:r>
      <w:proofErr w:type="gramEnd"/>
      <w:r w:rsidRPr="00D74571">
        <w:rPr>
          <w:rFonts w:ascii="Times New Roman" w:hAnsi="Times New Roman" w:cs="Times New Roman"/>
        </w:rPr>
        <w:t xml:space="preserve"> соответствуют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 изменениями на 28 июня 2010г.),  ГН 2.1.5.1315-03 «Предельно-допустимые концентрации химических веществ в воде водных объектов хозяйственно-питьевого и культурно-бытового водопользования»:</w:t>
      </w:r>
    </w:p>
    <w:p w:rsidR="00630798" w:rsidRPr="00D74571" w:rsidRDefault="00630798" w:rsidP="00D74571">
      <w:pPr>
        <w:autoSpaceDE w:val="0"/>
        <w:autoSpaceDN w:val="0"/>
        <w:adjustRightInd w:val="0"/>
        <w:spacing w:after="0" w:line="240" w:lineRule="auto"/>
        <w:ind w:firstLine="708"/>
        <w:jc w:val="both"/>
        <w:rPr>
          <w:rFonts w:ascii="Times New Roman" w:hAnsi="Times New Roman" w:cs="Times New Roman"/>
          <w:color w:val="000000"/>
        </w:rPr>
      </w:pPr>
      <w:r w:rsidRPr="00D74571">
        <w:rPr>
          <w:rFonts w:ascii="Times New Roman" w:hAnsi="Times New Roman" w:cs="Times New Roman"/>
        </w:rPr>
        <w:t>-на выходе с ВОС-2 -   по средним показателям:  о</w:t>
      </w:r>
      <w:r w:rsidRPr="00D74571">
        <w:rPr>
          <w:rFonts w:ascii="Times New Roman" w:hAnsi="Times New Roman" w:cs="Times New Roman"/>
          <w:color w:val="000000"/>
        </w:rPr>
        <w:t>кисляемость перманганатная, железо, аммиак (по азоту),  привкус ,цветность, мутность;</w:t>
      </w:r>
    </w:p>
    <w:p w:rsidR="00630798" w:rsidRPr="00D74571" w:rsidRDefault="00630798" w:rsidP="00D74571">
      <w:pPr>
        <w:autoSpaceDE w:val="0"/>
        <w:autoSpaceDN w:val="0"/>
        <w:adjustRightInd w:val="0"/>
        <w:spacing w:after="0" w:line="240" w:lineRule="auto"/>
        <w:ind w:firstLine="708"/>
        <w:jc w:val="both"/>
        <w:rPr>
          <w:rFonts w:ascii="Times New Roman" w:hAnsi="Times New Roman" w:cs="Times New Roman"/>
          <w:color w:val="000000"/>
          <w:highlight w:val="yellow"/>
        </w:rPr>
      </w:pPr>
      <w:r w:rsidRPr="00D74571">
        <w:rPr>
          <w:rFonts w:ascii="Times New Roman" w:hAnsi="Times New Roman" w:cs="Times New Roman"/>
        </w:rPr>
        <w:t>-из разводящей сети, (холодного водоснабжения) -   по средним показателям: цветность,  о</w:t>
      </w:r>
      <w:r w:rsidRPr="00D74571">
        <w:rPr>
          <w:rFonts w:ascii="Times New Roman" w:hAnsi="Times New Roman" w:cs="Times New Roman"/>
          <w:color w:val="000000"/>
        </w:rPr>
        <w:t>кисляемость перманганатная, железо, привкус ,мутность, запах при  60</w:t>
      </w:r>
      <w:r w:rsidRPr="00D74571">
        <w:rPr>
          <w:rFonts w:ascii="Times New Roman" w:hAnsi="Times New Roman" w:cs="Times New Roman"/>
          <w:color w:val="000000"/>
          <w:vertAlign w:val="superscript"/>
        </w:rPr>
        <w:t>0</w:t>
      </w:r>
      <w:r w:rsidRPr="00D74571">
        <w:rPr>
          <w:rFonts w:ascii="Times New Roman" w:hAnsi="Times New Roman" w:cs="Times New Roman"/>
          <w:color w:val="000000"/>
        </w:rPr>
        <w:t>С</w:t>
      </w:r>
    </w:p>
    <w:p w:rsidR="00630798" w:rsidRPr="00D74571" w:rsidRDefault="00630798" w:rsidP="00D74571">
      <w:pPr>
        <w:autoSpaceDE w:val="0"/>
        <w:autoSpaceDN w:val="0"/>
        <w:adjustRightInd w:val="0"/>
        <w:spacing w:after="0" w:line="240" w:lineRule="auto"/>
        <w:jc w:val="both"/>
        <w:rPr>
          <w:rFonts w:ascii="Times New Roman" w:hAnsi="Times New Roman" w:cs="Times New Roman"/>
        </w:rPr>
      </w:pPr>
      <w:r w:rsidRPr="00D74571">
        <w:rPr>
          <w:rFonts w:ascii="Times New Roman" w:hAnsi="Times New Roman" w:cs="Times New Roman"/>
        </w:rPr>
        <w:t xml:space="preserve">            Протоколы лабораторных  исследований проб питьевой воды после водоподготовки на ВОС -2  не соответствуют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 изменениями на 28 июня 2010г.),  ГН 2.1.5.1315-03 «Предельно-допустимые концентрации химических веществ в воде водных объектов хозяйственно-питьевого и культурно-бытового водопользования» » с учетом допустимой ошибки метода определения, согласно требований ФЗ-416 от 07.12.2011 г. «О водоснабжении и водоотведении» (с изменениями):</w:t>
      </w:r>
    </w:p>
    <w:p w:rsidR="00630798" w:rsidRPr="00D74571" w:rsidRDefault="00630798" w:rsidP="00D74571">
      <w:pPr>
        <w:autoSpaceDE w:val="0"/>
        <w:autoSpaceDN w:val="0"/>
        <w:adjustRightInd w:val="0"/>
        <w:spacing w:after="0" w:line="240" w:lineRule="auto"/>
        <w:ind w:firstLine="708"/>
        <w:jc w:val="both"/>
        <w:rPr>
          <w:rFonts w:ascii="Times New Roman" w:hAnsi="Times New Roman" w:cs="Times New Roman"/>
          <w:color w:val="000000"/>
        </w:rPr>
      </w:pPr>
      <w:r w:rsidRPr="00D74571">
        <w:rPr>
          <w:rFonts w:ascii="Times New Roman" w:hAnsi="Times New Roman" w:cs="Times New Roman"/>
        </w:rPr>
        <w:t>--на выходе с ВОС-2 -   по средним показателям:  о</w:t>
      </w:r>
      <w:r w:rsidRPr="00D74571">
        <w:rPr>
          <w:rFonts w:ascii="Times New Roman" w:hAnsi="Times New Roman" w:cs="Times New Roman"/>
          <w:color w:val="000000"/>
        </w:rPr>
        <w:t>кисляемость перманганатная, железо, аммиак (по азоту),  привкус ,цветность, мутность;</w:t>
      </w:r>
    </w:p>
    <w:p w:rsidR="00630798" w:rsidRPr="00D74571" w:rsidRDefault="00630798" w:rsidP="00D74571">
      <w:pPr>
        <w:autoSpaceDE w:val="0"/>
        <w:autoSpaceDN w:val="0"/>
        <w:adjustRightInd w:val="0"/>
        <w:spacing w:after="0" w:line="240" w:lineRule="auto"/>
        <w:ind w:firstLine="708"/>
        <w:jc w:val="both"/>
        <w:rPr>
          <w:rFonts w:ascii="Times New Roman" w:hAnsi="Times New Roman" w:cs="Times New Roman"/>
          <w:color w:val="000000"/>
          <w:highlight w:val="yellow"/>
        </w:rPr>
      </w:pPr>
      <w:r w:rsidRPr="00D74571">
        <w:rPr>
          <w:rFonts w:ascii="Times New Roman" w:hAnsi="Times New Roman" w:cs="Times New Roman"/>
        </w:rPr>
        <w:t>-из разводящей сети, (холодного водоснабжения) -   по средним показателям: цветность,  о</w:t>
      </w:r>
      <w:r w:rsidRPr="00D74571">
        <w:rPr>
          <w:rFonts w:ascii="Times New Roman" w:hAnsi="Times New Roman" w:cs="Times New Roman"/>
          <w:color w:val="000000"/>
        </w:rPr>
        <w:t>кисляемость перманганатная, железо, привкус ,мутность, запах при  60</w:t>
      </w:r>
      <w:r w:rsidRPr="00D74571">
        <w:rPr>
          <w:rFonts w:ascii="Times New Roman" w:hAnsi="Times New Roman" w:cs="Times New Roman"/>
          <w:color w:val="000000"/>
          <w:vertAlign w:val="superscript"/>
        </w:rPr>
        <w:t>0</w:t>
      </w:r>
      <w:r w:rsidRPr="00D74571">
        <w:rPr>
          <w:rFonts w:ascii="Times New Roman" w:hAnsi="Times New Roman" w:cs="Times New Roman"/>
          <w:color w:val="000000"/>
        </w:rPr>
        <w:t>С</w:t>
      </w:r>
    </w:p>
    <w:p w:rsidR="00630798" w:rsidRPr="00D74571" w:rsidRDefault="00630798" w:rsidP="00D74571">
      <w:pPr>
        <w:spacing w:after="0" w:line="240" w:lineRule="auto"/>
        <w:ind w:left="-142"/>
        <w:jc w:val="center"/>
        <w:rPr>
          <w:rFonts w:ascii="Times New Roman" w:hAnsi="Times New Roman" w:cs="Times New Roman"/>
          <w:b/>
          <w:bCs/>
          <w:spacing w:val="-1"/>
        </w:rPr>
      </w:pPr>
    </w:p>
    <w:p w:rsidR="00630798" w:rsidRPr="00D74571" w:rsidRDefault="00630798" w:rsidP="00D74571">
      <w:pPr>
        <w:spacing w:after="0" w:line="240" w:lineRule="auto"/>
        <w:ind w:left="-142"/>
        <w:jc w:val="center"/>
        <w:rPr>
          <w:rFonts w:ascii="Times New Roman" w:hAnsi="Times New Roman" w:cs="Times New Roman"/>
          <w:b/>
          <w:bCs/>
          <w:spacing w:val="-1"/>
        </w:rPr>
      </w:pPr>
      <w:r w:rsidRPr="00D74571">
        <w:rPr>
          <w:rFonts w:ascii="Times New Roman" w:hAnsi="Times New Roman" w:cs="Times New Roman"/>
          <w:b/>
          <w:bCs/>
          <w:spacing w:val="-1"/>
        </w:rPr>
        <w:t>3. Средние уровни показателей качества питьевой воды</w:t>
      </w:r>
      <w:r w:rsidRPr="00D74571">
        <w:rPr>
          <w:rFonts w:ascii="Times New Roman" w:hAnsi="Times New Roman" w:cs="Times New Roman"/>
          <w:b/>
        </w:rPr>
        <w:t xml:space="preserve"> централизованной системы хозяйственно-питьевого  водоснабжения</w:t>
      </w:r>
      <w:r w:rsidRPr="00D74571">
        <w:rPr>
          <w:rFonts w:ascii="Times New Roman" w:hAnsi="Times New Roman" w:cs="Times New Roman"/>
          <w:b/>
          <w:bCs/>
          <w:spacing w:val="-1"/>
        </w:rPr>
        <w:t>, отобранных ,</w:t>
      </w:r>
      <w:r w:rsidRPr="00D74571">
        <w:rPr>
          <w:rFonts w:ascii="Times New Roman" w:hAnsi="Times New Roman" w:cs="Times New Roman"/>
          <w:b/>
        </w:rPr>
        <w:t xml:space="preserve">отобранных  на выходе с ВОС-3 и </w:t>
      </w:r>
      <w:r w:rsidRPr="00D74571">
        <w:rPr>
          <w:rFonts w:ascii="Times New Roman" w:hAnsi="Times New Roman" w:cs="Times New Roman"/>
          <w:b/>
          <w:bCs/>
          <w:spacing w:val="-1"/>
        </w:rPr>
        <w:t>в разводящей сети, в рамках СГМ и надзорных мероприятий  (выход на город ВОС№3 подземный водозабор, разводящая сеть(холодное водоснабжение) за период 2020 год.</w:t>
      </w:r>
    </w:p>
    <w:p w:rsidR="00630798" w:rsidRPr="00D74571" w:rsidRDefault="00630798" w:rsidP="00D74571">
      <w:pPr>
        <w:autoSpaceDE w:val="0"/>
        <w:autoSpaceDN w:val="0"/>
        <w:adjustRightInd w:val="0"/>
        <w:spacing w:after="0" w:line="240" w:lineRule="auto"/>
        <w:ind w:firstLine="708"/>
        <w:jc w:val="both"/>
        <w:rPr>
          <w:rFonts w:ascii="Times New Roman" w:hAnsi="Times New Roman" w:cs="Times New Roman"/>
          <w:b/>
        </w:rPr>
      </w:pPr>
      <w:r w:rsidRPr="00D74571">
        <w:rPr>
          <w:rFonts w:ascii="Times New Roman" w:hAnsi="Times New Roman" w:cs="Times New Roman"/>
          <w:b/>
        </w:rPr>
        <w:t>-По ВОС-3  МУП «Управление городского хозяйства» г. Пыть-Ях,10 микрорайон «Мамонтово»:</w:t>
      </w:r>
    </w:p>
    <w:p w:rsidR="00630798" w:rsidRPr="00D74571" w:rsidRDefault="00630798" w:rsidP="00D74571">
      <w:pPr>
        <w:spacing w:after="0" w:line="240" w:lineRule="auto"/>
        <w:jc w:val="center"/>
        <w:rPr>
          <w:rFonts w:ascii="Times New Roman" w:hAnsi="Times New Roman" w:cs="Times New Roman"/>
        </w:rPr>
      </w:pPr>
    </w:p>
    <w:p w:rsidR="00630798" w:rsidRPr="00D74571" w:rsidRDefault="00630798" w:rsidP="00D74571">
      <w:pPr>
        <w:spacing w:after="0" w:line="240" w:lineRule="auto"/>
        <w:jc w:val="center"/>
        <w:rPr>
          <w:rFonts w:ascii="Times New Roman" w:hAnsi="Times New Roman" w:cs="Times New Roman"/>
          <w:u w:val="single"/>
        </w:rPr>
      </w:pPr>
      <w:r w:rsidRPr="00D74571">
        <w:rPr>
          <w:rFonts w:ascii="Times New Roman" w:hAnsi="Times New Roman" w:cs="Times New Roman"/>
        </w:rPr>
        <w:t>1</w:t>
      </w:r>
      <w:r w:rsidRPr="00D74571">
        <w:rPr>
          <w:rFonts w:ascii="Times New Roman" w:hAnsi="Times New Roman" w:cs="Times New Roman"/>
          <w:u w:val="single"/>
        </w:rPr>
        <w:t xml:space="preserve"> Расчет среднего уровня показателей  проб воды  централизованной системы хозяйственно-питьевого  водоснабжения   отобранных на выходе с ВОС-3, по результатам протоколов лабораторных испытаний.</w:t>
      </w:r>
    </w:p>
    <w:tbl>
      <w:tblPr>
        <w:tblW w:w="9781" w:type="dxa"/>
        <w:tblInd w:w="-459" w:type="dxa"/>
        <w:tblLayout w:type="fixed"/>
        <w:tblLook w:val="04A0" w:firstRow="1" w:lastRow="0" w:firstColumn="1" w:lastColumn="0" w:noHBand="0" w:noVBand="1"/>
      </w:tblPr>
      <w:tblGrid>
        <w:gridCol w:w="567"/>
        <w:gridCol w:w="1701"/>
        <w:gridCol w:w="1276"/>
        <w:gridCol w:w="1418"/>
        <w:gridCol w:w="1559"/>
        <w:gridCol w:w="2126"/>
        <w:gridCol w:w="1134"/>
      </w:tblGrid>
      <w:tr w:rsidR="00630798" w:rsidRPr="00D74571" w:rsidTr="00630798">
        <w:trPr>
          <w:trHeight w:val="360"/>
        </w:trPr>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п\п</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Показатели</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Результаты исследований воды централизованной системы хозяйственно-питьевого  водоснабжения</w:t>
            </w:r>
          </w:p>
        </w:tc>
        <w:tc>
          <w:tcPr>
            <w:tcW w:w="1559"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xml:space="preserve">Средний показатель </w:t>
            </w:r>
          </w:p>
        </w:tc>
        <w:tc>
          <w:tcPr>
            <w:tcW w:w="2126"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Гигиенический норматив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Единицы измерения</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Аммиак (по азоту)</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2,39 ± 0,48</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3,92 ± 0,78</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2,506</w:t>
            </w:r>
          </w:p>
        </w:tc>
        <w:tc>
          <w:tcPr>
            <w:tcW w:w="2126"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1,5</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30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Железо</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1,58 ± 0,24</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1,68 ± 0,34</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1,403</w:t>
            </w:r>
          </w:p>
        </w:tc>
        <w:tc>
          <w:tcPr>
            <w:tcW w:w="2126"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0,3 (1)</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3</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Нитраты (по NO3)</w:t>
            </w:r>
          </w:p>
        </w:tc>
        <w:tc>
          <w:tcPr>
            <w:tcW w:w="1276"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0,5</w:t>
            </w:r>
          </w:p>
        </w:tc>
        <w:tc>
          <w:tcPr>
            <w:tcW w:w="1418"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Менее 0,5</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Менее 0,4</w:t>
            </w:r>
          </w:p>
        </w:tc>
        <w:tc>
          <w:tcPr>
            <w:tcW w:w="2126"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45</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4</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Нитриты (по NO2)</w:t>
            </w:r>
          </w:p>
        </w:tc>
        <w:tc>
          <w:tcPr>
            <w:tcW w:w="1276"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0,003</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0,003</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0,003</w:t>
            </w:r>
          </w:p>
        </w:tc>
        <w:tc>
          <w:tcPr>
            <w:tcW w:w="2126"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3</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5</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Сульфаты</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11,7 ± 2,30</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4,0 ± 2,0</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tabs>
                <w:tab w:val="left" w:pos="1145"/>
              </w:tabs>
              <w:spacing w:after="0" w:line="240" w:lineRule="auto"/>
              <w:jc w:val="center"/>
              <w:rPr>
                <w:rFonts w:ascii="Times New Roman" w:hAnsi="Times New Roman" w:cs="Times New Roman"/>
              </w:rPr>
            </w:pPr>
            <w:r w:rsidRPr="00D74571">
              <w:rPr>
                <w:rFonts w:ascii="Times New Roman" w:hAnsi="Times New Roman" w:cs="Times New Roman"/>
              </w:rPr>
              <w:t>8,46</w:t>
            </w:r>
          </w:p>
        </w:tc>
        <w:tc>
          <w:tcPr>
            <w:tcW w:w="2126"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500</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rPr>
                <w:rFonts w:ascii="Times New Roman" w:hAnsi="Times New Roman" w:cs="Times New Roman"/>
                <w:color w:val="000000"/>
                <w:vertAlign w:val="superscript"/>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6</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 xml:space="preserve">Кадмий </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0,0002</w:t>
            </w:r>
          </w:p>
        </w:tc>
        <w:tc>
          <w:tcPr>
            <w:tcW w:w="1418" w:type="dxa"/>
            <w:tcBorders>
              <w:top w:val="single" w:sz="4" w:space="0" w:color="auto"/>
              <w:left w:val="nil"/>
              <w:bottom w:val="single" w:sz="4" w:space="0" w:color="auto"/>
              <w:right w:val="single" w:sz="4" w:space="0" w:color="auto"/>
            </w:tcBorders>
          </w:tcPr>
          <w:p w:rsidR="00630798" w:rsidRPr="00D74571" w:rsidRDefault="00630798" w:rsidP="00D74571">
            <w:pPr>
              <w:autoSpaceDE w:val="0"/>
              <w:autoSpaceDN w:val="0"/>
              <w:adjustRightInd w:val="0"/>
              <w:spacing w:after="0" w:line="240" w:lineRule="auto"/>
              <w:jc w:val="center"/>
              <w:rPr>
                <w:rFonts w:ascii="Times New Roman" w:hAnsi="Times New Roman" w:cs="Times New Roman"/>
              </w:rPr>
            </w:pPr>
            <w:r w:rsidRPr="00D74571">
              <w:rPr>
                <w:rFonts w:ascii="Times New Roman" w:hAnsi="Times New Roman" w:cs="Times New Roman"/>
              </w:rPr>
              <w:t>-</w:t>
            </w:r>
          </w:p>
        </w:tc>
        <w:tc>
          <w:tcPr>
            <w:tcW w:w="1559"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0,0002</w:t>
            </w:r>
          </w:p>
        </w:tc>
        <w:tc>
          <w:tcPr>
            <w:tcW w:w="2126"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0,001</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7</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Марганец</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p>
        </w:tc>
        <w:tc>
          <w:tcPr>
            <w:tcW w:w="2126"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0,1</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lastRenderedPageBreak/>
              <w:t>8</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Мышьяк</w:t>
            </w:r>
          </w:p>
        </w:tc>
        <w:tc>
          <w:tcPr>
            <w:tcW w:w="1276"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jc w:val="center"/>
              <w:rPr>
                <w:rFonts w:ascii="Times New Roman" w:hAnsi="Times New Roman" w:cs="Times New Roman"/>
              </w:rPr>
            </w:pPr>
            <w:r w:rsidRPr="00D74571">
              <w:rPr>
                <w:rFonts w:ascii="Times New Roman" w:hAnsi="Times New Roman" w:cs="Times New Roman"/>
              </w:rPr>
              <w:t>-</w:t>
            </w:r>
          </w:p>
        </w:tc>
        <w:tc>
          <w:tcPr>
            <w:tcW w:w="1418" w:type="dxa"/>
            <w:tcBorders>
              <w:top w:val="single" w:sz="4" w:space="0" w:color="auto"/>
              <w:left w:val="nil"/>
              <w:bottom w:val="single" w:sz="4" w:space="0" w:color="auto"/>
              <w:right w:val="single" w:sz="4" w:space="0" w:color="auto"/>
            </w:tcBorders>
          </w:tcPr>
          <w:p w:rsidR="00630798" w:rsidRPr="00D74571" w:rsidRDefault="00630798" w:rsidP="00D74571">
            <w:pPr>
              <w:autoSpaceDE w:val="0"/>
              <w:autoSpaceDN w:val="0"/>
              <w:adjustRightInd w:val="0"/>
              <w:spacing w:after="0" w:line="240" w:lineRule="auto"/>
              <w:jc w:val="center"/>
              <w:rPr>
                <w:rFonts w:ascii="Times New Roman" w:hAnsi="Times New Roman" w:cs="Times New Roman"/>
              </w:rPr>
            </w:pPr>
            <w:r w:rsidRPr="00D74571">
              <w:rPr>
                <w:rFonts w:ascii="Times New Roman" w:hAnsi="Times New Roman" w:cs="Times New Roman"/>
              </w:rPr>
              <w:t>-</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autoSpaceDE w:val="0"/>
              <w:autoSpaceDN w:val="0"/>
              <w:adjustRightInd w:val="0"/>
              <w:spacing w:after="0" w:line="240" w:lineRule="auto"/>
              <w:jc w:val="center"/>
              <w:rPr>
                <w:rFonts w:ascii="Times New Roman" w:hAnsi="Times New Roman" w:cs="Times New Roman"/>
              </w:rPr>
            </w:pPr>
            <w:r w:rsidRPr="00D74571">
              <w:rPr>
                <w:rFonts w:ascii="Times New Roman" w:hAnsi="Times New Roman" w:cs="Times New Roman"/>
              </w:rPr>
              <w:t>-</w:t>
            </w:r>
          </w:p>
        </w:tc>
        <w:tc>
          <w:tcPr>
            <w:tcW w:w="2126"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0,05</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9</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Никель</w:t>
            </w:r>
          </w:p>
        </w:tc>
        <w:tc>
          <w:tcPr>
            <w:tcW w:w="1276"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418" w:type="dxa"/>
            <w:tcBorders>
              <w:top w:val="single" w:sz="4" w:space="0" w:color="auto"/>
              <w:left w:val="nil"/>
              <w:bottom w:val="single" w:sz="4" w:space="0" w:color="auto"/>
              <w:right w:val="single" w:sz="4" w:space="0" w:color="auto"/>
            </w:tcBorders>
          </w:tcPr>
          <w:p w:rsidR="00630798" w:rsidRPr="00D74571" w:rsidRDefault="00630798" w:rsidP="00D74571">
            <w:pPr>
              <w:autoSpaceDE w:val="0"/>
              <w:autoSpaceDN w:val="0"/>
              <w:adjustRightInd w:val="0"/>
              <w:spacing w:after="0" w:line="240" w:lineRule="auto"/>
              <w:jc w:val="center"/>
              <w:rPr>
                <w:rFonts w:ascii="Times New Roman" w:hAnsi="Times New Roman" w:cs="Times New Roman"/>
              </w:rPr>
            </w:pPr>
            <w:r w:rsidRPr="00D74571">
              <w:rPr>
                <w:rFonts w:ascii="Times New Roman" w:hAnsi="Times New Roman" w:cs="Times New Roman"/>
              </w:rPr>
              <w:t>-</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autoSpaceDE w:val="0"/>
              <w:autoSpaceDN w:val="0"/>
              <w:adjustRightInd w:val="0"/>
              <w:spacing w:after="0" w:line="240" w:lineRule="auto"/>
              <w:jc w:val="center"/>
              <w:rPr>
                <w:rFonts w:ascii="Times New Roman" w:hAnsi="Times New Roman" w:cs="Times New Roman"/>
              </w:rPr>
            </w:pPr>
            <w:r w:rsidRPr="00D74571">
              <w:rPr>
                <w:rFonts w:ascii="Times New Roman" w:hAnsi="Times New Roman" w:cs="Times New Roman"/>
              </w:rPr>
              <w:t>-</w:t>
            </w:r>
          </w:p>
        </w:tc>
        <w:tc>
          <w:tcPr>
            <w:tcW w:w="2126"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0,1</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10</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Свинец</w:t>
            </w:r>
          </w:p>
        </w:tc>
        <w:tc>
          <w:tcPr>
            <w:tcW w:w="1276"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0,0002</w:t>
            </w:r>
          </w:p>
        </w:tc>
        <w:tc>
          <w:tcPr>
            <w:tcW w:w="1418" w:type="dxa"/>
            <w:tcBorders>
              <w:top w:val="single" w:sz="4" w:space="0" w:color="auto"/>
              <w:left w:val="nil"/>
              <w:bottom w:val="single" w:sz="4" w:space="0" w:color="auto"/>
              <w:right w:val="single" w:sz="4" w:space="0" w:color="auto"/>
            </w:tcBorders>
          </w:tcPr>
          <w:p w:rsidR="00630798" w:rsidRPr="00D74571" w:rsidRDefault="00630798" w:rsidP="00D74571">
            <w:pPr>
              <w:autoSpaceDE w:val="0"/>
              <w:autoSpaceDN w:val="0"/>
              <w:adjustRightInd w:val="0"/>
              <w:spacing w:after="0" w:line="240" w:lineRule="auto"/>
              <w:jc w:val="center"/>
              <w:rPr>
                <w:rFonts w:ascii="Times New Roman" w:hAnsi="Times New Roman" w:cs="Times New Roman"/>
              </w:rPr>
            </w:pPr>
            <w:r w:rsidRPr="00D74571">
              <w:rPr>
                <w:rFonts w:ascii="Times New Roman" w:hAnsi="Times New Roman" w:cs="Times New Roman"/>
              </w:rPr>
              <w:t>-</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Менее 0,0002</w:t>
            </w:r>
          </w:p>
        </w:tc>
        <w:tc>
          <w:tcPr>
            <w:tcW w:w="2126"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0,03</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11</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Медь</w:t>
            </w:r>
          </w:p>
        </w:tc>
        <w:tc>
          <w:tcPr>
            <w:tcW w:w="1276"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jc w:val="center"/>
              <w:rPr>
                <w:rFonts w:ascii="Times New Roman" w:hAnsi="Times New Roman" w:cs="Times New Roman"/>
              </w:rPr>
            </w:pPr>
            <w:r w:rsidRPr="00D74571">
              <w:rPr>
                <w:rFonts w:ascii="Times New Roman" w:hAnsi="Times New Roman" w:cs="Times New Roman"/>
              </w:rPr>
              <w:t>Менее 0,0006</w:t>
            </w:r>
          </w:p>
        </w:tc>
        <w:tc>
          <w:tcPr>
            <w:tcW w:w="1418" w:type="dxa"/>
            <w:tcBorders>
              <w:top w:val="single" w:sz="4" w:space="0" w:color="auto"/>
              <w:left w:val="nil"/>
              <w:bottom w:val="single" w:sz="4" w:space="0" w:color="auto"/>
              <w:right w:val="single" w:sz="4" w:space="0" w:color="auto"/>
            </w:tcBorders>
          </w:tcPr>
          <w:p w:rsidR="00630798" w:rsidRPr="00D74571" w:rsidRDefault="00630798" w:rsidP="00D74571">
            <w:pPr>
              <w:autoSpaceDE w:val="0"/>
              <w:autoSpaceDN w:val="0"/>
              <w:adjustRightInd w:val="0"/>
              <w:spacing w:after="0" w:line="240" w:lineRule="auto"/>
              <w:jc w:val="center"/>
              <w:rPr>
                <w:rFonts w:ascii="Times New Roman" w:hAnsi="Times New Roman" w:cs="Times New Roman"/>
              </w:rPr>
            </w:pPr>
            <w:r w:rsidRPr="00D74571">
              <w:rPr>
                <w:rFonts w:ascii="Times New Roman" w:hAnsi="Times New Roman" w:cs="Times New Roman"/>
              </w:rPr>
              <w:t>-</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autoSpaceDE w:val="0"/>
              <w:autoSpaceDN w:val="0"/>
              <w:adjustRightInd w:val="0"/>
              <w:spacing w:after="0" w:line="240" w:lineRule="auto"/>
              <w:jc w:val="center"/>
              <w:rPr>
                <w:rFonts w:ascii="Times New Roman" w:hAnsi="Times New Roman" w:cs="Times New Roman"/>
              </w:rPr>
            </w:pPr>
            <w:r w:rsidRPr="00D74571">
              <w:rPr>
                <w:rFonts w:ascii="Times New Roman" w:hAnsi="Times New Roman" w:cs="Times New Roman"/>
              </w:rPr>
              <w:t>Менее 0,0006</w:t>
            </w:r>
          </w:p>
        </w:tc>
        <w:tc>
          <w:tcPr>
            <w:tcW w:w="2126"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1</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12</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Цинк</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0,012 ± 0,003</w:t>
            </w:r>
          </w:p>
        </w:tc>
        <w:tc>
          <w:tcPr>
            <w:tcW w:w="1418" w:type="dxa"/>
            <w:tcBorders>
              <w:top w:val="single" w:sz="4" w:space="0" w:color="auto"/>
              <w:left w:val="nil"/>
              <w:bottom w:val="single" w:sz="4" w:space="0" w:color="auto"/>
              <w:right w:val="single" w:sz="4" w:space="0" w:color="auto"/>
            </w:tcBorders>
          </w:tcPr>
          <w:p w:rsidR="00630798" w:rsidRPr="00D74571" w:rsidRDefault="00630798" w:rsidP="00D74571">
            <w:pPr>
              <w:autoSpaceDE w:val="0"/>
              <w:autoSpaceDN w:val="0"/>
              <w:adjustRightInd w:val="0"/>
              <w:spacing w:after="0" w:line="240" w:lineRule="auto"/>
              <w:jc w:val="center"/>
              <w:rPr>
                <w:rFonts w:ascii="Times New Roman" w:hAnsi="Times New Roman" w:cs="Times New Roman"/>
              </w:rPr>
            </w:pPr>
            <w:r w:rsidRPr="00D74571">
              <w:rPr>
                <w:rFonts w:ascii="Times New Roman" w:hAnsi="Times New Roman" w:cs="Times New Roman"/>
              </w:rPr>
              <w:t>-</w:t>
            </w:r>
          </w:p>
        </w:tc>
        <w:tc>
          <w:tcPr>
            <w:tcW w:w="1559"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xml:space="preserve">0,012 </w:t>
            </w:r>
          </w:p>
        </w:tc>
        <w:tc>
          <w:tcPr>
            <w:tcW w:w="2126"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5</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13</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Фтор</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418" w:type="dxa"/>
            <w:tcBorders>
              <w:top w:val="single" w:sz="4" w:space="0" w:color="auto"/>
              <w:left w:val="nil"/>
              <w:bottom w:val="single" w:sz="4" w:space="0" w:color="auto"/>
              <w:right w:val="single" w:sz="4" w:space="0" w:color="auto"/>
            </w:tcBorders>
          </w:tcPr>
          <w:p w:rsidR="00630798" w:rsidRPr="00D74571" w:rsidRDefault="00630798" w:rsidP="00D74571">
            <w:pPr>
              <w:autoSpaceDE w:val="0"/>
              <w:autoSpaceDN w:val="0"/>
              <w:adjustRightInd w:val="0"/>
              <w:spacing w:after="0" w:line="240" w:lineRule="auto"/>
              <w:jc w:val="center"/>
              <w:rPr>
                <w:rFonts w:ascii="Times New Roman" w:hAnsi="Times New Roman" w:cs="Times New Roman"/>
              </w:rPr>
            </w:pPr>
            <w:r w:rsidRPr="00D74571">
              <w:rPr>
                <w:rFonts w:ascii="Times New Roman" w:hAnsi="Times New Roman" w:cs="Times New Roman"/>
              </w:rPr>
              <w:t>-</w:t>
            </w:r>
          </w:p>
        </w:tc>
        <w:tc>
          <w:tcPr>
            <w:tcW w:w="1559"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2126"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1,5</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14</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Хлориды</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97,9 ± 1,4</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96,0 ± 1,4</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97,0</w:t>
            </w:r>
          </w:p>
        </w:tc>
        <w:tc>
          <w:tcPr>
            <w:tcW w:w="2126"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350</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15</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Щелочность</w:t>
            </w:r>
          </w:p>
        </w:tc>
        <w:tc>
          <w:tcPr>
            <w:tcW w:w="1276"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bCs/>
              </w:rPr>
            </w:pPr>
            <w:r w:rsidRPr="00D74571">
              <w:rPr>
                <w:rFonts w:ascii="Times New Roman" w:hAnsi="Times New Roman" w:cs="Times New Roman"/>
                <w:bCs/>
              </w:rPr>
              <w:t>-</w:t>
            </w:r>
          </w:p>
        </w:tc>
        <w:tc>
          <w:tcPr>
            <w:tcW w:w="1418" w:type="dxa"/>
            <w:tcBorders>
              <w:top w:val="single" w:sz="4" w:space="0" w:color="auto"/>
              <w:left w:val="nil"/>
              <w:bottom w:val="single" w:sz="4" w:space="0" w:color="auto"/>
              <w:right w:val="single" w:sz="4" w:space="0" w:color="auto"/>
            </w:tcBorders>
          </w:tcPr>
          <w:p w:rsidR="00630798" w:rsidRPr="00D74571" w:rsidRDefault="00630798" w:rsidP="00D74571">
            <w:pPr>
              <w:autoSpaceDE w:val="0"/>
              <w:autoSpaceDN w:val="0"/>
              <w:adjustRightInd w:val="0"/>
              <w:spacing w:after="0" w:line="240" w:lineRule="auto"/>
              <w:jc w:val="center"/>
              <w:rPr>
                <w:rFonts w:ascii="Times New Roman" w:hAnsi="Times New Roman" w:cs="Times New Roman"/>
              </w:rPr>
            </w:pPr>
            <w:r w:rsidRPr="00D74571">
              <w:rPr>
                <w:rFonts w:ascii="Times New Roman" w:hAnsi="Times New Roman" w:cs="Times New Roman"/>
              </w:rPr>
              <w:t>-</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2126"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7</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16</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Жесткость общая</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1,18 ± 0,018</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1,20 ± 0,18</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1,126</w:t>
            </w:r>
          </w:p>
        </w:tc>
        <w:tc>
          <w:tcPr>
            <w:tcW w:w="2126"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7</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оЖ</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17</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рН</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7,5 ± 0,2</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7,3 ± 0,2</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7,4</w:t>
            </w:r>
          </w:p>
        </w:tc>
        <w:tc>
          <w:tcPr>
            <w:tcW w:w="2126"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от 6 до 9</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единицы pH</w:t>
            </w:r>
          </w:p>
        </w:tc>
      </w:tr>
      <w:tr w:rsidR="00630798" w:rsidRPr="00D74571" w:rsidTr="006307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18</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Окисляемость перманганатная</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6,23± 0,63</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7,32 ± 0,75</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5,703</w:t>
            </w:r>
          </w:p>
        </w:tc>
        <w:tc>
          <w:tcPr>
            <w:tcW w:w="2126"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5</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мгО2/дм3</w:t>
            </w:r>
          </w:p>
        </w:tc>
      </w:tr>
      <w:tr w:rsidR="00630798" w:rsidRPr="00D74571" w:rsidTr="00630798">
        <w:trPr>
          <w:trHeight w:val="4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19</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Общая минерализация (сухой остаток)</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473,6 ± 46,2</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450,5 ± 86,9</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433,55</w:t>
            </w:r>
          </w:p>
        </w:tc>
        <w:tc>
          <w:tcPr>
            <w:tcW w:w="2126"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1000 (1500)</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4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20</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ПАВанионо-активные</w:t>
            </w:r>
          </w:p>
        </w:tc>
        <w:tc>
          <w:tcPr>
            <w:tcW w:w="1276"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0,025</w:t>
            </w:r>
          </w:p>
        </w:tc>
        <w:tc>
          <w:tcPr>
            <w:tcW w:w="1418"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0,025</w:t>
            </w:r>
          </w:p>
        </w:tc>
        <w:tc>
          <w:tcPr>
            <w:tcW w:w="2126"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0,5</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4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21</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Нефтепродукты (суммарно)</w:t>
            </w:r>
          </w:p>
        </w:tc>
        <w:tc>
          <w:tcPr>
            <w:tcW w:w="1276"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0,070 ± 0,024</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0,005</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0,037</w:t>
            </w:r>
          </w:p>
        </w:tc>
        <w:tc>
          <w:tcPr>
            <w:tcW w:w="2126"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0,1</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4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22</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Формальдегид</w:t>
            </w:r>
          </w:p>
        </w:tc>
        <w:tc>
          <w:tcPr>
            <w:tcW w:w="1276"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418"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2126"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0,5</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4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23</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Гидроксибензол  (Фенол)</w:t>
            </w:r>
          </w:p>
        </w:tc>
        <w:tc>
          <w:tcPr>
            <w:tcW w:w="1276"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0,0005</w:t>
            </w:r>
          </w:p>
        </w:tc>
        <w:tc>
          <w:tcPr>
            <w:tcW w:w="1418"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0,0005</w:t>
            </w:r>
          </w:p>
        </w:tc>
        <w:tc>
          <w:tcPr>
            <w:tcW w:w="2126"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0,001</w:t>
            </w:r>
          </w:p>
        </w:tc>
        <w:tc>
          <w:tcPr>
            <w:tcW w:w="1134"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24</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Запах при 20 °C</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2126"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2</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25</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Запах при 60 °C</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3</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3</w:t>
            </w:r>
          </w:p>
        </w:tc>
        <w:tc>
          <w:tcPr>
            <w:tcW w:w="2126"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2</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26</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Мутность</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6,61 ± 1,14</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7.06 ± 1,41</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6,16</w:t>
            </w:r>
          </w:p>
        </w:tc>
        <w:tc>
          <w:tcPr>
            <w:tcW w:w="2126"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1,5 (2)</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27</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Привкус</w:t>
            </w:r>
          </w:p>
        </w:tc>
        <w:tc>
          <w:tcPr>
            <w:tcW w:w="1276"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3</w:t>
            </w:r>
          </w:p>
        </w:tc>
        <w:tc>
          <w:tcPr>
            <w:tcW w:w="1418"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3</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Более 2</w:t>
            </w:r>
          </w:p>
        </w:tc>
        <w:tc>
          <w:tcPr>
            <w:tcW w:w="2126"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xml:space="preserve"> не более 2</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28</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Цветность</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58,70 ± 5,87</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52,55 ± 5,25</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47,08</w:t>
            </w:r>
          </w:p>
        </w:tc>
        <w:tc>
          <w:tcPr>
            <w:tcW w:w="2126"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20 (35)</w:t>
            </w:r>
          </w:p>
        </w:tc>
        <w:tc>
          <w:tcPr>
            <w:tcW w:w="1134"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град.</w:t>
            </w:r>
          </w:p>
        </w:tc>
      </w:tr>
      <w:tr w:rsidR="00630798" w:rsidRPr="00D74571" w:rsidTr="00630798">
        <w:trPr>
          <w:trHeight w:val="706"/>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Полифосфаты</w:t>
            </w:r>
          </w:p>
        </w:tc>
        <w:tc>
          <w:tcPr>
            <w:tcW w:w="1276" w:type="dxa"/>
            <w:tcBorders>
              <w:top w:val="single" w:sz="4" w:space="0" w:color="auto"/>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418"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3,5</w:t>
            </w:r>
          </w:p>
        </w:tc>
        <w:tc>
          <w:tcPr>
            <w:tcW w:w="1134"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протокола, дата и место отбора проб</w:t>
            </w:r>
          </w:p>
        </w:tc>
        <w:tc>
          <w:tcPr>
            <w:tcW w:w="1276" w:type="dxa"/>
            <w:tcBorders>
              <w:top w:val="single" w:sz="4" w:space="0" w:color="auto"/>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3193.20 от 19.05.2020г., дата отбора 13.05.2020г., выход с ВОС-3</w:t>
            </w:r>
          </w:p>
        </w:tc>
        <w:tc>
          <w:tcPr>
            <w:tcW w:w="1418"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3381.20 от 25.05.2020г., дата отбора 19.05.2020г., выход с ВОС-3</w:t>
            </w:r>
          </w:p>
        </w:tc>
        <w:tc>
          <w:tcPr>
            <w:tcW w:w="1559"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p>
        </w:tc>
      </w:tr>
    </w:tbl>
    <w:p w:rsidR="00630798" w:rsidRPr="00D74571" w:rsidRDefault="00630798" w:rsidP="00D74571">
      <w:pPr>
        <w:spacing w:after="0" w:line="240" w:lineRule="auto"/>
        <w:rPr>
          <w:rFonts w:ascii="Times New Roman" w:hAnsi="Times New Roman" w:cs="Times New Roman"/>
        </w:rPr>
      </w:pPr>
    </w:p>
    <w:p w:rsidR="00630798" w:rsidRPr="00D74571" w:rsidRDefault="00630798" w:rsidP="00D74571">
      <w:pPr>
        <w:spacing w:after="0" w:line="240" w:lineRule="auto"/>
        <w:jc w:val="center"/>
        <w:rPr>
          <w:rFonts w:ascii="Times New Roman" w:hAnsi="Times New Roman" w:cs="Times New Roman"/>
          <w:u w:val="single"/>
        </w:rPr>
      </w:pPr>
      <w:r w:rsidRPr="00D74571">
        <w:rPr>
          <w:rFonts w:ascii="Times New Roman" w:hAnsi="Times New Roman" w:cs="Times New Roman"/>
        </w:rPr>
        <w:t>2</w:t>
      </w:r>
      <w:r w:rsidRPr="00D74571">
        <w:rPr>
          <w:rFonts w:ascii="Times New Roman" w:hAnsi="Times New Roman" w:cs="Times New Roman"/>
          <w:u w:val="single"/>
        </w:rPr>
        <w:t xml:space="preserve"> Расчет среднего уровня показателей  проб воды  централизованной системы хозяйственно-питьевого  водоснабжения   отобранных  из магистральной сети  ВОС-3 (магистральные сети ВОС-2 и ВОС-3 объединены), по результатам</w:t>
      </w:r>
    </w:p>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u w:val="single"/>
        </w:rPr>
        <w:t>протоколов лабораторных испытаний.</w:t>
      </w:r>
    </w:p>
    <w:tbl>
      <w:tblPr>
        <w:tblW w:w="9923" w:type="dxa"/>
        <w:tblInd w:w="-459" w:type="dxa"/>
        <w:tblLayout w:type="fixed"/>
        <w:tblLook w:val="04A0" w:firstRow="1" w:lastRow="0" w:firstColumn="1" w:lastColumn="0" w:noHBand="0" w:noVBand="1"/>
      </w:tblPr>
      <w:tblGrid>
        <w:gridCol w:w="567"/>
        <w:gridCol w:w="1701"/>
        <w:gridCol w:w="1276"/>
        <w:gridCol w:w="1418"/>
        <w:gridCol w:w="1559"/>
        <w:gridCol w:w="2268"/>
        <w:gridCol w:w="1134"/>
      </w:tblGrid>
      <w:tr w:rsidR="00630798" w:rsidRPr="00D74571" w:rsidTr="00630798">
        <w:trPr>
          <w:trHeight w:val="882"/>
        </w:trPr>
        <w:tc>
          <w:tcPr>
            <w:tcW w:w="567" w:type="dxa"/>
            <w:tcBorders>
              <w:top w:val="single" w:sz="4" w:space="0" w:color="auto"/>
              <w:left w:val="single" w:sz="4" w:space="0" w:color="auto"/>
              <w:bottom w:val="single" w:sz="4" w:space="0" w:color="auto"/>
              <w:right w:val="nil"/>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п\п</w:t>
            </w:r>
          </w:p>
        </w:tc>
        <w:tc>
          <w:tcPr>
            <w:tcW w:w="1701" w:type="dxa"/>
            <w:tcBorders>
              <w:top w:val="single" w:sz="4" w:space="0" w:color="auto"/>
              <w:left w:val="single" w:sz="4" w:space="0" w:color="auto"/>
              <w:bottom w:val="single" w:sz="4" w:space="0" w:color="auto"/>
              <w:right w:val="nil"/>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Показатели</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Результаты исследований</w:t>
            </w:r>
            <w:r w:rsidRPr="00D74571">
              <w:rPr>
                <w:rFonts w:ascii="Times New Roman" w:hAnsi="Times New Roman" w:cs="Times New Roman"/>
                <w:u w:val="single"/>
              </w:rPr>
              <w:t xml:space="preserve"> воды централизованной системы хозяйственно-питьевого  водоснабжения</w:t>
            </w:r>
          </w:p>
        </w:tc>
        <w:tc>
          <w:tcPr>
            <w:tcW w:w="1559"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xml:space="preserve">Средний показатель </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Гигиенический норматив</w:t>
            </w:r>
          </w:p>
        </w:tc>
        <w:tc>
          <w:tcPr>
            <w:tcW w:w="1134"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Единицы измерения</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lastRenderedPageBreak/>
              <w:t>1</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Аммиак (по азоту)</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b/>
              </w:rPr>
              <w:t>2,20 ± 0,44</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0,99 ± 0,20</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2.416</w:t>
            </w:r>
          </w:p>
        </w:tc>
        <w:tc>
          <w:tcPr>
            <w:tcW w:w="226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1,5</w:t>
            </w:r>
          </w:p>
        </w:tc>
        <w:tc>
          <w:tcPr>
            <w:tcW w:w="1134"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Железо</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0,65 ± 0,13</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2,62 ± 0,4</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1,626</w:t>
            </w:r>
          </w:p>
        </w:tc>
        <w:tc>
          <w:tcPr>
            <w:tcW w:w="226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0,3 (1)</w:t>
            </w:r>
          </w:p>
        </w:tc>
        <w:tc>
          <w:tcPr>
            <w:tcW w:w="1134"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3</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Нитраты (по NO3)</w:t>
            </w:r>
          </w:p>
        </w:tc>
        <w:tc>
          <w:tcPr>
            <w:tcW w:w="1276"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0,1</w:t>
            </w:r>
          </w:p>
        </w:tc>
        <w:tc>
          <w:tcPr>
            <w:tcW w:w="1418"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0,1</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0,63</w:t>
            </w:r>
          </w:p>
          <w:p w:rsidR="00630798" w:rsidRPr="00D74571" w:rsidRDefault="00630798" w:rsidP="00D74571">
            <w:pPr>
              <w:spacing w:after="0" w:line="240" w:lineRule="auto"/>
              <w:jc w:val="center"/>
              <w:rPr>
                <w:rFonts w:ascii="Times New Roman" w:hAnsi="Times New Roman" w:cs="Times New Roman"/>
              </w:rPr>
            </w:pPr>
          </w:p>
        </w:tc>
        <w:tc>
          <w:tcPr>
            <w:tcW w:w="226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45</w:t>
            </w:r>
          </w:p>
        </w:tc>
        <w:tc>
          <w:tcPr>
            <w:tcW w:w="1134"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4</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Нитриты (по NO2)</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0,003</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0,003</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0,003</w:t>
            </w:r>
          </w:p>
        </w:tc>
        <w:tc>
          <w:tcPr>
            <w:tcW w:w="226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3</w:t>
            </w:r>
          </w:p>
        </w:tc>
        <w:tc>
          <w:tcPr>
            <w:tcW w:w="1134"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5</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Жесткость общая</w:t>
            </w:r>
          </w:p>
        </w:tc>
        <w:tc>
          <w:tcPr>
            <w:tcW w:w="1276"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1,73 ± 0,26</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1,08 ± 0,16</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1,15</w:t>
            </w:r>
          </w:p>
        </w:tc>
        <w:tc>
          <w:tcPr>
            <w:tcW w:w="226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7</w:t>
            </w:r>
          </w:p>
        </w:tc>
        <w:tc>
          <w:tcPr>
            <w:tcW w:w="1134"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оЖ</w:t>
            </w:r>
          </w:p>
        </w:tc>
      </w:tr>
      <w:tr w:rsidR="00630798" w:rsidRPr="00D74571" w:rsidTr="00630798">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6</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Окисляемость перманганатная</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4,64 ± 0,46</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13,60 ± 1,36</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8,586</w:t>
            </w:r>
          </w:p>
        </w:tc>
        <w:tc>
          <w:tcPr>
            <w:tcW w:w="226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5</w:t>
            </w:r>
          </w:p>
        </w:tc>
        <w:tc>
          <w:tcPr>
            <w:tcW w:w="1134"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мгО2/дм3</w:t>
            </w:r>
          </w:p>
        </w:tc>
      </w:tr>
      <w:tr w:rsidR="00630798" w:rsidRPr="00D74571" w:rsidTr="00630798">
        <w:trPr>
          <w:trHeight w:val="469"/>
        </w:trPr>
        <w:tc>
          <w:tcPr>
            <w:tcW w:w="567" w:type="dxa"/>
            <w:tcBorders>
              <w:top w:val="nil"/>
              <w:left w:val="single" w:sz="4" w:space="0" w:color="auto"/>
              <w:bottom w:val="single" w:sz="4" w:space="0" w:color="auto"/>
              <w:right w:val="single" w:sz="4" w:space="0" w:color="auto"/>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7</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Общая минерализация (сухой остаток)</w:t>
            </w:r>
          </w:p>
        </w:tc>
        <w:tc>
          <w:tcPr>
            <w:tcW w:w="1276"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427,0 ± 7,1</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481,5 ± 43,3</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432,5</w:t>
            </w:r>
          </w:p>
        </w:tc>
        <w:tc>
          <w:tcPr>
            <w:tcW w:w="226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1000 (1500)</w:t>
            </w:r>
          </w:p>
        </w:tc>
        <w:tc>
          <w:tcPr>
            <w:tcW w:w="1134"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8</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Запах при 20 °C</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226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2</w:t>
            </w:r>
          </w:p>
        </w:tc>
        <w:tc>
          <w:tcPr>
            <w:tcW w:w="1134"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9</w:t>
            </w:r>
          </w:p>
        </w:tc>
        <w:tc>
          <w:tcPr>
            <w:tcW w:w="1701" w:type="dxa"/>
            <w:tcBorders>
              <w:top w:val="single" w:sz="4" w:space="0" w:color="auto"/>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Запах при 60 °C</w:t>
            </w:r>
          </w:p>
        </w:tc>
        <w:tc>
          <w:tcPr>
            <w:tcW w:w="1276"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3</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b/>
                <w:bCs/>
              </w:rPr>
              <w:t>3</w:t>
            </w:r>
          </w:p>
        </w:tc>
        <w:tc>
          <w:tcPr>
            <w:tcW w:w="1559"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2</w:t>
            </w:r>
          </w:p>
        </w:tc>
        <w:tc>
          <w:tcPr>
            <w:tcW w:w="1134"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10</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Мутность</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6,22 ± 1,24</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6,20 ± 0,24</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8,046</w:t>
            </w:r>
          </w:p>
        </w:tc>
        <w:tc>
          <w:tcPr>
            <w:tcW w:w="226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1,5 (2)</w:t>
            </w:r>
          </w:p>
        </w:tc>
        <w:tc>
          <w:tcPr>
            <w:tcW w:w="1134"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11</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Привкус</w:t>
            </w:r>
          </w:p>
        </w:tc>
        <w:tc>
          <w:tcPr>
            <w:tcW w:w="1276"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4</w:t>
            </w:r>
          </w:p>
        </w:tc>
        <w:tc>
          <w:tcPr>
            <w:tcW w:w="1418"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2</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3</w:t>
            </w:r>
          </w:p>
        </w:tc>
        <w:tc>
          <w:tcPr>
            <w:tcW w:w="226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xml:space="preserve"> не более 2</w:t>
            </w:r>
          </w:p>
        </w:tc>
        <w:tc>
          <w:tcPr>
            <w:tcW w:w="1134"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12</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Цветность</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38,5 ± 7,7</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59,2 ± 5,9</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44,966</w:t>
            </w:r>
          </w:p>
        </w:tc>
        <w:tc>
          <w:tcPr>
            <w:tcW w:w="226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20 (35)</w:t>
            </w:r>
          </w:p>
        </w:tc>
        <w:tc>
          <w:tcPr>
            <w:tcW w:w="1134"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xml:space="preserve"> град.</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13</w:t>
            </w:r>
          </w:p>
        </w:tc>
        <w:tc>
          <w:tcPr>
            <w:tcW w:w="1701" w:type="dxa"/>
            <w:tcBorders>
              <w:top w:val="nil"/>
              <w:left w:val="nil"/>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рН</w:t>
            </w:r>
          </w:p>
        </w:tc>
        <w:tc>
          <w:tcPr>
            <w:tcW w:w="1276"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7,8 ± 0,2</w:t>
            </w:r>
          </w:p>
        </w:tc>
        <w:tc>
          <w:tcPr>
            <w:tcW w:w="1418"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7,5 ± 0,2</w:t>
            </w:r>
          </w:p>
        </w:tc>
        <w:tc>
          <w:tcPr>
            <w:tcW w:w="1559"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7,7</w:t>
            </w:r>
          </w:p>
        </w:tc>
        <w:tc>
          <w:tcPr>
            <w:tcW w:w="2268" w:type="dxa"/>
            <w:tcBorders>
              <w:top w:val="nil"/>
              <w:left w:val="single" w:sz="4" w:space="0" w:color="auto"/>
              <w:bottom w:val="single" w:sz="4" w:space="0" w:color="auto"/>
              <w:right w:val="single" w:sz="4" w:space="0" w:color="auto"/>
            </w:tcBorders>
            <w:shd w:val="clear" w:color="auto" w:fill="auto"/>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от 6 до 9</w:t>
            </w:r>
          </w:p>
        </w:tc>
        <w:tc>
          <w:tcPr>
            <w:tcW w:w="1134"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единицы pH</w:t>
            </w:r>
          </w:p>
        </w:tc>
      </w:tr>
      <w:tr w:rsidR="00630798" w:rsidRPr="00D74571" w:rsidTr="00630798">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Нефтепродукты (суммарно)</w:t>
            </w:r>
          </w:p>
        </w:tc>
        <w:tc>
          <w:tcPr>
            <w:tcW w:w="1276"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0,025 ± 0,009</w:t>
            </w:r>
          </w:p>
        </w:tc>
        <w:tc>
          <w:tcPr>
            <w:tcW w:w="1418"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0,033 ± 0,012</w:t>
            </w:r>
          </w:p>
        </w:tc>
        <w:tc>
          <w:tcPr>
            <w:tcW w:w="1559"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xml:space="preserve">0,033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0,1</w:t>
            </w:r>
          </w:p>
        </w:tc>
        <w:tc>
          <w:tcPr>
            <w:tcW w:w="1134"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Алюминий остаточный</w:t>
            </w:r>
          </w:p>
        </w:tc>
        <w:tc>
          <w:tcPr>
            <w:tcW w:w="1276" w:type="dxa"/>
            <w:tcBorders>
              <w:top w:val="single" w:sz="4" w:space="0" w:color="auto"/>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0,02</w:t>
            </w:r>
          </w:p>
        </w:tc>
        <w:tc>
          <w:tcPr>
            <w:tcW w:w="1418"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0,02</w:t>
            </w:r>
          </w:p>
        </w:tc>
        <w:tc>
          <w:tcPr>
            <w:tcW w:w="1559"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0,5</w:t>
            </w:r>
          </w:p>
        </w:tc>
        <w:tc>
          <w:tcPr>
            <w:tcW w:w="1134"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xml:space="preserve">Хлориды </w:t>
            </w:r>
          </w:p>
        </w:tc>
        <w:tc>
          <w:tcPr>
            <w:tcW w:w="1276" w:type="dxa"/>
            <w:tcBorders>
              <w:top w:val="single" w:sz="4" w:space="0" w:color="auto"/>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418"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350</w:t>
            </w:r>
          </w:p>
        </w:tc>
        <w:tc>
          <w:tcPr>
            <w:tcW w:w="1134"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протокола, дата и место отбора проб</w:t>
            </w:r>
          </w:p>
        </w:tc>
        <w:tc>
          <w:tcPr>
            <w:tcW w:w="1276" w:type="dxa"/>
            <w:tcBorders>
              <w:top w:val="single" w:sz="4" w:space="0" w:color="auto"/>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3191.20 от 20.05.2020г., дата отбора 19.05.2020г,  3 мкр., около дома № 7, ТК 120/4</w:t>
            </w:r>
          </w:p>
        </w:tc>
        <w:tc>
          <w:tcPr>
            <w:tcW w:w="1418"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7031.20 от 07.09.2020г., дата отбора 1.09.2020г,  3 мкр., около дома № 7, ТК 120/4</w:t>
            </w:r>
          </w:p>
        </w:tc>
        <w:tc>
          <w:tcPr>
            <w:tcW w:w="1559"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p>
        </w:tc>
      </w:tr>
    </w:tbl>
    <w:p w:rsidR="00630798" w:rsidRPr="00D74571" w:rsidRDefault="00630798" w:rsidP="00D74571">
      <w:pPr>
        <w:spacing w:after="0" w:line="240" w:lineRule="auto"/>
        <w:rPr>
          <w:rFonts w:ascii="Times New Roman" w:hAnsi="Times New Roman" w:cs="Times New Roman"/>
        </w:rPr>
      </w:pPr>
    </w:p>
    <w:p w:rsidR="00630798" w:rsidRPr="00A366B1" w:rsidRDefault="00630798" w:rsidP="00A366B1">
      <w:pPr>
        <w:autoSpaceDE w:val="0"/>
        <w:autoSpaceDN w:val="0"/>
        <w:adjustRightInd w:val="0"/>
        <w:spacing w:after="0" w:line="240" w:lineRule="auto"/>
        <w:ind w:firstLine="567"/>
        <w:jc w:val="both"/>
        <w:rPr>
          <w:rFonts w:ascii="Times New Roman" w:hAnsi="Times New Roman" w:cs="Times New Roman"/>
          <w:sz w:val="24"/>
          <w:szCs w:val="24"/>
        </w:rPr>
      </w:pPr>
      <w:r w:rsidRPr="00A366B1">
        <w:rPr>
          <w:rFonts w:ascii="Times New Roman" w:hAnsi="Times New Roman" w:cs="Times New Roman"/>
          <w:sz w:val="24"/>
          <w:szCs w:val="24"/>
        </w:rPr>
        <w:t>Средние уровни показателей качества отобранных в течении 2020 г. проб питьевой воды после водоподготовки на ВОС -3  не соответствуют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 изменениями на 28 июня 2010г.),  ГН 2.1.5.1315-03 «Предельно-допустимые концентрации химических веществ в воде водных объектов хозяйственно-питьевого и культурно-бытового водопользования»:</w:t>
      </w:r>
    </w:p>
    <w:p w:rsidR="00630798" w:rsidRPr="00A366B1" w:rsidRDefault="00630798" w:rsidP="00D74571">
      <w:pPr>
        <w:autoSpaceDE w:val="0"/>
        <w:autoSpaceDN w:val="0"/>
        <w:adjustRightInd w:val="0"/>
        <w:spacing w:after="0" w:line="240" w:lineRule="auto"/>
        <w:jc w:val="both"/>
        <w:rPr>
          <w:rFonts w:ascii="Times New Roman" w:hAnsi="Times New Roman" w:cs="Times New Roman"/>
          <w:sz w:val="24"/>
          <w:szCs w:val="24"/>
        </w:rPr>
      </w:pPr>
      <w:r w:rsidRPr="00A366B1">
        <w:rPr>
          <w:rFonts w:ascii="Times New Roman" w:hAnsi="Times New Roman" w:cs="Times New Roman"/>
          <w:sz w:val="24"/>
          <w:szCs w:val="24"/>
        </w:rPr>
        <w:t>-на выходе с ВОС-3 - по средним показателям:  аммиак (по азоту), цветность, аммиак,  о</w:t>
      </w:r>
      <w:r w:rsidRPr="00A366B1">
        <w:rPr>
          <w:rFonts w:ascii="Times New Roman" w:hAnsi="Times New Roman" w:cs="Times New Roman"/>
          <w:color w:val="000000"/>
          <w:sz w:val="24"/>
          <w:szCs w:val="24"/>
        </w:rPr>
        <w:t>кисляемость перманганатная, железо, привкус,</w:t>
      </w:r>
      <w:r w:rsidRPr="00A366B1">
        <w:rPr>
          <w:rFonts w:ascii="Times New Roman" w:hAnsi="Times New Roman" w:cs="Times New Roman"/>
          <w:sz w:val="24"/>
          <w:szCs w:val="24"/>
        </w:rPr>
        <w:t xml:space="preserve"> </w:t>
      </w:r>
    </w:p>
    <w:p w:rsidR="00630798" w:rsidRPr="00A366B1" w:rsidRDefault="00630798" w:rsidP="00D74571">
      <w:pPr>
        <w:autoSpaceDE w:val="0"/>
        <w:autoSpaceDN w:val="0"/>
        <w:adjustRightInd w:val="0"/>
        <w:spacing w:after="0" w:line="240" w:lineRule="auto"/>
        <w:jc w:val="both"/>
        <w:rPr>
          <w:rFonts w:ascii="Times New Roman" w:hAnsi="Times New Roman" w:cs="Times New Roman"/>
          <w:color w:val="000000"/>
          <w:sz w:val="24"/>
          <w:szCs w:val="24"/>
        </w:rPr>
      </w:pPr>
      <w:r w:rsidRPr="00A366B1">
        <w:rPr>
          <w:rFonts w:ascii="Times New Roman" w:hAnsi="Times New Roman" w:cs="Times New Roman"/>
          <w:color w:val="000000"/>
          <w:sz w:val="24"/>
          <w:szCs w:val="24"/>
        </w:rPr>
        <w:t>-в магистральных сетях</w:t>
      </w:r>
      <w:r w:rsidRPr="00A366B1">
        <w:rPr>
          <w:rFonts w:ascii="Times New Roman" w:hAnsi="Times New Roman" w:cs="Times New Roman"/>
          <w:sz w:val="24"/>
          <w:szCs w:val="24"/>
        </w:rPr>
        <w:t xml:space="preserve"> по средним показателям:  аммиак (по азоту), </w:t>
      </w:r>
      <w:r w:rsidRPr="00A366B1">
        <w:rPr>
          <w:rFonts w:ascii="Times New Roman" w:hAnsi="Times New Roman" w:cs="Times New Roman"/>
          <w:color w:val="000000"/>
          <w:sz w:val="24"/>
          <w:szCs w:val="24"/>
        </w:rPr>
        <w:t xml:space="preserve">железо, </w:t>
      </w:r>
      <w:r w:rsidRPr="00A366B1">
        <w:rPr>
          <w:rFonts w:ascii="Times New Roman" w:hAnsi="Times New Roman" w:cs="Times New Roman"/>
          <w:sz w:val="24"/>
          <w:szCs w:val="24"/>
        </w:rPr>
        <w:t>запах при 60 °C, о</w:t>
      </w:r>
      <w:r w:rsidRPr="00A366B1">
        <w:rPr>
          <w:rFonts w:ascii="Times New Roman" w:hAnsi="Times New Roman" w:cs="Times New Roman"/>
          <w:color w:val="000000"/>
          <w:sz w:val="24"/>
          <w:szCs w:val="24"/>
        </w:rPr>
        <w:t>кисляемость перманганатная, мутность, привкус, цветность.</w:t>
      </w:r>
    </w:p>
    <w:p w:rsidR="00630798" w:rsidRPr="00A366B1" w:rsidRDefault="00630798" w:rsidP="00A366B1">
      <w:pPr>
        <w:autoSpaceDE w:val="0"/>
        <w:autoSpaceDN w:val="0"/>
        <w:adjustRightInd w:val="0"/>
        <w:spacing w:after="0" w:line="240" w:lineRule="auto"/>
        <w:ind w:firstLine="567"/>
        <w:jc w:val="both"/>
        <w:rPr>
          <w:rFonts w:ascii="Times New Roman" w:hAnsi="Times New Roman" w:cs="Times New Roman"/>
          <w:sz w:val="24"/>
          <w:szCs w:val="24"/>
        </w:rPr>
      </w:pPr>
      <w:r w:rsidRPr="00A366B1">
        <w:rPr>
          <w:rFonts w:ascii="Times New Roman" w:hAnsi="Times New Roman" w:cs="Times New Roman"/>
          <w:sz w:val="24"/>
          <w:szCs w:val="24"/>
        </w:rPr>
        <w:t xml:space="preserve">           Протоколы лабораторных  исследований проб питьевой воды после водоподготовки на ВОС -3  </w:t>
      </w:r>
      <w:r w:rsidRPr="00A366B1">
        <w:rPr>
          <w:rFonts w:ascii="Times New Roman" w:hAnsi="Times New Roman" w:cs="Times New Roman"/>
          <w:sz w:val="24"/>
          <w:szCs w:val="24"/>
          <w:u w:val="single"/>
        </w:rPr>
        <w:t>не соответствуют требованиям</w:t>
      </w:r>
      <w:r w:rsidRPr="00A366B1">
        <w:rPr>
          <w:rFonts w:ascii="Times New Roman" w:hAnsi="Times New Roman" w:cs="Times New Roman"/>
          <w:sz w:val="24"/>
          <w:szCs w:val="24"/>
        </w:rPr>
        <w:t xml:space="preserve">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 изменениями на 28 июня 2010г.),  ГН 2.1.5.1315-03 «Предельно-допустимые концентрации химических веществ в воде водных </w:t>
      </w:r>
      <w:r w:rsidRPr="00A366B1">
        <w:rPr>
          <w:rFonts w:ascii="Times New Roman" w:hAnsi="Times New Roman" w:cs="Times New Roman"/>
          <w:sz w:val="24"/>
          <w:szCs w:val="24"/>
        </w:rPr>
        <w:lastRenderedPageBreak/>
        <w:t>объектов хозяйственно-питьевого и культурно-бытового водопользования» с учетом допустимой ошибки метода определения, согласно требований ФЗ-416 от 07.12.2011 г. «О водоснабжении и водоотведении» (с изменениями):</w:t>
      </w:r>
    </w:p>
    <w:p w:rsidR="00630798" w:rsidRPr="00A366B1" w:rsidRDefault="00630798" w:rsidP="00D74571">
      <w:pPr>
        <w:autoSpaceDE w:val="0"/>
        <w:autoSpaceDN w:val="0"/>
        <w:adjustRightInd w:val="0"/>
        <w:spacing w:after="0" w:line="240" w:lineRule="auto"/>
        <w:jc w:val="both"/>
        <w:rPr>
          <w:rFonts w:ascii="Times New Roman" w:hAnsi="Times New Roman" w:cs="Times New Roman"/>
          <w:sz w:val="24"/>
          <w:szCs w:val="24"/>
        </w:rPr>
      </w:pPr>
      <w:r w:rsidRPr="00A366B1">
        <w:rPr>
          <w:rFonts w:ascii="Times New Roman" w:hAnsi="Times New Roman" w:cs="Times New Roman"/>
          <w:sz w:val="24"/>
          <w:szCs w:val="24"/>
        </w:rPr>
        <w:t>-на выходе с ВОС-3 - по средним показателям:  аммиак (по азоту), цветность, аммиак,  о</w:t>
      </w:r>
      <w:r w:rsidRPr="00A366B1">
        <w:rPr>
          <w:rFonts w:ascii="Times New Roman" w:hAnsi="Times New Roman" w:cs="Times New Roman"/>
          <w:color w:val="000000"/>
          <w:sz w:val="24"/>
          <w:szCs w:val="24"/>
        </w:rPr>
        <w:t>кисляемость перманганатная, железо, привкус;</w:t>
      </w:r>
    </w:p>
    <w:p w:rsidR="00630798" w:rsidRPr="00A366B1" w:rsidRDefault="00630798" w:rsidP="00D74571">
      <w:pPr>
        <w:autoSpaceDE w:val="0"/>
        <w:autoSpaceDN w:val="0"/>
        <w:adjustRightInd w:val="0"/>
        <w:spacing w:after="0" w:line="240" w:lineRule="auto"/>
        <w:jc w:val="both"/>
        <w:rPr>
          <w:rFonts w:ascii="Times New Roman" w:hAnsi="Times New Roman" w:cs="Times New Roman"/>
          <w:color w:val="000000"/>
          <w:sz w:val="24"/>
          <w:szCs w:val="24"/>
        </w:rPr>
      </w:pPr>
      <w:r w:rsidRPr="00A366B1">
        <w:rPr>
          <w:rFonts w:ascii="Times New Roman" w:hAnsi="Times New Roman" w:cs="Times New Roman"/>
          <w:sz w:val="24"/>
          <w:szCs w:val="24"/>
        </w:rPr>
        <w:t xml:space="preserve"> </w:t>
      </w:r>
      <w:r w:rsidRPr="00A366B1">
        <w:rPr>
          <w:rFonts w:ascii="Times New Roman" w:hAnsi="Times New Roman" w:cs="Times New Roman"/>
          <w:color w:val="000000"/>
          <w:sz w:val="24"/>
          <w:szCs w:val="24"/>
        </w:rPr>
        <w:t>-в магистральных сетях</w:t>
      </w:r>
      <w:r w:rsidRPr="00A366B1">
        <w:rPr>
          <w:rFonts w:ascii="Times New Roman" w:hAnsi="Times New Roman" w:cs="Times New Roman"/>
          <w:sz w:val="24"/>
          <w:szCs w:val="24"/>
        </w:rPr>
        <w:t xml:space="preserve"> по средним показателям:  аммиак (по азоту), </w:t>
      </w:r>
      <w:r w:rsidRPr="00A366B1">
        <w:rPr>
          <w:rFonts w:ascii="Times New Roman" w:hAnsi="Times New Roman" w:cs="Times New Roman"/>
          <w:color w:val="000000"/>
          <w:sz w:val="24"/>
          <w:szCs w:val="24"/>
        </w:rPr>
        <w:t xml:space="preserve">железо, </w:t>
      </w:r>
      <w:r w:rsidRPr="00A366B1">
        <w:rPr>
          <w:rFonts w:ascii="Times New Roman" w:hAnsi="Times New Roman" w:cs="Times New Roman"/>
          <w:sz w:val="24"/>
          <w:szCs w:val="24"/>
        </w:rPr>
        <w:t>запах при 60 °C, о</w:t>
      </w:r>
      <w:r w:rsidRPr="00A366B1">
        <w:rPr>
          <w:rFonts w:ascii="Times New Roman" w:hAnsi="Times New Roman" w:cs="Times New Roman"/>
          <w:color w:val="000000"/>
          <w:sz w:val="24"/>
          <w:szCs w:val="24"/>
        </w:rPr>
        <w:t>кисляемость перманганатная, мутность, привкус, цветность.</w:t>
      </w:r>
    </w:p>
    <w:p w:rsidR="00630798" w:rsidRPr="00D74571" w:rsidRDefault="00630798" w:rsidP="00D74571">
      <w:pPr>
        <w:spacing w:after="0" w:line="240" w:lineRule="auto"/>
        <w:ind w:left="-142"/>
        <w:jc w:val="center"/>
        <w:rPr>
          <w:rFonts w:ascii="Times New Roman" w:hAnsi="Times New Roman" w:cs="Times New Roman"/>
          <w:b/>
          <w:bCs/>
          <w:spacing w:val="-1"/>
        </w:rPr>
      </w:pPr>
    </w:p>
    <w:p w:rsidR="00630798" w:rsidRPr="00D74571" w:rsidRDefault="00630798" w:rsidP="00D74571">
      <w:pPr>
        <w:spacing w:after="0" w:line="240" w:lineRule="auto"/>
        <w:ind w:left="-142"/>
        <w:jc w:val="center"/>
        <w:rPr>
          <w:rFonts w:ascii="Times New Roman" w:hAnsi="Times New Roman" w:cs="Times New Roman"/>
          <w:b/>
          <w:bCs/>
          <w:spacing w:val="-1"/>
        </w:rPr>
      </w:pPr>
      <w:r w:rsidRPr="00D74571">
        <w:rPr>
          <w:rFonts w:ascii="Times New Roman" w:hAnsi="Times New Roman" w:cs="Times New Roman"/>
          <w:b/>
          <w:bCs/>
          <w:spacing w:val="-1"/>
        </w:rPr>
        <w:t>4. Средние уровни показателей качества питьевой воды</w:t>
      </w:r>
      <w:r w:rsidRPr="00D74571">
        <w:rPr>
          <w:rFonts w:ascii="Times New Roman" w:hAnsi="Times New Roman" w:cs="Times New Roman"/>
          <w:b/>
        </w:rPr>
        <w:t xml:space="preserve"> централизованной системы хозяйственно-питьевого  водоснабжения</w:t>
      </w:r>
      <w:r w:rsidRPr="00D74571">
        <w:rPr>
          <w:rFonts w:ascii="Times New Roman" w:hAnsi="Times New Roman" w:cs="Times New Roman"/>
          <w:b/>
          <w:bCs/>
          <w:spacing w:val="-1"/>
        </w:rPr>
        <w:t>,</w:t>
      </w:r>
      <w:r w:rsidRPr="00D74571">
        <w:rPr>
          <w:rFonts w:ascii="Times New Roman" w:hAnsi="Times New Roman" w:cs="Times New Roman"/>
          <w:b/>
        </w:rPr>
        <w:t>отобранных  на выходе с ВОС-4,</w:t>
      </w:r>
      <w:r w:rsidRPr="00D74571">
        <w:rPr>
          <w:rFonts w:ascii="Times New Roman" w:hAnsi="Times New Roman" w:cs="Times New Roman"/>
          <w:u w:val="single"/>
        </w:rPr>
        <w:t xml:space="preserve"> и </w:t>
      </w:r>
      <w:r w:rsidRPr="00D74571">
        <w:rPr>
          <w:rFonts w:ascii="Times New Roman" w:hAnsi="Times New Roman" w:cs="Times New Roman"/>
          <w:b/>
          <w:bCs/>
          <w:spacing w:val="-1"/>
        </w:rPr>
        <w:t>в разводящей сети, в рамках СГМ и надзорных мероприятий  (выход на город ВОС№4 подземный водозабор, разводящая сеть(холодное водоснабжение) за период 2020 год.</w:t>
      </w:r>
    </w:p>
    <w:p w:rsidR="00630798" w:rsidRPr="00D74571" w:rsidRDefault="00630798" w:rsidP="00D74571">
      <w:pPr>
        <w:autoSpaceDE w:val="0"/>
        <w:autoSpaceDN w:val="0"/>
        <w:adjustRightInd w:val="0"/>
        <w:spacing w:after="0" w:line="240" w:lineRule="auto"/>
        <w:rPr>
          <w:rFonts w:ascii="Times New Roman" w:hAnsi="Times New Roman" w:cs="Times New Roman"/>
          <w:b/>
        </w:rPr>
      </w:pPr>
    </w:p>
    <w:p w:rsidR="00630798" w:rsidRPr="00D74571" w:rsidRDefault="00630798" w:rsidP="00D74571">
      <w:pPr>
        <w:autoSpaceDE w:val="0"/>
        <w:autoSpaceDN w:val="0"/>
        <w:adjustRightInd w:val="0"/>
        <w:spacing w:after="0" w:line="240" w:lineRule="auto"/>
        <w:rPr>
          <w:rFonts w:ascii="Times New Roman" w:hAnsi="Times New Roman" w:cs="Times New Roman"/>
          <w:b/>
        </w:rPr>
      </w:pPr>
      <w:r w:rsidRPr="00D74571">
        <w:rPr>
          <w:rFonts w:ascii="Times New Roman" w:hAnsi="Times New Roman" w:cs="Times New Roman"/>
          <w:b/>
        </w:rPr>
        <w:t>-По ВОС-4 МУП «Управление городского хозяйства» Пыть-Ях, 2а микрорайон «Лесников»:</w:t>
      </w:r>
    </w:p>
    <w:p w:rsidR="00630798" w:rsidRPr="00D74571" w:rsidRDefault="00630798" w:rsidP="00D74571">
      <w:pPr>
        <w:spacing w:after="0" w:line="240" w:lineRule="auto"/>
        <w:rPr>
          <w:rFonts w:ascii="Times New Roman" w:hAnsi="Times New Roman" w:cs="Times New Roman"/>
        </w:rPr>
      </w:pPr>
    </w:p>
    <w:p w:rsidR="00630798" w:rsidRPr="00D74571" w:rsidRDefault="00630798" w:rsidP="00D74571">
      <w:pPr>
        <w:spacing w:after="0" w:line="240" w:lineRule="auto"/>
        <w:jc w:val="center"/>
        <w:rPr>
          <w:rFonts w:ascii="Times New Roman" w:hAnsi="Times New Roman" w:cs="Times New Roman"/>
          <w:u w:val="single"/>
        </w:rPr>
      </w:pPr>
      <w:r w:rsidRPr="00D74571">
        <w:rPr>
          <w:rFonts w:ascii="Times New Roman" w:hAnsi="Times New Roman" w:cs="Times New Roman"/>
        </w:rPr>
        <w:t>1</w:t>
      </w:r>
      <w:r w:rsidRPr="00D74571">
        <w:rPr>
          <w:rFonts w:ascii="Times New Roman" w:hAnsi="Times New Roman" w:cs="Times New Roman"/>
          <w:u w:val="single"/>
        </w:rPr>
        <w:t xml:space="preserve"> Расчет среднего уровня показателей  проб воды  централизованной системы хозяйственно-питьевого  водоснабженияотобранных  на выходе с ВОС-4, по результатам протоколов лабораторных испытаний.</w:t>
      </w:r>
    </w:p>
    <w:tbl>
      <w:tblPr>
        <w:tblW w:w="10491" w:type="dxa"/>
        <w:tblInd w:w="-318" w:type="dxa"/>
        <w:tblLayout w:type="fixed"/>
        <w:tblLook w:val="04A0" w:firstRow="1" w:lastRow="0" w:firstColumn="1" w:lastColumn="0" w:noHBand="0" w:noVBand="1"/>
      </w:tblPr>
      <w:tblGrid>
        <w:gridCol w:w="568"/>
        <w:gridCol w:w="1276"/>
        <w:gridCol w:w="2126"/>
        <w:gridCol w:w="2126"/>
        <w:gridCol w:w="1560"/>
        <w:gridCol w:w="1417"/>
        <w:gridCol w:w="1418"/>
      </w:tblGrid>
      <w:tr w:rsidR="00630798" w:rsidRPr="00D74571" w:rsidTr="00630798">
        <w:trPr>
          <w:trHeight w:val="360"/>
        </w:trPr>
        <w:tc>
          <w:tcPr>
            <w:tcW w:w="568"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п\п</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Показатели</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Результаты исследований</w:t>
            </w:r>
            <w:r w:rsidRPr="00D74571">
              <w:rPr>
                <w:rFonts w:ascii="Times New Roman" w:hAnsi="Times New Roman" w:cs="Times New Roman"/>
                <w:u w:val="single"/>
              </w:rPr>
              <w:t xml:space="preserve"> воды централизованной системы хозяйственно-питьевого  водоснабжения</w:t>
            </w:r>
          </w:p>
        </w:tc>
        <w:tc>
          <w:tcPr>
            <w:tcW w:w="1560"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xml:space="preserve">Средний показатель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Гигиенический норматив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Единицы измерения</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Аммиак (по азоту)</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2,47 ± 0,49</w:t>
            </w:r>
          </w:p>
        </w:tc>
        <w:tc>
          <w:tcPr>
            <w:tcW w:w="212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Cs/>
              </w:rPr>
            </w:pPr>
            <w:r w:rsidRPr="00D74571">
              <w:rPr>
                <w:rFonts w:ascii="Times New Roman" w:hAnsi="Times New Roman" w:cs="Times New Roman"/>
              </w:rPr>
              <w:t>1,93 ± 0,19</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2.58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1,5</w:t>
            </w:r>
          </w:p>
        </w:tc>
        <w:tc>
          <w:tcPr>
            <w:tcW w:w="1418"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Железо</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Более 2</w:t>
            </w:r>
          </w:p>
        </w:tc>
        <w:tc>
          <w:tcPr>
            <w:tcW w:w="212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bCs/>
              </w:rPr>
            </w:pPr>
            <w:r w:rsidRPr="00D74571">
              <w:rPr>
                <w:rFonts w:ascii="Times New Roman" w:hAnsi="Times New Roman" w:cs="Times New Roman"/>
                <w:b/>
              </w:rPr>
              <w:t>1,94 ± 0,39</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Более 2,183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0,3 (1)</w:t>
            </w:r>
          </w:p>
        </w:tc>
        <w:tc>
          <w:tcPr>
            <w:tcW w:w="1418"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3</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Нитраты (по NO3)</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0,5</w:t>
            </w:r>
          </w:p>
        </w:tc>
        <w:tc>
          <w:tcPr>
            <w:tcW w:w="212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1,16 ± 0,29</w:t>
            </w:r>
          </w:p>
        </w:tc>
        <w:tc>
          <w:tcPr>
            <w:tcW w:w="1560"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0,72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45</w:t>
            </w:r>
          </w:p>
        </w:tc>
        <w:tc>
          <w:tcPr>
            <w:tcW w:w="1418"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4</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Нитриты (по NO2)</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0,003</w:t>
            </w:r>
          </w:p>
        </w:tc>
        <w:tc>
          <w:tcPr>
            <w:tcW w:w="212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0,003 ± 0,003</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0,005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3</w:t>
            </w:r>
          </w:p>
        </w:tc>
        <w:tc>
          <w:tcPr>
            <w:tcW w:w="1418"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5</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Сульфаты</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43,20± 1,2</w:t>
            </w:r>
          </w:p>
        </w:tc>
        <w:tc>
          <w:tcPr>
            <w:tcW w:w="2126" w:type="dxa"/>
            <w:tcBorders>
              <w:top w:val="single" w:sz="4" w:space="0" w:color="auto"/>
              <w:left w:val="nil"/>
              <w:bottom w:val="single" w:sz="4" w:space="0" w:color="auto"/>
              <w:right w:val="single" w:sz="4" w:space="0" w:color="auto"/>
            </w:tcBorders>
          </w:tcPr>
          <w:p w:rsidR="00630798" w:rsidRPr="00D74571" w:rsidRDefault="00630798" w:rsidP="00D74571">
            <w:pPr>
              <w:autoSpaceDE w:val="0"/>
              <w:autoSpaceDN w:val="0"/>
              <w:adjustRightInd w:val="0"/>
              <w:spacing w:after="0" w:line="240" w:lineRule="auto"/>
              <w:jc w:val="center"/>
              <w:rPr>
                <w:rFonts w:ascii="Times New Roman" w:hAnsi="Times New Roman" w:cs="Times New Roman"/>
              </w:rPr>
            </w:pPr>
            <w:r w:rsidRPr="00D74571">
              <w:rPr>
                <w:rFonts w:ascii="Times New Roman" w:hAnsi="Times New Roman" w:cs="Times New Roman"/>
              </w:rPr>
              <w:t>22.75 ± 0,003</w:t>
            </w:r>
          </w:p>
        </w:tc>
        <w:tc>
          <w:tcPr>
            <w:tcW w:w="1560"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13.525</w:t>
            </w:r>
          </w:p>
        </w:tc>
        <w:tc>
          <w:tcPr>
            <w:tcW w:w="1417"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500</w:t>
            </w:r>
          </w:p>
        </w:tc>
        <w:tc>
          <w:tcPr>
            <w:tcW w:w="1418"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autoSpaceDE w:val="0"/>
              <w:autoSpaceDN w:val="0"/>
              <w:adjustRightInd w:val="0"/>
              <w:spacing w:after="0" w:line="240" w:lineRule="auto"/>
              <w:jc w:val="center"/>
              <w:rPr>
                <w:rFonts w:ascii="Times New Roman" w:hAnsi="Times New Roman" w:cs="Times New Roman"/>
                <w:color w:val="000000"/>
                <w:vertAlign w:val="superscript"/>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6</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 xml:space="preserve">Кадмий </w:t>
            </w:r>
          </w:p>
        </w:tc>
        <w:tc>
          <w:tcPr>
            <w:tcW w:w="2126" w:type="dxa"/>
            <w:tcBorders>
              <w:top w:val="nil"/>
              <w:left w:val="nil"/>
              <w:bottom w:val="single" w:sz="4" w:space="0" w:color="auto"/>
              <w:right w:val="single" w:sz="4" w:space="0" w:color="auto"/>
            </w:tcBorders>
            <w:shd w:val="clear" w:color="auto" w:fill="auto"/>
          </w:tcPr>
          <w:p w:rsidR="00630798" w:rsidRPr="00D74571" w:rsidRDefault="00630798" w:rsidP="00D74571">
            <w:pPr>
              <w:autoSpaceDE w:val="0"/>
              <w:autoSpaceDN w:val="0"/>
              <w:adjustRightInd w:val="0"/>
              <w:spacing w:after="0" w:line="240" w:lineRule="auto"/>
              <w:jc w:val="center"/>
              <w:rPr>
                <w:rFonts w:ascii="Times New Roman" w:hAnsi="Times New Roman" w:cs="Times New Roman"/>
              </w:rPr>
            </w:pPr>
            <w:r w:rsidRPr="00D74571">
              <w:rPr>
                <w:rFonts w:ascii="Times New Roman" w:hAnsi="Times New Roman" w:cs="Times New Roman"/>
              </w:rPr>
              <w:t>Менее 0,002</w:t>
            </w:r>
          </w:p>
        </w:tc>
        <w:tc>
          <w:tcPr>
            <w:tcW w:w="2126"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0,002</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autoSpaceDE w:val="0"/>
              <w:autoSpaceDN w:val="0"/>
              <w:adjustRightInd w:val="0"/>
              <w:spacing w:after="0" w:line="240" w:lineRule="auto"/>
              <w:jc w:val="center"/>
              <w:rPr>
                <w:rFonts w:ascii="Times New Roman" w:hAnsi="Times New Roman" w:cs="Times New Roman"/>
              </w:rPr>
            </w:pPr>
            <w:r w:rsidRPr="00D74571">
              <w:rPr>
                <w:rFonts w:ascii="Times New Roman" w:hAnsi="Times New Roman" w:cs="Times New Roman"/>
              </w:rPr>
              <w:t>Менее 0,0002</w:t>
            </w:r>
          </w:p>
        </w:tc>
        <w:tc>
          <w:tcPr>
            <w:tcW w:w="1417"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0,001</w:t>
            </w:r>
          </w:p>
        </w:tc>
        <w:tc>
          <w:tcPr>
            <w:tcW w:w="1418"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7</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Марганец</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0,0236± 0,0043</w:t>
            </w:r>
          </w:p>
        </w:tc>
        <w:tc>
          <w:tcPr>
            <w:tcW w:w="2126"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0,033± 0,006</w:t>
            </w:r>
          </w:p>
        </w:tc>
        <w:tc>
          <w:tcPr>
            <w:tcW w:w="1560"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0,028</w:t>
            </w:r>
          </w:p>
        </w:tc>
        <w:tc>
          <w:tcPr>
            <w:tcW w:w="1417"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0,1</w:t>
            </w:r>
          </w:p>
        </w:tc>
        <w:tc>
          <w:tcPr>
            <w:tcW w:w="1418"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8</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Свинец</w:t>
            </w:r>
          </w:p>
        </w:tc>
        <w:tc>
          <w:tcPr>
            <w:tcW w:w="2126"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0,0002</w:t>
            </w:r>
          </w:p>
        </w:tc>
        <w:tc>
          <w:tcPr>
            <w:tcW w:w="2126"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0,0002</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0,0002</w:t>
            </w:r>
          </w:p>
        </w:tc>
        <w:tc>
          <w:tcPr>
            <w:tcW w:w="1417"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0,03</w:t>
            </w:r>
          </w:p>
        </w:tc>
        <w:tc>
          <w:tcPr>
            <w:tcW w:w="1418"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9</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Медь</w:t>
            </w:r>
          </w:p>
        </w:tc>
        <w:tc>
          <w:tcPr>
            <w:tcW w:w="2126"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Менее 0,001</w:t>
            </w:r>
          </w:p>
        </w:tc>
        <w:tc>
          <w:tcPr>
            <w:tcW w:w="2126"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Менее 0,001</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Менее 0,001</w:t>
            </w:r>
          </w:p>
        </w:tc>
        <w:tc>
          <w:tcPr>
            <w:tcW w:w="1417"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1</w:t>
            </w:r>
          </w:p>
        </w:tc>
        <w:tc>
          <w:tcPr>
            <w:tcW w:w="1418"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12</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Цинк</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0,008 ± 0,002</w:t>
            </w:r>
          </w:p>
        </w:tc>
        <w:tc>
          <w:tcPr>
            <w:tcW w:w="2126" w:type="dxa"/>
            <w:tcBorders>
              <w:top w:val="single" w:sz="4" w:space="0" w:color="auto"/>
              <w:left w:val="nil"/>
              <w:bottom w:val="single" w:sz="4" w:space="0" w:color="auto"/>
              <w:right w:val="single" w:sz="4" w:space="0" w:color="auto"/>
            </w:tcBorders>
          </w:tcPr>
          <w:p w:rsidR="00630798" w:rsidRPr="00D74571" w:rsidRDefault="00630798" w:rsidP="00D74571">
            <w:pPr>
              <w:autoSpaceDE w:val="0"/>
              <w:autoSpaceDN w:val="0"/>
              <w:adjustRightInd w:val="0"/>
              <w:spacing w:after="0" w:line="240" w:lineRule="auto"/>
              <w:jc w:val="center"/>
              <w:rPr>
                <w:rFonts w:ascii="Times New Roman" w:hAnsi="Times New Roman" w:cs="Times New Roman"/>
              </w:rPr>
            </w:pPr>
            <w:r w:rsidRPr="00D74571">
              <w:rPr>
                <w:rFonts w:ascii="Times New Roman" w:hAnsi="Times New Roman" w:cs="Times New Roman"/>
              </w:rPr>
              <w:t>0,0014 ± 0,005</w:t>
            </w:r>
          </w:p>
        </w:tc>
        <w:tc>
          <w:tcPr>
            <w:tcW w:w="1560"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0,003</w:t>
            </w:r>
          </w:p>
        </w:tc>
        <w:tc>
          <w:tcPr>
            <w:tcW w:w="1417"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5</w:t>
            </w:r>
          </w:p>
        </w:tc>
        <w:tc>
          <w:tcPr>
            <w:tcW w:w="1418"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13</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Фториды</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0,11± 0,02</w:t>
            </w:r>
          </w:p>
        </w:tc>
        <w:tc>
          <w:tcPr>
            <w:tcW w:w="2126"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0,19± 0,04</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0,15</w:t>
            </w:r>
          </w:p>
        </w:tc>
        <w:tc>
          <w:tcPr>
            <w:tcW w:w="1417"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1,5</w:t>
            </w:r>
          </w:p>
        </w:tc>
        <w:tc>
          <w:tcPr>
            <w:tcW w:w="1418"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14</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autoSpaceDE w:val="0"/>
              <w:autoSpaceDN w:val="0"/>
              <w:adjustRightInd w:val="0"/>
              <w:spacing w:after="0" w:line="240" w:lineRule="auto"/>
              <w:rPr>
                <w:rFonts w:ascii="Times New Roman" w:hAnsi="Times New Roman" w:cs="Times New Roman"/>
                <w:color w:val="000000"/>
              </w:rPr>
            </w:pPr>
            <w:r w:rsidRPr="00D74571">
              <w:rPr>
                <w:rFonts w:ascii="Times New Roman" w:hAnsi="Times New Roman" w:cs="Times New Roman"/>
                <w:color w:val="000000"/>
              </w:rPr>
              <w:t>Хлориды</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65,5 ± 1,4</w:t>
            </w:r>
          </w:p>
        </w:tc>
        <w:tc>
          <w:tcPr>
            <w:tcW w:w="2126" w:type="dxa"/>
            <w:tcBorders>
              <w:top w:val="single" w:sz="4" w:space="0" w:color="auto"/>
              <w:left w:val="nil"/>
              <w:bottom w:val="single" w:sz="4" w:space="0" w:color="auto"/>
              <w:right w:val="single" w:sz="4" w:space="0" w:color="auto"/>
            </w:tcBorders>
          </w:tcPr>
          <w:p w:rsidR="00630798" w:rsidRPr="00D74571" w:rsidRDefault="00630798" w:rsidP="00D74571">
            <w:pPr>
              <w:autoSpaceDE w:val="0"/>
              <w:autoSpaceDN w:val="0"/>
              <w:adjustRightInd w:val="0"/>
              <w:spacing w:after="0" w:line="240" w:lineRule="auto"/>
              <w:jc w:val="center"/>
              <w:rPr>
                <w:rFonts w:ascii="Times New Roman" w:hAnsi="Times New Roman" w:cs="Times New Roman"/>
              </w:rPr>
            </w:pPr>
            <w:r w:rsidRPr="00D74571">
              <w:rPr>
                <w:rFonts w:ascii="Times New Roman" w:hAnsi="Times New Roman" w:cs="Times New Roman"/>
              </w:rPr>
              <w:t>69,5 ± 1,4</w:t>
            </w:r>
          </w:p>
        </w:tc>
        <w:tc>
          <w:tcPr>
            <w:tcW w:w="1560"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67,5</w:t>
            </w:r>
          </w:p>
        </w:tc>
        <w:tc>
          <w:tcPr>
            <w:tcW w:w="1417" w:type="dxa"/>
            <w:tcBorders>
              <w:top w:val="nil"/>
              <w:left w:val="single" w:sz="4" w:space="0" w:color="auto"/>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 более 350</w:t>
            </w:r>
          </w:p>
        </w:tc>
        <w:tc>
          <w:tcPr>
            <w:tcW w:w="1418"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color w:val="000000"/>
              </w:rPr>
              <w:t>мг/дм</w:t>
            </w:r>
            <w:r w:rsidRPr="00D74571">
              <w:rPr>
                <w:rFonts w:ascii="Times New Roman" w:hAnsi="Times New Roman" w:cs="Times New Roman"/>
                <w:color w:val="000000"/>
                <w:vertAlign w:val="superscript"/>
              </w:rPr>
              <w:t>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15</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Жесткость общая</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0,89 ± 0,2</w:t>
            </w:r>
          </w:p>
        </w:tc>
        <w:tc>
          <w:tcPr>
            <w:tcW w:w="212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1,65 ± 0,25</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1,313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7</w:t>
            </w:r>
          </w:p>
        </w:tc>
        <w:tc>
          <w:tcPr>
            <w:tcW w:w="1418"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оЖ</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16</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рН</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7,8 ± 0,2</w:t>
            </w:r>
          </w:p>
        </w:tc>
        <w:tc>
          <w:tcPr>
            <w:tcW w:w="212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8,2 ± 0,2</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7,66</w:t>
            </w:r>
          </w:p>
        </w:tc>
        <w:tc>
          <w:tcPr>
            <w:tcW w:w="1417"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от 6 до 9</w:t>
            </w:r>
          </w:p>
        </w:tc>
        <w:tc>
          <w:tcPr>
            <w:tcW w:w="1418"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единицы pH</w:t>
            </w:r>
          </w:p>
        </w:tc>
      </w:tr>
      <w:tr w:rsidR="00630798" w:rsidRPr="00D74571" w:rsidTr="00630798">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17</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Окисляемость перманганатная</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6,48 ± 0,65</w:t>
            </w:r>
          </w:p>
        </w:tc>
        <w:tc>
          <w:tcPr>
            <w:tcW w:w="212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bCs/>
              </w:rPr>
            </w:pPr>
            <w:r w:rsidRPr="00D74571">
              <w:rPr>
                <w:rFonts w:ascii="Times New Roman" w:hAnsi="Times New Roman" w:cs="Times New Roman"/>
                <w:b/>
              </w:rPr>
              <w:t>8,28 ± 0,83</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p>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8,32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5</w:t>
            </w:r>
          </w:p>
        </w:tc>
        <w:tc>
          <w:tcPr>
            <w:tcW w:w="1418"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мгО2/дм3</w:t>
            </w:r>
          </w:p>
        </w:tc>
      </w:tr>
      <w:tr w:rsidR="00630798" w:rsidRPr="00D74571" w:rsidTr="00630798">
        <w:trPr>
          <w:trHeight w:val="469"/>
        </w:trPr>
        <w:tc>
          <w:tcPr>
            <w:tcW w:w="568"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18</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Общая минерализация (сухой остаток)</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371,5± 33,43</w:t>
            </w:r>
          </w:p>
        </w:tc>
        <w:tc>
          <w:tcPr>
            <w:tcW w:w="212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418,0 ± 37,62</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p>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360,67</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1000 (1500)</w:t>
            </w:r>
          </w:p>
        </w:tc>
        <w:tc>
          <w:tcPr>
            <w:tcW w:w="1418"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469"/>
        </w:trPr>
        <w:tc>
          <w:tcPr>
            <w:tcW w:w="568"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19</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ПАВанионо-активные</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0,025</w:t>
            </w:r>
          </w:p>
        </w:tc>
        <w:tc>
          <w:tcPr>
            <w:tcW w:w="212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bCs/>
              </w:rPr>
            </w:pPr>
            <w:r w:rsidRPr="00D74571">
              <w:rPr>
                <w:rFonts w:ascii="Times New Roman" w:hAnsi="Times New Roman" w:cs="Times New Roman"/>
              </w:rPr>
              <w:t>Менее 0,025</w:t>
            </w:r>
          </w:p>
        </w:tc>
        <w:tc>
          <w:tcPr>
            <w:tcW w:w="1560"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0,025</w:t>
            </w:r>
          </w:p>
        </w:tc>
        <w:tc>
          <w:tcPr>
            <w:tcW w:w="1417"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0,5</w:t>
            </w:r>
          </w:p>
        </w:tc>
        <w:tc>
          <w:tcPr>
            <w:tcW w:w="1418"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469"/>
        </w:trPr>
        <w:tc>
          <w:tcPr>
            <w:tcW w:w="568"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21</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xml:space="preserve">Нефтепродукты </w:t>
            </w:r>
            <w:r w:rsidRPr="00D74571">
              <w:rPr>
                <w:rFonts w:ascii="Times New Roman" w:hAnsi="Times New Roman" w:cs="Times New Roman"/>
              </w:rPr>
              <w:lastRenderedPageBreak/>
              <w:t>(суммарно)</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lastRenderedPageBreak/>
              <w:t>0,050 ± 0,018</w:t>
            </w:r>
          </w:p>
        </w:tc>
        <w:tc>
          <w:tcPr>
            <w:tcW w:w="212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bCs/>
              </w:rPr>
            </w:pPr>
            <w:r w:rsidRPr="00D74571">
              <w:rPr>
                <w:rFonts w:ascii="Times New Roman" w:hAnsi="Times New Roman" w:cs="Times New Roman"/>
              </w:rPr>
              <w:t>0,033 ± 0,012</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0,038</w:t>
            </w:r>
          </w:p>
        </w:tc>
        <w:tc>
          <w:tcPr>
            <w:tcW w:w="1417"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0,1</w:t>
            </w:r>
          </w:p>
        </w:tc>
        <w:tc>
          <w:tcPr>
            <w:tcW w:w="1418"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469"/>
        </w:trPr>
        <w:tc>
          <w:tcPr>
            <w:tcW w:w="568"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22</w:t>
            </w:r>
          </w:p>
        </w:tc>
        <w:tc>
          <w:tcPr>
            <w:tcW w:w="127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Гидроксибензол</w:t>
            </w:r>
          </w:p>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(Фенол)</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0,0005</w:t>
            </w:r>
          </w:p>
        </w:tc>
        <w:tc>
          <w:tcPr>
            <w:tcW w:w="212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0,0005</w:t>
            </w:r>
          </w:p>
        </w:tc>
        <w:tc>
          <w:tcPr>
            <w:tcW w:w="1560"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0,0005</w:t>
            </w:r>
          </w:p>
        </w:tc>
        <w:tc>
          <w:tcPr>
            <w:tcW w:w="1417"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0,001</w:t>
            </w:r>
          </w:p>
        </w:tc>
        <w:tc>
          <w:tcPr>
            <w:tcW w:w="1418"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23</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Запах при 20 °C</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212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3</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Более 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w:t>
            </w:r>
          </w:p>
        </w:tc>
        <w:tc>
          <w:tcPr>
            <w:tcW w:w="1418"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24</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Запах при 60 °C</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bCs/>
              </w:rPr>
            </w:pPr>
            <w:r w:rsidRPr="00D74571">
              <w:rPr>
                <w:rFonts w:ascii="Times New Roman" w:hAnsi="Times New Roman" w:cs="Times New Roman"/>
                <w:b/>
                <w:bCs/>
              </w:rPr>
              <w:t>3</w:t>
            </w:r>
          </w:p>
        </w:tc>
        <w:tc>
          <w:tcPr>
            <w:tcW w:w="212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bCs/>
              </w:rPr>
            </w:pPr>
            <w:r w:rsidRPr="00D74571">
              <w:rPr>
                <w:rFonts w:ascii="Times New Roman" w:hAnsi="Times New Roman" w:cs="Times New Roman"/>
                <w:b/>
                <w:bCs/>
              </w:rPr>
              <w:t>3</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w:t>
            </w:r>
          </w:p>
        </w:tc>
        <w:tc>
          <w:tcPr>
            <w:tcW w:w="1418"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25</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Мутность</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11,39 ± 1,59</w:t>
            </w:r>
          </w:p>
        </w:tc>
        <w:tc>
          <w:tcPr>
            <w:tcW w:w="212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b/>
              </w:rPr>
              <w:t>11,35 ± 1,59</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11,796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1,5 (2)</w:t>
            </w:r>
          </w:p>
        </w:tc>
        <w:tc>
          <w:tcPr>
            <w:tcW w:w="1418"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26</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Привкус</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3</w:t>
            </w:r>
          </w:p>
        </w:tc>
        <w:tc>
          <w:tcPr>
            <w:tcW w:w="212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bCs/>
              </w:rPr>
            </w:pPr>
            <w:r w:rsidRPr="00D74571">
              <w:rPr>
                <w:rFonts w:ascii="Times New Roman" w:hAnsi="Times New Roman" w:cs="Times New Roman"/>
                <w:b/>
              </w:rPr>
              <w:t>3</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xml:space="preserve"> не более 2</w:t>
            </w:r>
          </w:p>
        </w:tc>
        <w:tc>
          <w:tcPr>
            <w:tcW w:w="1418"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27</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Цветность</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Более 70</w:t>
            </w:r>
          </w:p>
        </w:tc>
        <w:tc>
          <w:tcPr>
            <w:tcW w:w="212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bCs/>
              </w:rPr>
            </w:pPr>
            <w:r w:rsidRPr="00D74571">
              <w:rPr>
                <w:rFonts w:ascii="Times New Roman" w:hAnsi="Times New Roman" w:cs="Times New Roman"/>
                <w:b/>
              </w:rPr>
              <w:t>34,20 ± 6,84</w:t>
            </w:r>
          </w:p>
        </w:tc>
        <w:tc>
          <w:tcPr>
            <w:tcW w:w="156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Более 70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20 (35)</w:t>
            </w:r>
          </w:p>
        </w:tc>
        <w:tc>
          <w:tcPr>
            <w:tcW w:w="1418"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град.</w:t>
            </w:r>
          </w:p>
        </w:tc>
      </w:tr>
      <w:tr w:rsidR="00630798" w:rsidRPr="00D74571" w:rsidTr="00630798">
        <w:trPr>
          <w:trHeight w:val="270"/>
        </w:trPr>
        <w:tc>
          <w:tcPr>
            <w:tcW w:w="18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протокола, дата и место отбора проб</w:t>
            </w:r>
          </w:p>
        </w:tc>
        <w:tc>
          <w:tcPr>
            <w:tcW w:w="2126"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3192.20 от 19.05.2020г., дата отбора 13.05.2020г.,  выход с ВОС-4</w:t>
            </w:r>
          </w:p>
        </w:tc>
        <w:tc>
          <w:tcPr>
            <w:tcW w:w="212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3382.20 от 25.05.2020г., дата отбора 19.05.2020г.,  выход с ВОС-4</w:t>
            </w:r>
          </w:p>
        </w:tc>
        <w:tc>
          <w:tcPr>
            <w:tcW w:w="1560"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p>
        </w:tc>
      </w:tr>
    </w:tbl>
    <w:p w:rsidR="00630798" w:rsidRPr="00D74571" w:rsidRDefault="00630798" w:rsidP="00D74571">
      <w:pPr>
        <w:spacing w:after="0" w:line="240" w:lineRule="auto"/>
        <w:rPr>
          <w:rFonts w:ascii="Times New Roman" w:hAnsi="Times New Roman" w:cs="Times New Roman"/>
        </w:rPr>
      </w:pPr>
    </w:p>
    <w:p w:rsidR="00630798" w:rsidRPr="00D74571" w:rsidRDefault="00630798" w:rsidP="00D74571">
      <w:pPr>
        <w:spacing w:after="0" w:line="240" w:lineRule="auto"/>
        <w:jc w:val="center"/>
        <w:rPr>
          <w:rFonts w:ascii="Times New Roman" w:hAnsi="Times New Roman" w:cs="Times New Roman"/>
          <w:u w:val="single"/>
        </w:rPr>
      </w:pPr>
      <w:r w:rsidRPr="00D74571">
        <w:rPr>
          <w:rFonts w:ascii="Times New Roman" w:hAnsi="Times New Roman" w:cs="Times New Roman"/>
        </w:rPr>
        <w:t>2</w:t>
      </w:r>
      <w:r w:rsidRPr="00D74571">
        <w:rPr>
          <w:rFonts w:ascii="Times New Roman" w:hAnsi="Times New Roman" w:cs="Times New Roman"/>
          <w:u w:val="single"/>
        </w:rPr>
        <w:t xml:space="preserve"> Расчет среднего уровня показателей  проб воды  централизованной системы хозяйственно-питьевого водоснабжения   отобранных  из магистральной сети ВОС-4, по результатам протоколов лабораторных испытаний.</w:t>
      </w:r>
    </w:p>
    <w:tbl>
      <w:tblPr>
        <w:tblW w:w="10491" w:type="dxa"/>
        <w:tblInd w:w="-318" w:type="dxa"/>
        <w:tblLayout w:type="fixed"/>
        <w:tblLook w:val="04A0" w:firstRow="1" w:lastRow="0" w:firstColumn="1" w:lastColumn="0" w:noHBand="0" w:noVBand="1"/>
      </w:tblPr>
      <w:tblGrid>
        <w:gridCol w:w="568"/>
        <w:gridCol w:w="1276"/>
        <w:gridCol w:w="2126"/>
        <w:gridCol w:w="1276"/>
        <w:gridCol w:w="2410"/>
        <w:gridCol w:w="1275"/>
        <w:gridCol w:w="1560"/>
      </w:tblGrid>
      <w:tr w:rsidR="00630798" w:rsidRPr="00D74571" w:rsidTr="00630798">
        <w:trPr>
          <w:trHeight w:val="360"/>
        </w:trPr>
        <w:tc>
          <w:tcPr>
            <w:tcW w:w="568"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п\п</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Показатели</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Результаты исследований</w:t>
            </w:r>
            <w:r w:rsidRPr="00D74571">
              <w:rPr>
                <w:rFonts w:ascii="Times New Roman" w:hAnsi="Times New Roman" w:cs="Times New Roman"/>
                <w:u w:val="single"/>
              </w:rPr>
              <w:t xml:space="preserve"> воды централизованной системы хозяйственно-питьевого  водоснабжения</w:t>
            </w:r>
          </w:p>
        </w:tc>
        <w:tc>
          <w:tcPr>
            <w:tcW w:w="2410"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xml:space="preserve">Средний показатель </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Гигиенический норматив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Единицы измерения</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Аммиак (по азоту)</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3,84± 0,7</w:t>
            </w:r>
          </w:p>
        </w:tc>
        <w:tc>
          <w:tcPr>
            <w:tcW w:w="127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b/>
              </w:rPr>
              <w:t>4,31 ± 0,86</w:t>
            </w:r>
          </w:p>
        </w:tc>
        <w:tc>
          <w:tcPr>
            <w:tcW w:w="241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2,97</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1,5</w:t>
            </w:r>
          </w:p>
        </w:tc>
        <w:tc>
          <w:tcPr>
            <w:tcW w:w="1560"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Железо</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1,023 ± 0,153</w:t>
            </w:r>
          </w:p>
        </w:tc>
        <w:tc>
          <w:tcPr>
            <w:tcW w:w="127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b/>
                <w:bCs/>
              </w:rPr>
              <w:t>1.92</w:t>
            </w:r>
            <w:r w:rsidRPr="00D74571">
              <w:rPr>
                <w:rFonts w:ascii="Times New Roman" w:hAnsi="Times New Roman" w:cs="Times New Roman"/>
                <w:b/>
              </w:rPr>
              <w:t>± 0,38</w:t>
            </w:r>
          </w:p>
        </w:tc>
        <w:tc>
          <w:tcPr>
            <w:tcW w:w="241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Более 1,901</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0,3 (1)</w:t>
            </w:r>
          </w:p>
        </w:tc>
        <w:tc>
          <w:tcPr>
            <w:tcW w:w="1560"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3</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Нитраты (по NO3)</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0,5</w:t>
            </w:r>
          </w:p>
        </w:tc>
        <w:tc>
          <w:tcPr>
            <w:tcW w:w="127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5,03 ± 1,01</w:t>
            </w:r>
          </w:p>
        </w:tc>
        <w:tc>
          <w:tcPr>
            <w:tcW w:w="2410"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2.01</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45</w:t>
            </w:r>
          </w:p>
        </w:tc>
        <w:tc>
          <w:tcPr>
            <w:tcW w:w="1560"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4</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Нитриты (по NO2)</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0,004</w:t>
            </w:r>
          </w:p>
        </w:tc>
        <w:tc>
          <w:tcPr>
            <w:tcW w:w="127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0,003</w:t>
            </w:r>
          </w:p>
        </w:tc>
        <w:tc>
          <w:tcPr>
            <w:tcW w:w="2410"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3</w:t>
            </w:r>
          </w:p>
        </w:tc>
        <w:tc>
          <w:tcPr>
            <w:tcW w:w="1560"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5</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Окисляемость перманганатная</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6,06 ± 0,6</w:t>
            </w:r>
          </w:p>
        </w:tc>
        <w:tc>
          <w:tcPr>
            <w:tcW w:w="127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9,0 ± 0,9</w:t>
            </w:r>
          </w:p>
        </w:tc>
        <w:tc>
          <w:tcPr>
            <w:tcW w:w="241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6,846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5</w:t>
            </w:r>
          </w:p>
        </w:tc>
        <w:tc>
          <w:tcPr>
            <w:tcW w:w="1560"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мгО2/дм3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6</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Запах при 20 °C</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127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3</w:t>
            </w:r>
          </w:p>
        </w:tc>
        <w:tc>
          <w:tcPr>
            <w:tcW w:w="241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Более 2</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w:t>
            </w:r>
          </w:p>
        </w:tc>
        <w:tc>
          <w:tcPr>
            <w:tcW w:w="1560"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7</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Запах при 60 °C</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bCs/>
              </w:rPr>
            </w:pPr>
            <w:r w:rsidRPr="00D74571">
              <w:rPr>
                <w:rFonts w:ascii="Times New Roman" w:hAnsi="Times New Roman" w:cs="Times New Roman"/>
                <w:b/>
                <w:bCs/>
              </w:rPr>
              <w:t>4</w:t>
            </w:r>
          </w:p>
        </w:tc>
        <w:tc>
          <w:tcPr>
            <w:tcW w:w="127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b/>
                <w:bCs/>
              </w:rPr>
              <w:t>3</w:t>
            </w:r>
          </w:p>
        </w:tc>
        <w:tc>
          <w:tcPr>
            <w:tcW w:w="241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Более 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w:t>
            </w:r>
          </w:p>
        </w:tc>
        <w:tc>
          <w:tcPr>
            <w:tcW w:w="1560"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8</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Мутность</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8,61 ± 1,72</w:t>
            </w:r>
          </w:p>
        </w:tc>
        <w:tc>
          <w:tcPr>
            <w:tcW w:w="127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b/>
              </w:rPr>
              <w:t>11,4 ± 1,7</w:t>
            </w:r>
          </w:p>
        </w:tc>
        <w:tc>
          <w:tcPr>
            <w:tcW w:w="241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10,59</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1,5 (2)</w:t>
            </w:r>
          </w:p>
        </w:tc>
        <w:tc>
          <w:tcPr>
            <w:tcW w:w="1560"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9</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Привкус</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4</w:t>
            </w:r>
          </w:p>
        </w:tc>
        <w:tc>
          <w:tcPr>
            <w:tcW w:w="127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b/>
                <w:bCs/>
              </w:rPr>
              <w:t>3</w:t>
            </w:r>
          </w:p>
        </w:tc>
        <w:tc>
          <w:tcPr>
            <w:tcW w:w="241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Более 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xml:space="preserve"> не более 2</w:t>
            </w:r>
          </w:p>
        </w:tc>
        <w:tc>
          <w:tcPr>
            <w:tcW w:w="1560"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10</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Цветность</w:t>
            </w:r>
          </w:p>
        </w:tc>
        <w:tc>
          <w:tcPr>
            <w:tcW w:w="2126"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Более 70</w:t>
            </w:r>
          </w:p>
        </w:tc>
        <w:tc>
          <w:tcPr>
            <w:tcW w:w="127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b/>
              </w:rPr>
              <w:t>48,30 ± 9,66</w:t>
            </w:r>
          </w:p>
        </w:tc>
        <w:tc>
          <w:tcPr>
            <w:tcW w:w="241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Более 62.7</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20 (35)</w:t>
            </w:r>
          </w:p>
        </w:tc>
        <w:tc>
          <w:tcPr>
            <w:tcW w:w="1560"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град.</w:t>
            </w:r>
          </w:p>
        </w:tc>
      </w:tr>
      <w:tr w:rsidR="00630798" w:rsidRPr="00D74571" w:rsidTr="00630798">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14</w:t>
            </w:r>
          </w:p>
        </w:tc>
        <w:tc>
          <w:tcPr>
            <w:tcW w:w="1276"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Алюминий остаточный</w:t>
            </w:r>
          </w:p>
        </w:tc>
        <w:tc>
          <w:tcPr>
            <w:tcW w:w="2126"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0,02</w:t>
            </w:r>
          </w:p>
        </w:tc>
        <w:tc>
          <w:tcPr>
            <w:tcW w:w="127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0,041 ± 0,008</w:t>
            </w:r>
          </w:p>
        </w:tc>
        <w:tc>
          <w:tcPr>
            <w:tcW w:w="2410"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0,5</w:t>
            </w:r>
          </w:p>
        </w:tc>
        <w:tc>
          <w:tcPr>
            <w:tcW w:w="1560"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18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протокола, дата и место отбора проб</w:t>
            </w:r>
          </w:p>
        </w:tc>
        <w:tc>
          <w:tcPr>
            <w:tcW w:w="2126"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3189.20 от 20.05.2020г., дата отбора 13.05.2020г.,  2а мкр., ул. Кедровая, около дома № 25, ТК-15</w:t>
            </w:r>
          </w:p>
        </w:tc>
        <w:tc>
          <w:tcPr>
            <w:tcW w:w="127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xml:space="preserve">№ 3374.20 от 25.05.2020г., дата отбора 19.05.2020г.,  2а мкр., ул. </w:t>
            </w:r>
            <w:r w:rsidRPr="00D74571">
              <w:rPr>
                <w:rFonts w:ascii="Times New Roman" w:hAnsi="Times New Roman" w:cs="Times New Roman"/>
              </w:rPr>
              <w:lastRenderedPageBreak/>
              <w:t>Кедровая, около дома № 25, ТК-15</w:t>
            </w:r>
          </w:p>
        </w:tc>
        <w:tc>
          <w:tcPr>
            <w:tcW w:w="2410"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p>
        </w:tc>
      </w:tr>
    </w:tbl>
    <w:p w:rsidR="00630798" w:rsidRPr="00D74571" w:rsidRDefault="00630798" w:rsidP="00D74571">
      <w:pPr>
        <w:spacing w:after="0" w:line="240" w:lineRule="auto"/>
        <w:rPr>
          <w:rFonts w:ascii="Times New Roman" w:hAnsi="Times New Roman" w:cs="Times New Roman"/>
        </w:rPr>
      </w:pPr>
    </w:p>
    <w:p w:rsidR="00630798" w:rsidRPr="00D74571" w:rsidRDefault="00630798" w:rsidP="00D74571">
      <w:pPr>
        <w:spacing w:after="0" w:line="240" w:lineRule="auto"/>
        <w:jc w:val="center"/>
        <w:rPr>
          <w:rFonts w:ascii="Times New Roman" w:hAnsi="Times New Roman" w:cs="Times New Roman"/>
          <w:u w:val="single"/>
        </w:rPr>
      </w:pPr>
      <w:r w:rsidRPr="00D74571">
        <w:rPr>
          <w:rFonts w:ascii="Times New Roman" w:hAnsi="Times New Roman" w:cs="Times New Roman"/>
        </w:rPr>
        <w:t>3.</w:t>
      </w:r>
      <w:r w:rsidRPr="00D74571">
        <w:rPr>
          <w:rFonts w:ascii="Times New Roman" w:hAnsi="Times New Roman" w:cs="Times New Roman"/>
          <w:u w:val="single"/>
        </w:rPr>
        <w:t xml:space="preserve"> Расчет среднего уровня показателей  проб воды  централизованной системы хозяйственно-питьевого  водоснабжения  (холодного) отобранных в распределительной  сети ВОС-4, по результатам протоколов лабораторных испытаний .</w:t>
      </w:r>
    </w:p>
    <w:p w:rsidR="00630798" w:rsidRPr="00D74571" w:rsidRDefault="00630798" w:rsidP="00D74571">
      <w:pPr>
        <w:spacing w:after="0" w:line="240" w:lineRule="auto"/>
        <w:jc w:val="center"/>
        <w:rPr>
          <w:rFonts w:ascii="Times New Roman" w:hAnsi="Times New Roman" w:cs="Times New Roman"/>
        </w:rPr>
      </w:pPr>
    </w:p>
    <w:tbl>
      <w:tblPr>
        <w:tblW w:w="10065" w:type="dxa"/>
        <w:tblInd w:w="-318" w:type="dxa"/>
        <w:tblLayout w:type="fixed"/>
        <w:tblLook w:val="04A0" w:firstRow="1" w:lastRow="0" w:firstColumn="1" w:lastColumn="0" w:noHBand="0" w:noVBand="1"/>
      </w:tblPr>
      <w:tblGrid>
        <w:gridCol w:w="568"/>
        <w:gridCol w:w="1418"/>
        <w:gridCol w:w="1984"/>
        <w:gridCol w:w="1276"/>
        <w:gridCol w:w="2410"/>
        <w:gridCol w:w="1275"/>
        <w:gridCol w:w="1134"/>
      </w:tblGrid>
      <w:tr w:rsidR="00630798" w:rsidRPr="00D74571" w:rsidTr="00630798">
        <w:trPr>
          <w:trHeight w:val="360"/>
        </w:trPr>
        <w:tc>
          <w:tcPr>
            <w:tcW w:w="568"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п\п</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Показатели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Результаты исследований воды централизованной системы хозяйственно-питьевого  водоснабжения (холодной)</w:t>
            </w:r>
          </w:p>
        </w:tc>
        <w:tc>
          <w:tcPr>
            <w:tcW w:w="2410"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xml:space="preserve">Средний показатель </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Гигиенический норматив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Единицы измерения</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w:t>
            </w:r>
          </w:p>
        </w:tc>
        <w:tc>
          <w:tcPr>
            <w:tcW w:w="1418"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Аммиак (по азоту)</w:t>
            </w:r>
          </w:p>
        </w:tc>
        <w:tc>
          <w:tcPr>
            <w:tcW w:w="1984"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sz w:val="20"/>
                <w:szCs w:val="20"/>
              </w:rPr>
              <w:t>1,66 ± 0,33</w:t>
            </w:r>
          </w:p>
        </w:tc>
        <w:tc>
          <w:tcPr>
            <w:tcW w:w="127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0,41 ± 0,08</w:t>
            </w:r>
          </w:p>
        </w:tc>
        <w:tc>
          <w:tcPr>
            <w:tcW w:w="241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1,44</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1,5</w:t>
            </w:r>
          </w:p>
        </w:tc>
        <w:tc>
          <w:tcPr>
            <w:tcW w:w="1134"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w:t>
            </w:r>
          </w:p>
        </w:tc>
        <w:tc>
          <w:tcPr>
            <w:tcW w:w="1418"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Железо</w:t>
            </w:r>
          </w:p>
        </w:tc>
        <w:tc>
          <w:tcPr>
            <w:tcW w:w="1984"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bCs/>
              </w:rPr>
            </w:pPr>
            <w:r w:rsidRPr="00D74571">
              <w:rPr>
                <w:rFonts w:ascii="Times New Roman" w:hAnsi="Times New Roman" w:cs="Times New Roman"/>
                <w:b/>
              </w:rPr>
              <w:t>Более 2</w:t>
            </w:r>
          </w:p>
        </w:tc>
        <w:tc>
          <w:tcPr>
            <w:tcW w:w="127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Более 2</w:t>
            </w:r>
          </w:p>
        </w:tc>
        <w:tc>
          <w:tcPr>
            <w:tcW w:w="241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Более 2</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0,3 (1)</w:t>
            </w:r>
          </w:p>
        </w:tc>
        <w:tc>
          <w:tcPr>
            <w:tcW w:w="1134"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3</w:t>
            </w:r>
          </w:p>
        </w:tc>
        <w:tc>
          <w:tcPr>
            <w:tcW w:w="1418"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Нитраты (по NO3)</w:t>
            </w:r>
          </w:p>
        </w:tc>
        <w:tc>
          <w:tcPr>
            <w:tcW w:w="1984"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0,5</w:t>
            </w:r>
          </w:p>
        </w:tc>
        <w:tc>
          <w:tcPr>
            <w:tcW w:w="127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sz w:val="20"/>
                <w:szCs w:val="20"/>
              </w:rPr>
              <w:t>9,66 ± 1,45</w:t>
            </w:r>
          </w:p>
        </w:tc>
        <w:tc>
          <w:tcPr>
            <w:tcW w:w="2410"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3,553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45</w:t>
            </w:r>
          </w:p>
        </w:tc>
        <w:tc>
          <w:tcPr>
            <w:tcW w:w="1134"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4</w:t>
            </w:r>
          </w:p>
        </w:tc>
        <w:tc>
          <w:tcPr>
            <w:tcW w:w="1418"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Нитриты (по NO2)</w:t>
            </w:r>
          </w:p>
        </w:tc>
        <w:tc>
          <w:tcPr>
            <w:tcW w:w="1984"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sz w:val="20"/>
                <w:szCs w:val="20"/>
              </w:rPr>
            </w:pPr>
          </w:p>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sz w:val="20"/>
                <w:szCs w:val="20"/>
              </w:rPr>
              <w:t>0,024 ± 0,012</w:t>
            </w:r>
          </w:p>
        </w:tc>
        <w:tc>
          <w:tcPr>
            <w:tcW w:w="1276"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sz w:val="20"/>
                <w:szCs w:val="20"/>
              </w:rPr>
            </w:pPr>
          </w:p>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sz w:val="20"/>
                <w:szCs w:val="20"/>
              </w:rPr>
              <w:t>0,011 ± 0,005</w:t>
            </w:r>
          </w:p>
        </w:tc>
        <w:tc>
          <w:tcPr>
            <w:tcW w:w="2410"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0,012</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3</w:t>
            </w:r>
          </w:p>
        </w:tc>
        <w:tc>
          <w:tcPr>
            <w:tcW w:w="1134"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5</w:t>
            </w:r>
          </w:p>
        </w:tc>
        <w:tc>
          <w:tcPr>
            <w:tcW w:w="1418"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Окисляемость перманганатная</w:t>
            </w:r>
          </w:p>
        </w:tc>
        <w:tc>
          <w:tcPr>
            <w:tcW w:w="1984"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5,84 ± 0,58</w:t>
            </w:r>
          </w:p>
        </w:tc>
        <w:tc>
          <w:tcPr>
            <w:tcW w:w="127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5,20 ± 0,52</w:t>
            </w:r>
          </w:p>
        </w:tc>
        <w:tc>
          <w:tcPr>
            <w:tcW w:w="241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p>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6,48</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5</w:t>
            </w:r>
          </w:p>
        </w:tc>
        <w:tc>
          <w:tcPr>
            <w:tcW w:w="1134"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мгО2/дм3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6</w:t>
            </w:r>
          </w:p>
        </w:tc>
        <w:tc>
          <w:tcPr>
            <w:tcW w:w="1418"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Запах при 20 °C</w:t>
            </w:r>
          </w:p>
        </w:tc>
        <w:tc>
          <w:tcPr>
            <w:tcW w:w="1984"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127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sz w:val="20"/>
                <w:szCs w:val="20"/>
              </w:rPr>
            </w:pPr>
            <w:r w:rsidRPr="00D74571">
              <w:rPr>
                <w:rFonts w:ascii="Times New Roman" w:hAnsi="Times New Roman" w:cs="Times New Roman"/>
              </w:rPr>
              <w:t>2</w:t>
            </w:r>
          </w:p>
        </w:tc>
        <w:tc>
          <w:tcPr>
            <w:tcW w:w="241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w:t>
            </w:r>
          </w:p>
        </w:tc>
        <w:tc>
          <w:tcPr>
            <w:tcW w:w="1134"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9</w:t>
            </w:r>
          </w:p>
        </w:tc>
        <w:tc>
          <w:tcPr>
            <w:tcW w:w="1418"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Запах при 60 °C</w:t>
            </w:r>
          </w:p>
        </w:tc>
        <w:tc>
          <w:tcPr>
            <w:tcW w:w="1984"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Cs/>
              </w:rPr>
            </w:pPr>
            <w:r w:rsidRPr="00D74571">
              <w:rPr>
                <w:rFonts w:ascii="Times New Roman" w:hAnsi="Times New Roman" w:cs="Times New Roman"/>
                <w:bCs/>
              </w:rPr>
              <w:t>3</w:t>
            </w:r>
          </w:p>
        </w:tc>
        <w:tc>
          <w:tcPr>
            <w:tcW w:w="127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bCs/>
                <w:sz w:val="20"/>
                <w:szCs w:val="20"/>
              </w:rPr>
            </w:pPr>
            <w:r w:rsidRPr="00D74571">
              <w:rPr>
                <w:rFonts w:ascii="Times New Roman" w:hAnsi="Times New Roman" w:cs="Times New Roman"/>
                <w:b/>
              </w:rPr>
              <w:t>3</w:t>
            </w:r>
          </w:p>
        </w:tc>
        <w:tc>
          <w:tcPr>
            <w:tcW w:w="241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w:t>
            </w:r>
          </w:p>
        </w:tc>
        <w:tc>
          <w:tcPr>
            <w:tcW w:w="1134"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Мутность</w:t>
            </w:r>
          </w:p>
        </w:tc>
        <w:tc>
          <w:tcPr>
            <w:tcW w:w="1984"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7,11 ± 1,42</w:t>
            </w:r>
          </w:p>
        </w:tc>
        <w:tc>
          <w:tcPr>
            <w:tcW w:w="127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5,67 ± 1,35</w:t>
            </w:r>
          </w:p>
        </w:tc>
        <w:tc>
          <w:tcPr>
            <w:tcW w:w="241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7,17</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1,5 (2)</w:t>
            </w:r>
          </w:p>
        </w:tc>
        <w:tc>
          <w:tcPr>
            <w:tcW w:w="1134"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11</w:t>
            </w:r>
          </w:p>
        </w:tc>
        <w:tc>
          <w:tcPr>
            <w:tcW w:w="1418"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Привкус</w:t>
            </w:r>
          </w:p>
        </w:tc>
        <w:tc>
          <w:tcPr>
            <w:tcW w:w="1984"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4</w:t>
            </w:r>
          </w:p>
        </w:tc>
        <w:tc>
          <w:tcPr>
            <w:tcW w:w="127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2</w:t>
            </w:r>
          </w:p>
        </w:tc>
        <w:tc>
          <w:tcPr>
            <w:tcW w:w="241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xml:space="preserve"> не более 2</w:t>
            </w:r>
          </w:p>
        </w:tc>
        <w:tc>
          <w:tcPr>
            <w:tcW w:w="1134"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Цветность</w:t>
            </w:r>
          </w:p>
        </w:tc>
        <w:tc>
          <w:tcPr>
            <w:tcW w:w="1984"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Более 70</w:t>
            </w:r>
          </w:p>
        </w:tc>
        <w:tc>
          <w:tcPr>
            <w:tcW w:w="127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b/>
              </w:rPr>
              <w:t>29,8 ± 6,0</w:t>
            </w:r>
          </w:p>
        </w:tc>
        <w:tc>
          <w:tcPr>
            <w:tcW w:w="2410"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Более 56.18</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20 (35)</w:t>
            </w:r>
          </w:p>
        </w:tc>
        <w:tc>
          <w:tcPr>
            <w:tcW w:w="1134"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град.</w:t>
            </w:r>
          </w:p>
        </w:tc>
      </w:tr>
      <w:tr w:rsidR="00630798" w:rsidRPr="00D74571" w:rsidTr="00630798">
        <w:trPr>
          <w:trHeight w:val="270"/>
        </w:trPr>
        <w:tc>
          <w:tcPr>
            <w:tcW w:w="19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протокола, дата и место отбора проб</w:t>
            </w:r>
          </w:p>
        </w:tc>
        <w:tc>
          <w:tcPr>
            <w:tcW w:w="1984"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autoSpaceDE w:val="0"/>
              <w:autoSpaceDN w:val="0"/>
              <w:adjustRightInd w:val="0"/>
              <w:spacing w:after="0" w:line="240" w:lineRule="auto"/>
              <w:rPr>
                <w:rFonts w:ascii="Times New Roman" w:hAnsi="Times New Roman" w:cs="Times New Roman"/>
              </w:rPr>
            </w:pPr>
            <w:r w:rsidRPr="00D74571">
              <w:rPr>
                <w:rFonts w:ascii="Times New Roman" w:hAnsi="Times New Roman" w:cs="Times New Roman"/>
              </w:rPr>
              <w:t xml:space="preserve">№ 3176.20 от 20.05.2020г., дата отбора 13.05.2020г., мрн №2»а» «Лесников»,ул.Советская,д.34,кор.1 МАОУ  «КСОШ» </w:t>
            </w:r>
          </w:p>
        </w:tc>
        <w:tc>
          <w:tcPr>
            <w:tcW w:w="1276"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7028.20 от 07.09.2020г., дата отбора 01.09.2020г., мрн №2»а» «Лесников»,ул.Советская,д.34,кор.1 МАОУ  «КСОШ»</w:t>
            </w:r>
          </w:p>
        </w:tc>
        <w:tc>
          <w:tcPr>
            <w:tcW w:w="2410"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p>
        </w:tc>
      </w:tr>
    </w:tbl>
    <w:p w:rsidR="00630798" w:rsidRPr="00D74571" w:rsidRDefault="00630798" w:rsidP="00D74571">
      <w:pPr>
        <w:spacing w:after="0" w:line="240" w:lineRule="auto"/>
        <w:rPr>
          <w:rFonts w:ascii="Times New Roman" w:hAnsi="Times New Roman" w:cs="Times New Roman"/>
        </w:rPr>
      </w:pPr>
    </w:p>
    <w:p w:rsidR="00630798" w:rsidRPr="00D74571" w:rsidRDefault="00630798" w:rsidP="00D7457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4571">
        <w:rPr>
          <w:rFonts w:ascii="Times New Roman" w:hAnsi="Times New Roman" w:cs="Times New Roman"/>
          <w:sz w:val="24"/>
          <w:szCs w:val="24"/>
        </w:rPr>
        <w:t xml:space="preserve">   Средние уровни показателей качества отобранных в течение 2020 г. проб питьевой воды</w:t>
      </w:r>
      <w:r w:rsidRPr="00D74571">
        <w:rPr>
          <w:rFonts w:ascii="Times New Roman" w:hAnsi="Times New Roman" w:cs="Times New Roman"/>
          <w:sz w:val="24"/>
          <w:szCs w:val="24"/>
          <w:u w:val="single"/>
        </w:rPr>
        <w:t xml:space="preserve">  на выходе с ВОС-4, и разводящих сетей не соответствуют требованиям</w:t>
      </w:r>
      <w:r w:rsidRPr="00D74571">
        <w:rPr>
          <w:rFonts w:ascii="Times New Roman" w:hAnsi="Times New Roman" w:cs="Times New Roman"/>
          <w:sz w:val="24"/>
          <w:szCs w:val="24"/>
        </w:rPr>
        <w:t xml:space="preserve">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 изменениями на 28 июня 2010г.),  ГН 2.1.5.1315-03 «Предельно-допустимые концентрации химических веществ в воде водных объектов хозяйственно-питьевого и культурно-бытового водопользования»:-на выходе с ВОС-4  по средним показателям:  запах при 20 °C , запах </w:t>
      </w:r>
      <w:r w:rsidRPr="00D74571">
        <w:rPr>
          <w:rFonts w:ascii="Times New Roman" w:hAnsi="Times New Roman" w:cs="Times New Roman"/>
          <w:sz w:val="24"/>
          <w:szCs w:val="24"/>
        </w:rPr>
        <w:lastRenderedPageBreak/>
        <w:t>при 60 °C привкус, мутность.  цветность,   о</w:t>
      </w:r>
      <w:r w:rsidRPr="00D74571">
        <w:rPr>
          <w:rFonts w:ascii="Times New Roman" w:hAnsi="Times New Roman" w:cs="Times New Roman"/>
          <w:color w:val="000000"/>
          <w:sz w:val="24"/>
          <w:szCs w:val="24"/>
        </w:rPr>
        <w:t>кисляемость перманганатная, железо, аммиак ( по азоту);</w:t>
      </w:r>
    </w:p>
    <w:p w:rsidR="00630798" w:rsidRPr="00D74571" w:rsidRDefault="00630798" w:rsidP="00D74571">
      <w:pPr>
        <w:autoSpaceDE w:val="0"/>
        <w:autoSpaceDN w:val="0"/>
        <w:adjustRightInd w:val="0"/>
        <w:spacing w:after="0" w:line="240" w:lineRule="auto"/>
        <w:jc w:val="both"/>
        <w:rPr>
          <w:rFonts w:ascii="Times New Roman" w:hAnsi="Times New Roman" w:cs="Times New Roman"/>
          <w:color w:val="000000"/>
          <w:sz w:val="24"/>
          <w:szCs w:val="24"/>
        </w:rPr>
      </w:pPr>
      <w:r w:rsidRPr="00D74571">
        <w:rPr>
          <w:rFonts w:ascii="Times New Roman" w:hAnsi="Times New Roman" w:cs="Times New Roman"/>
          <w:color w:val="000000"/>
          <w:sz w:val="24"/>
          <w:szCs w:val="24"/>
        </w:rPr>
        <w:t xml:space="preserve">  </w:t>
      </w:r>
      <w:r w:rsidRPr="00D74571">
        <w:rPr>
          <w:rFonts w:ascii="Times New Roman" w:hAnsi="Times New Roman" w:cs="Times New Roman"/>
          <w:sz w:val="24"/>
          <w:szCs w:val="24"/>
        </w:rPr>
        <w:t>-из разводящей сети (холодного водоснабжения); по средним показателям: запах при 60 °C , привкус, мутность.  цветность,   о</w:t>
      </w:r>
      <w:r w:rsidRPr="00D74571">
        <w:rPr>
          <w:rFonts w:ascii="Times New Roman" w:hAnsi="Times New Roman" w:cs="Times New Roman"/>
          <w:color w:val="000000"/>
          <w:sz w:val="24"/>
          <w:szCs w:val="24"/>
        </w:rPr>
        <w:t>кисляемость перманганатная, железо;</w:t>
      </w:r>
    </w:p>
    <w:p w:rsidR="00630798" w:rsidRPr="00D74571" w:rsidRDefault="00630798" w:rsidP="00D74571">
      <w:pPr>
        <w:autoSpaceDE w:val="0"/>
        <w:autoSpaceDN w:val="0"/>
        <w:adjustRightInd w:val="0"/>
        <w:spacing w:after="0" w:line="240" w:lineRule="auto"/>
        <w:jc w:val="both"/>
        <w:rPr>
          <w:rFonts w:ascii="Times New Roman" w:hAnsi="Times New Roman" w:cs="Times New Roman"/>
          <w:sz w:val="24"/>
          <w:szCs w:val="24"/>
        </w:rPr>
      </w:pPr>
      <w:r w:rsidRPr="00D74571">
        <w:rPr>
          <w:rFonts w:ascii="Times New Roman" w:hAnsi="Times New Roman" w:cs="Times New Roman"/>
          <w:color w:val="000000"/>
          <w:sz w:val="24"/>
          <w:szCs w:val="24"/>
        </w:rPr>
        <w:t>-в магистральных сетях</w:t>
      </w:r>
      <w:r w:rsidRPr="00D74571">
        <w:rPr>
          <w:rFonts w:ascii="Times New Roman" w:hAnsi="Times New Roman" w:cs="Times New Roman"/>
          <w:sz w:val="24"/>
          <w:szCs w:val="24"/>
        </w:rPr>
        <w:t xml:space="preserve"> по показателям: по показателям: запах при 60 °C , привкус, цветность, мутность, о</w:t>
      </w:r>
      <w:r w:rsidRPr="00D74571">
        <w:rPr>
          <w:rFonts w:ascii="Times New Roman" w:hAnsi="Times New Roman" w:cs="Times New Roman"/>
          <w:color w:val="000000"/>
          <w:sz w:val="24"/>
          <w:szCs w:val="24"/>
        </w:rPr>
        <w:t>кисляемость перманганатная, железо, аммиак (по азоту).</w:t>
      </w:r>
    </w:p>
    <w:p w:rsidR="00630798" w:rsidRPr="00D74571" w:rsidRDefault="00630798" w:rsidP="00D74571">
      <w:pPr>
        <w:autoSpaceDE w:val="0"/>
        <w:autoSpaceDN w:val="0"/>
        <w:adjustRightInd w:val="0"/>
        <w:spacing w:after="0" w:line="240" w:lineRule="auto"/>
        <w:ind w:firstLine="567"/>
        <w:jc w:val="both"/>
        <w:rPr>
          <w:rFonts w:ascii="Times New Roman" w:hAnsi="Times New Roman" w:cs="Times New Roman"/>
          <w:sz w:val="24"/>
          <w:szCs w:val="24"/>
        </w:rPr>
      </w:pPr>
      <w:r w:rsidRPr="00D74571">
        <w:rPr>
          <w:rFonts w:ascii="Times New Roman" w:hAnsi="Times New Roman" w:cs="Times New Roman"/>
          <w:color w:val="000000"/>
          <w:sz w:val="24"/>
          <w:szCs w:val="24"/>
        </w:rPr>
        <w:t xml:space="preserve">         </w:t>
      </w:r>
      <w:r w:rsidRPr="00D74571">
        <w:rPr>
          <w:rFonts w:ascii="Times New Roman" w:hAnsi="Times New Roman" w:cs="Times New Roman"/>
          <w:sz w:val="24"/>
          <w:szCs w:val="24"/>
        </w:rPr>
        <w:t>Протоколы лабораторных  исследований проб питьевой воды после водоподготовки на ВОС -4  не соответствуют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 изменениями на 28 июня 2010г.),  ГН 2.1.5.1315-03 «Предельно-допустимые концентрации химических веществ в воде водных объектов хозяйственно-питьевого и культурно-бытового водопользования» с учетом допустимой ошибки метода определения , согласно требований ФЗ-416 от 07.12.2011 г. «О водоснабжении и водоотведении» (с изменениями):</w:t>
      </w:r>
    </w:p>
    <w:p w:rsidR="00630798" w:rsidRPr="00D74571" w:rsidRDefault="00630798" w:rsidP="00D7457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74571">
        <w:rPr>
          <w:rFonts w:ascii="Times New Roman" w:hAnsi="Times New Roman" w:cs="Times New Roman"/>
          <w:sz w:val="24"/>
          <w:szCs w:val="24"/>
        </w:rPr>
        <w:t>-на выходе с ВОС-4  по средним показателям:  запах при 20 °C ,запах при 60 °C , привкус, мутность.  цветность,   о</w:t>
      </w:r>
      <w:r w:rsidRPr="00D74571">
        <w:rPr>
          <w:rFonts w:ascii="Times New Roman" w:hAnsi="Times New Roman" w:cs="Times New Roman"/>
          <w:color w:val="000000"/>
          <w:sz w:val="24"/>
          <w:szCs w:val="24"/>
        </w:rPr>
        <w:t>кисляемость перманганатная, железо, аммиак ( по азоту);</w:t>
      </w:r>
    </w:p>
    <w:p w:rsidR="00630798" w:rsidRPr="00D74571" w:rsidRDefault="00630798" w:rsidP="00D7457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74571">
        <w:rPr>
          <w:rFonts w:ascii="Times New Roman" w:hAnsi="Times New Roman" w:cs="Times New Roman"/>
          <w:sz w:val="24"/>
          <w:szCs w:val="24"/>
        </w:rPr>
        <w:t>-из разводящей сети (холодного водоснабжения) по средним показателям -   по средним показателям: запах при 60 °C , привкус, мутность.  цветность,   о</w:t>
      </w:r>
      <w:r w:rsidRPr="00D74571">
        <w:rPr>
          <w:rFonts w:ascii="Times New Roman" w:hAnsi="Times New Roman" w:cs="Times New Roman"/>
          <w:color w:val="000000"/>
          <w:sz w:val="24"/>
          <w:szCs w:val="24"/>
        </w:rPr>
        <w:t>кисляемость перманганатная, железо ;</w:t>
      </w:r>
    </w:p>
    <w:p w:rsidR="00630798" w:rsidRPr="00D74571" w:rsidRDefault="00630798" w:rsidP="00D7457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74571">
        <w:rPr>
          <w:rFonts w:ascii="Times New Roman" w:hAnsi="Times New Roman" w:cs="Times New Roman"/>
          <w:color w:val="000000"/>
          <w:sz w:val="24"/>
          <w:szCs w:val="24"/>
        </w:rPr>
        <w:t>-в магистральных сетях</w:t>
      </w:r>
      <w:r w:rsidRPr="00D74571">
        <w:rPr>
          <w:rFonts w:ascii="Times New Roman" w:hAnsi="Times New Roman" w:cs="Times New Roman"/>
          <w:sz w:val="24"/>
          <w:szCs w:val="24"/>
        </w:rPr>
        <w:t xml:space="preserve"> по средним показателям: по показателям: запах при 20 °C ,запах при 60 °C , привкус, мутность.  цветность,   о</w:t>
      </w:r>
      <w:r w:rsidRPr="00D74571">
        <w:rPr>
          <w:rFonts w:ascii="Times New Roman" w:hAnsi="Times New Roman" w:cs="Times New Roman"/>
          <w:color w:val="000000"/>
          <w:sz w:val="24"/>
          <w:szCs w:val="24"/>
        </w:rPr>
        <w:t>кисляемость перманганатная, железо, аммиак ( по азоту).</w:t>
      </w:r>
    </w:p>
    <w:p w:rsidR="00630798" w:rsidRPr="00D74571" w:rsidRDefault="00630798" w:rsidP="00D74571">
      <w:pPr>
        <w:autoSpaceDE w:val="0"/>
        <w:autoSpaceDN w:val="0"/>
        <w:adjustRightInd w:val="0"/>
        <w:spacing w:after="0" w:line="240" w:lineRule="auto"/>
        <w:jc w:val="both"/>
        <w:rPr>
          <w:rFonts w:ascii="Times New Roman" w:hAnsi="Times New Roman" w:cs="Times New Roman"/>
          <w:sz w:val="24"/>
          <w:szCs w:val="24"/>
        </w:rPr>
      </w:pPr>
      <w:r w:rsidRPr="00D74571">
        <w:rPr>
          <w:rFonts w:ascii="Times New Roman" w:hAnsi="Times New Roman" w:cs="Times New Roman"/>
          <w:sz w:val="24"/>
          <w:szCs w:val="24"/>
        </w:rPr>
        <w:t>Экспертное заключение №  НЮ.15.У.00257.01.21от 21.01.2021г.</w:t>
      </w:r>
    </w:p>
    <w:p w:rsidR="00630798" w:rsidRPr="00D74571" w:rsidRDefault="00630798" w:rsidP="00D74571">
      <w:pPr>
        <w:spacing w:after="0" w:line="240" w:lineRule="auto"/>
        <w:jc w:val="both"/>
        <w:rPr>
          <w:rFonts w:ascii="Times New Roman" w:hAnsi="Times New Roman" w:cs="Times New Roman"/>
          <w:sz w:val="24"/>
          <w:szCs w:val="24"/>
        </w:rPr>
      </w:pPr>
    </w:p>
    <w:p w:rsidR="00630798" w:rsidRPr="00D74571" w:rsidRDefault="00630798" w:rsidP="006A23B3">
      <w:pPr>
        <w:numPr>
          <w:ilvl w:val="0"/>
          <w:numId w:val="17"/>
        </w:numPr>
        <w:autoSpaceDE w:val="0"/>
        <w:autoSpaceDN w:val="0"/>
        <w:adjustRightInd w:val="0"/>
        <w:spacing w:after="0" w:line="240" w:lineRule="auto"/>
        <w:contextualSpacing/>
        <w:jc w:val="center"/>
        <w:rPr>
          <w:rFonts w:ascii="Times New Roman" w:hAnsi="Times New Roman" w:cs="Times New Roman"/>
          <w:b/>
          <w:sz w:val="24"/>
          <w:szCs w:val="24"/>
        </w:rPr>
      </w:pPr>
      <w:r w:rsidRPr="00D74571">
        <w:rPr>
          <w:rFonts w:ascii="Times New Roman" w:hAnsi="Times New Roman" w:cs="Times New Roman"/>
          <w:b/>
          <w:sz w:val="24"/>
          <w:szCs w:val="24"/>
        </w:rPr>
        <w:t>Средние показатели проб питьевой воды отобранных на ВОС  «Южно-Балыкского ГПЗ» -филиал «СибурТюменьГаз» г.Пыть-Ях, 7 микрорайон, д.7а., после водоподготовки в рамках СГМ:</w:t>
      </w:r>
    </w:p>
    <w:p w:rsidR="00630798" w:rsidRPr="00D74571" w:rsidRDefault="00630798" w:rsidP="00D74571">
      <w:pPr>
        <w:spacing w:after="0" w:line="240" w:lineRule="auto"/>
        <w:jc w:val="both"/>
        <w:rPr>
          <w:rFonts w:ascii="Times New Roman" w:hAnsi="Times New Roman" w:cs="Times New Roman"/>
          <w:b/>
          <w:snapToGrid w:val="0"/>
          <w:sz w:val="24"/>
          <w:szCs w:val="24"/>
        </w:rPr>
      </w:pPr>
      <w:r w:rsidRPr="00D74571">
        <w:rPr>
          <w:rFonts w:ascii="Times New Roman" w:hAnsi="Times New Roman" w:cs="Times New Roman"/>
          <w:b/>
          <w:snapToGrid w:val="0"/>
          <w:sz w:val="24"/>
          <w:szCs w:val="24"/>
        </w:rPr>
        <w:t xml:space="preserve">  ВОС «Южно-Балыкского ГПЗ»-филиал «СибурТюменьГаз», </w:t>
      </w:r>
    </w:p>
    <w:p w:rsidR="00630798" w:rsidRPr="00D74571" w:rsidRDefault="00630798" w:rsidP="00D74571">
      <w:pPr>
        <w:spacing w:after="0" w:line="240" w:lineRule="auto"/>
        <w:jc w:val="both"/>
        <w:rPr>
          <w:rFonts w:ascii="Times New Roman" w:hAnsi="Times New Roman" w:cs="Times New Roman"/>
          <w:sz w:val="24"/>
          <w:szCs w:val="24"/>
          <w:u w:val="single"/>
        </w:rPr>
      </w:pPr>
      <w:r w:rsidRPr="00D74571">
        <w:rPr>
          <w:rFonts w:ascii="Times New Roman" w:hAnsi="Times New Roman" w:cs="Times New Roman"/>
          <w:sz w:val="24"/>
          <w:szCs w:val="24"/>
          <w:u w:val="single"/>
        </w:rPr>
        <w:t xml:space="preserve">1 Расчет среднего уровня показателей  проб воды  централизованной системы хозяйственно-питьевого  водоснабжения   отобранных  </w:t>
      </w:r>
      <w:r w:rsidRPr="00D74571">
        <w:rPr>
          <w:rFonts w:ascii="Times New Roman" w:hAnsi="Times New Roman" w:cs="Times New Roman"/>
          <w:b/>
          <w:sz w:val="24"/>
          <w:szCs w:val="24"/>
          <w:u w:val="single"/>
        </w:rPr>
        <w:t xml:space="preserve">на выходе с ВОС- «Южно-Балыкского ГПЗ», </w:t>
      </w:r>
      <w:r w:rsidRPr="00D74571">
        <w:rPr>
          <w:rFonts w:ascii="Times New Roman" w:hAnsi="Times New Roman" w:cs="Times New Roman"/>
          <w:sz w:val="24"/>
          <w:szCs w:val="24"/>
          <w:u w:val="single"/>
        </w:rPr>
        <w:t>по результатам протоколов  лабораторных испытаний.</w:t>
      </w:r>
    </w:p>
    <w:tbl>
      <w:tblPr>
        <w:tblW w:w="10206" w:type="dxa"/>
        <w:tblInd w:w="-459" w:type="dxa"/>
        <w:tblLayout w:type="fixed"/>
        <w:tblLook w:val="04A0" w:firstRow="1" w:lastRow="0" w:firstColumn="1" w:lastColumn="0" w:noHBand="0" w:noVBand="1"/>
      </w:tblPr>
      <w:tblGrid>
        <w:gridCol w:w="567"/>
        <w:gridCol w:w="1701"/>
        <w:gridCol w:w="1701"/>
        <w:gridCol w:w="1985"/>
        <w:gridCol w:w="1417"/>
        <w:gridCol w:w="1418"/>
        <w:gridCol w:w="1417"/>
      </w:tblGrid>
      <w:tr w:rsidR="00630798" w:rsidRPr="00D74571" w:rsidTr="00630798">
        <w:trPr>
          <w:trHeight w:val="360"/>
        </w:trPr>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п\п</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Показатели</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autoSpaceDE w:val="0"/>
              <w:autoSpaceDN w:val="0"/>
              <w:adjustRightInd w:val="0"/>
              <w:spacing w:after="0" w:line="240" w:lineRule="auto"/>
              <w:ind w:firstLine="708"/>
              <w:jc w:val="both"/>
              <w:rPr>
                <w:rFonts w:ascii="Times New Roman" w:hAnsi="Times New Roman" w:cs="Times New Roman"/>
              </w:rPr>
            </w:pPr>
            <w:r w:rsidRPr="00D74571">
              <w:rPr>
                <w:rFonts w:ascii="Times New Roman" w:hAnsi="Times New Roman" w:cs="Times New Roman"/>
              </w:rPr>
              <w:t>Результаты исследований</w:t>
            </w:r>
            <w:r w:rsidRPr="00D74571">
              <w:rPr>
                <w:rFonts w:ascii="Times New Roman" w:hAnsi="Times New Roman" w:cs="Times New Roman"/>
                <w:u w:val="single"/>
              </w:rPr>
              <w:t xml:space="preserve"> воды централизованной системы хозяйственно-питьевого  водоснабжения</w:t>
            </w:r>
          </w:p>
        </w:tc>
        <w:tc>
          <w:tcPr>
            <w:tcW w:w="1417"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xml:space="preserve">Средний показатель </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Гигиенический норматив</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Единицы измерения</w:t>
            </w:r>
          </w:p>
        </w:tc>
      </w:tr>
      <w:tr w:rsidR="00630798" w:rsidRPr="00D74571" w:rsidTr="00630798">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Аммиак (по азоту)</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1,26 ± 0,25</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0,5 ± 0,10</w:t>
            </w:r>
          </w:p>
        </w:tc>
        <w:tc>
          <w:tcPr>
            <w:tcW w:w="1417"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1,036</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1,5 (2)</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Железо</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1,13 ± 0,23</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bCs/>
              </w:rPr>
            </w:pPr>
            <w:r w:rsidRPr="00D74571">
              <w:rPr>
                <w:rFonts w:ascii="Times New Roman" w:hAnsi="Times New Roman" w:cs="Times New Roman"/>
                <w:b/>
              </w:rPr>
              <w:t>0,34 ± 0,07</w:t>
            </w:r>
          </w:p>
        </w:tc>
        <w:tc>
          <w:tcPr>
            <w:tcW w:w="1417"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0,53</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0,3 (1)</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3</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Нитраты (по NO3)</w:t>
            </w:r>
          </w:p>
        </w:tc>
        <w:tc>
          <w:tcPr>
            <w:tcW w:w="1701" w:type="dxa"/>
            <w:tcBorders>
              <w:top w:val="nil"/>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Менее 0,04</w:t>
            </w:r>
          </w:p>
        </w:tc>
        <w:tc>
          <w:tcPr>
            <w:tcW w:w="1985"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Менее 0,05</w:t>
            </w:r>
          </w:p>
        </w:tc>
        <w:tc>
          <w:tcPr>
            <w:tcW w:w="1417"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Менее 0,05</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45</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4</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Нитриты (по NO2)</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0,004± 0,002</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sz w:val="20"/>
                <w:szCs w:val="20"/>
              </w:rPr>
            </w:pPr>
            <w:r w:rsidRPr="00D74571">
              <w:rPr>
                <w:rFonts w:ascii="Times New Roman" w:hAnsi="Times New Roman" w:cs="Times New Roman"/>
              </w:rPr>
              <w:t>Менее 0,003</w:t>
            </w:r>
          </w:p>
        </w:tc>
        <w:tc>
          <w:tcPr>
            <w:tcW w:w="1417"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0,003</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3</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5</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Сульфаты</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8,35± 1,67</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2,65± 0,74</w:t>
            </w:r>
          </w:p>
        </w:tc>
        <w:tc>
          <w:tcPr>
            <w:tcW w:w="1417"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xml:space="preserve">        5,5</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500</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6</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Марганец</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0,0284± 0,0051</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0,0050± 0,0012</w:t>
            </w:r>
          </w:p>
        </w:tc>
        <w:tc>
          <w:tcPr>
            <w:tcW w:w="1417"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0,016</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0,1</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4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7</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Свинец</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0,0002</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0,0002</w:t>
            </w:r>
          </w:p>
        </w:tc>
        <w:tc>
          <w:tcPr>
            <w:tcW w:w="1417"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0,0002</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0,03</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8</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Медь</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0,0015 ± 0,0006</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0,001</w:t>
            </w:r>
          </w:p>
        </w:tc>
        <w:tc>
          <w:tcPr>
            <w:tcW w:w="1417"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0,001</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1</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9</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Цинк</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0,001 ± 0,067</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0,001</w:t>
            </w:r>
          </w:p>
        </w:tc>
        <w:tc>
          <w:tcPr>
            <w:tcW w:w="1417"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0,001</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5</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10</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Хлориды</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94,5 ± 1,4</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35,5 ± 1,4</w:t>
            </w:r>
          </w:p>
        </w:tc>
        <w:tc>
          <w:tcPr>
            <w:tcW w:w="1417"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65,00</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350</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11</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Жесткость общая</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3,15 ± 0,47</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1,13 ± 0,17</w:t>
            </w:r>
          </w:p>
        </w:tc>
        <w:tc>
          <w:tcPr>
            <w:tcW w:w="1417"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2,14</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7</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оЖ</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12</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pH</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7,6 ± 0,2</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7,0 ± 0,2</w:t>
            </w:r>
          </w:p>
        </w:tc>
        <w:tc>
          <w:tcPr>
            <w:tcW w:w="1417"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7,13</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от 6 до 9</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lastRenderedPageBreak/>
              <w:t>13</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Окисляемость перманганатная</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4,40 ± 0,44</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5,0 ± 0,5</w:t>
            </w:r>
          </w:p>
        </w:tc>
        <w:tc>
          <w:tcPr>
            <w:tcW w:w="1417"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3,55</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5</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мгО2/дм3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14</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Общая минерализация (сухой остаток)</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466,0 ± 41,94</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445,0 ± 40</w:t>
            </w:r>
          </w:p>
        </w:tc>
        <w:tc>
          <w:tcPr>
            <w:tcW w:w="1417"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4361,16</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1000</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15</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Нефтепродукты (суммарно)</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0,035± 0,012</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0,027 ± 0,009</w:t>
            </w:r>
          </w:p>
        </w:tc>
        <w:tc>
          <w:tcPr>
            <w:tcW w:w="1417"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0,0025</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0,1</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16</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Запах при 20 °C</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sz w:val="20"/>
                <w:szCs w:val="20"/>
              </w:rPr>
            </w:pPr>
            <w:r w:rsidRPr="00D74571">
              <w:rPr>
                <w:rFonts w:ascii="Times New Roman" w:hAnsi="Times New Roman" w:cs="Times New Roman"/>
              </w:rPr>
              <w:t>0</w:t>
            </w:r>
          </w:p>
        </w:tc>
        <w:tc>
          <w:tcPr>
            <w:tcW w:w="1417"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1</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17</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Запах при 60 °C</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sz w:val="20"/>
                <w:szCs w:val="20"/>
              </w:rPr>
            </w:pPr>
            <w:r w:rsidRPr="00D74571">
              <w:rPr>
                <w:rFonts w:ascii="Times New Roman" w:hAnsi="Times New Roman" w:cs="Times New Roman"/>
              </w:rPr>
              <w:t>0</w:t>
            </w:r>
          </w:p>
        </w:tc>
        <w:tc>
          <w:tcPr>
            <w:tcW w:w="1417"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1</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18</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Мутность</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3,5 ± 0,7</w:t>
            </w:r>
          </w:p>
        </w:tc>
        <w:tc>
          <w:tcPr>
            <w:tcW w:w="1985"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p>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1,16 ± 0,23</w:t>
            </w:r>
          </w:p>
        </w:tc>
        <w:tc>
          <w:tcPr>
            <w:tcW w:w="1417"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b/>
              </w:rPr>
            </w:pPr>
            <w:r w:rsidRPr="00D74571">
              <w:rPr>
                <w:rFonts w:ascii="Times New Roman" w:hAnsi="Times New Roman" w:cs="Times New Roman"/>
                <w:b/>
              </w:rPr>
              <w:t>1,99</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xml:space="preserve">не более 1,5 </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19</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Привкус</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w:t>
            </w:r>
          </w:p>
        </w:tc>
        <w:tc>
          <w:tcPr>
            <w:tcW w:w="1417"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Менее 2</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20</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Цветность</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34,25 0 ± 6,85</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16,10 ± 3,2</w:t>
            </w:r>
          </w:p>
        </w:tc>
        <w:tc>
          <w:tcPr>
            <w:tcW w:w="1417"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18,95</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20</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град.</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21</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Фтор</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0,26 ± 0,02</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0.13± 0,03</w:t>
            </w:r>
          </w:p>
        </w:tc>
        <w:tc>
          <w:tcPr>
            <w:tcW w:w="1417"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0,19</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1,5</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мг/л</w:t>
            </w:r>
          </w:p>
        </w:tc>
      </w:tr>
      <w:tr w:rsidR="00630798" w:rsidRPr="00D74571" w:rsidTr="00630798">
        <w:trPr>
          <w:trHeight w:val="588"/>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22</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Гидрооксибензол (Фенол)</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0,0005</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0,0005</w:t>
            </w:r>
          </w:p>
        </w:tc>
        <w:tc>
          <w:tcPr>
            <w:tcW w:w="1417"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0,0005</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0,001</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23</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Алюминий остаточный</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0,02</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rPr>
              <w:t>0.027± 0,04</w:t>
            </w:r>
          </w:p>
        </w:tc>
        <w:tc>
          <w:tcPr>
            <w:tcW w:w="1417"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0,032</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0,5</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24</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ПАВанионоактивные</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0,025</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0,025</w:t>
            </w:r>
          </w:p>
        </w:tc>
        <w:tc>
          <w:tcPr>
            <w:tcW w:w="1417"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0,025</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0,5</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25</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Кадмий</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0,0002</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0,0002</w:t>
            </w:r>
          </w:p>
        </w:tc>
        <w:tc>
          <w:tcPr>
            <w:tcW w:w="1417"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0,0001</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0,001</w:t>
            </w:r>
          </w:p>
        </w:tc>
        <w:tc>
          <w:tcPr>
            <w:tcW w:w="141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протокола, дата и место отбора проб</w:t>
            </w:r>
          </w:p>
        </w:tc>
        <w:tc>
          <w:tcPr>
            <w:tcW w:w="1701"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3651.20 от 03.06.2020 г., дата отбора 26.05.2020г., "Южно-Балыкский ГПЗ" - филиал АО "СибурТюменьГаз", выход с ВОС, г. Пыть-Ях 7 мкр. дом.7а</w:t>
            </w:r>
          </w:p>
        </w:tc>
        <w:tc>
          <w:tcPr>
            <w:tcW w:w="1985" w:type="dxa"/>
            <w:tcBorders>
              <w:top w:val="single" w:sz="4" w:space="0" w:color="auto"/>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7042.20 от 07.09.2020 г., дата отбора 01.09.2020г.,., "Южно-Балыкский ГПЗ" - филиал АО "СибурТюменьГаз", выход с ВОС, г. Пыть-Ях 7 мкр. дом.7а</w:t>
            </w:r>
          </w:p>
        </w:tc>
        <w:tc>
          <w:tcPr>
            <w:tcW w:w="1417"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p>
        </w:tc>
      </w:tr>
    </w:tbl>
    <w:p w:rsidR="00630798" w:rsidRPr="00D74571" w:rsidRDefault="00630798" w:rsidP="00D74571">
      <w:pPr>
        <w:autoSpaceDE w:val="0"/>
        <w:autoSpaceDN w:val="0"/>
        <w:adjustRightInd w:val="0"/>
        <w:spacing w:after="0" w:line="240" w:lineRule="auto"/>
        <w:rPr>
          <w:rFonts w:ascii="Times New Roman" w:hAnsi="Times New Roman" w:cs="Times New Roman"/>
          <w:b/>
        </w:rPr>
      </w:pPr>
    </w:p>
    <w:p w:rsidR="00630798" w:rsidRPr="00D74571" w:rsidRDefault="00630798" w:rsidP="00D74571">
      <w:pPr>
        <w:autoSpaceDE w:val="0"/>
        <w:autoSpaceDN w:val="0"/>
        <w:adjustRightInd w:val="0"/>
        <w:spacing w:after="0" w:line="240" w:lineRule="auto"/>
        <w:ind w:left="360"/>
        <w:jc w:val="center"/>
        <w:rPr>
          <w:rFonts w:ascii="Times New Roman" w:hAnsi="Times New Roman" w:cs="Times New Roman"/>
          <w:b/>
        </w:rPr>
      </w:pPr>
    </w:p>
    <w:p w:rsidR="00630798" w:rsidRPr="00D74571" w:rsidRDefault="00630798" w:rsidP="00D74571">
      <w:pPr>
        <w:spacing w:after="0" w:line="240" w:lineRule="auto"/>
        <w:rPr>
          <w:rFonts w:ascii="Times New Roman" w:hAnsi="Times New Roman" w:cs="Times New Roman"/>
          <w:u w:val="single"/>
        </w:rPr>
      </w:pPr>
      <w:r w:rsidRPr="00D74571">
        <w:rPr>
          <w:rFonts w:ascii="Times New Roman" w:hAnsi="Times New Roman" w:cs="Times New Roman"/>
        </w:rPr>
        <w:t xml:space="preserve">2 </w:t>
      </w:r>
      <w:r w:rsidRPr="00D74571">
        <w:rPr>
          <w:rFonts w:ascii="Times New Roman" w:hAnsi="Times New Roman" w:cs="Times New Roman"/>
          <w:u w:val="single"/>
        </w:rPr>
        <w:t xml:space="preserve">Расчет среднего уровня показателей  проб воды  централизованной системы хозяйственно-питьевого  водоснабжения  отобранных из магистральной сети </w:t>
      </w:r>
      <w:r w:rsidRPr="00D74571">
        <w:rPr>
          <w:rFonts w:ascii="Times New Roman" w:hAnsi="Times New Roman" w:cs="Times New Roman"/>
          <w:b/>
        </w:rPr>
        <w:t xml:space="preserve">ВОС «Южно-Балыкского ГПЗ»-филиал «СибурТюменьГаз», </w:t>
      </w:r>
      <w:r w:rsidRPr="00D74571">
        <w:rPr>
          <w:rFonts w:ascii="Times New Roman" w:hAnsi="Times New Roman" w:cs="Times New Roman"/>
          <w:u w:val="single"/>
        </w:rPr>
        <w:t xml:space="preserve">по результатампротоколов лабораторных испытаний. </w:t>
      </w:r>
    </w:p>
    <w:tbl>
      <w:tblPr>
        <w:tblW w:w="11482" w:type="dxa"/>
        <w:tblInd w:w="-459" w:type="dxa"/>
        <w:tblLayout w:type="fixed"/>
        <w:tblLook w:val="04A0" w:firstRow="1" w:lastRow="0" w:firstColumn="1" w:lastColumn="0" w:noHBand="0" w:noVBand="1"/>
      </w:tblPr>
      <w:tblGrid>
        <w:gridCol w:w="709"/>
        <w:gridCol w:w="1559"/>
        <w:gridCol w:w="1701"/>
        <w:gridCol w:w="1985"/>
        <w:gridCol w:w="1559"/>
        <w:gridCol w:w="1276"/>
        <w:gridCol w:w="2693"/>
      </w:tblGrid>
      <w:tr w:rsidR="00630798" w:rsidRPr="00D74571" w:rsidTr="00630798">
        <w:trPr>
          <w:trHeight w:val="360"/>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п\п</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Показатели</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Результаты исследований</w:t>
            </w:r>
            <w:r w:rsidRPr="00D74571">
              <w:rPr>
                <w:rFonts w:ascii="Times New Roman" w:hAnsi="Times New Roman" w:cs="Times New Roman"/>
                <w:u w:val="single"/>
              </w:rPr>
              <w:t xml:space="preserve"> воды централизованной системы хозяйственно-питьевого  водоснабжения</w:t>
            </w:r>
          </w:p>
        </w:tc>
        <w:tc>
          <w:tcPr>
            <w:tcW w:w="1559"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xml:space="preserve">Средний показатель </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Гигиенический норматив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Единицы измерения</w:t>
            </w:r>
          </w:p>
        </w:tc>
      </w:tr>
      <w:tr w:rsidR="00630798" w:rsidRPr="00D74571" w:rsidTr="0063079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w:t>
            </w:r>
          </w:p>
        </w:tc>
        <w:tc>
          <w:tcPr>
            <w:tcW w:w="1559"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Аммиак (по азоту)</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b/>
              </w:rPr>
              <w:t>1,85 ± 0,37</w:t>
            </w:r>
          </w:p>
        </w:tc>
        <w:tc>
          <w:tcPr>
            <w:tcW w:w="1985"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0,71 ± 0,14</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1,28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1,5</w:t>
            </w:r>
          </w:p>
        </w:tc>
        <w:tc>
          <w:tcPr>
            <w:tcW w:w="269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w:t>
            </w:r>
          </w:p>
        </w:tc>
        <w:tc>
          <w:tcPr>
            <w:tcW w:w="1559"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Железо</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0,23 ± 0,23</w:t>
            </w:r>
          </w:p>
        </w:tc>
        <w:tc>
          <w:tcPr>
            <w:tcW w:w="1985"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1,0 ± 0,2</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0,62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0,3 (1)</w:t>
            </w:r>
          </w:p>
        </w:tc>
        <w:tc>
          <w:tcPr>
            <w:tcW w:w="269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3</w:t>
            </w:r>
          </w:p>
        </w:tc>
        <w:tc>
          <w:tcPr>
            <w:tcW w:w="1559"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Нитраты (по NO3)</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0,5</w:t>
            </w:r>
          </w:p>
        </w:tc>
        <w:tc>
          <w:tcPr>
            <w:tcW w:w="1985"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sz w:val="20"/>
                <w:szCs w:val="20"/>
              </w:rPr>
            </w:pPr>
            <w:r w:rsidRPr="00D74571">
              <w:rPr>
                <w:rFonts w:ascii="Times New Roman" w:hAnsi="Times New Roman" w:cs="Times New Roman"/>
              </w:rPr>
              <w:t>Менее 0,5</w:t>
            </w:r>
          </w:p>
        </w:tc>
        <w:tc>
          <w:tcPr>
            <w:tcW w:w="1559"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sz w:val="20"/>
                <w:szCs w:val="20"/>
              </w:rPr>
            </w:pPr>
            <w:r w:rsidRPr="00D74571">
              <w:rPr>
                <w:rFonts w:ascii="Times New Roman" w:hAnsi="Times New Roman" w:cs="Times New Roman"/>
              </w:rPr>
              <w:t>Менее 0,5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45</w:t>
            </w:r>
          </w:p>
        </w:tc>
        <w:tc>
          <w:tcPr>
            <w:tcW w:w="269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4</w:t>
            </w:r>
          </w:p>
        </w:tc>
        <w:tc>
          <w:tcPr>
            <w:tcW w:w="1559"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Нитриты (по NO2)</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0,005 ± 0,003</w:t>
            </w:r>
          </w:p>
        </w:tc>
        <w:tc>
          <w:tcPr>
            <w:tcW w:w="1985"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sz w:val="20"/>
                <w:szCs w:val="20"/>
              </w:rPr>
            </w:pPr>
            <w:r w:rsidRPr="00D74571">
              <w:rPr>
                <w:rFonts w:ascii="Times New Roman" w:hAnsi="Times New Roman" w:cs="Times New Roman"/>
              </w:rPr>
              <w:t>0,016 ± 0,008</w:t>
            </w:r>
          </w:p>
        </w:tc>
        <w:tc>
          <w:tcPr>
            <w:tcW w:w="1559"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3</w:t>
            </w:r>
          </w:p>
        </w:tc>
        <w:tc>
          <w:tcPr>
            <w:tcW w:w="269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5</w:t>
            </w:r>
          </w:p>
        </w:tc>
        <w:tc>
          <w:tcPr>
            <w:tcW w:w="1559"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Окисляемость перманганатная</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4,68 ± 0,47</w:t>
            </w:r>
          </w:p>
        </w:tc>
        <w:tc>
          <w:tcPr>
            <w:tcW w:w="1985"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4,28 ± 0,43</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p>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5</w:t>
            </w:r>
          </w:p>
        </w:tc>
        <w:tc>
          <w:tcPr>
            <w:tcW w:w="269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мгО2/дм3</w:t>
            </w:r>
          </w:p>
        </w:tc>
      </w:tr>
      <w:tr w:rsidR="00630798" w:rsidRPr="00D74571" w:rsidTr="0063079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lastRenderedPageBreak/>
              <w:t>6</w:t>
            </w:r>
          </w:p>
        </w:tc>
        <w:tc>
          <w:tcPr>
            <w:tcW w:w="1559"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Запах при 20 °C</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w:t>
            </w:r>
          </w:p>
        </w:tc>
        <w:tc>
          <w:tcPr>
            <w:tcW w:w="1985"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sz w:val="20"/>
                <w:szCs w:val="20"/>
              </w:rPr>
            </w:pPr>
            <w:r w:rsidRPr="00D74571">
              <w:rPr>
                <w:rFonts w:ascii="Times New Roman" w:hAnsi="Times New Roman" w:cs="Times New Roman"/>
              </w:rPr>
              <w:t>2</w:t>
            </w:r>
          </w:p>
        </w:tc>
        <w:tc>
          <w:tcPr>
            <w:tcW w:w="1559"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w:t>
            </w:r>
          </w:p>
        </w:tc>
        <w:tc>
          <w:tcPr>
            <w:tcW w:w="269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7</w:t>
            </w:r>
          </w:p>
        </w:tc>
        <w:tc>
          <w:tcPr>
            <w:tcW w:w="1559"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Запах при 60 °C</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1985"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sz w:val="20"/>
                <w:szCs w:val="20"/>
              </w:rPr>
            </w:pPr>
            <w:r w:rsidRPr="00D74571">
              <w:rPr>
                <w:rFonts w:ascii="Times New Roman" w:hAnsi="Times New Roman" w:cs="Times New Roman"/>
                <w:b/>
              </w:rPr>
              <w:t>3</w:t>
            </w:r>
          </w:p>
        </w:tc>
        <w:tc>
          <w:tcPr>
            <w:tcW w:w="1559"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Более 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w:t>
            </w:r>
          </w:p>
        </w:tc>
        <w:tc>
          <w:tcPr>
            <w:tcW w:w="269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8</w:t>
            </w:r>
          </w:p>
        </w:tc>
        <w:tc>
          <w:tcPr>
            <w:tcW w:w="1559"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Мутность</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1,17 ± 0,23</w:t>
            </w:r>
          </w:p>
        </w:tc>
        <w:tc>
          <w:tcPr>
            <w:tcW w:w="1985"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3,5 ± 0,7</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p>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2,33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1,5 (2)</w:t>
            </w:r>
          </w:p>
        </w:tc>
        <w:tc>
          <w:tcPr>
            <w:tcW w:w="269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Привкус</w:t>
            </w:r>
          </w:p>
        </w:tc>
        <w:tc>
          <w:tcPr>
            <w:tcW w:w="1701"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1985"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p>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xml:space="preserve"> не более 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10</w:t>
            </w:r>
          </w:p>
        </w:tc>
        <w:tc>
          <w:tcPr>
            <w:tcW w:w="1559"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Цветность</w:t>
            </w:r>
          </w:p>
        </w:tc>
        <w:tc>
          <w:tcPr>
            <w:tcW w:w="1701"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35,15 ± 1,89</w:t>
            </w:r>
          </w:p>
        </w:tc>
        <w:tc>
          <w:tcPr>
            <w:tcW w:w="1985"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b/>
              </w:rPr>
              <w:t>30,6 ± 6,1</w:t>
            </w:r>
          </w:p>
        </w:tc>
        <w:tc>
          <w:tcPr>
            <w:tcW w:w="1559"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p>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32,87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20 (35)</w:t>
            </w:r>
          </w:p>
        </w:tc>
        <w:tc>
          <w:tcPr>
            <w:tcW w:w="2693"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град.</w:t>
            </w:r>
          </w:p>
        </w:tc>
      </w:tr>
      <w:tr w:rsidR="00630798" w:rsidRPr="00D74571" w:rsidTr="00630798">
        <w:trPr>
          <w:trHeight w:val="27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протокола, дата и место отбора проб</w:t>
            </w:r>
          </w:p>
        </w:tc>
        <w:tc>
          <w:tcPr>
            <w:tcW w:w="1701" w:type="dxa"/>
            <w:tcBorders>
              <w:top w:val="single" w:sz="4" w:space="0" w:color="auto"/>
              <w:left w:val="nil"/>
              <w:bottom w:val="single" w:sz="4" w:space="0" w:color="auto"/>
              <w:right w:val="single" w:sz="4" w:space="0" w:color="auto"/>
            </w:tcBorders>
            <w:shd w:val="clear" w:color="auto" w:fill="auto"/>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3177.20  от 20.05.2020г., дата отбора 13.05.2020  г.</w:t>
            </w:r>
          </w:p>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НО  ТСЖ «Факел», граница между НО ТСЖ Факел и АО «СТГ»</w:t>
            </w:r>
          </w:p>
        </w:tc>
        <w:tc>
          <w:tcPr>
            <w:tcW w:w="1985" w:type="dxa"/>
            <w:tcBorders>
              <w:top w:val="single" w:sz="4" w:space="0" w:color="auto"/>
              <w:left w:val="nil"/>
              <w:bottom w:val="single" w:sz="4" w:space="0" w:color="auto"/>
              <w:right w:val="single" w:sz="4" w:space="0" w:color="auto"/>
            </w:tcBorders>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7027.20  от 07.09.2020г., дата отбора 01.09.2020  НО  ТСЖ «Факел», граница между НО ТСЖ Факел и АО «СТГ»</w:t>
            </w:r>
          </w:p>
        </w:tc>
        <w:tc>
          <w:tcPr>
            <w:tcW w:w="1559"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p>
        </w:tc>
      </w:tr>
    </w:tbl>
    <w:p w:rsidR="00630798" w:rsidRPr="00D74571" w:rsidRDefault="00630798" w:rsidP="00D74571">
      <w:pPr>
        <w:spacing w:after="0" w:line="240" w:lineRule="auto"/>
        <w:jc w:val="both"/>
        <w:rPr>
          <w:rFonts w:ascii="Times New Roman" w:hAnsi="Times New Roman" w:cs="Times New Roman"/>
          <w:u w:val="single"/>
        </w:rPr>
      </w:pPr>
      <w:r w:rsidRPr="00D74571">
        <w:rPr>
          <w:rFonts w:ascii="Times New Roman" w:hAnsi="Times New Roman" w:cs="Times New Roman"/>
        </w:rPr>
        <w:t>3.</w:t>
      </w:r>
      <w:r w:rsidRPr="00D74571">
        <w:rPr>
          <w:rFonts w:ascii="Times New Roman" w:hAnsi="Times New Roman" w:cs="Times New Roman"/>
          <w:u w:val="single"/>
        </w:rPr>
        <w:t xml:space="preserve"> Расчет среднего уровня показателей  проб воды  централизованной системы</w:t>
      </w:r>
    </w:p>
    <w:p w:rsidR="00630798" w:rsidRPr="00D74571" w:rsidRDefault="00630798" w:rsidP="00D74571">
      <w:pPr>
        <w:spacing w:after="0" w:line="240" w:lineRule="auto"/>
        <w:jc w:val="both"/>
        <w:rPr>
          <w:rFonts w:ascii="Times New Roman" w:hAnsi="Times New Roman" w:cs="Times New Roman"/>
          <w:u w:val="single"/>
        </w:rPr>
      </w:pPr>
      <w:r w:rsidRPr="00D74571">
        <w:rPr>
          <w:rFonts w:ascii="Times New Roman" w:hAnsi="Times New Roman" w:cs="Times New Roman"/>
          <w:u w:val="single"/>
        </w:rPr>
        <w:t xml:space="preserve">хозяйственно-питьевого  водоснабжения  (холодного) отобранных в распределительной  сети </w:t>
      </w:r>
      <w:r w:rsidRPr="00D74571">
        <w:rPr>
          <w:rFonts w:ascii="Times New Roman" w:hAnsi="Times New Roman" w:cs="Times New Roman"/>
          <w:b/>
        </w:rPr>
        <w:t>ВОС «Южно-Балыкского ГПЗ»-филиал «СибурТюменьГаз</w:t>
      </w:r>
      <w:r w:rsidRPr="00D74571">
        <w:rPr>
          <w:rFonts w:ascii="Times New Roman" w:hAnsi="Times New Roman" w:cs="Times New Roman"/>
          <w:u w:val="single"/>
        </w:rPr>
        <w:t>, по результатам протоколов лабораторных испытаний .</w:t>
      </w:r>
    </w:p>
    <w:tbl>
      <w:tblPr>
        <w:tblW w:w="9513" w:type="dxa"/>
        <w:tblInd w:w="93" w:type="dxa"/>
        <w:tblLayout w:type="fixed"/>
        <w:tblLook w:val="04A0" w:firstRow="1" w:lastRow="0" w:firstColumn="1" w:lastColumn="0" w:noHBand="0" w:noVBand="1"/>
      </w:tblPr>
      <w:tblGrid>
        <w:gridCol w:w="542"/>
        <w:gridCol w:w="1741"/>
        <w:gridCol w:w="2127"/>
        <w:gridCol w:w="1701"/>
        <w:gridCol w:w="1134"/>
        <w:gridCol w:w="992"/>
        <w:gridCol w:w="1276"/>
      </w:tblGrid>
      <w:tr w:rsidR="00630798" w:rsidRPr="00D74571" w:rsidTr="00630798">
        <w:trPr>
          <w:trHeight w:val="360"/>
        </w:trPr>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п\п</w:t>
            </w:r>
          </w:p>
        </w:tc>
        <w:tc>
          <w:tcPr>
            <w:tcW w:w="1741" w:type="dxa"/>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Показатели</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Результаты исследований воды централизованной системы хозяйственно-питьевого  водоснабжения (холодной)</w:t>
            </w:r>
          </w:p>
        </w:tc>
        <w:tc>
          <w:tcPr>
            <w:tcW w:w="1701"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xml:space="preserve">Средний показатель </w:t>
            </w:r>
          </w:p>
        </w:tc>
        <w:tc>
          <w:tcPr>
            <w:tcW w:w="2126" w:type="dxa"/>
            <w:gridSpan w:val="2"/>
            <w:tcBorders>
              <w:top w:val="single" w:sz="4" w:space="0" w:color="auto"/>
              <w:left w:val="single" w:sz="4" w:space="0" w:color="auto"/>
              <w:bottom w:val="single" w:sz="4" w:space="0" w:color="auto"/>
              <w:right w:val="nil"/>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Гигиенический норматив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Единицы измерения</w:t>
            </w:r>
          </w:p>
        </w:tc>
      </w:tr>
      <w:tr w:rsidR="00630798" w:rsidRPr="00D74571" w:rsidTr="00630798">
        <w:trPr>
          <w:trHeight w:val="270"/>
        </w:trPr>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w:t>
            </w:r>
          </w:p>
        </w:tc>
        <w:tc>
          <w:tcPr>
            <w:tcW w:w="1741"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Аммиак (по азоту)</w:t>
            </w:r>
          </w:p>
        </w:tc>
        <w:tc>
          <w:tcPr>
            <w:tcW w:w="212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2,21 ± 0,44</w:t>
            </w:r>
          </w:p>
        </w:tc>
        <w:tc>
          <w:tcPr>
            <w:tcW w:w="1701"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1,04 ± 0,21</w:t>
            </w:r>
          </w:p>
        </w:tc>
        <w:tc>
          <w:tcPr>
            <w:tcW w:w="1134"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1,62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1,5</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2</w:t>
            </w:r>
          </w:p>
        </w:tc>
        <w:tc>
          <w:tcPr>
            <w:tcW w:w="1741"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Железо</w:t>
            </w:r>
          </w:p>
        </w:tc>
        <w:tc>
          <w:tcPr>
            <w:tcW w:w="212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bCs/>
              </w:rPr>
            </w:pPr>
            <w:r w:rsidRPr="00D74571">
              <w:rPr>
                <w:rFonts w:ascii="Times New Roman" w:hAnsi="Times New Roman" w:cs="Times New Roman"/>
                <w:b/>
              </w:rPr>
              <w:t>1,254  ± 0,188</w:t>
            </w:r>
          </w:p>
        </w:tc>
        <w:tc>
          <w:tcPr>
            <w:tcW w:w="1701"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1,87  ± 0,28</w:t>
            </w:r>
          </w:p>
        </w:tc>
        <w:tc>
          <w:tcPr>
            <w:tcW w:w="1134"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Более 1,56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0,3 (1)</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3</w:t>
            </w:r>
          </w:p>
        </w:tc>
        <w:tc>
          <w:tcPr>
            <w:tcW w:w="1741"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Нитраты (по NO3)</w:t>
            </w:r>
          </w:p>
        </w:tc>
        <w:tc>
          <w:tcPr>
            <w:tcW w:w="212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0,5</w:t>
            </w:r>
          </w:p>
        </w:tc>
        <w:tc>
          <w:tcPr>
            <w:tcW w:w="1701"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0,39± 0,28</w:t>
            </w:r>
          </w:p>
        </w:tc>
        <w:tc>
          <w:tcPr>
            <w:tcW w:w="1134"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0,945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45</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4</w:t>
            </w:r>
          </w:p>
        </w:tc>
        <w:tc>
          <w:tcPr>
            <w:tcW w:w="1741"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Нитриты (по NO2)</w:t>
            </w:r>
          </w:p>
        </w:tc>
        <w:tc>
          <w:tcPr>
            <w:tcW w:w="212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0,005 ± 0,003</w:t>
            </w:r>
          </w:p>
        </w:tc>
        <w:tc>
          <w:tcPr>
            <w:tcW w:w="1701"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0,008 ± 0,004</w:t>
            </w:r>
          </w:p>
        </w:tc>
        <w:tc>
          <w:tcPr>
            <w:tcW w:w="1134" w:type="dxa"/>
            <w:tcBorders>
              <w:top w:val="nil"/>
              <w:left w:val="single" w:sz="4" w:space="0" w:color="auto"/>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0,007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3</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300"/>
        </w:trPr>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5</w:t>
            </w:r>
          </w:p>
        </w:tc>
        <w:tc>
          <w:tcPr>
            <w:tcW w:w="1741"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Окисляемость перманганатная</w:t>
            </w:r>
          </w:p>
        </w:tc>
        <w:tc>
          <w:tcPr>
            <w:tcW w:w="212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4,72 ± 0,42</w:t>
            </w:r>
          </w:p>
        </w:tc>
        <w:tc>
          <w:tcPr>
            <w:tcW w:w="1701"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11,8 ± 1,18</w:t>
            </w:r>
          </w:p>
        </w:tc>
        <w:tc>
          <w:tcPr>
            <w:tcW w:w="1134"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p>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8,26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5</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мгО2/дм3</w:t>
            </w:r>
          </w:p>
        </w:tc>
      </w:tr>
      <w:tr w:rsidR="00630798" w:rsidRPr="00D74571" w:rsidTr="00630798">
        <w:trPr>
          <w:trHeight w:val="270"/>
        </w:trPr>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6</w:t>
            </w:r>
          </w:p>
        </w:tc>
        <w:tc>
          <w:tcPr>
            <w:tcW w:w="1741"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Запах при 20 °C</w:t>
            </w:r>
          </w:p>
        </w:tc>
        <w:tc>
          <w:tcPr>
            <w:tcW w:w="212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sz w:val="20"/>
                <w:szCs w:val="20"/>
              </w:rPr>
            </w:pPr>
            <w:r w:rsidRPr="00D74571">
              <w:rPr>
                <w:rFonts w:ascii="Times New Roman" w:hAnsi="Times New Roman" w:cs="Times New Roman"/>
              </w:rPr>
              <w:t>2</w:t>
            </w:r>
          </w:p>
        </w:tc>
        <w:tc>
          <w:tcPr>
            <w:tcW w:w="1134"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7</w:t>
            </w:r>
          </w:p>
        </w:tc>
        <w:tc>
          <w:tcPr>
            <w:tcW w:w="1741"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Запах при 60 °C</w:t>
            </w:r>
          </w:p>
        </w:tc>
        <w:tc>
          <w:tcPr>
            <w:tcW w:w="212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Cs/>
              </w:rPr>
            </w:pPr>
            <w:r w:rsidRPr="00D74571">
              <w:rPr>
                <w:rFonts w:ascii="Times New Roman" w:hAnsi="Times New Roman" w:cs="Times New Roman"/>
                <w:bCs/>
              </w:rPr>
              <w:t>1</w:t>
            </w:r>
          </w:p>
        </w:tc>
        <w:tc>
          <w:tcPr>
            <w:tcW w:w="1701"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bCs/>
                <w:sz w:val="20"/>
                <w:szCs w:val="20"/>
              </w:rPr>
            </w:pPr>
            <w:r w:rsidRPr="00D74571">
              <w:rPr>
                <w:rFonts w:ascii="Times New Roman" w:hAnsi="Times New Roman" w:cs="Times New Roman"/>
                <w:b/>
              </w:rPr>
              <w:t>3</w:t>
            </w:r>
          </w:p>
        </w:tc>
        <w:tc>
          <w:tcPr>
            <w:tcW w:w="1134"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8</w:t>
            </w:r>
          </w:p>
        </w:tc>
        <w:tc>
          <w:tcPr>
            <w:tcW w:w="1741"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Мутность</w:t>
            </w:r>
          </w:p>
        </w:tc>
        <w:tc>
          <w:tcPr>
            <w:tcW w:w="212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4,11 ± 0,82</w:t>
            </w:r>
          </w:p>
        </w:tc>
        <w:tc>
          <w:tcPr>
            <w:tcW w:w="1701"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12,33 ± 1,73</w:t>
            </w:r>
          </w:p>
        </w:tc>
        <w:tc>
          <w:tcPr>
            <w:tcW w:w="1134"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5,03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1,5 (2)</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мг/дм3</w:t>
            </w:r>
          </w:p>
        </w:tc>
      </w:tr>
      <w:tr w:rsidR="00630798" w:rsidRPr="00D74571" w:rsidTr="00630798">
        <w:trPr>
          <w:trHeight w:val="270"/>
        </w:trPr>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9</w:t>
            </w:r>
          </w:p>
        </w:tc>
        <w:tc>
          <w:tcPr>
            <w:tcW w:w="1741"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Привкус</w:t>
            </w:r>
          </w:p>
        </w:tc>
        <w:tc>
          <w:tcPr>
            <w:tcW w:w="212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1</w:t>
            </w:r>
          </w:p>
        </w:tc>
        <w:tc>
          <w:tcPr>
            <w:tcW w:w="1701"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2</w:t>
            </w:r>
          </w:p>
        </w:tc>
        <w:tc>
          <w:tcPr>
            <w:tcW w:w="1134"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Менее 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 xml:space="preserve"> не более 2</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баллы</w:t>
            </w:r>
          </w:p>
        </w:tc>
      </w:tr>
      <w:tr w:rsidR="00630798" w:rsidRPr="00D74571" w:rsidTr="00630798">
        <w:trPr>
          <w:trHeight w:val="270"/>
        </w:trPr>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10</w:t>
            </w:r>
          </w:p>
        </w:tc>
        <w:tc>
          <w:tcPr>
            <w:tcW w:w="1741"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Цветность</w:t>
            </w:r>
          </w:p>
        </w:tc>
        <w:tc>
          <w:tcPr>
            <w:tcW w:w="2127" w:type="dxa"/>
            <w:tcBorders>
              <w:top w:val="nil"/>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b/>
              </w:rPr>
              <w:t>33,05 ± 6,61</w:t>
            </w:r>
          </w:p>
        </w:tc>
        <w:tc>
          <w:tcPr>
            <w:tcW w:w="1701"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b/>
              </w:rPr>
              <w:t>Более 70</w:t>
            </w:r>
          </w:p>
        </w:tc>
        <w:tc>
          <w:tcPr>
            <w:tcW w:w="1134" w:type="dxa"/>
            <w:tcBorders>
              <w:top w:val="nil"/>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b/>
              </w:rPr>
            </w:pPr>
            <w:r w:rsidRPr="00D74571">
              <w:rPr>
                <w:rFonts w:ascii="Times New Roman" w:hAnsi="Times New Roman" w:cs="Times New Roman"/>
                <w:b/>
              </w:rPr>
              <w:t>Более 51,5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jc w:val="center"/>
              <w:rPr>
                <w:rFonts w:ascii="Times New Roman" w:hAnsi="Times New Roman" w:cs="Times New Roman"/>
              </w:rPr>
            </w:pPr>
            <w:r w:rsidRPr="00D74571">
              <w:rPr>
                <w:rFonts w:ascii="Times New Roman" w:hAnsi="Times New Roman" w:cs="Times New Roman"/>
              </w:rPr>
              <w:t>не более 20 (35)</w:t>
            </w:r>
          </w:p>
        </w:tc>
        <w:tc>
          <w:tcPr>
            <w:tcW w:w="1276" w:type="dxa"/>
            <w:tcBorders>
              <w:top w:val="nil"/>
              <w:left w:val="nil"/>
              <w:bottom w:val="single" w:sz="4" w:space="0" w:color="auto"/>
              <w:right w:val="single" w:sz="4" w:space="0" w:color="auto"/>
            </w:tcBorders>
            <w:shd w:val="clear" w:color="auto" w:fill="auto"/>
            <w:vAlign w:val="center"/>
            <w:hideMark/>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град.</w:t>
            </w:r>
          </w:p>
        </w:tc>
      </w:tr>
      <w:tr w:rsidR="00630798" w:rsidRPr="00D74571" w:rsidTr="00630798">
        <w:trPr>
          <w:trHeight w:val="27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t>№ протокола, дата и место отбора проб</w:t>
            </w:r>
          </w:p>
        </w:tc>
        <w:tc>
          <w:tcPr>
            <w:tcW w:w="2127"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autoSpaceDE w:val="0"/>
              <w:autoSpaceDN w:val="0"/>
              <w:adjustRightInd w:val="0"/>
              <w:spacing w:after="0" w:line="240" w:lineRule="auto"/>
              <w:rPr>
                <w:rFonts w:ascii="Times New Roman" w:hAnsi="Times New Roman" w:cs="Times New Roman"/>
              </w:rPr>
            </w:pPr>
            <w:r w:rsidRPr="00D74571">
              <w:rPr>
                <w:rFonts w:ascii="Times New Roman" w:hAnsi="Times New Roman" w:cs="Times New Roman"/>
              </w:rPr>
              <w:t xml:space="preserve">№ 3175.20  от 20.05.2020г., дата отбора 13.05.2020г., </w:t>
            </w:r>
            <w:r w:rsidRPr="00D74571">
              <w:rPr>
                <w:rFonts w:ascii="Times New Roman" w:hAnsi="Times New Roman" w:cs="Times New Roman"/>
              </w:rPr>
              <w:lastRenderedPageBreak/>
              <w:t>мрн №7  «Газовиков»,д.30а МАОУ "КСОШ-ДС".</w:t>
            </w:r>
          </w:p>
        </w:tc>
        <w:tc>
          <w:tcPr>
            <w:tcW w:w="1701" w:type="dxa"/>
            <w:tcBorders>
              <w:top w:val="single" w:sz="4" w:space="0" w:color="auto"/>
              <w:left w:val="nil"/>
              <w:bottom w:val="single" w:sz="4" w:space="0" w:color="auto"/>
              <w:right w:val="single" w:sz="4" w:space="0" w:color="auto"/>
            </w:tcBorders>
            <w:vAlign w:val="center"/>
          </w:tcPr>
          <w:p w:rsidR="00630798" w:rsidRPr="00D74571" w:rsidRDefault="00630798" w:rsidP="00D74571">
            <w:pPr>
              <w:spacing w:after="0" w:line="240" w:lineRule="auto"/>
              <w:rPr>
                <w:rFonts w:ascii="Times New Roman" w:hAnsi="Times New Roman" w:cs="Times New Roman"/>
              </w:rPr>
            </w:pPr>
            <w:r w:rsidRPr="00D74571">
              <w:rPr>
                <w:rFonts w:ascii="Times New Roman" w:hAnsi="Times New Roman" w:cs="Times New Roman"/>
              </w:rPr>
              <w:lastRenderedPageBreak/>
              <w:t xml:space="preserve">№ 7030.20  от 07.09.2020г., дата отбора </w:t>
            </w:r>
            <w:r w:rsidRPr="00D74571">
              <w:rPr>
                <w:rFonts w:ascii="Times New Roman" w:hAnsi="Times New Roman" w:cs="Times New Roman"/>
              </w:rPr>
              <w:lastRenderedPageBreak/>
              <w:t>01.09.2020г., мрн №7  «Газовиков»,д.30а МАОУ "КСОШ-ДС".</w:t>
            </w:r>
          </w:p>
        </w:tc>
        <w:tc>
          <w:tcPr>
            <w:tcW w:w="1134" w:type="dxa"/>
            <w:tcBorders>
              <w:top w:val="single" w:sz="4" w:space="0" w:color="auto"/>
              <w:left w:val="single" w:sz="4" w:space="0" w:color="auto"/>
              <w:bottom w:val="single" w:sz="4" w:space="0" w:color="auto"/>
              <w:right w:val="single" w:sz="4" w:space="0" w:color="auto"/>
            </w:tcBorders>
          </w:tcPr>
          <w:p w:rsidR="00630798" w:rsidRPr="00D74571" w:rsidRDefault="00630798" w:rsidP="00D74571">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0798" w:rsidRPr="00D74571" w:rsidRDefault="00630798" w:rsidP="00D74571">
            <w:pPr>
              <w:spacing w:after="0" w:line="24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30798" w:rsidRPr="00D74571" w:rsidRDefault="00630798" w:rsidP="00D74571">
            <w:pPr>
              <w:spacing w:after="0" w:line="240" w:lineRule="auto"/>
              <w:rPr>
                <w:rFonts w:ascii="Times New Roman" w:hAnsi="Times New Roman" w:cs="Times New Roman"/>
              </w:rPr>
            </w:pPr>
          </w:p>
        </w:tc>
      </w:tr>
    </w:tbl>
    <w:p w:rsidR="00630798" w:rsidRPr="00D74571" w:rsidRDefault="00630798" w:rsidP="00D74571">
      <w:pPr>
        <w:spacing w:after="0" w:line="240" w:lineRule="auto"/>
        <w:rPr>
          <w:rFonts w:ascii="Times New Roman" w:hAnsi="Times New Roman" w:cs="Times New Roman"/>
        </w:rPr>
      </w:pPr>
    </w:p>
    <w:p w:rsidR="00630798" w:rsidRPr="00BC5425" w:rsidRDefault="00630798" w:rsidP="00D74571">
      <w:pPr>
        <w:autoSpaceDE w:val="0"/>
        <w:autoSpaceDN w:val="0"/>
        <w:adjustRightInd w:val="0"/>
        <w:spacing w:after="0" w:line="240" w:lineRule="auto"/>
        <w:jc w:val="both"/>
        <w:rPr>
          <w:rFonts w:ascii="Times New Roman" w:hAnsi="Times New Roman" w:cs="Times New Roman"/>
          <w:sz w:val="24"/>
          <w:szCs w:val="24"/>
        </w:rPr>
      </w:pPr>
      <w:r w:rsidRPr="00BC5425">
        <w:rPr>
          <w:rFonts w:ascii="Times New Roman" w:hAnsi="Times New Roman" w:cs="Times New Roman"/>
          <w:sz w:val="24"/>
          <w:szCs w:val="24"/>
        </w:rPr>
        <w:t xml:space="preserve">          Средние уровни показателей качества отобранных в течении 2020 г. проб питьевой воды после водоподготовки на ВОС «Южно-Балыкского ГПЗ»-филиал «СибурТюменьГаз</w:t>
      </w:r>
      <w:r w:rsidRPr="00BC5425">
        <w:rPr>
          <w:rFonts w:ascii="Times New Roman" w:hAnsi="Times New Roman" w:cs="Times New Roman"/>
          <w:b/>
          <w:sz w:val="24"/>
          <w:szCs w:val="24"/>
        </w:rPr>
        <w:t xml:space="preserve">», </w:t>
      </w:r>
      <w:r w:rsidRPr="00BC5425">
        <w:rPr>
          <w:rFonts w:ascii="Times New Roman" w:hAnsi="Times New Roman" w:cs="Times New Roman"/>
          <w:sz w:val="24"/>
          <w:szCs w:val="24"/>
        </w:rPr>
        <w:t>не соответствуют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 изменениями на 28 июня 2010г.),  ГН 2.1.5.1315-03 «Предельно-допустимые концентрации химических веществ в воде водных объектов хозяйственно-питьевого и культурно-бытового водопользования»:</w:t>
      </w:r>
    </w:p>
    <w:p w:rsidR="00630798" w:rsidRPr="00BC5425" w:rsidRDefault="00630798" w:rsidP="00D74571">
      <w:pPr>
        <w:autoSpaceDE w:val="0"/>
        <w:autoSpaceDN w:val="0"/>
        <w:adjustRightInd w:val="0"/>
        <w:spacing w:after="0" w:line="240" w:lineRule="auto"/>
        <w:jc w:val="both"/>
        <w:rPr>
          <w:rFonts w:ascii="Times New Roman" w:hAnsi="Times New Roman" w:cs="Times New Roman"/>
          <w:color w:val="000000"/>
          <w:sz w:val="24"/>
          <w:szCs w:val="24"/>
        </w:rPr>
      </w:pPr>
      <w:r w:rsidRPr="00BC5425">
        <w:rPr>
          <w:rFonts w:ascii="Times New Roman" w:hAnsi="Times New Roman" w:cs="Times New Roman"/>
          <w:sz w:val="24"/>
          <w:szCs w:val="24"/>
        </w:rPr>
        <w:t xml:space="preserve">-на выходе с ВОС по средним показателям: </w:t>
      </w:r>
      <w:r w:rsidRPr="00BC5425">
        <w:rPr>
          <w:rFonts w:ascii="Times New Roman" w:hAnsi="Times New Roman" w:cs="Times New Roman"/>
          <w:color w:val="000000"/>
          <w:sz w:val="24"/>
          <w:szCs w:val="24"/>
        </w:rPr>
        <w:t>железо, мутность;</w:t>
      </w:r>
    </w:p>
    <w:p w:rsidR="00630798" w:rsidRPr="00BC5425" w:rsidRDefault="00630798" w:rsidP="00D74571">
      <w:pPr>
        <w:autoSpaceDE w:val="0"/>
        <w:autoSpaceDN w:val="0"/>
        <w:adjustRightInd w:val="0"/>
        <w:spacing w:after="0" w:line="240" w:lineRule="auto"/>
        <w:jc w:val="both"/>
        <w:rPr>
          <w:rFonts w:ascii="Times New Roman" w:hAnsi="Times New Roman" w:cs="Times New Roman"/>
          <w:sz w:val="24"/>
          <w:szCs w:val="24"/>
        </w:rPr>
      </w:pPr>
      <w:r w:rsidRPr="00BC5425">
        <w:rPr>
          <w:rFonts w:ascii="Times New Roman" w:hAnsi="Times New Roman" w:cs="Times New Roman"/>
          <w:sz w:val="24"/>
          <w:szCs w:val="24"/>
        </w:rPr>
        <w:t>-разводящей сети (холодного водоснабжения)-   по средним показателям: окисляемость  перманганатная, цветность, мутность</w:t>
      </w:r>
      <w:r w:rsidRPr="00BC5425">
        <w:rPr>
          <w:rFonts w:ascii="Times New Roman" w:hAnsi="Times New Roman" w:cs="Times New Roman"/>
          <w:color w:val="000000"/>
          <w:sz w:val="24"/>
          <w:szCs w:val="24"/>
        </w:rPr>
        <w:t>, железо, аммиак (по азоту),</w:t>
      </w:r>
      <w:r w:rsidRPr="00BC5425">
        <w:rPr>
          <w:rFonts w:ascii="Times New Roman" w:hAnsi="Times New Roman" w:cs="Times New Roman"/>
          <w:sz w:val="24"/>
          <w:szCs w:val="24"/>
        </w:rPr>
        <w:t xml:space="preserve"> </w:t>
      </w:r>
    </w:p>
    <w:p w:rsidR="00630798" w:rsidRPr="00BC5425" w:rsidRDefault="00630798" w:rsidP="00D74571">
      <w:pPr>
        <w:autoSpaceDE w:val="0"/>
        <w:autoSpaceDN w:val="0"/>
        <w:adjustRightInd w:val="0"/>
        <w:spacing w:after="0" w:line="240" w:lineRule="auto"/>
        <w:jc w:val="both"/>
        <w:rPr>
          <w:rFonts w:ascii="Times New Roman" w:hAnsi="Times New Roman" w:cs="Times New Roman"/>
          <w:color w:val="000000"/>
          <w:sz w:val="24"/>
          <w:szCs w:val="24"/>
        </w:rPr>
      </w:pPr>
      <w:r w:rsidRPr="00BC5425">
        <w:rPr>
          <w:rFonts w:ascii="Times New Roman" w:hAnsi="Times New Roman" w:cs="Times New Roman"/>
          <w:color w:val="000000"/>
          <w:sz w:val="24"/>
          <w:szCs w:val="24"/>
        </w:rPr>
        <w:t>-из магистральных сетей-</w:t>
      </w:r>
      <w:r w:rsidRPr="00BC5425">
        <w:rPr>
          <w:rFonts w:ascii="Times New Roman" w:hAnsi="Times New Roman" w:cs="Times New Roman"/>
          <w:sz w:val="24"/>
          <w:szCs w:val="24"/>
        </w:rPr>
        <w:t xml:space="preserve"> по средним показателям:  </w:t>
      </w:r>
      <w:r w:rsidRPr="00BC5425">
        <w:rPr>
          <w:rFonts w:ascii="Times New Roman" w:hAnsi="Times New Roman" w:cs="Times New Roman"/>
          <w:color w:val="000000"/>
          <w:sz w:val="24"/>
          <w:szCs w:val="24"/>
        </w:rPr>
        <w:t>железо,</w:t>
      </w:r>
      <w:r w:rsidRPr="00BC5425">
        <w:rPr>
          <w:rFonts w:ascii="Times New Roman" w:hAnsi="Times New Roman" w:cs="Times New Roman"/>
          <w:sz w:val="24"/>
          <w:szCs w:val="24"/>
        </w:rPr>
        <w:t xml:space="preserve"> цветность</w:t>
      </w:r>
      <w:r w:rsidRPr="00BC5425">
        <w:rPr>
          <w:rFonts w:ascii="Times New Roman" w:hAnsi="Times New Roman" w:cs="Times New Roman"/>
          <w:color w:val="000000"/>
          <w:sz w:val="24"/>
          <w:szCs w:val="24"/>
        </w:rPr>
        <w:t>,  мутность, запах при 60</w:t>
      </w:r>
      <w:r w:rsidRPr="00BC5425">
        <w:rPr>
          <w:rFonts w:ascii="Times New Roman" w:hAnsi="Times New Roman" w:cs="Times New Roman"/>
          <w:color w:val="000000"/>
          <w:sz w:val="24"/>
          <w:szCs w:val="24"/>
          <w:vertAlign w:val="superscript"/>
        </w:rPr>
        <w:t>0</w:t>
      </w:r>
      <w:r w:rsidRPr="00BC5425">
        <w:rPr>
          <w:rFonts w:ascii="Times New Roman" w:hAnsi="Times New Roman" w:cs="Times New Roman"/>
          <w:color w:val="000000"/>
          <w:sz w:val="24"/>
          <w:szCs w:val="24"/>
        </w:rPr>
        <w:t>С;</w:t>
      </w:r>
    </w:p>
    <w:p w:rsidR="00630798" w:rsidRPr="00BC5425" w:rsidRDefault="00630798" w:rsidP="00D74571">
      <w:pPr>
        <w:autoSpaceDE w:val="0"/>
        <w:autoSpaceDN w:val="0"/>
        <w:adjustRightInd w:val="0"/>
        <w:spacing w:after="0" w:line="240" w:lineRule="auto"/>
        <w:ind w:firstLine="708"/>
        <w:jc w:val="both"/>
        <w:rPr>
          <w:rFonts w:ascii="Times New Roman" w:hAnsi="Times New Roman" w:cs="Times New Roman"/>
          <w:sz w:val="24"/>
          <w:szCs w:val="24"/>
        </w:rPr>
      </w:pPr>
      <w:r w:rsidRPr="00BC5425">
        <w:rPr>
          <w:rFonts w:ascii="Times New Roman" w:hAnsi="Times New Roman" w:cs="Times New Roman"/>
          <w:sz w:val="24"/>
          <w:szCs w:val="24"/>
        </w:rPr>
        <w:t xml:space="preserve">Протоколы лабораторных  исследований проб питьевой воды после водоподготовки на ВОС «ЮБ ГПЗ» не соответствуют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 изменениями на 28 июня 2010г.),  ГН 2.1.5.1315-03 «Предельно-допустимые концентрации химических веществ в воде водных объектов хозяйственно-питьевого и культурно-бытового водопользования» с учетом допустимой ошибки метода определения, согласно требований ФЗ-416 от 07.12.2011 г. «О водоснабжении и водоотведении» (с изменениями):-на выходе с ВОС по средним показателям: </w:t>
      </w:r>
      <w:r w:rsidRPr="00BC5425">
        <w:rPr>
          <w:rFonts w:ascii="Times New Roman" w:hAnsi="Times New Roman" w:cs="Times New Roman"/>
          <w:color w:val="000000"/>
          <w:sz w:val="24"/>
          <w:szCs w:val="24"/>
        </w:rPr>
        <w:t>железо, мутность;</w:t>
      </w:r>
      <w:r w:rsidRPr="00BC5425">
        <w:rPr>
          <w:rFonts w:ascii="Times New Roman" w:hAnsi="Times New Roman" w:cs="Times New Roman"/>
          <w:sz w:val="24"/>
          <w:szCs w:val="24"/>
        </w:rPr>
        <w:t>-разводящей сети (холодного водоснабжения)-   по средним показателям: окисляемость  перманганатная, цветность, мутность</w:t>
      </w:r>
      <w:r w:rsidRPr="00BC5425">
        <w:rPr>
          <w:rFonts w:ascii="Times New Roman" w:hAnsi="Times New Roman" w:cs="Times New Roman"/>
          <w:color w:val="000000"/>
          <w:sz w:val="24"/>
          <w:szCs w:val="24"/>
        </w:rPr>
        <w:t>, железо, аммиак (по азоту),</w:t>
      </w:r>
      <w:r w:rsidRPr="00BC5425">
        <w:rPr>
          <w:rFonts w:ascii="Times New Roman" w:hAnsi="Times New Roman" w:cs="Times New Roman"/>
          <w:sz w:val="24"/>
          <w:szCs w:val="24"/>
        </w:rPr>
        <w:t xml:space="preserve"> </w:t>
      </w:r>
      <w:r w:rsidRPr="00BC5425">
        <w:rPr>
          <w:rFonts w:ascii="Times New Roman" w:hAnsi="Times New Roman" w:cs="Times New Roman"/>
          <w:color w:val="000000"/>
          <w:sz w:val="24"/>
          <w:szCs w:val="24"/>
        </w:rPr>
        <w:t>-из магистральных сетей-</w:t>
      </w:r>
      <w:r w:rsidRPr="00BC5425">
        <w:rPr>
          <w:rFonts w:ascii="Times New Roman" w:hAnsi="Times New Roman" w:cs="Times New Roman"/>
          <w:sz w:val="24"/>
          <w:szCs w:val="24"/>
        </w:rPr>
        <w:t xml:space="preserve"> по средним показателям:  </w:t>
      </w:r>
      <w:r w:rsidRPr="00BC5425">
        <w:rPr>
          <w:rFonts w:ascii="Times New Roman" w:hAnsi="Times New Roman" w:cs="Times New Roman"/>
          <w:color w:val="000000"/>
          <w:sz w:val="24"/>
          <w:szCs w:val="24"/>
        </w:rPr>
        <w:t>железо,</w:t>
      </w:r>
      <w:r w:rsidRPr="00BC5425">
        <w:rPr>
          <w:rFonts w:ascii="Times New Roman" w:hAnsi="Times New Roman" w:cs="Times New Roman"/>
          <w:sz w:val="24"/>
          <w:szCs w:val="24"/>
        </w:rPr>
        <w:t xml:space="preserve"> цветность</w:t>
      </w:r>
      <w:r w:rsidRPr="00BC5425">
        <w:rPr>
          <w:rFonts w:ascii="Times New Roman" w:hAnsi="Times New Roman" w:cs="Times New Roman"/>
          <w:color w:val="000000"/>
          <w:sz w:val="24"/>
          <w:szCs w:val="24"/>
        </w:rPr>
        <w:t>,  мутность, запах при 60</w:t>
      </w:r>
      <w:r w:rsidRPr="00BC5425">
        <w:rPr>
          <w:rFonts w:ascii="Times New Roman" w:hAnsi="Times New Roman" w:cs="Times New Roman"/>
          <w:color w:val="000000"/>
          <w:sz w:val="24"/>
          <w:szCs w:val="24"/>
          <w:vertAlign w:val="superscript"/>
        </w:rPr>
        <w:t>0</w:t>
      </w:r>
      <w:r w:rsidRPr="00BC5425">
        <w:rPr>
          <w:rFonts w:ascii="Times New Roman" w:hAnsi="Times New Roman" w:cs="Times New Roman"/>
          <w:color w:val="000000"/>
          <w:sz w:val="24"/>
          <w:szCs w:val="24"/>
        </w:rPr>
        <w:t>С;</w:t>
      </w:r>
    </w:p>
    <w:p w:rsidR="00630798" w:rsidRPr="00BC5425" w:rsidRDefault="00630798" w:rsidP="00D74571">
      <w:pPr>
        <w:autoSpaceDE w:val="0"/>
        <w:autoSpaceDN w:val="0"/>
        <w:adjustRightInd w:val="0"/>
        <w:spacing w:after="0" w:line="240" w:lineRule="auto"/>
        <w:jc w:val="both"/>
        <w:rPr>
          <w:rFonts w:ascii="Times New Roman" w:hAnsi="Times New Roman" w:cs="Times New Roman"/>
          <w:sz w:val="24"/>
          <w:szCs w:val="24"/>
        </w:rPr>
      </w:pPr>
      <w:r w:rsidRPr="00BC5425">
        <w:rPr>
          <w:rFonts w:ascii="Times New Roman" w:hAnsi="Times New Roman" w:cs="Times New Roman"/>
          <w:color w:val="000000"/>
          <w:sz w:val="24"/>
          <w:szCs w:val="24"/>
        </w:rPr>
        <w:t xml:space="preserve">    </w:t>
      </w:r>
      <w:r w:rsidRPr="00BC5425">
        <w:rPr>
          <w:rFonts w:ascii="Times New Roman" w:hAnsi="Times New Roman" w:cs="Times New Roman"/>
          <w:sz w:val="24"/>
          <w:szCs w:val="24"/>
        </w:rPr>
        <w:t>Экспертное заключение №  НЮ.15.У.00257.01.21от 21.01.2021г.</w:t>
      </w:r>
    </w:p>
    <w:p w:rsidR="00630798" w:rsidRPr="00D74571" w:rsidRDefault="00630798" w:rsidP="00D74571">
      <w:pPr>
        <w:pStyle w:val="51"/>
        <w:shd w:val="clear" w:color="auto" w:fill="auto"/>
        <w:spacing w:before="0" w:after="0" w:line="240" w:lineRule="auto"/>
        <w:ind w:right="120" w:firstLine="0"/>
        <w:jc w:val="both"/>
        <w:rPr>
          <w:rFonts w:ascii="Times New Roman" w:eastAsia="Calibri" w:hAnsi="Times New Roman" w:cs="Times New Roman"/>
          <w:spacing w:val="0"/>
          <w:sz w:val="24"/>
          <w:szCs w:val="24"/>
        </w:rPr>
      </w:pPr>
      <w:r w:rsidRPr="00D74571">
        <w:rPr>
          <w:rFonts w:ascii="Times New Roman" w:eastAsia="Calibri" w:hAnsi="Times New Roman" w:cs="Times New Roman"/>
          <w:spacing w:val="0"/>
          <w:sz w:val="24"/>
          <w:szCs w:val="24"/>
        </w:rPr>
        <w:t xml:space="preserve">   </w:t>
      </w:r>
    </w:p>
    <w:p w:rsidR="00630798" w:rsidRPr="00D74571" w:rsidRDefault="00630798" w:rsidP="00BC5425">
      <w:pPr>
        <w:pStyle w:val="51"/>
        <w:shd w:val="clear" w:color="auto" w:fill="auto"/>
        <w:spacing w:before="0" w:after="0" w:line="240" w:lineRule="auto"/>
        <w:ind w:right="120" w:firstLine="567"/>
        <w:jc w:val="both"/>
        <w:rPr>
          <w:rFonts w:ascii="Times New Roman" w:hAnsi="Times New Roman" w:cs="Times New Roman"/>
          <w:sz w:val="24"/>
          <w:szCs w:val="24"/>
        </w:rPr>
      </w:pPr>
      <w:r w:rsidRPr="00D74571">
        <w:rPr>
          <w:rFonts w:ascii="Times New Roman" w:eastAsia="Calibri" w:hAnsi="Times New Roman" w:cs="Times New Roman"/>
          <w:sz w:val="24"/>
          <w:szCs w:val="24"/>
        </w:rPr>
        <w:t xml:space="preserve"> </w:t>
      </w:r>
      <w:r w:rsidR="00BC5425">
        <w:rPr>
          <w:rFonts w:ascii="Times New Roman" w:eastAsia="Calibri" w:hAnsi="Times New Roman" w:cs="Times New Roman"/>
          <w:sz w:val="24"/>
          <w:szCs w:val="24"/>
        </w:rPr>
        <w:tab/>
      </w:r>
      <w:r w:rsidRPr="00D74571">
        <w:rPr>
          <w:rFonts w:ascii="Times New Roman" w:hAnsi="Times New Roman" w:cs="Times New Roman"/>
          <w:sz w:val="24"/>
          <w:szCs w:val="24"/>
        </w:rPr>
        <w:t xml:space="preserve">В 2020 г. </w:t>
      </w:r>
      <w:r w:rsidRPr="00D74571">
        <w:rPr>
          <w:rStyle w:val="35"/>
          <w:rFonts w:ascii="Times New Roman" w:hAnsi="Times New Roman" w:cs="Times New Roman"/>
          <w:sz w:val="24"/>
          <w:szCs w:val="24"/>
        </w:rPr>
        <w:t>при осуществлении государственного санитарно</w:t>
      </w:r>
      <w:r w:rsidRPr="00D74571">
        <w:rPr>
          <w:rStyle w:val="35"/>
          <w:rFonts w:ascii="Times New Roman" w:hAnsi="Times New Roman" w:cs="Times New Roman"/>
          <w:sz w:val="24"/>
          <w:szCs w:val="24"/>
        </w:rPr>
        <w:softHyphen/>
        <w:t>-эпидемиологического надзора территориальным отделам Управления Роспотребнадзора по Ханты-Мансийскому автономному округу - Югре проверены юридические лица занимающиеся:</w:t>
      </w:r>
    </w:p>
    <w:p w:rsidR="00630798" w:rsidRPr="00D74571" w:rsidRDefault="00630798" w:rsidP="006A23B3">
      <w:pPr>
        <w:pStyle w:val="51"/>
        <w:numPr>
          <w:ilvl w:val="0"/>
          <w:numId w:val="15"/>
        </w:numPr>
        <w:shd w:val="clear" w:color="auto" w:fill="auto"/>
        <w:tabs>
          <w:tab w:val="left" w:pos="979"/>
        </w:tabs>
        <w:spacing w:before="0" w:after="0" w:line="240" w:lineRule="auto"/>
        <w:ind w:left="120" w:firstLine="720"/>
        <w:jc w:val="both"/>
        <w:rPr>
          <w:rFonts w:ascii="Times New Roman" w:hAnsi="Times New Roman" w:cs="Times New Roman"/>
          <w:sz w:val="24"/>
          <w:szCs w:val="24"/>
        </w:rPr>
      </w:pPr>
      <w:r w:rsidRPr="00D74571">
        <w:rPr>
          <w:rStyle w:val="35"/>
          <w:rFonts w:ascii="Times New Roman" w:hAnsi="Times New Roman" w:cs="Times New Roman"/>
          <w:sz w:val="24"/>
          <w:szCs w:val="24"/>
        </w:rPr>
        <w:t>сбором и очисткой воды  для питьевых нужд - 2,</w:t>
      </w:r>
    </w:p>
    <w:p w:rsidR="00630798" w:rsidRPr="00D74571" w:rsidRDefault="00630798" w:rsidP="00D74571">
      <w:pPr>
        <w:pStyle w:val="51"/>
        <w:shd w:val="clear" w:color="auto" w:fill="auto"/>
        <w:spacing w:before="0" w:after="0" w:line="240" w:lineRule="auto"/>
        <w:ind w:left="120" w:right="120" w:firstLine="720"/>
        <w:jc w:val="both"/>
        <w:rPr>
          <w:rStyle w:val="35"/>
          <w:rFonts w:ascii="Times New Roman" w:hAnsi="Times New Roman" w:cs="Times New Roman"/>
          <w:sz w:val="24"/>
          <w:szCs w:val="24"/>
        </w:rPr>
      </w:pPr>
      <w:r w:rsidRPr="00D74571">
        <w:rPr>
          <w:rStyle w:val="35"/>
          <w:rFonts w:ascii="Times New Roman" w:hAnsi="Times New Roman" w:cs="Times New Roman"/>
          <w:sz w:val="24"/>
          <w:szCs w:val="24"/>
        </w:rPr>
        <w:t>- распределением воды для питьевых   нужд  - 0.</w:t>
      </w:r>
    </w:p>
    <w:p w:rsidR="00630798" w:rsidRPr="00D74571" w:rsidRDefault="00630798" w:rsidP="00BC5425">
      <w:pPr>
        <w:pStyle w:val="51"/>
        <w:shd w:val="clear" w:color="auto" w:fill="auto"/>
        <w:spacing w:before="0" w:after="0" w:line="240" w:lineRule="auto"/>
        <w:ind w:right="120" w:firstLine="567"/>
        <w:jc w:val="both"/>
        <w:rPr>
          <w:rFonts w:ascii="Times New Roman" w:hAnsi="Times New Roman" w:cs="Times New Roman"/>
          <w:color w:val="000000"/>
          <w:sz w:val="24"/>
          <w:szCs w:val="24"/>
          <w:shd w:val="clear" w:color="auto" w:fill="FFFFFF"/>
        </w:rPr>
      </w:pPr>
      <w:r w:rsidRPr="00D74571">
        <w:rPr>
          <w:rStyle w:val="35"/>
          <w:rFonts w:ascii="Times New Roman" w:hAnsi="Times New Roman" w:cs="Times New Roman"/>
          <w:sz w:val="24"/>
          <w:szCs w:val="24"/>
        </w:rPr>
        <w:t xml:space="preserve">    В 2018 г. на контроле у территориального отдела Управления Роспотребнадзора по ХМАО - Югры состояло - 14 объектов занимающихся сбором, очисткой, распределением воды г. Пыть-Ях (ресурсоснабжающие организации, УК ЖЭУ).</w:t>
      </w:r>
    </w:p>
    <w:p w:rsidR="00630798" w:rsidRPr="00BC5425" w:rsidRDefault="00630798" w:rsidP="00D74571">
      <w:pPr>
        <w:autoSpaceDE w:val="0"/>
        <w:autoSpaceDN w:val="0"/>
        <w:spacing w:after="0" w:line="240" w:lineRule="auto"/>
        <w:jc w:val="both"/>
        <w:rPr>
          <w:rFonts w:ascii="Times New Roman" w:hAnsi="Times New Roman" w:cs="Times New Roman"/>
          <w:sz w:val="24"/>
          <w:szCs w:val="24"/>
        </w:rPr>
      </w:pPr>
      <w:r w:rsidRPr="00BC5425">
        <w:rPr>
          <w:rFonts w:ascii="Times New Roman" w:hAnsi="Times New Roman" w:cs="Times New Roman"/>
          <w:sz w:val="24"/>
          <w:szCs w:val="24"/>
        </w:rPr>
        <w:t xml:space="preserve">      В 2019 году   </w:t>
      </w:r>
      <w:r w:rsidRPr="00BC5425">
        <w:rPr>
          <w:rFonts w:ascii="Times New Roman" w:hAnsi="Times New Roman" w:cs="Times New Roman"/>
          <w:snapToGrid w:val="0"/>
          <w:sz w:val="24"/>
          <w:szCs w:val="24"/>
        </w:rPr>
        <w:t xml:space="preserve">проведение  плановых контрольно-надзорные мероприятия  в отношении объектов </w:t>
      </w:r>
      <w:r w:rsidRPr="00BC5425">
        <w:rPr>
          <w:rFonts w:ascii="Times New Roman" w:hAnsi="Times New Roman" w:cs="Times New Roman"/>
          <w:sz w:val="24"/>
          <w:szCs w:val="24"/>
        </w:rPr>
        <w:t xml:space="preserve"> занимающихся, сбором, очисткой и распределения воды в МО гПыть-Ях проведено не было.</w:t>
      </w:r>
    </w:p>
    <w:p w:rsidR="00630798" w:rsidRPr="00BC5425" w:rsidRDefault="00630798" w:rsidP="00D74571">
      <w:pPr>
        <w:autoSpaceDE w:val="0"/>
        <w:autoSpaceDN w:val="0"/>
        <w:spacing w:after="0" w:line="240" w:lineRule="auto"/>
        <w:jc w:val="both"/>
        <w:rPr>
          <w:rFonts w:ascii="Times New Roman" w:hAnsi="Times New Roman" w:cs="Times New Roman"/>
          <w:sz w:val="24"/>
          <w:szCs w:val="24"/>
          <w:u w:val="single"/>
        </w:rPr>
      </w:pPr>
      <w:r w:rsidRPr="00BC5425">
        <w:rPr>
          <w:rFonts w:ascii="Times New Roman" w:hAnsi="Times New Roman" w:cs="Times New Roman"/>
          <w:sz w:val="24"/>
          <w:szCs w:val="24"/>
        </w:rPr>
        <w:t xml:space="preserve">      </w:t>
      </w:r>
      <w:r w:rsidRPr="00BC5425">
        <w:rPr>
          <w:rFonts w:ascii="Times New Roman" w:hAnsi="Times New Roman" w:cs="Times New Roman"/>
          <w:sz w:val="24"/>
          <w:szCs w:val="24"/>
          <w:u w:val="single"/>
        </w:rPr>
        <w:t>При проведении   контрольно-надзорных мероприятий специалистами ТО   в 2016-2020 гг  было проверено  8 субъекта  надзора г.Пыть-Ях , в том числе проведена 1  плановая  проверка</w:t>
      </w:r>
      <w:r w:rsidRPr="00BC5425">
        <w:rPr>
          <w:rFonts w:ascii="Times New Roman" w:hAnsi="Times New Roman" w:cs="Times New Roman"/>
          <w:sz w:val="24"/>
          <w:szCs w:val="24"/>
        </w:rPr>
        <w:t xml:space="preserve"> МУП «Управление городского хозяйства»</w:t>
      </w:r>
      <w:r w:rsidRPr="00BC5425">
        <w:rPr>
          <w:rFonts w:ascii="Times New Roman" w:hAnsi="Times New Roman" w:cs="Times New Roman"/>
          <w:sz w:val="24"/>
          <w:szCs w:val="24"/>
          <w:u w:val="single"/>
        </w:rPr>
        <w:t>, 4 внеплановых проверок (</w:t>
      </w:r>
      <w:r w:rsidRPr="00BC5425">
        <w:rPr>
          <w:rFonts w:ascii="Times New Roman" w:hAnsi="Times New Roman" w:cs="Times New Roman"/>
          <w:sz w:val="24"/>
          <w:szCs w:val="24"/>
        </w:rPr>
        <w:t xml:space="preserve">ВОС-1, ВОС-4 МУП «УГХ» в отношении ООО « Инновационные технологии» (установка станции водоочистки), два обследование объекта совместно с прокуратурой г. Пыть-Ях. </w:t>
      </w:r>
      <w:r w:rsidRPr="00BC5425">
        <w:rPr>
          <w:rFonts w:ascii="Times New Roman" w:hAnsi="Times New Roman" w:cs="Times New Roman"/>
          <w:sz w:val="24"/>
          <w:szCs w:val="24"/>
          <w:u w:val="single"/>
        </w:rPr>
        <w:t xml:space="preserve">   </w:t>
      </w:r>
      <w:r w:rsidRPr="00BC5425">
        <w:rPr>
          <w:rStyle w:val="description2"/>
          <w:rFonts w:ascii="Times New Roman" w:hAnsi="Times New Roman" w:cs="Times New Roman"/>
          <w:spacing w:val="2"/>
          <w:sz w:val="24"/>
          <w:szCs w:val="24"/>
          <w:u w:val="single"/>
        </w:rPr>
        <w:t xml:space="preserve">По результатам проведенных проверок гПыть-Ях  за период 2016-2018г.г. возбуждено  20 дел об административном правонарушении в отношении должностных и  юридических лиц МУП  «УГХ»,  </w:t>
      </w:r>
      <w:r w:rsidRPr="00BC5425">
        <w:rPr>
          <w:rFonts w:ascii="Times New Roman" w:hAnsi="Times New Roman" w:cs="Times New Roman"/>
          <w:sz w:val="24"/>
          <w:szCs w:val="24"/>
          <w:u w:val="single"/>
        </w:rPr>
        <w:t xml:space="preserve">по ст.  6.5, ст.6.3., 8.42 ч.2, КоАП РФ   на сумму  215 тысяч рублей, </w:t>
      </w:r>
      <w:r w:rsidRPr="00BC5425">
        <w:rPr>
          <w:rFonts w:ascii="Times New Roman" w:hAnsi="Times New Roman" w:cs="Times New Roman"/>
          <w:sz w:val="24"/>
          <w:szCs w:val="24"/>
          <w:u w:val="single"/>
        </w:rPr>
        <w:lastRenderedPageBreak/>
        <w:t>направлены предписания об устранении нарушений  санитарного законодательства для исполнения руководителями</w:t>
      </w:r>
      <w:r w:rsidRPr="00BC5425">
        <w:rPr>
          <w:rFonts w:ascii="Times New Roman" w:hAnsi="Times New Roman" w:cs="Times New Roman"/>
          <w:color w:val="000000"/>
          <w:sz w:val="24"/>
          <w:szCs w:val="24"/>
          <w:u w:val="single"/>
        </w:rPr>
        <w:t>. П</w:t>
      </w:r>
      <w:r w:rsidRPr="00BC5425">
        <w:rPr>
          <w:rFonts w:ascii="Times New Roman" w:hAnsi="Times New Roman" w:cs="Times New Roman"/>
          <w:sz w:val="24"/>
          <w:szCs w:val="24"/>
          <w:u w:val="single"/>
        </w:rPr>
        <w:t>рименена мера административного воздействия - временный запрет деятельности</w:t>
      </w:r>
      <w:r w:rsidRPr="00BC5425">
        <w:rPr>
          <w:rStyle w:val="description2"/>
          <w:rFonts w:ascii="Times New Roman" w:hAnsi="Times New Roman" w:cs="Times New Roman"/>
          <w:spacing w:val="2"/>
          <w:sz w:val="24"/>
          <w:szCs w:val="24"/>
          <w:u w:val="single"/>
        </w:rPr>
        <w:t>.</w:t>
      </w:r>
      <w:r w:rsidRPr="00BC5425">
        <w:rPr>
          <w:rStyle w:val="description2"/>
          <w:rFonts w:ascii="Times New Roman" w:hAnsi="Times New Roman" w:cs="Times New Roman"/>
          <w:color w:val="000000"/>
          <w:sz w:val="24"/>
          <w:szCs w:val="24"/>
          <w:u w:val="single"/>
        </w:rPr>
        <w:t xml:space="preserve">  </w:t>
      </w:r>
      <w:r w:rsidRPr="00BC5425">
        <w:rPr>
          <w:rFonts w:ascii="Times New Roman" w:hAnsi="Times New Roman" w:cs="Times New Roman"/>
          <w:sz w:val="24"/>
          <w:szCs w:val="24"/>
          <w:u w:val="single"/>
        </w:rPr>
        <w:t xml:space="preserve">  По результатам надзорных мероприятий в 2019 году были приняты меры административного взыскания, в виде штрафов всего -20, 2018 - (6), в 2017- (9)  в 2016- (5)  в отношении юридических и должностных лиц.</w:t>
      </w:r>
    </w:p>
    <w:p w:rsidR="00630798" w:rsidRPr="00BC5425" w:rsidRDefault="00630798" w:rsidP="00D74571">
      <w:pPr>
        <w:autoSpaceDE w:val="0"/>
        <w:autoSpaceDN w:val="0"/>
        <w:spacing w:after="0" w:line="240" w:lineRule="auto"/>
        <w:jc w:val="both"/>
        <w:rPr>
          <w:rFonts w:ascii="Times New Roman" w:hAnsi="Times New Roman" w:cs="Times New Roman"/>
          <w:sz w:val="24"/>
          <w:szCs w:val="24"/>
          <w:u w:val="single"/>
        </w:rPr>
      </w:pPr>
    </w:p>
    <w:p w:rsidR="00630798" w:rsidRPr="00BC5425" w:rsidRDefault="00630798" w:rsidP="00D74571">
      <w:pPr>
        <w:widowControl w:val="0"/>
        <w:shd w:val="clear" w:color="auto" w:fill="FFFFFF"/>
        <w:tabs>
          <w:tab w:val="left" w:pos="163"/>
        </w:tabs>
        <w:autoSpaceDE w:val="0"/>
        <w:autoSpaceDN w:val="0"/>
        <w:adjustRightInd w:val="0"/>
        <w:spacing w:after="0" w:line="240" w:lineRule="auto"/>
        <w:contextualSpacing/>
        <w:jc w:val="both"/>
        <w:rPr>
          <w:rFonts w:ascii="Times New Roman" w:hAnsi="Times New Roman" w:cs="Times New Roman"/>
          <w:b/>
          <w:sz w:val="24"/>
          <w:szCs w:val="24"/>
        </w:rPr>
      </w:pPr>
      <w:r w:rsidRPr="00BC5425">
        <w:rPr>
          <w:rFonts w:ascii="Times New Roman" w:hAnsi="Times New Roman" w:cs="Times New Roman"/>
          <w:sz w:val="24"/>
          <w:szCs w:val="24"/>
          <w:u w:val="single"/>
        </w:rPr>
        <w:t xml:space="preserve">МУП  «Управление городского хозяйства» МО г. Пыть-Ях, юридический адрес: РФ, Тюменская обл., ХМАО-Югра, г. Пыть-Ях, ул. Магистральная, дом 62, </w:t>
      </w:r>
      <w:r w:rsidRPr="00BC5425">
        <w:rPr>
          <w:rFonts w:ascii="Times New Roman" w:hAnsi="Times New Roman" w:cs="Times New Roman"/>
          <w:sz w:val="24"/>
          <w:szCs w:val="24"/>
        </w:rPr>
        <w:t xml:space="preserve">осуществляет свою деятельность по адресам: 628383 г. Пыть-Ях ул. Магистральная. д.62, ВОС-1 - 1 мкр., ул. Первопроходцев, </w:t>
      </w:r>
      <w:r w:rsidRPr="00BC5425">
        <w:rPr>
          <w:rFonts w:ascii="Times New Roman" w:hAnsi="Times New Roman" w:cs="Times New Roman"/>
          <w:sz w:val="24"/>
          <w:szCs w:val="24"/>
        </w:rPr>
        <w:tab/>
        <w:t>ВОС-2 -  промзона «Северная», ВОС-3 - 10 мкр. «Мамонтово», и ВОС-4-  Лесозаготовительная зона № 4</w:t>
      </w:r>
      <w:r w:rsidRPr="00BC5425">
        <w:rPr>
          <w:rFonts w:ascii="Times New Roman" w:hAnsi="Times New Roman" w:cs="Times New Roman"/>
          <w:b/>
          <w:sz w:val="24"/>
          <w:szCs w:val="24"/>
        </w:rPr>
        <w:t>.</w:t>
      </w:r>
      <w:r w:rsidRPr="00BC5425">
        <w:rPr>
          <w:rFonts w:ascii="Times New Roman" w:hAnsi="Times New Roman" w:cs="Times New Roman"/>
          <w:sz w:val="24"/>
          <w:szCs w:val="24"/>
          <w:u w:val="single"/>
        </w:rPr>
        <w:t xml:space="preserve"> 2а мкр.</w:t>
      </w:r>
    </w:p>
    <w:p w:rsidR="00630798" w:rsidRPr="00BC5425" w:rsidRDefault="00630798" w:rsidP="00BC5425">
      <w:pPr>
        <w:tabs>
          <w:tab w:val="left" w:pos="0"/>
          <w:tab w:val="left" w:pos="567"/>
        </w:tabs>
        <w:spacing w:after="0" w:line="240" w:lineRule="auto"/>
        <w:ind w:right="-1" w:firstLine="567"/>
        <w:jc w:val="both"/>
        <w:rPr>
          <w:rFonts w:ascii="Times New Roman" w:hAnsi="Times New Roman" w:cs="Times New Roman"/>
          <w:sz w:val="24"/>
          <w:szCs w:val="24"/>
        </w:rPr>
      </w:pPr>
      <w:r w:rsidRPr="00BC5425">
        <w:rPr>
          <w:rFonts w:ascii="Times New Roman" w:hAnsi="Times New Roman" w:cs="Times New Roman"/>
          <w:b/>
          <w:sz w:val="24"/>
          <w:szCs w:val="24"/>
          <w:u w:val="single"/>
        </w:rPr>
        <w:t>ВОС-1,</w:t>
      </w:r>
      <w:r w:rsidRPr="00BC5425">
        <w:rPr>
          <w:rFonts w:ascii="Times New Roman" w:hAnsi="Times New Roman" w:cs="Times New Roman"/>
          <w:sz w:val="24"/>
          <w:szCs w:val="24"/>
          <w:u w:val="single"/>
        </w:rPr>
        <w:t xml:space="preserve"> МУП «УГХ»</w:t>
      </w:r>
      <w:r w:rsidRPr="00BC5425">
        <w:rPr>
          <w:rFonts w:ascii="Times New Roman" w:hAnsi="Times New Roman" w:cs="Times New Roman"/>
          <w:sz w:val="24"/>
          <w:szCs w:val="24"/>
        </w:rPr>
        <w:t xml:space="preserve"> </w:t>
      </w:r>
      <w:r w:rsidRPr="00BC5425">
        <w:rPr>
          <w:rFonts w:ascii="Times New Roman" w:hAnsi="Times New Roman" w:cs="Times New Roman"/>
          <w:b/>
          <w:sz w:val="24"/>
          <w:szCs w:val="24"/>
          <w:u w:val="single"/>
        </w:rPr>
        <w:t>Фактический адрес размещения   ВОС - 1,</w:t>
      </w:r>
      <w:r w:rsidRPr="00BC5425">
        <w:rPr>
          <w:rFonts w:ascii="Times New Roman" w:hAnsi="Times New Roman" w:cs="Times New Roman"/>
          <w:sz w:val="24"/>
          <w:szCs w:val="24"/>
        </w:rPr>
        <w:t xml:space="preserve"> Тюменская обл., ХМАО-Югра,  г. Пыть – Ях, промзона «Северо-Восточная» ул. Первопроходцев. Обеспечивает  водопроводной холодной водой населения микрорайонов № 1 , №2,   2 «А» микрорайона: школа №1, 2, ул Железнодорожная д 3.,4,1,2,2а, ул. Советская: дома№ 39,41,41а,43 а,47,49, д/ с Родничек, д/с Улыбка», ул Сибирская д 11, магазин «Вега», «Континент», КНС-5, НГДУ, КДУ «Кедр», автовокзал, ж.д вокзал, поликлиника БУ ХМАО-Югры «Пыть-Яхская окружная клиническая больница». В 2015 году ВОС-1  обеспечивал очищенной водой (не доведёной до требованиям санитных правил) население 1 и 2 мкр. - 11 407 человек, с июня 2015 года частично снабжаются  чистой водой жители 2А мкр. - 13 домов (809 человек), детский сад «Елочка» и магазины.</w:t>
      </w:r>
    </w:p>
    <w:p w:rsidR="00630798" w:rsidRPr="00BC5425" w:rsidRDefault="00630798" w:rsidP="00D74571">
      <w:pPr>
        <w:spacing w:after="0" w:line="240" w:lineRule="auto"/>
        <w:ind w:right="125"/>
        <w:jc w:val="both"/>
        <w:rPr>
          <w:rFonts w:ascii="Times New Roman" w:hAnsi="Times New Roman" w:cs="Times New Roman"/>
          <w:sz w:val="24"/>
          <w:szCs w:val="24"/>
        </w:rPr>
      </w:pPr>
      <w:r w:rsidRPr="00BC5425">
        <w:rPr>
          <w:rFonts w:ascii="Times New Roman" w:hAnsi="Times New Roman" w:cs="Times New Roman"/>
          <w:sz w:val="24"/>
          <w:szCs w:val="24"/>
        </w:rPr>
        <w:t xml:space="preserve">    </w:t>
      </w:r>
      <w:r w:rsidRPr="00BC5425">
        <w:rPr>
          <w:rFonts w:ascii="Times New Roman" w:hAnsi="Times New Roman" w:cs="Times New Roman"/>
          <w:sz w:val="24"/>
          <w:szCs w:val="24"/>
          <w:u w:val="single"/>
        </w:rPr>
        <w:t>На ВОС-1</w:t>
      </w:r>
      <w:r w:rsidRPr="00BC5425">
        <w:rPr>
          <w:rFonts w:ascii="Times New Roman" w:hAnsi="Times New Roman" w:cs="Times New Roman"/>
          <w:sz w:val="24"/>
          <w:szCs w:val="24"/>
        </w:rPr>
        <w:t xml:space="preserve"> предусмотрена технологическая  схема очистки воды, проектная производительность водоочистных сооружений составляет 3,2 тыс. куб./сут, годовой расход-1168 тыс.куб.м. Планируется проведение реконструкции, увеличение мощности до 4,5 тыс. м</w:t>
      </w:r>
      <w:r w:rsidRPr="00BC5425">
        <w:rPr>
          <w:rFonts w:ascii="Times New Roman" w:hAnsi="Times New Roman" w:cs="Times New Roman"/>
          <w:sz w:val="24"/>
          <w:szCs w:val="24"/>
          <w:vertAlign w:val="superscript"/>
        </w:rPr>
        <w:t>3</w:t>
      </w:r>
      <w:r w:rsidRPr="00BC5425">
        <w:rPr>
          <w:rFonts w:ascii="Times New Roman" w:hAnsi="Times New Roman" w:cs="Times New Roman"/>
          <w:sz w:val="24"/>
          <w:szCs w:val="24"/>
        </w:rPr>
        <w:t xml:space="preserve">/сут, при работе только 8 скважин. Канализование, отопление,  водоснабжение- централизованное.   </w:t>
      </w:r>
      <w:r w:rsidRPr="00BC5425">
        <w:rPr>
          <w:rFonts w:ascii="Times New Roman" w:hAnsi="Times New Roman" w:cs="Times New Roman"/>
          <w:sz w:val="24"/>
          <w:szCs w:val="24"/>
          <w:lang w:eastAsia="zh-CN"/>
        </w:rPr>
        <w:t>ВОС-1, 1 мкр., ул. Первопроходцев;</w:t>
      </w:r>
      <w:r w:rsidRPr="00BC5425">
        <w:rPr>
          <w:rFonts w:ascii="Times New Roman" w:hAnsi="Times New Roman" w:cs="Times New Roman"/>
          <w:bCs/>
          <w:sz w:val="24"/>
          <w:szCs w:val="24"/>
          <w:lang w:eastAsia="zh-CN"/>
        </w:rPr>
        <w:t>ВОС-2, промзона «Северная»;</w:t>
      </w:r>
      <w:r w:rsidRPr="00BC5425">
        <w:rPr>
          <w:rFonts w:ascii="Times New Roman" w:hAnsi="Times New Roman" w:cs="Times New Roman"/>
          <w:sz w:val="24"/>
          <w:szCs w:val="24"/>
        </w:rPr>
        <w:t xml:space="preserve">- </w:t>
      </w:r>
      <w:r w:rsidRPr="00BC5425">
        <w:rPr>
          <w:rFonts w:ascii="Times New Roman" w:hAnsi="Times New Roman" w:cs="Times New Roman"/>
          <w:bCs/>
          <w:sz w:val="24"/>
          <w:szCs w:val="24"/>
          <w:lang w:eastAsia="zh-CN"/>
        </w:rPr>
        <w:t xml:space="preserve"> ВОС-3, 10 мкр. «Мамонтово»; </w:t>
      </w:r>
      <w:r w:rsidRPr="00BC5425">
        <w:rPr>
          <w:rFonts w:ascii="Times New Roman" w:hAnsi="Times New Roman" w:cs="Times New Roman"/>
          <w:sz w:val="24"/>
          <w:szCs w:val="24"/>
        </w:rPr>
        <w:t xml:space="preserve"> - </w:t>
      </w:r>
      <w:r w:rsidRPr="00BC5425">
        <w:rPr>
          <w:rFonts w:ascii="Times New Roman" w:hAnsi="Times New Roman" w:cs="Times New Roman"/>
          <w:sz w:val="24"/>
          <w:szCs w:val="24"/>
          <w:lang w:eastAsia="zh-CN"/>
        </w:rPr>
        <w:t>ВОС-4, Лесозаготовительная зона № 4, 2а мкр..</w:t>
      </w:r>
      <w:r w:rsidRPr="00BC5425">
        <w:rPr>
          <w:rFonts w:ascii="Times New Roman" w:hAnsi="Times New Roman" w:cs="Times New Roman"/>
          <w:sz w:val="24"/>
          <w:szCs w:val="24"/>
        </w:rPr>
        <w:t xml:space="preserve">  Не осуществляется обеспечение очищенной питьевой водой жителей 2 мкр.- жилые дома  № 27, 26   , предприятия и организации, расположенные во 2 микрорайоне: НГДУ, КДУ «Кедр», автовокзал, 1 мрн, ПНО БУ ХМАО-Югры «Пыть-Яхская окружная клиническая больница», КНС-2. и предприятий 1 мрн : ж.д вокзал,  железнодорожная станция, организации, расположенные  около ж/д вокзала.</w:t>
      </w:r>
    </w:p>
    <w:p w:rsidR="00630798" w:rsidRPr="00BC5425" w:rsidRDefault="00630798" w:rsidP="00D74571">
      <w:pPr>
        <w:adjustRightInd w:val="0"/>
        <w:spacing w:after="0" w:line="240" w:lineRule="auto"/>
        <w:jc w:val="both"/>
        <w:rPr>
          <w:rFonts w:ascii="Times New Roman" w:hAnsi="Times New Roman" w:cs="Times New Roman"/>
          <w:sz w:val="24"/>
          <w:szCs w:val="24"/>
        </w:rPr>
      </w:pPr>
      <w:r w:rsidRPr="00BC5425">
        <w:rPr>
          <w:rFonts w:ascii="Times New Roman" w:hAnsi="Times New Roman" w:cs="Times New Roman"/>
          <w:sz w:val="24"/>
          <w:szCs w:val="24"/>
        </w:rPr>
        <w:t xml:space="preserve">        Территория ВОС-1 ограждена  по периметру металлическими листами из профнастила, окрашенного. Имеется КПП.   </w:t>
      </w:r>
    </w:p>
    <w:p w:rsidR="00630798" w:rsidRPr="00BC5425" w:rsidRDefault="00630798" w:rsidP="00D74571">
      <w:pPr>
        <w:adjustRightInd w:val="0"/>
        <w:spacing w:after="0" w:line="240" w:lineRule="auto"/>
        <w:ind w:firstLine="708"/>
        <w:jc w:val="both"/>
        <w:rPr>
          <w:rFonts w:ascii="Times New Roman" w:hAnsi="Times New Roman" w:cs="Times New Roman"/>
          <w:sz w:val="24"/>
          <w:szCs w:val="24"/>
        </w:rPr>
      </w:pPr>
      <w:r w:rsidRPr="00BC5425">
        <w:rPr>
          <w:rFonts w:ascii="Times New Roman" w:eastAsia="Book Antiqua" w:hAnsi="Times New Roman" w:cs="Times New Roman"/>
          <w:spacing w:val="5"/>
          <w:sz w:val="24"/>
          <w:szCs w:val="24"/>
          <w:lang w:bidi="ru-RU"/>
        </w:rPr>
        <w:t xml:space="preserve">ВОС-1 состоит из следующих сооружений:-10 артезианских скважин;- дегазатора </w:t>
      </w:r>
      <w:r w:rsidRPr="00BC5425">
        <w:rPr>
          <w:rFonts w:ascii="Times New Roman" w:eastAsia="Book Antiqua" w:hAnsi="Times New Roman" w:cs="Times New Roman"/>
          <w:spacing w:val="5"/>
          <w:sz w:val="24"/>
          <w:szCs w:val="24"/>
          <w:lang w:val="en-US" w:bidi="en-US"/>
        </w:rPr>
        <w:t>V</w:t>
      </w:r>
      <w:r w:rsidRPr="00BC5425">
        <w:rPr>
          <w:rFonts w:ascii="Times New Roman" w:eastAsia="Book Antiqua" w:hAnsi="Times New Roman" w:cs="Times New Roman"/>
          <w:spacing w:val="5"/>
          <w:sz w:val="24"/>
          <w:szCs w:val="24"/>
          <w:lang w:bidi="en-US"/>
        </w:rPr>
        <w:t xml:space="preserve">= </w:t>
      </w:r>
      <w:r w:rsidRPr="00BC5425">
        <w:rPr>
          <w:rFonts w:ascii="Times New Roman" w:eastAsia="Book Antiqua" w:hAnsi="Times New Roman" w:cs="Times New Roman"/>
          <w:spacing w:val="5"/>
          <w:sz w:val="24"/>
          <w:szCs w:val="24"/>
          <w:lang w:bidi="ru-RU"/>
        </w:rPr>
        <w:t xml:space="preserve">700м.куб ; - станции озонирования (СО);- блока контактных осветлителей (БКО), включающего в себя дозаторное отделение, смесительное отделение, воздуходувную станцию и машзал;- станции обезжелезивания (СТО);- резервуара грязной промывной воды (РГПВ) </w:t>
      </w:r>
      <w:r w:rsidRPr="00BC5425">
        <w:rPr>
          <w:rFonts w:ascii="Times New Roman" w:eastAsia="Book Antiqua" w:hAnsi="Times New Roman" w:cs="Times New Roman"/>
          <w:spacing w:val="5"/>
          <w:sz w:val="24"/>
          <w:szCs w:val="24"/>
          <w:lang w:val="en-US" w:bidi="en-US"/>
        </w:rPr>
        <w:t>V</w:t>
      </w:r>
      <w:r w:rsidRPr="00BC5425">
        <w:rPr>
          <w:rFonts w:ascii="Times New Roman" w:eastAsia="Book Antiqua" w:hAnsi="Times New Roman" w:cs="Times New Roman"/>
          <w:spacing w:val="5"/>
          <w:sz w:val="24"/>
          <w:szCs w:val="24"/>
          <w:lang w:bidi="en-US"/>
        </w:rPr>
        <w:t xml:space="preserve">= </w:t>
      </w:r>
      <w:r w:rsidRPr="00BC5425">
        <w:rPr>
          <w:rFonts w:ascii="Times New Roman" w:eastAsia="Book Antiqua" w:hAnsi="Times New Roman" w:cs="Times New Roman"/>
          <w:spacing w:val="5"/>
          <w:sz w:val="24"/>
          <w:szCs w:val="24"/>
          <w:lang w:bidi="ru-RU"/>
        </w:rPr>
        <w:t xml:space="preserve">200м.куб;- двух резервуаров очищенной воды </w:t>
      </w:r>
      <w:r w:rsidRPr="00BC5425">
        <w:rPr>
          <w:rFonts w:ascii="Times New Roman" w:eastAsia="Book Antiqua" w:hAnsi="Times New Roman" w:cs="Times New Roman"/>
          <w:spacing w:val="5"/>
          <w:sz w:val="24"/>
          <w:szCs w:val="24"/>
          <w:lang w:val="en-US" w:bidi="en-US"/>
        </w:rPr>
        <w:t>V</w:t>
      </w:r>
      <w:r w:rsidRPr="00BC5425">
        <w:rPr>
          <w:rFonts w:ascii="Times New Roman" w:eastAsia="Book Antiqua" w:hAnsi="Times New Roman" w:cs="Times New Roman"/>
          <w:spacing w:val="5"/>
          <w:sz w:val="24"/>
          <w:szCs w:val="24"/>
          <w:lang w:bidi="en-US"/>
        </w:rPr>
        <w:t xml:space="preserve">= </w:t>
      </w:r>
      <w:r w:rsidRPr="00BC5425">
        <w:rPr>
          <w:rFonts w:ascii="Times New Roman" w:eastAsia="Book Antiqua" w:hAnsi="Times New Roman" w:cs="Times New Roman"/>
          <w:spacing w:val="5"/>
          <w:sz w:val="24"/>
          <w:szCs w:val="24"/>
          <w:lang w:bidi="ru-RU"/>
        </w:rPr>
        <w:t xml:space="preserve">1000м.куб., </w:t>
      </w:r>
      <w:r w:rsidRPr="00BC5425">
        <w:rPr>
          <w:rFonts w:ascii="Times New Roman" w:eastAsia="Book Antiqua" w:hAnsi="Times New Roman" w:cs="Times New Roman"/>
          <w:spacing w:val="5"/>
          <w:sz w:val="24"/>
          <w:szCs w:val="24"/>
          <w:lang w:val="en-US" w:bidi="en-US"/>
        </w:rPr>
        <w:t>V</w:t>
      </w:r>
      <w:r w:rsidRPr="00BC5425">
        <w:rPr>
          <w:rFonts w:ascii="Times New Roman" w:eastAsia="Book Antiqua" w:hAnsi="Times New Roman" w:cs="Times New Roman"/>
          <w:spacing w:val="5"/>
          <w:sz w:val="24"/>
          <w:szCs w:val="24"/>
          <w:lang w:bidi="en-US"/>
        </w:rPr>
        <w:t xml:space="preserve">= </w:t>
      </w:r>
      <w:r w:rsidRPr="00BC5425">
        <w:rPr>
          <w:rFonts w:ascii="Times New Roman" w:eastAsia="Book Antiqua" w:hAnsi="Times New Roman" w:cs="Times New Roman"/>
          <w:spacing w:val="5"/>
          <w:sz w:val="24"/>
          <w:szCs w:val="24"/>
          <w:lang w:bidi="ru-RU"/>
        </w:rPr>
        <w:t>3000м.куб.;- насосной станции 2-го подъема;- станции фторирования (СФВ);- станции УФ- обеззараживания (УФО).</w:t>
      </w:r>
      <w:r w:rsidRPr="00BC5425">
        <w:rPr>
          <w:rFonts w:ascii="Times New Roman" w:hAnsi="Times New Roman" w:cs="Times New Roman"/>
          <w:sz w:val="24"/>
          <w:szCs w:val="24"/>
        </w:rPr>
        <w:t xml:space="preserve">   </w:t>
      </w:r>
      <w:r w:rsidRPr="00BC5425">
        <w:rPr>
          <w:rFonts w:ascii="Times New Roman" w:hAnsi="Times New Roman" w:cs="Times New Roman"/>
          <w:sz w:val="24"/>
          <w:szCs w:val="24"/>
          <w:u w:val="single"/>
        </w:rPr>
        <w:t>Технология очистки</w:t>
      </w:r>
      <w:r w:rsidRPr="00BC5425">
        <w:rPr>
          <w:rFonts w:ascii="Times New Roman" w:hAnsi="Times New Roman" w:cs="Times New Roman"/>
          <w:i/>
          <w:sz w:val="24"/>
          <w:szCs w:val="24"/>
        </w:rPr>
        <w:t>:</w:t>
      </w:r>
      <w:r w:rsidRPr="00BC5425">
        <w:rPr>
          <w:rFonts w:ascii="Times New Roman" w:hAnsi="Times New Roman" w:cs="Times New Roman"/>
          <w:sz w:val="24"/>
          <w:szCs w:val="24"/>
        </w:rPr>
        <w:t xml:space="preserve"> вода из  существующих артезианских скважин   поступает в единый коллектор, а затем в дегазатор, переоборудованный из существующего резервуара для воды емкостью 700 м</w:t>
      </w:r>
      <w:r w:rsidRPr="00BC5425">
        <w:rPr>
          <w:rFonts w:ascii="Times New Roman" w:hAnsi="Times New Roman" w:cs="Times New Roman"/>
          <w:sz w:val="24"/>
          <w:szCs w:val="24"/>
          <w:vertAlign w:val="superscript"/>
        </w:rPr>
        <w:t>3</w:t>
      </w:r>
      <w:r w:rsidRPr="00BC5425">
        <w:rPr>
          <w:rFonts w:ascii="Times New Roman" w:hAnsi="Times New Roman" w:cs="Times New Roman"/>
          <w:sz w:val="24"/>
          <w:szCs w:val="24"/>
        </w:rPr>
        <w:t>, где происходит отдувка сопутствующих газов (сероводорода, метана, углекислого газа) способом аэрации при помощи турбокомпрессоров. Аэрационная дегазация воды обеспечивает создание развитой поверхности контакта обрабатываемой воды с воздухом.</w:t>
      </w:r>
    </w:p>
    <w:p w:rsidR="00630798" w:rsidRPr="00BC5425" w:rsidRDefault="00630798" w:rsidP="00D74571">
      <w:pPr>
        <w:spacing w:after="0" w:line="240" w:lineRule="auto"/>
        <w:jc w:val="both"/>
        <w:rPr>
          <w:rFonts w:ascii="Times New Roman" w:hAnsi="Times New Roman" w:cs="Times New Roman"/>
          <w:sz w:val="24"/>
          <w:szCs w:val="24"/>
        </w:rPr>
      </w:pPr>
      <w:r w:rsidRPr="00BC5425">
        <w:rPr>
          <w:rFonts w:ascii="Times New Roman" w:hAnsi="Times New Roman" w:cs="Times New Roman"/>
          <w:sz w:val="24"/>
          <w:szCs w:val="24"/>
        </w:rPr>
        <w:t xml:space="preserve">           Далее вода поступает в контактный резервуар ( БР1, БР2), куда дозируется раствор коагулянта  Аква-аурата. Из контактного резервуара вода, при помощи насосов, поступает на блок контактных осветлителей, где происходит образование и удерживание осадка, образованного в результате взаимодействия  воды с введенным в нее реагентам. В качестве загрузки используется  кварцевый песок, направление потока воды через фильтры снизу вверх.</w:t>
      </w:r>
    </w:p>
    <w:p w:rsidR="00630798" w:rsidRPr="00BC5425" w:rsidRDefault="00630798" w:rsidP="00D74571">
      <w:pPr>
        <w:spacing w:after="0" w:line="240" w:lineRule="auto"/>
        <w:jc w:val="both"/>
        <w:rPr>
          <w:rFonts w:ascii="Times New Roman" w:hAnsi="Times New Roman" w:cs="Times New Roman"/>
          <w:sz w:val="24"/>
          <w:szCs w:val="24"/>
        </w:rPr>
      </w:pPr>
      <w:r w:rsidRPr="00BC5425">
        <w:rPr>
          <w:rFonts w:ascii="Times New Roman" w:hAnsi="Times New Roman" w:cs="Times New Roman"/>
          <w:sz w:val="24"/>
          <w:szCs w:val="24"/>
        </w:rPr>
        <w:t xml:space="preserve">        После осветлителей вода под остаточным напором поступает на сорбционные фильтры станции обезжелезивания воды, которые загружены   гранулированным активированным </w:t>
      </w:r>
      <w:r w:rsidRPr="00BC5425">
        <w:rPr>
          <w:rFonts w:ascii="Times New Roman" w:hAnsi="Times New Roman" w:cs="Times New Roman"/>
          <w:sz w:val="24"/>
          <w:szCs w:val="24"/>
        </w:rPr>
        <w:lastRenderedPageBreak/>
        <w:t>углем (ГАУ), для окончательной очистки от остатков органических веществ.  Затем, после сорбционных фильтров, весь поток воды направляется в резервуары чистой воды  емкостью 1000 и 3000 м</w:t>
      </w:r>
      <w:r w:rsidRPr="00BC5425">
        <w:rPr>
          <w:rFonts w:ascii="Times New Roman" w:hAnsi="Times New Roman" w:cs="Times New Roman"/>
          <w:sz w:val="24"/>
          <w:szCs w:val="24"/>
          <w:vertAlign w:val="superscript"/>
        </w:rPr>
        <w:t>3</w:t>
      </w:r>
      <w:r w:rsidRPr="00BC5425">
        <w:rPr>
          <w:rFonts w:ascii="Times New Roman" w:hAnsi="Times New Roman" w:cs="Times New Roman"/>
          <w:sz w:val="24"/>
          <w:szCs w:val="24"/>
        </w:rPr>
        <w:t xml:space="preserve">, а оттуда при помощи насосов, которые размещены в насосной станции второго подъема вода  поступает  на установку ультрафиолетового обеззараживания, где происходит ее полное обеззараживание и подается к потребителям.  В процессе пусконаладочных работ установлен  фильтроцикл каждые 24 часа на каждый блок. Периодичность промывки осветительных фильтров каждые 24 часа. Очистка , промывка и дезинфекция  резервуаров осуществляется 1 раз в год, по графику.  </w:t>
      </w:r>
    </w:p>
    <w:p w:rsidR="00630798" w:rsidRPr="00BC5425" w:rsidRDefault="00630798" w:rsidP="00D74571">
      <w:pPr>
        <w:adjustRightInd w:val="0"/>
        <w:spacing w:after="0" w:line="240" w:lineRule="auto"/>
        <w:ind w:firstLine="708"/>
        <w:jc w:val="both"/>
        <w:rPr>
          <w:rFonts w:ascii="Times New Roman" w:hAnsi="Times New Roman" w:cs="Times New Roman"/>
          <w:sz w:val="24"/>
          <w:szCs w:val="24"/>
        </w:rPr>
      </w:pPr>
      <w:r w:rsidRPr="00BC5425">
        <w:rPr>
          <w:rFonts w:ascii="Times New Roman" w:hAnsi="Times New Roman" w:cs="Times New Roman"/>
          <w:sz w:val="24"/>
          <w:szCs w:val="24"/>
          <w:u w:val="single"/>
        </w:rPr>
        <w:t>Импульсная хлораторная, предусмотренная проектом отсутствует.  Хлорирование воды по эпидпоказаниям, а также промывки резервуаров, сетей ВОС-1 производится ручным способом</w:t>
      </w:r>
      <w:r w:rsidRPr="00BC5425">
        <w:rPr>
          <w:rFonts w:ascii="Times New Roman" w:hAnsi="Times New Roman" w:cs="Times New Roman"/>
          <w:sz w:val="24"/>
          <w:szCs w:val="24"/>
        </w:rPr>
        <w:t xml:space="preserve">. </w:t>
      </w:r>
      <w:r w:rsidRPr="00BC5425">
        <w:rPr>
          <w:rFonts w:ascii="Times New Roman" w:hAnsi="Times New Roman" w:cs="Times New Roman"/>
          <w:sz w:val="24"/>
          <w:szCs w:val="24"/>
          <w:u w:val="single"/>
        </w:rPr>
        <w:t xml:space="preserve">При  проведения плановых КНМ  в отношении </w:t>
      </w:r>
      <w:r w:rsidRPr="00BC5425">
        <w:rPr>
          <w:rFonts w:ascii="Times New Roman" w:hAnsi="Times New Roman" w:cs="Times New Roman"/>
          <w:sz w:val="24"/>
          <w:szCs w:val="24"/>
        </w:rPr>
        <w:t>МУП  «Управление городского хозяйства» установлено</w:t>
      </w:r>
      <w:r w:rsidRPr="00BC5425">
        <w:rPr>
          <w:rFonts w:ascii="Times New Roman" w:hAnsi="Times New Roman" w:cs="Times New Roman"/>
          <w:sz w:val="24"/>
          <w:szCs w:val="24"/>
          <w:u w:val="single"/>
        </w:rPr>
        <w:t xml:space="preserve">: Водозаборные сооружения  ВОС-1, </w:t>
      </w:r>
      <w:r w:rsidRPr="00BC5425">
        <w:rPr>
          <w:rFonts w:ascii="Times New Roman" w:hAnsi="Times New Roman" w:cs="Times New Roman"/>
          <w:sz w:val="24"/>
          <w:szCs w:val="24"/>
        </w:rPr>
        <w:t xml:space="preserve">На территории расположено 10  скважин, 8 из которых рабочие. На основании предоставленных данных  производительность  8 скважин составляет 7680 куб.м. /сутки.Глубина  артскважин – 280-365 м. На ВОС-:1 канализование-централизованное, отопление-центральное, водоснабжение- централизованное. Все павильоны артскважин оборудованы  центральным отоплением. Все скважины располагаются на территории ВОС-1.  Во всех павильона артезианских скважин приборы контроля фактического дебита скважины   находятся в нерабочем состоянии, что не соответствует требованиям п. 3.2.1.5  СанПиН 2.1.4.1110 – 02 « Зоны санитарной охраны источников водоснабжения и водопроводов питьевого назначения».  -Проходы к павильонам артскважин частично выложены бетонными плитами, дорожки к павильонам  частично не имеют твердого покрытия,  что  не соответствует требованиям  п 3.2.1.1 СанПиН 2.1.4.1110-02 «Зоны санитарной охраны источников водоснабжения и водопроводов питьевого водоснабжения»   Подъездные пути имеются.  Санитарное состояние территории ВОС. на момент обследования     удовлетворительное. Площадка для мусоросборников: площадка для сбора мусора  установлена на твердом основании, имеется один контейнер для сбора ТБО. На момент обследования, территория вокруг площадки  ограждена с трех сторон, установлена крышки. </w:t>
      </w:r>
      <w:r w:rsidRPr="00BC5425">
        <w:rPr>
          <w:rFonts w:ascii="Times New Roman" w:hAnsi="Times New Roman" w:cs="Times New Roman"/>
          <w:b/>
          <w:sz w:val="24"/>
          <w:szCs w:val="24"/>
        </w:rPr>
        <w:t xml:space="preserve">- </w:t>
      </w:r>
      <w:r w:rsidRPr="00BC5425">
        <w:rPr>
          <w:rFonts w:ascii="Times New Roman" w:hAnsi="Times New Roman" w:cs="Times New Roman"/>
          <w:sz w:val="24"/>
          <w:szCs w:val="24"/>
        </w:rPr>
        <w:t>Ливневая канализация  на ВОС-1 отсутствует, в нарушение требований  п. 3.2.1.1. СанПиН 2.1.4.1110-02 «Зоны санитарной охраны источников водоснабжения и водопроводов питьевого водоснабжения»</w:t>
      </w:r>
      <w:r w:rsidRPr="00BC5425">
        <w:rPr>
          <w:rFonts w:ascii="Times New Roman" w:hAnsi="Times New Roman" w:cs="Times New Roman"/>
          <w:b/>
          <w:sz w:val="24"/>
          <w:szCs w:val="24"/>
        </w:rPr>
        <w:t xml:space="preserve">. </w:t>
      </w:r>
      <w:r w:rsidRPr="00BC5425">
        <w:rPr>
          <w:rFonts w:ascii="Times New Roman" w:hAnsi="Times New Roman" w:cs="Times New Roman"/>
          <w:sz w:val="24"/>
          <w:szCs w:val="24"/>
        </w:rPr>
        <w:t xml:space="preserve">  Здание «Служебный корпус с лабораторией»: 2-х этажное, капитальное. В здании располагается: на 1-ом этаже: операторная ХВО, кабинет техника-технолога, комната приема пищи, туалет, на 2-ом этаже – химико-аналитическая лаборатория ( аналитическая лаборатория, весовая, кабинет ведущего инженера-химика, гардеробная, туалет ), в цокольном этаже размещается слесарная мастерская.          Имеется аттестат аккредитации химико-аналитической лаборатории.  В помещении лаборатории: 4 рабочих места, вентиляция приточно-вытяжная механическая, одна локальная вытяжка (место работы с реактивами), водоснабжение горячее и холодное централизованное, дополнительно 1 резервный электронагреватель на 50 л.   Строение станции обезжелезивания представляет  1  этажное строение, выполненное из деревянных щитов. Состоит  из двух совмещенных помещений: административно-бытовое, помещение с установкой технологического оборудования для обезжелезивания, помещение насосной. </w:t>
      </w:r>
    </w:p>
    <w:p w:rsidR="00630798" w:rsidRPr="00BC5425" w:rsidRDefault="00630798" w:rsidP="00D74571">
      <w:pPr>
        <w:adjustRightInd w:val="0"/>
        <w:spacing w:after="0" w:line="240" w:lineRule="auto"/>
        <w:jc w:val="both"/>
        <w:rPr>
          <w:rFonts w:ascii="Times New Roman" w:hAnsi="Times New Roman" w:cs="Times New Roman"/>
          <w:sz w:val="24"/>
          <w:szCs w:val="24"/>
          <w:u w:val="single"/>
        </w:rPr>
      </w:pPr>
    </w:p>
    <w:p w:rsidR="00630798" w:rsidRPr="00BC5425" w:rsidRDefault="00630798" w:rsidP="00BC5425">
      <w:pPr>
        <w:adjustRightInd w:val="0"/>
        <w:spacing w:after="0" w:line="240" w:lineRule="auto"/>
        <w:ind w:firstLine="567"/>
        <w:jc w:val="both"/>
        <w:rPr>
          <w:rFonts w:ascii="Times New Roman" w:hAnsi="Times New Roman" w:cs="Times New Roman"/>
          <w:sz w:val="24"/>
          <w:szCs w:val="24"/>
          <w:u w:val="single"/>
        </w:rPr>
      </w:pPr>
      <w:r w:rsidRPr="00BC5425">
        <w:rPr>
          <w:rFonts w:ascii="Times New Roman" w:hAnsi="Times New Roman" w:cs="Times New Roman"/>
          <w:b/>
          <w:sz w:val="24"/>
          <w:szCs w:val="24"/>
          <w:u w:val="single"/>
        </w:rPr>
        <w:t>ВОС-2</w:t>
      </w:r>
      <w:r w:rsidRPr="00BC5425">
        <w:rPr>
          <w:rFonts w:ascii="Times New Roman" w:hAnsi="Times New Roman" w:cs="Times New Roman"/>
          <w:sz w:val="24"/>
          <w:szCs w:val="24"/>
          <w:u w:val="single"/>
        </w:rPr>
        <w:t xml:space="preserve"> МУП «УГХ»</w:t>
      </w:r>
      <w:r w:rsidRPr="00BC5425">
        <w:rPr>
          <w:rFonts w:ascii="Times New Roman" w:hAnsi="Times New Roman" w:cs="Times New Roman"/>
          <w:sz w:val="24"/>
          <w:szCs w:val="24"/>
        </w:rPr>
        <w:t xml:space="preserve">     </w:t>
      </w:r>
      <w:r w:rsidRPr="00BC5425">
        <w:rPr>
          <w:rFonts w:ascii="Times New Roman" w:hAnsi="Times New Roman" w:cs="Times New Roman"/>
          <w:b/>
          <w:sz w:val="24"/>
          <w:szCs w:val="24"/>
          <w:u w:val="single"/>
        </w:rPr>
        <w:t>Фактический адрес размещения   ВОС-2 (</w:t>
      </w:r>
      <w:r w:rsidRPr="00BC5425">
        <w:rPr>
          <w:rFonts w:ascii="Times New Roman" w:hAnsi="Times New Roman" w:cs="Times New Roman"/>
          <w:sz w:val="24"/>
          <w:szCs w:val="24"/>
        </w:rPr>
        <w:t>2500 тыс. м</w:t>
      </w:r>
      <w:r w:rsidRPr="00BC5425">
        <w:rPr>
          <w:rFonts w:ascii="Times New Roman" w:hAnsi="Times New Roman" w:cs="Times New Roman"/>
          <w:sz w:val="24"/>
          <w:szCs w:val="24"/>
          <w:vertAlign w:val="superscript"/>
        </w:rPr>
        <w:t>3</w:t>
      </w:r>
      <w:r w:rsidRPr="00BC5425">
        <w:rPr>
          <w:rFonts w:ascii="Times New Roman" w:hAnsi="Times New Roman" w:cs="Times New Roman"/>
          <w:sz w:val="24"/>
          <w:szCs w:val="24"/>
        </w:rPr>
        <w:t xml:space="preserve">/сут.)   г.Пыть-Ях, 6 микрорайон «Пионерный». ВОС-2 предназначен для обеспечения  в питьевых и бытовых целях,  населения микрорайонов г. Пыть-Ях: 3, 4 , 5, Пионерный, предприятий и организаций.  Согласно технологической схемы, магистральные сети  централизованного водоснабжения закольцованы. Обслуживаемые МУП «УГХ» с установкой запорной арматуры и заглушек на обратных фланцах на границах раздела  водоочистных сооружений: ВОС-1, ВОС-2, ВОС-3, ВОС-4.  Вода с ВОС-2, ВОС-3 поступает в  единую сеть водоснабжения  и в 3,4,5 микрорайоны города,  и на котельные города Пыть-Ях, а также жилые дома  2 мкр. № 27,26, предприятия и организации, расположенные во 2 микрорайоне: НГДУ, КДУ «Кедр», автовокзал, ж.д вокзал, ПНО БУ ХМАО-Югры «Пыть-Яхская окружная клиническая больница», КНС-2. дома ( технологически невозможно </w:t>
      </w:r>
      <w:r w:rsidRPr="00BC5425">
        <w:rPr>
          <w:rFonts w:ascii="Times New Roman" w:hAnsi="Times New Roman" w:cs="Times New Roman"/>
          <w:sz w:val="24"/>
          <w:szCs w:val="24"/>
        </w:rPr>
        <w:lastRenderedPageBreak/>
        <w:t>подключение данных объектов  к системе  централизованного водоснабжения ВОС-1 , в связи с  подключением  их к  магистральному водоводу , подающего воду на котельную Пыть-Ях с ВОС-3) . На территории ВОС-2 расположены: административно-бытовое помещение, 8 павильонов артскважин, насосная (с 4 насосами 2 основных, 2 резервных), 2 резервуара для сбора воды  объемом 2000 куб м , 5000 куб м. График дезинфекции емкостей  предоставлен. Очистка, промывка и дезинфекция  резервуаров осуществляется 1 раз в год (летний период).Аварийный запас дезсредств на случай  дезинфекция по эпидпоказаниям,   отсутствует.  Источником водоснабжения служат восемь подземных артезианских скважин, расположенных на территории водозабора.</w:t>
      </w:r>
      <w:r w:rsidRPr="00BC5425">
        <w:rPr>
          <w:rFonts w:ascii="Times New Roman" w:hAnsi="Times New Roman" w:cs="Times New Roman"/>
          <w:sz w:val="24"/>
          <w:szCs w:val="24"/>
          <w:u w:val="single"/>
        </w:rPr>
        <w:t xml:space="preserve"> </w:t>
      </w:r>
      <w:r w:rsidRPr="00BC5425">
        <w:rPr>
          <w:rFonts w:ascii="Times New Roman" w:hAnsi="Times New Roman" w:cs="Times New Roman"/>
          <w:sz w:val="24"/>
          <w:szCs w:val="24"/>
        </w:rPr>
        <w:t xml:space="preserve">На водозаборе вода собирается в единый коллектор в накопительные емкости чистой воды  объемом 2 тыс м3  и 5 тыс. м3 и при помощи насосной станции второго подъема, подается к потребителям.  </w:t>
      </w:r>
    </w:p>
    <w:p w:rsidR="00630798" w:rsidRPr="00BC5425" w:rsidRDefault="00630798" w:rsidP="00D74571">
      <w:pPr>
        <w:adjustRightInd w:val="0"/>
        <w:spacing w:after="0" w:line="240" w:lineRule="auto"/>
        <w:ind w:firstLine="708"/>
        <w:jc w:val="both"/>
        <w:rPr>
          <w:rFonts w:ascii="Times New Roman" w:hAnsi="Times New Roman" w:cs="Times New Roman"/>
          <w:color w:val="FF0000"/>
          <w:sz w:val="24"/>
          <w:szCs w:val="24"/>
          <w:u w:val="single"/>
        </w:rPr>
      </w:pPr>
      <w:r w:rsidRPr="00BC5425">
        <w:rPr>
          <w:rFonts w:ascii="Times New Roman" w:hAnsi="Times New Roman" w:cs="Times New Roman"/>
          <w:sz w:val="24"/>
          <w:szCs w:val="24"/>
          <w:u w:val="single"/>
        </w:rPr>
        <w:t>На ВОС-2 водоочистные сооружения отсутствуют</w:t>
      </w:r>
      <w:r w:rsidRPr="00BC5425">
        <w:rPr>
          <w:rFonts w:ascii="Times New Roman" w:hAnsi="Times New Roman" w:cs="Times New Roman"/>
          <w:sz w:val="24"/>
          <w:szCs w:val="24"/>
        </w:rPr>
        <w:t xml:space="preserve">, </w:t>
      </w:r>
      <w:r w:rsidRPr="00BC5425">
        <w:rPr>
          <w:rFonts w:ascii="Times New Roman" w:hAnsi="Times New Roman" w:cs="Times New Roman"/>
          <w:sz w:val="24"/>
          <w:szCs w:val="24"/>
          <w:u w:val="single"/>
        </w:rPr>
        <w:t>доочистка воды, поступающей с подземных  источников водоснабжения  с целью доведения показателей качества воды до показателей, установленных  требованиями СанПиН 2.1.4 1074 – 01 "Питьевая вода. Гигиенические требования к качеству воды централизованных систем питьевого водоснабжения. Контроль качества» не  осуществляется.</w:t>
      </w:r>
    </w:p>
    <w:p w:rsidR="00630798" w:rsidRPr="00BC5425" w:rsidRDefault="00630798" w:rsidP="00D74571">
      <w:pPr>
        <w:adjustRightInd w:val="0"/>
        <w:spacing w:after="0" w:line="240" w:lineRule="auto"/>
        <w:ind w:firstLine="708"/>
        <w:jc w:val="both"/>
        <w:rPr>
          <w:rFonts w:ascii="Times New Roman" w:hAnsi="Times New Roman" w:cs="Times New Roman"/>
          <w:color w:val="FF0000"/>
          <w:sz w:val="24"/>
          <w:szCs w:val="24"/>
        </w:rPr>
      </w:pPr>
      <w:r w:rsidRPr="00BC5425">
        <w:rPr>
          <w:rFonts w:ascii="Times New Roman" w:hAnsi="Times New Roman" w:cs="Times New Roman"/>
          <w:sz w:val="24"/>
          <w:szCs w:val="24"/>
        </w:rPr>
        <w:t>Проектная производительность водоочистных сооружений –2500 тыс. м</w:t>
      </w:r>
      <w:r w:rsidRPr="00BC5425">
        <w:rPr>
          <w:rFonts w:ascii="Times New Roman" w:hAnsi="Times New Roman" w:cs="Times New Roman"/>
          <w:sz w:val="24"/>
          <w:szCs w:val="24"/>
          <w:vertAlign w:val="superscript"/>
        </w:rPr>
        <w:t>3</w:t>
      </w:r>
      <w:r w:rsidRPr="00BC5425">
        <w:rPr>
          <w:rFonts w:ascii="Times New Roman" w:hAnsi="Times New Roman" w:cs="Times New Roman"/>
          <w:sz w:val="24"/>
          <w:szCs w:val="24"/>
        </w:rPr>
        <w:t xml:space="preserve">/сут.     </w:t>
      </w:r>
    </w:p>
    <w:p w:rsidR="00630798" w:rsidRPr="00BC5425" w:rsidRDefault="00630798" w:rsidP="00D74571">
      <w:pPr>
        <w:adjustRightInd w:val="0"/>
        <w:spacing w:after="0" w:line="240" w:lineRule="auto"/>
        <w:jc w:val="both"/>
        <w:rPr>
          <w:rFonts w:ascii="Times New Roman" w:hAnsi="Times New Roman" w:cs="Times New Roman"/>
          <w:sz w:val="24"/>
          <w:szCs w:val="24"/>
        </w:rPr>
      </w:pPr>
      <w:r w:rsidRPr="00BC5425">
        <w:rPr>
          <w:rFonts w:ascii="Times New Roman" w:hAnsi="Times New Roman" w:cs="Times New Roman"/>
          <w:sz w:val="24"/>
          <w:szCs w:val="24"/>
        </w:rPr>
        <w:t xml:space="preserve">Проект ЗСО водозабора ВОС-2 не разработан.  Санитарно-эпидемиологическое заключение по проекту  ЗСО  ВОС-2 отсутствует, что не соответствует требованиям п.п.1,6; 1.13. СанПиН 2.1.4.1110-02 «Зоны санитарной охраны источников водоснабжения и водопроводов питьевого водоснабжения».  Зона санитарной охраны  1 пояса </w:t>
      </w:r>
      <w:r w:rsidRPr="00BC5425">
        <w:rPr>
          <w:rFonts w:ascii="Times New Roman" w:hAnsi="Times New Roman" w:cs="Times New Roman"/>
          <w:b/>
          <w:sz w:val="24"/>
          <w:szCs w:val="24"/>
        </w:rPr>
        <w:t>-</w:t>
      </w:r>
      <w:r w:rsidRPr="00BC5425">
        <w:rPr>
          <w:rFonts w:ascii="Times New Roman" w:hAnsi="Times New Roman" w:cs="Times New Roman"/>
          <w:sz w:val="24"/>
          <w:szCs w:val="24"/>
        </w:rPr>
        <w:t>30 метров.    Представлена выкипировка из топ карты и координатная привязка водозабора м 1 : 5000. Приблизительно на расстоянии 100м от ВОС-2 располагается селитебная зона микрорайона №6 Пионерный, ведется строительство жилых домов, с юго- восточной стороны  вплотную от ограждения ВОС-2   расположено болото, что не соответствует требованиям п 3.2.2. СанПиН 2.1.4.1110-02 «Зоны санитарной охраны источников водоснабжения и водопроводов питьевого водоснабжения» . -Граница первого пояса зоны санитарной охраны водозабора, источников не соответствует требованиям п 2.2.1.1. СанПиН 2.1.4.1110-02 «Зоны санитарной охраны источников водоснабжения и водопроводов питьевого водоснабжения» . -На расстоянии 10 метров от  павильона артскважины  №10, 16    расположено ограждение территории  ВОС-2.-На расстоянии 15 метров от павильона артскважины №15  с юго-восточной стороны расположено ограждение   ВОС-2, далее болото  микрорайона  Пионерный. -С северной стороны  в15 метрах от  павильона артскважины №17 находится ограждение ВОС-2.   Санитарное состояние территории: на момент обследования     удовлетворительное.Территория ВОС-2 ограждена  по периметру. Имеется КПП.  Подъездные пути имеются.Площадка для мусоросборников: площадка для сбора мусора  установлена на твердом основании, имеется один контейнер для сбора ТБО. На момент обследования территория вокруг озеленена, огорожена с трех сторон.</w:t>
      </w:r>
    </w:p>
    <w:p w:rsidR="00630798" w:rsidRPr="00BC5425" w:rsidRDefault="00630798" w:rsidP="00D74571">
      <w:pPr>
        <w:spacing w:after="0" w:line="240" w:lineRule="auto"/>
        <w:ind w:firstLine="708"/>
        <w:jc w:val="both"/>
        <w:rPr>
          <w:rFonts w:ascii="Times New Roman" w:hAnsi="Times New Roman" w:cs="Times New Roman"/>
          <w:sz w:val="24"/>
          <w:szCs w:val="24"/>
        </w:rPr>
      </w:pPr>
      <w:r w:rsidRPr="00BC5425">
        <w:rPr>
          <w:rFonts w:ascii="Times New Roman" w:hAnsi="Times New Roman" w:cs="Times New Roman"/>
          <w:sz w:val="24"/>
          <w:szCs w:val="24"/>
          <w:u w:val="single"/>
        </w:rPr>
        <w:t>На ВОС-2</w:t>
      </w:r>
      <w:r w:rsidRPr="00BC5425">
        <w:rPr>
          <w:rFonts w:ascii="Times New Roman" w:hAnsi="Times New Roman" w:cs="Times New Roman"/>
          <w:sz w:val="24"/>
          <w:szCs w:val="24"/>
        </w:rPr>
        <w:t xml:space="preserve">  водоснабжение централизованное, канализация-  септик непоглощающего типа.-Территория  ЗСО 1 пояса  ВОС-2  не    спланирована для отвода  поверхностных вод  за ее пределы, что  не соответствует требованиям  п 3.2.1.1 СанПиН 2.1.4.1110-02 «Зоны санитарной охраны источников водоснабжения и водопроводов питьевого водоснабжения».  </w:t>
      </w:r>
      <w:r w:rsidRPr="00BC5425">
        <w:rPr>
          <w:rFonts w:ascii="Times New Roman" w:hAnsi="Times New Roman" w:cs="Times New Roman"/>
          <w:b/>
          <w:sz w:val="24"/>
          <w:szCs w:val="24"/>
        </w:rPr>
        <w:t>-</w:t>
      </w:r>
      <w:r w:rsidRPr="00BC5425">
        <w:rPr>
          <w:rFonts w:ascii="Times New Roman" w:hAnsi="Times New Roman" w:cs="Times New Roman"/>
          <w:sz w:val="24"/>
          <w:szCs w:val="24"/>
        </w:rPr>
        <w:t xml:space="preserve">Артскважины  ВОС-2  не оборудованы  аппаратурой для систематического контроля соответствия фактического дебита при эксплуатации проектной производительности, на момент обследования счетчики находятся в нерабочем состоянии, что не соответствует требованиям  п 3.2.1.5 СанПиН 2.1.4.1110-02 «Зоны санитарной охраны источников водоснабжения и водопроводов питьевого водоснабжения». Фактический дебит скважин оценивается расчетным методом: тип насосов, КПД, количество отработанного времени. Подъездные пути к артскважинам ВОС- 2 не имеют твердого покрытия, что  не соответствует требованиям  п 3.2.1.5 СанПиН 2.1.4.1110-02 «Зоны санитарной охраны источников водоснабжения и водопроводов питьевого водоснабжения». -Артскважины не оборудованы трапами для отвода воды, что не предотвращает возможность вторичного загрязнения питьевой водой и не соответствует </w:t>
      </w:r>
      <w:r w:rsidRPr="00BC5425">
        <w:rPr>
          <w:rFonts w:ascii="Times New Roman" w:hAnsi="Times New Roman" w:cs="Times New Roman"/>
          <w:sz w:val="24"/>
          <w:szCs w:val="24"/>
        </w:rPr>
        <w:lastRenderedPageBreak/>
        <w:t>п 3.2.1.4 СанПиН 2.1.4.1110-02 «Зоны санитарной охраны источников водоснабжения и водопроводов питьевого водоснабжения» .</w:t>
      </w:r>
    </w:p>
    <w:p w:rsidR="00630798" w:rsidRPr="00BC5425" w:rsidRDefault="00630798" w:rsidP="00BC5425">
      <w:pPr>
        <w:spacing w:after="0" w:line="240" w:lineRule="auto"/>
        <w:ind w:firstLine="567"/>
        <w:jc w:val="both"/>
        <w:rPr>
          <w:rFonts w:ascii="Times New Roman" w:hAnsi="Times New Roman" w:cs="Times New Roman"/>
          <w:sz w:val="24"/>
          <w:szCs w:val="24"/>
        </w:rPr>
      </w:pPr>
      <w:r w:rsidRPr="00BC5425">
        <w:rPr>
          <w:rFonts w:ascii="Times New Roman" w:hAnsi="Times New Roman" w:cs="Times New Roman"/>
          <w:b/>
          <w:sz w:val="24"/>
          <w:szCs w:val="24"/>
          <w:u w:val="single"/>
        </w:rPr>
        <w:t>ВОС-3,</w:t>
      </w:r>
      <w:r w:rsidRPr="00BC5425">
        <w:rPr>
          <w:rFonts w:ascii="Times New Roman" w:hAnsi="Times New Roman" w:cs="Times New Roman"/>
          <w:sz w:val="24"/>
          <w:szCs w:val="24"/>
          <w:u w:val="single"/>
        </w:rPr>
        <w:t xml:space="preserve"> МУП «УГХ»</w:t>
      </w:r>
      <w:r w:rsidRPr="00BC5425">
        <w:rPr>
          <w:rFonts w:ascii="Times New Roman" w:hAnsi="Times New Roman" w:cs="Times New Roman"/>
          <w:sz w:val="24"/>
          <w:szCs w:val="24"/>
        </w:rPr>
        <w:t xml:space="preserve"> </w:t>
      </w:r>
      <w:r w:rsidRPr="00BC5425">
        <w:rPr>
          <w:rFonts w:ascii="Times New Roman" w:hAnsi="Times New Roman" w:cs="Times New Roman"/>
          <w:b/>
          <w:sz w:val="24"/>
          <w:szCs w:val="24"/>
          <w:u w:val="single"/>
        </w:rPr>
        <w:t>Фактический адрес размещенияВОС-3,</w:t>
      </w:r>
      <w:r w:rsidRPr="00BC5425">
        <w:rPr>
          <w:rFonts w:ascii="Times New Roman" w:hAnsi="Times New Roman" w:cs="Times New Roman"/>
          <w:sz w:val="24"/>
          <w:szCs w:val="24"/>
        </w:rPr>
        <w:t>расположен по адресу: г. Пыть – Ях, микрорайон № 10 «Мамонтово», ГВЗ (групповой водозабор)     Объект  ВОС-3 предназначен для обеспечения микрорайонов Мамонтово, Черемушки г. Пыть-Ях питьевой водой.  Фактически, согласно технологической схемы закольцованы магистральные сети  централизованного водоснабжения, обслуживаемые МУП «УГХ» с установкой запорной арматуры и заглушек на обратных фланцах на границах раздела  водоочистных сооружений : ВОС-1, ВОС-2, ВОС-3, ВОС-4.  Вода с ВОС-2, ВОС-3 поступает в  единую сеть водоснабжения  в 3,4,5, 8(больничный комплекс), 6, мкрн Мамонтово, Горка, Черемушки микрорайоны города  и на котельные города Пыть-Ях, а также жилые дома  2 мкр. № 27,26, предприятия и организации, расположенные во 2 микрорайоне: НГДУ, КДУ «Кедр», автовокзал, ж.д вокзал, ПНО БУ ХМАО-Югры «Пыть-Яхская окружная клиническая больница», КНС-2 . Проектная производительность водоочистных сооружений – 8 тыс. м</w:t>
      </w:r>
      <w:r w:rsidRPr="00BC5425">
        <w:rPr>
          <w:rFonts w:ascii="Times New Roman" w:hAnsi="Times New Roman" w:cs="Times New Roman"/>
          <w:sz w:val="24"/>
          <w:szCs w:val="24"/>
          <w:vertAlign w:val="superscript"/>
        </w:rPr>
        <w:t>3</w:t>
      </w:r>
      <w:r w:rsidRPr="00BC5425">
        <w:rPr>
          <w:rFonts w:ascii="Times New Roman" w:hAnsi="Times New Roman" w:cs="Times New Roman"/>
          <w:sz w:val="24"/>
          <w:szCs w:val="24"/>
        </w:rPr>
        <w:t xml:space="preserve">/сут. Территория ВОС-3 ограждена, имеется КПП на въезде. На территории ВОС-3 установлено  3 резервуара для сбора воды: 2 ед.  объемом  по 2000 куб м , 1ед.  объемом 5000 куб м. для  последующего поступления  в разводящую сеть, насосная -установлено 6 насосов (3 рабочих, 3 резервных), административное здание, сооружения водоочистки, в неработающем состоянии.График очистки, промывки дезинфекции емкостей имеется, акт предоставлен.  Аварийный запас дезсредств на случай  дезинфекция по эпидпоказаниям отсутствует.              Доочистка воды, поступающей с подземных  источников водоснабжения головного водозабора не осуществляется, водоочистные сооружения отсутствуют. Проект ЗСО разработан. Санитарно-эпидемиологическое заключение по проекту  ЗСО  выдано ТО РПН по ХМАО-Югре. Зона санитарной охраны  1 пояса </w:t>
      </w:r>
      <w:r w:rsidRPr="00BC5425">
        <w:rPr>
          <w:rFonts w:ascii="Times New Roman" w:hAnsi="Times New Roman" w:cs="Times New Roman"/>
          <w:b/>
          <w:sz w:val="24"/>
          <w:szCs w:val="24"/>
        </w:rPr>
        <w:t>-</w:t>
      </w:r>
      <w:r w:rsidRPr="00BC5425">
        <w:rPr>
          <w:rFonts w:ascii="Times New Roman" w:hAnsi="Times New Roman" w:cs="Times New Roman"/>
          <w:sz w:val="24"/>
          <w:szCs w:val="24"/>
        </w:rPr>
        <w:t xml:space="preserve">30 метров.   Головной водозабор  расположен отдельно, на расстоянии около 1 км от ВОС-3 ( по водоводу).  Вода на ВОС-3 с  головного водозабора  поступает по трубопроводу (через реку) Территория ГВЗ  частично ограждена по периметру. КПП  на въезде имеется. Искусственное освещение предоставлено 2 прожекторами При обследовании артскважин :   На территории  имеется  20 артскважин, оборудовано 20  типовых павильонов под артскважины. - На артскважинах отсутствуют  приборы контроля фактического дебита скважин,  что  не соответствует требованиям п. 3.2.1.5  СанПиН 2.1.4.1110 – 02 « Зоны санитарной охраны источников водоснабжения и водопроводов питьевого назначения». - На части артскважин  отсутствует трап для стока воды, что не предотвращает возможность загрязнения питьевой водой и не соответствует п. 3.2.1.4 СанПиН 2.1.4.1110-02 «Зоны санитарной охраны источников водоснабжения и водопроводов питьевого водоснабжения» .Сброс сточных вод на ВОС-3  в водные объекты не производится. </w:t>
      </w:r>
    </w:p>
    <w:p w:rsidR="00630798" w:rsidRPr="00BC5425" w:rsidRDefault="00630798" w:rsidP="00BC5425">
      <w:pPr>
        <w:widowControl w:val="0"/>
        <w:shd w:val="clear" w:color="auto" w:fill="FFFFFF"/>
        <w:tabs>
          <w:tab w:val="left" w:pos="163"/>
        </w:tabs>
        <w:autoSpaceDE w:val="0"/>
        <w:autoSpaceDN w:val="0"/>
        <w:adjustRightInd w:val="0"/>
        <w:spacing w:after="0" w:line="240" w:lineRule="auto"/>
        <w:ind w:firstLine="567"/>
        <w:contextualSpacing/>
        <w:jc w:val="both"/>
        <w:rPr>
          <w:rFonts w:ascii="Times New Roman" w:hAnsi="Times New Roman" w:cs="Times New Roman"/>
          <w:b/>
          <w:sz w:val="24"/>
          <w:szCs w:val="24"/>
        </w:rPr>
      </w:pPr>
      <w:r w:rsidRPr="00BC5425">
        <w:rPr>
          <w:rFonts w:ascii="Times New Roman" w:hAnsi="Times New Roman" w:cs="Times New Roman"/>
          <w:b/>
          <w:sz w:val="24"/>
          <w:szCs w:val="24"/>
          <w:u w:val="single"/>
        </w:rPr>
        <w:t>ВОС-4,</w:t>
      </w:r>
      <w:r w:rsidRPr="00BC5425">
        <w:rPr>
          <w:rFonts w:ascii="Times New Roman" w:hAnsi="Times New Roman" w:cs="Times New Roman"/>
          <w:sz w:val="24"/>
          <w:szCs w:val="24"/>
          <w:u w:val="single"/>
        </w:rPr>
        <w:t xml:space="preserve"> МУП «УГХ»</w:t>
      </w:r>
      <w:r w:rsidRPr="00BC5425">
        <w:rPr>
          <w:rFonts w:ascii="Times New Roman" w:hAnsi="Times New Roman" w:cs="Times New Roman"/>
          <w:sz w:val="24"/>
          <w:szCs w:val="24"/>
        </w:rPr>
        <w:t xml:space="preserve"> </w:t>
      </w:r>
      <w:r w:rsidRPr="00BC5425">
        <w:rPr>
          <w:rFonts w:ascii="Times New Roman" w:hAnsi="Times New Roman" w:cs="Times New Roman"/>
          <w:b/>
          <w:sz w:val="24"/>
          <w:szCs w:val="24"/>
          <w:u w:val="single"/>
        </w:rPr>
        <w:t xml:space="preserve">Фактический адрес размещения ВОС-4, </w:t>
      </w:r>
      <w:r w:rsidRPr="00BC5425">
        <w:rPr>
          <w:rFonts w:ascii="Times New Roman" w:hAnsi="Times New Roman" w:cs="Times New Roman"/>
          <w:sz w:val="24"/>
          <w:szCs w:val="24"/>
        </w:rPr>
        <w:t xml:space="preserve">г. Пыть – Ях, </w:t>
      </w:r>
      <w:r w:rsidRPr="00BC5425">
        <w:rPr>
          <w:rFonts w:ascii="Times New Roman" w:hAnsi="Times New Roman" w:cs="Times New Roman"/>
          <w:sz w:val="24"/>
          <w:szCs w:val="24"/>
          <w:u w:val="single"/>
        </w:rPr>
        <w:t xml:space="preserve">ВОС-4 Лесозаготовительная зона № 4, 2а мкр. </w:t>
      </w:r>
    </w:p>
    <w:p w:rsidR="00630798" w:rsidRPr="00BC5425" w:rsidRDefault="00630798" w:rsidP="00D74571">
      <w:pPr>
        <w:autoSpaceDE w:val="0"/>
        <w:autoSpaceDN w:val="0"/>
        <w:adjustRightInd w:val="0"/>
        <w:spacing w:after="0" w:line="240" w:lineRule="auto"/>
        <w:jc w:val="both"/>
        <w:rPr>
          <w:rFonts w:ascii="Times New Roman" w:hAnsi="Times New Roman" w:cs="Times New Roman"/>
          <w:sz w:val="24"/>
          <w:szCs w:val="24"/>
          <w:u w:val="single"/>
        </w:rPr>
      </w:pPr>
      <w:r w:rsidRPr="00BC5425">
        <w:rPr>
          <w:rFonts w:ascii="Times New Roman" w:hAnsi="Times New Roman" w:cs="Times New Roman"/>
          <w:sz w:val="24"/>
          <w:szCs w:val="24"/>
        </w:rPr>
        <w:tab/>
        <w:t>Объект  ВОС-4 предназначен для обеспечения населения  2 «а»   микрорайона  г. Пыть-Ях, общественных зданий и промышленных предприятий  водой хозяйственно-питьевого назначения. Максимальный разрешенный, согласно приложения к лицензии водоотбор- не более 2.2 тыс м</w:t>
      </w:r>
      <w:r w:rsidRPr="00BC5425">
        <w:rPr>
          <w:rFonts w:ascii="Times New Roman" w:hAnsi="Times New Roman" w:cs="Times New Roman"/>
          <w:sz w:val="24"/>
          <w:szCs w:val="24"/>
          <w:vertAlign w:val="superscript"/>
        </w:rPr>
        <w:t>3</w:t>
      </w:r>
      <w:r w:rsidRPr="00BC5425">
        <w:rPr>
          <w:rFonts w:ascii="Times New Roman" w:hAnsi="Times New Roman" w:cs="Times New Roman"/>
          <w:sz w:val="24"/>
          <w:szCs w:val="24"/>
        </w:rPr>
        <w:t xml:space="preserve">/сут.  Фактическая добыча составляет   1113,6 м </w:t>
      </w:r>
      <w:r w:rsidRPr="00BC5425">
        <w:rPr>
          <w:rFonts w:ascii="Times New Roman" w:hAnsi="Times New Roman" w:cs="Times New Roman"/>
          <w:sz w:val="24"/>
          <w:szCs w:val="24"/>
          <w:vertAlign w:val="superscript"/>
        </w:rPr>
        <w:t>3</w:t>
      </w:r>
      <w:r w:rsidRPr="00BC5425">
        <w:rPr>
          <w:rFonts w:ascii="Times New Roman" w:hAnsi="Times New Roman" w:cs="Times New Roman"/>
          <w:sz w:val="24"/>
          <w:szCs w:val="24"/>
        </w:rPr>
        <w:t xml:space="preserve">./сутки-531 час м </w:t>
      </w:r>
      <w:r w:rsidRPr="00BC5425">
        <w:rPr>
          <w:rFonts w:ascii="Times New Roman" w:hAnsi="Times New Roman" w:cs="Times New Roman"/>
          <w:sz w:val="24"/>
          <w:szCs w:val="24"/>
          <w:vertAlign w:val="superscript"/>
        </w:rPr>
        <w:t>3</w:t>
      </w:r>
      <w:r w:rsidRPr="00BC5425">
        <w:rPr>
          <w:rFonts w:ascii="Times New Roman" w:hAnsi="Times New Roman" w:cs="Times New Roman"/>
          <w:sz w:val="24"/>
          <w:szCs w:val="24"/>
        </w:rPr>
        <w:t>./сутки. Согласно технологической схемы  проведено подключение  к воде ВОС-1 жилого фонда, зданий и сооружений 2»А» микрорайона: ул Железнодорожная д 3.,4,1,2,2а, ул Советская: дома№ 39,41,41а,43 а,47,49, д\с «Елочка», ул Сибирская д 1,1, магазин «Вега», Континент», КНС-5.</w:t>
      </w:r>
      <w:r w:rsidRPr="00BC5425">
        <w:rPr>
          <w:rFonts w:ascii="Times New Roman" w:hAnsi="Times New Roman" w:cs="Times New Roman"/>
          <w:sz w:val="24"/>
          <w:szCs w:val="24"/>
          <w:u w:val="single"/>
        </w:rPr>
        <w:t xml:space="preserve">Планируется ликвидация ВОС-4 после завершения реконструкции ВОС-1 и подключения всех сетей  водоснабжения к ВОС-1.  </w:t>
      </w:r>
      <w:r w:rsidRPr="00BC5425">
        <w:rPr>
          <w:rFonts w:ascii="Times New Roman" w:hAnsi="Times New Roman" w:cs="Times New Roman"/>
          <w:sz w:val="24"/>
          <w:szCs w:val="24"/>
        </w:rPr>
        <w:t xml:space="preserve"> Источник водоснабжения - пять подземных артезианских скважин  На водозаборе вода собирается в коллектор и далее по водоводу  на расстоянии  600-400м , подается на ВОС-4.</w:t>
      </w:r>
    </w:p>
    <w:p w:rsidR="00630798" w:rsidRPr="00BC5425" w:rsidRDefault="00630798" w:rsidP="00D74571">
      <w:pPr>
        <w:widowControl w:val="0"/>
        <w:shd w:val="clear" w:color="auto" w:fill="FFFFFF"/>
        <w:tabs>
          <w:tab w:val="left" w:pos="163"/>
        </w:tabs>
        <w:autoSpaceDE w:val="0"/>
        <w:autoSpaceDN w:val="0"/>
        <w:adjustRightInd w:val="0"/>
        <w:spacing w:after="0" w:line="240" w:lineRule="auto"/>
        <w:contextualSpacing/>
        <w:jc w:val="both"/>
        <w:rPr>
          <w:rFonts w:ascii="Times New Roman" w:hAnsi="Times New Roman" w:cs="Times New Roman"/>
          <w:snapToGrid w:val="0"/>
          <w:sz w:val="24"/>
          <w:szCs w:val="24"/>
        </w:rPr>
      </w:pPr>
      <w:r w:rsidRPr="00BC5425">
        <w:rPr>
          <w:rFonts w:ascii="Times New Roman" w:hAnsi="Times New Roman" w:cs="Times New Roman"/>
          <w:sz w:val="24"/>
          <w:szCs w:val="24"/>
          <w:u w:val="single"/>
        </w:rPr>
        <w:t>ВОС-4  (2017 г)</w:t>
      </w:r>
      <w:r w:rsidRPr="00BC5425">
        <w:rPr>
          <w:rFonts w:ascii="Times New Roman" w:hAnsi="Times New Roman" w:cs="Times New Roman"/>
          <w:snapToGrid w:val="0"/>
          <w:sz w:val="24"/>
          <w:szCs w:val="24"/>
        </w:rPr>
        <w:t xml:space="preserve"> выявлены нарушения санитарного законодательства, а именно: -Проект санитарно-защитной зоны для объекта не  разработан,  что не соответствует  разделу </w:t>
      </w:r>
      <w:r w:rsidRPr="00BC5425">
        <w:rPr>
          <w:rFonts w:ascii="Times New Roman" w:hAnsi="Times New Roman" w:cs="Times New Roman"/>
          <w:snapToGrid w:val="0"/>
          <w:sz w:val="24"/>
          <w:szCs w:val="24"/>
          <w:lang w:val="en-US"/>
        </w:rPr>
        <w:t>III</w:t>
      </w:r>
      <w:r w:rsidRPr="00BC5425">
        <w:rPr>
          <w:rFonts w:ascii="Times New Roman" w:hAnsi="Times New Roman" w:cs="Times New Roman"/>
          <w:snapToGrid w:val="0"/>
          <w:sz w:val="24"/>
          <w:szCs w:val="24"/>
        </w:rPr>
        <w:t xml:space="preserve"> и разделу </w:t>
      </w:r>
      <w:r w:rsidRPr="00BC5425">
        <w:rPr>
          <w:rFonts w:ascii="Times New Roman" w:hAnsi="Times New Roman" w:cs="Times New Roman"/>
          <w:snapToGrid w:val="0"/>
          <w:sz w:val="24"/>
          <w:szCs w:val="24"/>
          <w:lang w:val="en-US"/>
        </w:rPr>
        <w:t>VII</w:t>
      </w:r>
      <w:r w:rsidRPr="00BC5425">
        <w:rPr>
          <w:rFonts w:ascii="Times New Roman" w:hAnsi="Times New Roman" w:cs="Times New Roman"/>
          <w:snapToGrid w:val="0"/>
          <w:sz w:val="24"/>
          <w:szCs w:val="24"/>
        </w:rPr>
        <w:t xml:space="preserve"> (подразделом 7.1.12.) Проект ЗСО на  источники водоснабжения не разработан, зоны санитарной охраны в составе трех поясов не организованы нарушение п.п. 1.4, 1.5, 1.6, </w:t>
      </w:r>
      <w:r w:rsidRPr="00BC5425">
        <w:rPr>
          <w:rFonts w:ascii="Times New Roman" w:hAnsi="Times New Roman" w:cs="Times New Roman"/>
          <w:snapToGrid w:val="0"/>
          <w:sz w:val="24"/>
          <w:szCs w:val="24"/>
        </w:rPr>
        <w:lastRenderedPageBreak/>
        <w:t>2.2.1.1 СанПиН 2.1.4.1110-02 «Зоны санитарной охраны источников водоснабжения и водопроводов питьевого назначения».</w:t>
      </w:r>
      <w:r w:rsidRPr="00BC5425">
        <w:rPr>
          <w:rFonts w:ascii="Times New Roman" w:hAnsi="Times New Roman" w:cs="Times New Roman"/>
          <w:sz w:val="24"/>
          <w:szCs w:val="24"/>
        </w:rPr>
        <w:t xml:space="preserve"> </w:t>
      </w:r>
      <w:r w:rsidRPr="00BC5425">
        <w:rPr>
          <w:rFonts w:ascii="Times New Roman" w:hAnsi="Times New Roman" w:cs="Times New Roman"/>
          <w:snapToGrid w:val="0"/>
          <w:sz w:val="24"/>
          <w:szCs w:val="24"/>
        </w:rPr>
        <w:t>На территории зоны строгого режима расположены здания и сооружения, территория не ограждена. Подъездные пути отсутствуют. Водозабор расположены на территории промышленной площадки, что является нарушением  п.2.2.1.1. «Зоны      санитарной   охраны   источников   водоснабжения   и  водопроводов      питьевого назначения.  СанПиН 2.1.4.1110-02»    (ст8.42 КоАПРФ)  (ст6.5 КоАПРФ).</w:t>
      </w:r>
    </w:p>
    <w:p w:rsidR="00630798" w:rsidRPr="00BC5425" w:rsidRDefault="00630798" w:rsidP="00D74571">
      <w:pPr>
        <w:autoSpaceDE w:val="0"/>
        <w:autoSpaceDN w:val="0"/>
        <w:adjustRightInd w:val="0"/>
        <w:spacing w:after="0" w:line="240" w:lineRule="auto"/>
        <w:jc w:val="both"/>
        <w:rPr>
          <w:rFonts w:ascii="Times New Roman" w:hAnsi="Times New Roman" w:cs="Times New Roman"/>
          <w:sz w:val="24"/>
          <w:szCs w:val="24"/>
        </w:rPr>
      </w:pPr>
      <w:r w:rsidRPr="00BC5425">
        <w:rPr>
          <w:rFonts w:ascii="Times New Roman" w:hAnsi="Times New Roman" w:cs="Times New Roman"/>
          <w:sz w:val="24"/>
          <w:szCs w:val="24"/>
        </w:rPr>
        <w:tab/>
      </w:r>
      <w:r w:rsidRPr="00BC5425">
        <w:rPr>
          <w:rFonts w:ascii="Times New Roman" w:hAnsi="Times New Roman" w:cs="Times New Roman"/>
          <w:sz w:val="24"/>
          <w:szCs w:val="24"/>
          <w:u w:val="single"/>
        </w:rPr>
        <w:t xml:space="preserve"> </w:t>
      </w:r>
    </w:p>
    <w:p w:rsidR="00630798" w:rsidRPr="00BC5425" w:rsidRDefault="00630798" w:rsidP="00BC5425">
      <w:pPr>
        <w:spacing w:after="0" w:line="240" w:lineRule="auto"/>
        <w:ind w:firstLine="567"/>
        <w:jc w:val="both"/>
        <w:rPr>
          <w:rFonts w:ascii="Times New Roman" w:hAnsi="Times New Roman" w:cs="Times New Roman"/>
          <w:sz w:val="24"/>
          <w:szCs w:val="24"/>
          <w:lang w:bidi="en-US"/>
        </w:rPr>
      </w:pPr>
      <w:r w:rsidRPr="00D74571">
        <w:rPr>
          <w:rFonts w:ascii="Times New Roman" w:hAnsi="Times New Roman" w:cs="Times New Roman"/>
        </w:rPr>
        <w:t xml:space="preserve">    </w:t>
      </w:r>
      <w:r w:rsidRPr="00BC5425">
        <w:rPr>
          <w:rFonts w:ascii="Times New Roman" w:hAnsi="Times New Roman" w:cs="Times New Roman"/>
          <w:sz w:val="24"/>
          <w:szCs w:val="24"/>
        </w:rPr>
        <w:t xml:space="preserve">При проведения контрольно-надзорных мероприятий 2018 году  в отношении МУП «УГХ» ВОС-4(установка станции водоочистки), </w:t>
      </w:r>
      <w:r w:rsidRPr="00BC5425">
        <w:rPr>
          <w:rFonts w:ascii="Times New Roman" w:hAnsi="Times New Roman" w:cs="Times New Roman"/>
          <w:sz w:val="24"/>
          <w:szCs w:val="24"/>
          <w:lang w:bidi="en-US"/>
        </w:rPr>
        <w:t xml:space="preserve">гПыть-Ях, на основании требования прокуратуры г. Пыть-Ях, в сентябре 2018 г. проводилась  внеплановая выездная проверка, установлены нарушения: </w:t>
      </w:r>
      <w:r w:rsidRPr="00BC5425">
        <w:rPr>
          <w:rFonts w:ascii="Times New Roman" w:hAnsi="Times New Roman" w:cs="Times New Roman"/>
          <w:sz w:val="24"/>
          <w:szCs w:val="24"/>
        </w:rPr>
        <w:t xml:space="preserve">- отсутствует санитарно-эпидемиологическое заключение на использование водного объекта (подземного источника) в целях питьевого и хозяйственно-питьевого назначения в соответствии со  ст. 18  ФЗ № 53 от 30.03.1999г  </w:t>
      </w:r>
    </w:p>
    <w:p w:rsidR="00630798" w:rsidRPr="00BC5425" w:rsidRDefault="00630798" w:rsidP="00D74571">
      <w:pPr>
        <w:spacing w:after="0" w:line="240" w:lineRule="auto"/>
        <w:jc w:val="both"/>
        <w:rPr>
          <w:rFonts w:ascii="Times New Roman" w:hAnsi="Times New Roman" w:cs="Times New Roman"/>
          <w:sz w:val="24"/>
          <w:szCs w:val="24"/>
        </w:rPr>
      </w:pPr>
      <w:r w:rsidRPr="00BC5425">
        <w:rPr>
          <w:rFonts w:ascii="Times New Roman" w:hAnsi="Times New Roman" w:cs="Times New Roman"/>
          <w:sz w:val="24"/>
          <w:szCs w:val="24"/>
        </w:rPr>
        <w:t xml:space="preserve">- Проект ЗСО водозабора   отсутствует. Санитарно-эпидемиологическое заключение по проекту  ЗСО  ВОС-4 отсутствует, что не соответствует требованиям п 1.13. </w:t>
      </w:r>
      <w:bookmarkStart w:id="43" w:name="OLE_LINK19"/>
      <w:bookmarkStart w:id="44" w:name="OLE_LINK20"/>
      <w:r w:rsidRPr="00BC5425">
        <w:rPr>
          <w:rFonts w:ascii="Times New Roman" w:hAnsi="Times New Roman" w:cs="Times New Roman"/>
          <w:sz w:val="24"/>
          <w:szCs w:val="24"/>
        </w:rPr>
        <w:t xml:space="preserve">СанПиН 2.1.4.1110-02 </w:t>
      </w:r>
      <w:bookmarkEnd w:id="43"/>
      <w:bookmarkEnd w:id="44"/>
      <w:r w:rsidRPr="00BC5425">
        <w:rPr>
          <w:rFonts w:ascii="Times New Roman" w:hAnsi="Times New Roman" w:cs="Times New Roman"/>
          <w:sz w:val="24"/>
          <w:szCs w:val="24"/>
        </w:rPr>
        <w:t xml:space="preserve">«Зоны санитарной охраны источников водоснабжения и водопроводов питьевого водоснабжения».Отсутствуют картографические материалы, что не соответствует требованиям п 1.12.   СанПиН 2.1.4.1110-02 «Зоны санитарной охраны источников водоснабжения и водопроводов питьевого водоснабжения»:-план ЗСО 1 пояса;-ситуационный план с утвержденными проектом границами второго и третьего поясов ЗСО и нанесением мест водозаборов и площадок водопроводных сооружений, источника водоснабжения и бассейна его питания (с притоками) в масштабе:  1:10000 - 1:25000); - план второго и  третьего поясов ЗСО в масштабе 1:10000 - 1:25000 - с нанесением всех расположенных на данной территории объектов, экспликации к плану с указанием объектов.  Состоят на учете  5 скважин подземного водоисточника: № А-28( 1) инв 2119 ; № А-29( 2) инв 2220; № А 20-486(6) инв25385;. № А-30( 4); № № А-31( 5) инв 2221.   В работе 1 скважина- № 2 . В резерве- № 5, № 4, скважины № 1, № 3  в ремонте. Скважины подземных водоисточников  расположены раздельно друг от друга, групповой водозабор  не организован . -На расстоянии 15 м от артскважины  № 2 ( с севера, северо-запада), № 3  в ЗСО 1 пояса  расположено ограждение  водозабора,  что  не соответствует требованиям </w:t>
      </w:r>
      <w:bookmarkStart w:id="45" w:name="OLE_LINK21"/>
      <w:r w:rsidRPr="00BC5425">
        <w:rPr>
          <w:rFonts w:ascii="Times New Roman" w:hAnsi="Times New Roman" w:cs="Times New Roman"/>
          <w:sz w:val="24"/>
          <w:szCs w:val="24"/>
        </w:rPr>
        <w:t>п. 2.2.1.1</w:t>
      </w:r>
      <w:bookmarkEnd w:id="45"/>
      <w:r w:rsidRPr="00BC5425">
        <w:rPr>
          <w:rFonts w:ascii="Times New Roman" w:hAnsi="Times New Roman" w:cs="Times New Roman"/>
          <w:sz w:val="24"/>
          <w:szCs w:val="24"/>
        </w:rPr>
        <w:t xml:space="preserve">:СанПиН 2.1.4.1110-02 «Зоны санитарной охраны источников водоснабжения и водопроводов питьевого водоснабжения». ЗСО 1 пояса водозаборов  ограждена по периметру. - часть ограждений покосилась, ворота, на момент проведения обследовании   не закрыты на замки.,  у скважин № 2 , №1  ворота  разрушены, охрана водозабора не организована, дорожки к павильонам  не имеют твердого покрытия, имеющееся повсеместно разрушены, что  не соответствует требованиям  </w:t>
      </w:r>
      <w:bookmarkStart w:id="46" w:name="OLE_LINK24"/>
      <w:r w:rsidRPr="00BC5425">
        <w:rPr>
          <w:rFonts w:ascii="Times New Roman" w:hAnsi="Times New Roman" w:cs="Times New Roman"/>
          <w:sz w:val="24"/>
          <w:szCs w:val="24"/>
        </w:rPr>
        <w:t xml:space="preserve">п 3.2.1.1 </w:t>
      </w:r>
      <w:bookmarkEnd w:id="46"/>
      <w:r w:rsidRPr="00BC5425">
        <w:rPr>
          <w:rFonts w:ascii="Times New Roman" w:hAnsi="Times New Roman" w:cs="Times New Roman"/>
          <w:sz w:val="24"/>
          <w:szCs w:val="24"/>
        </w:rPr>
        <w:t xml:space="preserve">СанПиН 2.1.4.1110-02 «Зоны санитарной охраны источников водоснабжения и водопроводов питьевого водоснабжения» . -Территория не  в полном объеме спланирована для отвода  поверхностных вод за ее пределы (имеются следы разрывов грунта и нарушения целостности травяного покрова) на момент проведения обследования от   павильонов: скважины № 5  на расстоянии 5 м  , скважины №  3 -10 метров, имеются поверхностные  грунтовые воды  ,   что  не соответствует требованиям  п 3.2.1.1 СанПиН 2.1.4.1110-02 «Зоны санитарной охраны источников водоснабжения и водопроводов питьевого водоснабжения» .- Устья скважин не  оборудованы </w:t>
      </w:r>
      <w:r w:rsidRPr="00BC5425">
        <w:rPr>
          <w:rFonts w:ascii="Times New Roman" w:hAnsi="Times New Roman" w:cs="Times New Roman"/>
          <w:color w:val="333333"/>
          <w:sz w:val="24"/>
          <w:szCs w:val="24"/>
          <w:shd w:val="clear" w:color="auto" w:fill="FFFFFF"/>
        </w:rPr>
        <w:t xml:space="preserve"> с учетом предотвращения возможности загрязнения питьевой воды через оголовки устья, трапы для отвода воды отсутствуют, что не исключает возможность загрязнения питьевой воды и  не  соответствует </w:t>
      </w:r>
      <w:bookmarkStart w:id="47" w:name="OLE_LINK27"/>
      <w:bookmarkStart w:id="48" w:name="OLE_LINK28"/>
      <w:r w:rsidRPr="00BC5425">
        <w:rPr>
          <w:rFonts w:ascii="Times New Roman" w:hAnsi="Times New Roman" w:cs="Times New Roman"/>
          <w:color w:val="333333"/>
          <w:sz w:val="24"/>
          <w:szCs w:val="24"/>
          <w:shd w:val="clear" w:color="auto" w:fill="FFFFFF"/>
        </w:rPr>
        <w:t>требованиям п.</w:t>
      </w:r>
      <w:r w:rsidRPr="00BC5425">
        <w:rPr>
          <w:rFonts w:ascii="Times New Roman" w:hAnsi="Times New Roman" w:cs="Times New Roman"/>
          <w:sz w:val="24"/>
          <w:szCs w:val="24"/>
        </w:rPr>
        <w:t xml:space="preserve"> 3.2.1.4  </w:t>
      </w:r>
      <w:bookmarkEnd w:id="47"/>
      <w:bookmarkEnd w:id="48"/>
      <w:r w:rsidRPr="00BC5425">
        <w:rPr>
          <w:rFonts w:ascii="Times New Roman" w:hAnsi="Times New Roman" w:cs="Times New Roman"/>
          <w:sz w:val="24"/>
          <w:szCs w:val="24"/>
        </w:rPr>
        <w:t xml:space="preserve">СанПиН 2.1.4.1110 – 02 « Зоны санитарной охраны источников водоснабжения и водопроводов питьевого назначения».  - Артскважины  ВОС-4 не оборудованы  аппаратурой для систематического контроля соответствия фактического дебита при эксплуатации проектной производительности,  что не соответствует требованиям п 3.2.1.5  СанПиН 2.1.4.1110-02 «Зоны санитарной охраны источников водоснабжения и водопроводов питьевого водоснабжения» ;  - Данные о  прокладке водоводов со скважин до коллектора  и до ввода на  территорию ВОС-4 отсутствуют, санитарно-защитная полоса водопроводов  отсутствует, что не соответствует требованиям </w:t>
      </w:r>
      <w:bookmarkStart w:id="49" w:name="OLE_LINK29"/>
      <w:bookmarkStart w:id="50" w:name="OLE_LINK30"/>
      <w:r w:rsidRPr="00BC5425">
        <w:rPr>
          <w:rFonts w:ascii="Times New Roman" w:hAnsi="Times New Roman" w:cs="Times New Roman"/>
          <w:sz w:val="24"/>
          <w:szCs w:val="24"/>
        </w:rPr>
        <w:t xml:space="preserve">п 2.4.3. </w:t>
      </w:r>
      <w:bookmarkEnd w:id="49"/>
      <w:bookmarkEnd w:id="50"/>
      <w:r w:rsidRPr="00BC5425">
        <w:rPr>
          <w:rFonts w:ascii="Times New Roman" w:hAnsi="Times New Roman" w:cs="Times New Roman"/>
          <w:sz w:val="24"/>
          <w:szCs w:val="24"/>
        </w:rPr>
        <w:t xml:space="preserve">СанПиН 2.1.4.1110 – </w:t>
      </w:r>
      <w:r w:rsidRPr="00BC5425">
        <w:rPr>
          <w:rFonts w:ascii="Times New Roman" w:hAnsi="Times New Roman" w:cs="Times New Roman"/>
          <w:sz w:val="24"/>
          <w:szCs w:val="24"/>
        </w:rPr>
        <w:lastRenderedPageBreak/>
        <w:t>02 « Зоны санитарной охраны источников водоснабжения и водопроводов питьевого назначения». Территория ВОС-4 ограждена по периметру, оборудованы одни ворота для въезда и выезда. Охрана отсутствует, объект закрывается, доступ на объект осуществляется  машинистами насосных установок, работающих круглосуточно.</w:t>
      </w:r>
    </w:p>
    <w:p w:rsidR="00630798" w:rsidRPr="00BC5425" w:rsidRDefault="00630798" w:rsidP="00D74571">
      <w:pPr>
        <w:spacing w:after="0" w:line="240" w:lineRule="auto"/>
        <w:jc w:val="both"/>
        <w:rPr>
          <w:rFonts w:ascii="Times New Roman" w:hAnsi="Times New Roman" w:cs="Times New Roman"/>
          <w:sz w:val="24"/>
          <w:szCs w:val="24"/>
        </w:rPr>
      </w:pPr>
      <w:r w:rsidRPr="00BC5425">
        <w:rPr>
          <w:rFonts w:ascii="Times New Roman" w:hAnsi="Times New Roman" w:cs="Times New Roman"/>
          <w:sz w:val="24"/>
          <w:szCs w:val="24"/>
        </w:rPr>
        <w:t xml:space="preserve"> -В границе ЗСО 1 пояса водопроводных сооружений, от  подземного резервуара с водой на расстоянии  около 10 м  оборудован выгреб непоглощающего типа для сбора  ЖБО;  что     не соответствует требованиям </w:t>
      </w:r>
      <w:bookmarkStart w:id="51" w:name="OLE_LINK31"/>
      <w:bookmarkStart w:id="52" w:name="OLE_LINK32"/>
      <w:r w:rsidRPr="00BC5425">
        <w:rPr>
          <w:rFonts w:ascii="Times New Roman" w:hAnsi="Times New Roman" w:cs="Times New Roman"/>
          <w:sz w:val="24"/>
          <w:szCs w:val="24"/>
        </w:rPr>
        <w:t xml:space="preserve">п  3.2.1.3. </w:t>
      </w:r>
      <w:bookmarkEnd w:id="51"/>
      <w:bookmarkEnd w:id="52"/>
      <w:r w:rsidRPr="00BC5425">
        <w:rPr>
          <w:rFonts w:ascii="Times New Roman" w:hAnsi="Times New Roman" w:cs="Times New Roman"/>
          <w:sz w:val="24"/>
          <w:szCs w:val="24"/>
        </w:rPr>
        <w:t xml:space="preserve">СанПиН 2.1.4.1110 – 02 « Зоны санитарной охраны источников водоснабжения и водопроводов питьевого назначения».  Станция  водоподготовки </w:t>
      </w:r>
      <w:r w:rsidRPr="00BC5425">
        <w:rPr>
          <w:rFonts w:ascii="Times New Roman" w:hAnsi="Times New Roman" w:cs="Times New Roman"/>
          <w:b/>
          <w:bCs/>
          <w:sz w:val="24"/>
          <w:szCs w:val="24"/>
          <w:lang w:val="en-US"/>
        </w:rPr>
        <w:t>RWT</w:t>
      </w:r>
      <w:r w:rsidRPr="00BC5425">
        <w:rPr>
          <w:rFonts w:ascii="Times New Roman" w:hAnsi="Times New Roman" w:cs="Times New Roman"/>
          <w:b/>
          <w:bCs/>
          <w:sz w:val="24"/>
          <w:szCs w:val="24"/>
        </w:rPr>
        <w:t xml:space="preserve">60. </w:t>
      </w:r>
      <w:r w:rsidRPr="00BC5425">
        <w:rPr>
          <w:rFonts w:ascii="Times New Roman" w:hAnsi="Times New Roman" w:cs="Times New Roman"/>
          <w:b/>
          <w:bCs/>
          <w:sz w:val="24"/>
          <w:szCs w:val="24"/>
          <w:lang w:val="en-US"/>
        </w:rPr>
        <w:t>FAOZ</w:t>
      </w:r>
      <w:r w:rsidRPr="00BC5425">
        <w:rPr>
          <w:rFonts w:ascii="Times New Roman" w:hAnsi="Times New Roman" w:cs="Times New Roman"/>
          <w:sz w:val="24"/>
          <w:szCs w:val="24"/>
        </w:rPr>
        <w:t xml:space="preserve">расположена  на территории ВОС-4 в быстровозводимом здании и представляет собой 1 помещение. Высота около 4,5 м , пол выложен бетонными плитами, стыки между плитами  не забетонированы, не оборудованы трапы  для сбора воды, конденсата. Стены выполнены листами профнастила с 2 сторон, внутри- между панелями утеплитель   минвата. -Исполнительная документация на  здание не предоставлена, что не позволяет оценить качество  и безопасность строительных материалов и изделий . Оценить  производительность, эффективность работающих вентиляционных установок не представляется возможным.    В помещении  станции установлены : 3 модуль-контейнера , на которых , внутри контейнеров, прикручена металлическая табличка с надписями    </w:t>
      </w:r>
      <w:r w:rsidRPr="00BC5425">
        <w:rPr>
          <w:rFonts w:ascii="Times New Roman" w:hAnsi="Times New Roman" w:cs="Times New Roman"/>
          <w:sz w:val="24"/>
          <w:szCs w:val="24"/>
          <w:lang w:val="en-US"/>
        </w:rPr>
        <w:t>RWTMODULE</w:t>
      </w:r>
      <w:r w:rsidRPr="00BC5425">
        <w:rPr>
          <w:rFonts w:ascii="Times New Roman" w:hAnsi="Times New Roman" w:cs="Times New Roman"/>
          <w:sz w:val="24"/>
          <w:szCs w:val="24"/>
        </w:rPr>
        <w:t xml:space="preserve"> 15 ,  производства завода </w:t>
      </w:r>
      <w:r w:rsidRPr="00BC5425">
        <w:rPr>
          <w:rFonts w:ascii="Times New Roman" w:hAnsi="Times New Roman" w:cs="Times New Roman"/>
          <w:sz w:val="24"/>
          <w:szCs w:val="24"/>
          <w:lang w:val="en-US"/>
        </w:rPr>
        <w:t>IWETa</w:t>
      </w:r>
      <w:r w:rsidRPr="00BC5425">
        <w:rPr>
          <w:rFonts w:ascii="Times New Roman" w:hAnsi="Times New Roman" w:cs="Times New Roman"/>
          <w:sz w:val="24"/>
          <w:szCs w:val="24"/>
        </w:rPr>
        <w:t>..</w:t>
      </w:r>
      <w:r w:rsidRPr="00BC5425">
        <w:rPr>
          <w:rFonts w:ascii="Times New Roman" w:hAnsi="Times New Roman" w:cs="Times New Roman"/>
          <w:sz w:val="24"/>
          <w:szCs w:val="24"/>
          <w:lang w:val="en-US"/>
        </w:rPr>
        <w:t>s</w:t>
      </w:r>
      <w:r w:rsidRPr="00BC5425">
        <w:rPr>
          <w:rFonts w:ascii="Times New Roman" w:hAnsi="Times New Roman" w:cs="Times New Roman"/>
          <w:sz w:val="24"/>
          <w:szCs w:val="24"/>
        </w:rPr>
        <w:t xml:space="preserve">, Чехия., каждый контейнер имеет свой артикул.   </w:t>
      </w:r>
      <w:r w:rsidRPr="00BC5425">
        <w:rPr>
          <w:rFonts w:ascii="Times New Roman" w:hAnsi="Times New Roman" w:cs="Times New Roman"/>
          <w:color w:val="000000"/>
          <w:sz w:val="24"/>
          <w:szCs w:val="24"/>
        </w:rPr>
        <w:t xml:space="preserve">На территории ВОС-4 установлены  две накопительные выгребные емкости « НЕ- ТСК-25» , объемом по 25 м3. Сертификаты соответствия, технический паспорт предоставлены.  На момент обследования территория около емкостей затоплена дождевыми водами, не спланирована, не обеспечен проезд автотранспорта для откачки промывных (сточных) вод, -выгребные емкости расположены на расстояние менее 30 м  от  ЗСО 1 пояса здания с установленным оборудованием  водоочистки, что не соответствует требованиям   </w:t>
      </w:r>
      <w:bookmarkStart w:id="53" w:name="OLE_LINK33"/>
      <w:bookmarkStart w:id="54" w:name="OLE_LINK34"/>
      <w:r w:rsidRPr="00BC5425">
        <w:rPr>
          <w:rFonts w:ascii="Times New Roman" w:hAnsi="Times New Roman" w:cs="Times New Roman"/>
          <w:color w:val="000000"/>
          <w:sz w:val="24"/>
          <w:szCs w:val="24"/>
        </w:rPr>
        <w:t>п 3.2.1.1.</w:t>
      </w:r>
      <w:bookmarkEnd w:id="53"/>
      <w:bookmarkEnd w:id="54"/>
      <w:r w:rsidRPr="00BC5425">
        <w:rPr>
          <w:rFonts w:ascii="Times New Roman" w:hAnsi="Times New Roman" w:cs="Times New Roman"/>
          <w:sz w:val="24"/>
          <w:szCs w:val="24"/>
        </w:rPr>
        <w:t xml:space="preserve">СанПиН 2.1.4.1110 – 02 « Зоны санитарной охраны источников водоснабжения и водопроводов питьевого назначения».-Фактически выгребные емкости не эксплуатируются, труба для сброса промывных вод выведена со станции за территорию объекта, в болото, что не соответствует требованиям </w:t>
      </w:r>
      <w:bookmarkStart w:id="55" w:name="OLE_LINK35"/>
      <w:r w:rsidRPr="00BC5425">
        <w:rPr>
          <w:rFonts w:ascii="Times New Roman" w:hAnsi="Times New Roman" w:cs="Times New Roman"/>
          <w:sz w:val="24"/>
          <w:szCs w:val="24"/>
        </w:rPr>
        <w:t xml:space="preserve">п 3.2.1.3. </w:t>
      </w:r>
      <w:bookmarkEnd w:id="55"/>
      <w:r w:rsidRPr="00BC5425">
        <w:rPr>
          <w:rFonts w:ascii="Times New Roman" w:hAnsi="Times New Roman" w:cs="Times New Roman"/>
          <w:sz w:val="24"/>
          <w:szCs w:val="24"/>
        </w:rPr>
        <w:t>СанПиН 2.1.4.1110 – 02 « Зоны санитарной охраны источников водоснабжения и водопроводов питьевого назначения». В ходе анализа предоставленной производственной документации по  станции водоподготовки  установлено:</w:t>
      </w:r>
      <w:r w:rsidRPr="00BC5425">
        <w:rPr>
          <w:rFonts w:ascii="Times New Roman" w:hAnsi="Times New Roman" w:cs="Times New Roman"/>
          <w:color w:val="000000"/>
          <w:sz w:val="24"/>
          <w:szCs w:val="24"/>
        </w:rPr>
        <w:t>-</w:t>
      </w:r>
      <w:r w:rsidRPr="00BC5425">
        <w:rPr>
          <w:rFonts w:ascii="Times New Roman" w:hAnsi="Times New Roman" w:cs="Times New Roman"/>
          <w:sz w:val="24"/>
          <w:szCs w:val="24"/>
        </w:rPr>
        <w:t xml:space="preserve"> Работы по поставке, пуско-наладке и вводу в эксплуатацию комплекса оборудования водоподготовки в контейнерном исполнении по объекту « Капитальный ремонт( с заменой) оборудования водоочистных сооружений №4 г.Пыть-Ях» осуществлялось  ООО «Инновационные Технологии» ( ООО «Интех»), на основании договора подряда № 527 от 22.12.2016, заключенного с МУП «Управление  городского хозяйства», которое являлось заказчиком  работ . Согласно договора подряда № 527 от 22.12.2016г.  «Подрядчик»    предоставляет оборудование водоподготовки в контейнерном исполнении производительностью 1200куб.м./сутки с предоставлением  документов, удостоверяющих их качество. Предоставлен акт приемки выполненных работ № 50 по договору подряда № 527 от 22.12.2016г. об оказании услуг по изготовлению, поставке, пуско-наладке и вводу в эксплуатацию комплекса оборудования водоподготовки в контейнерном исполнении производительностью 1200 куб.м./сутки  по объекту   «Капитальный ремонт (с заменой ) оборудования водоочистных сооружений № 4 г. Пыть-Ях» в количестве 1.Руководствуясь актом от 19.09.2018г.   о запуске водоочистной установки на объекте ВОС-4 в тестовом режиме, утвержденным и.о. главы города Пыть-Ях, осуществлен запуск установки водоочистки на объекте ВОС-4 в водораспределительную сеть 2 «А» микрорайона.</w:t>
      </w:r>
      <w:r w:rsidRPr="00BC5425">
        <w:rPr>
          <w:rFonts w:ascii="Times New Roman" w:hAnsi="Times New Roman" w:cs="Times New Roman"/>
          <w:sz w:val="24"/>
          <w:szCs w:val="24"/>
          <w:u w:val="single"/>
        </w:rPr>
        <w:t xml:space="preserve">  </w:t>
      </w:r>
      <w:r w:rsidRPr="00BC5425">
        <w:rPr>
          <w:rFonts w:ascii="Times New Roman" w:hAnsi="Times New Roman" w:cs="Times New Roman"/>
          <w:bCs/>
          <w:sz w:val="24"/>
          <w:szCs w:val="24"/>
        </w:rPr>
        <w:t xml:space="preserve">Предоставлена декларация о соответствии , выданная   на </w:t>
      </w:r>
      <w:r w:rsidRPr="00BC5425">
        <w:rPr>
          <w:rFonts w:ascii="Times New Roman" w:hAnsi="Times New Roman" w:cs="Times New Roman"/>
          <w:bCs/>
          <w:sz w:val="24"/>
          <w:szCs w:val="24"/>
          <w:shd w:val="clear" w:color="auto" w:fill="FFFFFF"/>
        </w:rPr>
        <w:t>Станции водоподготовки контейнерные «IWET CONCEPT», с маркировкой RWT, типы: RWT5FAOZ, RWT10, RWT15, RWT60, RWT100</w:t>
      </w:r>
      <w:r w:rsidRPr="00BC5425">
        <w:rPr>
          <w:rFonts w:ascii="Times New Roman" w:hAnsi="Times New Roman" w:cs="Times New Roman"/>
          <w:bCs/>
          <w:sz w:val="24"/>
          <w:szCs w:val="24"/>
        </w:rPr>
        <w:t>, регистр. номер ТС</w:t>
      </w:r>
      <w:r w:rsidRPr="00BC5425">
        <w:rPr>
          <w:rFonts w:ascii="Times New Roman" w:hAnsi="Times New Roman" w:cs="Times New Roman"/>
          <w:bCs/>
          <w:sz w:val="24"/>
          <w:szCs w:val="24"/>
          <w:lang w:val="en-US"/>
        </w:rPr>
        <w:t>NRU</w:t>
      </w:r>
      <w:r w:rsidRPr="00BC5425">
        <w:rPr>
          <w:rFonts w:ascii="Times New Roman" w:hAnsi="Times New Roman" w:cs="Times New Roman"/>
          <w:bCs/>
          <w:sz w:val="24"/>
          <w:szCs w:val="24"/>
        </w:rPr>
        <w:t>Д-</w:t>
      </w:r>
      <w:r w:rsidRPr="00BC5425">
        <w:rPr>
          <w:rFonts w:ascii="Times New Roman" w:hAnsi="Times New Roman" w:cs="Times New Roman"/>
          <w:bCs/>
          <w:sz w:val="24"/>
          <w:szCs w:val="24"/>
          <w:lang w:val="en-US"/>
        </w:rPr>
        <w:t>CZ</w:t>
      </w:r>
      <w:r w:rsidRPr="00BC5425">
        <w:rPr>
          <w:rFonts w:ascii="Times New Roman" w:hAnsi="Times New Roman" w:cs="Times New Roman"/>
          <w:bCs/>
          <w:sz w:val="24"/>
          <w:szCs w:val="24"/>
        </w:rPr>
        <w:t>.</w:t>
      </w:r>
      <w:r w:rsidRPr="00BC5425">
        <w:rPr>
          <w:rFonts w:ascii="Times New Roman" w:hAnsi="Times New Roman" w:cs="Times New Roman"/>
          <w:bCs/>
          <w:sz w:val="24"/>
          <w:szCs w:val="24"/>
          <w:lang w:val="en-US"/>
        </w:rPr>
        <w:t>AB</w:t>
      </w:r>
      <w:r w:rsidRPr="00BC5425">
        <w:rPr>
          <w:rFonts w:ascii="Times New Roman" w:hAnsi="Times New Roman" w:cs="Times New Roman"/>
          <w:bCs/>
          <w:sz w:val="24"/>
          <w:szCs w:val="24"/>
        </w:rPr>
        <w:t>24.</w:t>
      </w:r>
      <w:r w:rsidRPr="00BC5425">
        <w:rPr>
          <w:rFonts w:ascii="Times New Roman" w:hAnsi="Times New Roman" w:cs="Times New Roman"/>
          <w:bCs/>
          <w:sz w:val="24"/>
          <w:szCs w:val="24"/>
          <w:lang w:val="en-US"/>
        </w:rPr>
        <w:t>B</w:t>
      </w:r>
      <w:r w:rsidRPr="00BC5425">
        <w:rPr>
          <w:rFonts w:ascii="Times New Roman" w:hAnsi="Times New Roman" w:cs="Times New Roman"/>
          <w:bCs/>
          <w:sz w:val="24"/>
          <w:szCs w:val="24"/>
        </w:rPr>
        <w:t xml:space="preserve">.02589 от 15.11.16, срок действия  до 14.11.2021г, выданная ООО «Инновационные технологии». В реестре «Росаккредитации» выданных деклараций соответствия данная декларация имеется, со статусом действующая. -Декларация соответствия  на станцию водоподготовки   </w:t>
      </w:r>
      <w:r w:rsidRPr="00BC5425">
        <w:rPr>
          <w:rFonts w:ascii="Times New Roman" w:hAnsi="Times New Roman" w:cs="Times New Roman"/>
          <w:bCs/>
          <w:sz w:val="24"/>
          <w:szCs w:val="24"/>
          <w:lang w:val="en-US"/>
        </w:rPr>
        <w:t>RWT</w:t>
      </w:r>
      <w:r w:rsidRPr="00BC5425">
        <w:rPr>
          <w:rFonts w:ascii="Times New Roman" w:hAnsi="Times New Roman" w:cs="Times New Roman"/>
          <w:bCs/>
          <w:sz w:val="24"/>
          <w:szCs w:val="24"/>
        </w:rPr>
        <w:t xml:space="preserve">60. </w:t>
      </w:r>
      <w:r w:rsidRPr="00BC5425">
        <w:rPr>
          <w:rFonts w:ascii="Times New Roman" w:hAnsi="Times New Roman" w:cs="Times New Roman"/>
          <w:bCs/>
          <w:sz w:val="24"/>
          <w:szCs w:val="24"/>
          <w:lang w:val="en-US"/>
        </w:rPr>
        <w:t>FAOZ</w:t>
      </w:r>
      <w:r w:rsidRPr="00BC5425">
        <w:rPr>
          <w:rFonts w:ascii="Times New Roman" w:hAnsi="Times New Roman" w:cs="Times New Roman"/>
          <w:bCs/>
          <w:sz w:val="24"/>
          <w:szCs w:val="24"/>
        </w:rPr>
        <w:t xml:space="preserve"> ( которая установлена на ВОС-4, согласно предоставленного паспорта) ,   отсутствует. В предоставленном паспорте так же </w:t>
      </w:r>
      <w:r w:rsidRPr="00BC5425">
        <w:rPr>
          <w:rFonts w:ascii="Times New Roman" w:hAnsi="Times New Roman" w:cs="Times New Roman"/>
          <w:bCs/>
          <w:sz w:val="24"/>
          <w:szCs w:val="24"/>
        </w:rPr>
        <w:lastRenderedPageBreak/>
        <w:t>отсутствует ссылка на предоставленную декларацию о соответствии,  что не соответствует требованиям   п 6 ст 8 ТР ТС 010/2011 « О безопасности машин и оборудования»</w:t>
      </w:r>
      <w:r w:rsidRPr="00BC5425">
        <w:rPr>
          <w:rFonts w:ascii="Times New Roman" w:hAnsi="Times New Roman" w:cs="Times New Roman"/>
          <w:sz w:val="24"/>
          <w:szCs w:val="24"/>
        </w:rPr>
        <w:t>; - на станции отсутствует документация</w:t>
      </w:r>
      <w:r w:rsidRPr="00BC5425">
        <w:rPr>
          <w:rFonts w:ascii="Times New Roman" w:hAnsi="Times New Roman" w:cs="Times New Roman"/>
          <w:color w:val="2D2D2D"/>
          <w:spacing w:val="2"/>
          <w:sz w:val="24"/>
          <w:szCs w:val="24"/>
          <w:shd w:val="clear" w:color="auto" w:fill="FFFFFF"/>
        </w:rPr>
        <w:t xml:space="preserve"> подтверждающая безопасность оборудования, материалов и веществ , участвующих в процессе водоподготовки : свидетельство о государственной регистрации  </w:t>
      </w:r>
      <w:r w:rsidRPr="00BC5425">
        <w:rPr>
          <w:rFonts w:ascii="Times New Roman" w:hAnsi="Times New Roman" w:cs="Times New Roman"/>
          <w:sz w:val="24"/>
          <w:szCs w:val="24"/>
        </w:rPr>
        <w:t>на  материалы, оборудование, устройства и технические средства водоподготовки, предназначенные для использования в системах хозяйственно-питьевого водоснабжения    ( группы</w:t>
      </w:r>
      <w:r w:rsidRPr="00BC5425">
        <w:rPr>
          <w:rFonts w:ascii="Times New Roman" w:hAnsi="Times New Roman" w:cs="Times New Roman"/>
          <w:sz w:val="24"/>
          <w:szCs w:val="24"/>
        </w:rPr>
        <w:fldChar w:fldCharType="begin"/>
      </w:r>
      <w:r w:rsidRPr="00BC5425">
        <w:rPr>
          <w:rFonts w:ascii="Times New Roman" w:hAnsi="Times New Roman" w:cs="Times New Roman"/>
          <w:sz w:val="24"/>
          <w:szCs w:val="24"/>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630798" w:rsidRPr="00BC5425" w:rsidRDefault="00630798" w:rsidP="00D74571">
      <w:pPr>
        <w:widowControl w:val="0"/>
        <w:autoSpaceDE w:val="0"/>
        <w:autoSpaceDN w:val="0"/>
        <w:adjustRightInd w:val="0"/>
        <w:spacing w:after="0" w:line="240" w:lineRule="auto"/>
        <w:ind w:firstLine="568"/>
        <w:jc w:val="both"/>
        <w:rPr>
          <w:rFonts w:ascii="Times New Roman" w:hAnsi="Times New Roman" w:cs="Times New Roman"/>
          <w:sz w:val="24"/>
          <w:szCs w:val="24"/>
        </w:rPr>
      </w:pPr>
      <w:r w:rsidRPr="00BC5425">
        <w:rPr>
          <w:rFonts w:ascii="Times New Roman" w:hAnsi="Times New Roman" w:cs="Times New Roman"/>
          <w:sz w:val="24"/>
          <w:szCs w:val="24"/>
        </w:rPr>
        <w:instrText>Решение Совета ЕЭК от 16.07.2012 N 54</w:instrText>
      </w:r>
    </w:p>
    <w:p w:rsidR="00630798" w:rsidRPr="00BC5425" w:rsidRDefault="00630798" w:rsidP="00D74571">
      <w:pPr>
        <w:shd w:val="clear" w:color="auto" w:fill="FFFFFF"/>
        <w:spacing w:after="0" w:line="240" w:lineRule="auto"/>
        <w:jc w:val="both"/>
        <w:rPr>
          <w:rFonts w:ascii="Times New Roman" w:hAnsi="Times New Roman" w:cs="Times New Roman"/>
          <w:color w:val="000000"/>
          <w:sz w:val="24"/>
          <w:szCs w:val="24"/>
          <w:u w:val="single"/>
        </w:rPr>
      </w:pPr>
      <w:r w:rsidRPr="00BC5425">
        <w:rPr>
          <w:rFonts w:ascii="Times New Roman" w:hAnsi="Times New Roman" w:cs="Times New Roman"/>
          <w:sz w:val="24"/>
          <w:szCs w:val="24"/>
        </w:rPr>
        <w:instrText>Статус: действующая редакция (действ. с 23.09.2018)"</w:instrText>
      </w:r>
      <w:r w:rsidRPr="00BC5425">
        <w:rPr>
          <w:rFonts w:ascii="Times New Roman" w:hAnsi="Times New Roman" w:cs="Times New Roman"/>
          <w:sz w:val="24"/>
          <w:szCs w:val="24"/>
        </w:rPr>
        <w:fldChar w:fldCharType="separate"/>
      </w:r>
      <w:r w:rsidRPr="00BC5425">
        <w:rPr>
          <w:rFonts w:ascii="Times New Roman" w:hAnsi="Times New Roman" w:cs="Times New Roman"/>
          <w:sz w:val="24"/>
          <w:szCs w:val="24"/>
        </w:rPr>
        <w:t xml:space="preserve">ТН ВЭД ЕАЭС </w:t>
      </w:r>
      <w:r w:rsidRPr="00BC5425">
        <w:rPr>
          <w:rFonts w:ascii="Times New Roman" w:hAnsi="Times New Roman" w:cs="Times New Roman"/>
          <w:sz w:val="24"/>
          <w:szCs w:val="24"/>
        </w:rPr>
        <w:fldChar w:fldCharType="end"/>
      </w:r>
      <w:r w:rsidRPr="00BC5425">
        <w:rPr>
          <w:rFonts w:ascii="Times New Roman" w:hAnsi="Times New Roman" w:cs="Times New Roman"/>
          <w:sz w:val="24"/>
          <w:szCs w:val="24"/>
        </w:rPr>
        <w:t xml:space="preserve">: 25, 38-40, 48, 84, 85)    что не  позволяет оценить их безопасность  для человека при использовании в процессе водоподготовки и не   соответствует  ст 1 п 1.2.,  ст 3 п 3.2 , раздел 3 п 3.1, п 2.1« </w:t>
      </w:r>
      <w:r w:rsidRPr="00BC5425">
        <w:rPr>
          <w:rFonts w:ascii="Times New Roman" w:hAnsi="Times New Roman" w:cs="Times New Roman"/>
          <w:color w:val="000000"/>
          <w:sz w:val="24"/>
          <w:szCs w:val="24"/>
        </w:rPr>
        <w:t>Единые санитарно-эпидемиологические и гигиенические требования к товарам, подлежащим санитарно-эпидемиологическому надзору (контролю)</w:t>
      </w:r>
      <w:r w:rsidRPr="00BC5425">
        <w:rPr>
          <w:rFonts w:ascii="Times New Roman" w:hAnsi="Times New Roman" w:cs="Times New Roman"/>
          <w:sz w:val="24"/>
          <w:szCs w:val="24"/>
        </w:rPr>
        <w:t xml:space="preserve"> утвержденный  решением комиссии  таможенного союза Приложение № 2 № 299 от 29.05.2010г( с изменениями); </w:t>
      </w:r>
      <w:r w:rsidRPr="00BC5425">
        <w:rPr>
          <w:rFonts w:ascii="Times New Roman" w:hAnsi="Times New Roman" w:cs="Times New Roman"/>
          <w:color w:val="000000"/>
          <w:sz w:val="24"/>
          <w:szCs w:val="24"/>
        </w:rPr>
        <w:t xml:space="preserve"> -отсутствуют  результаты гигиенической оценки  используемого коагулянта,   песка кварцевого ,угля активированного,  а также  вспомогательного оборудования и конструкционных  материалов, контактирующих с водой,  подтверждающие их   безопасность для человека при использовании в системе водоочистки, в соответствии с  требованиям </w:t>
      </w:r>
      <w:bookmarkStart w:id="56" w:name="OLE_LINK36"/>
      <w:bookmarkStart w:id="57" w:name="OLE_LINK37"/>
      <w:r w:rsidRPr="00BC5425">
        <w:rPr>
          <w:rFonts w:ascii="Times New Roman" w:hAnsi="Times New Roman" w:cs="Times New Roman"/>
          <w:color w:val="000000"/>
          <w:sz w:val="24"/>
          <w:szCs w:val="24"/>
        </w:rPr>
        <w:t>п 1.3, п 1.5, п 2.1, 2.3.</w:t>
      </w:r>
      <w:r w:rsidRPr="00BC5425">
        <w:rPr>
          <w:rFonts w:ascii="Times New Roman" w:hAnsi="Times New Roman" w:cs="Times New Roman"/>
          <w:sz w:val="24"/>
          <w:szCs w:val="24"/>
        </w:rPr>
        <w:t xml:space="preserve">. р3 </w:t>
      </w:r>
      <w:bookmarkEnd w:id="56"/>
      <w:bookmarkEnd w:id="57"/>
      <w:r w:rsidRPr="00BC5425">
        <w:rPr>
          <w:rFonts w:ascii="Times New Roman" w:hAnsi="Times New Roman" w:cs="Times New Roman"/>
          <w:sz w:val="24"/>
          <w:szCs w:val="24"/>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 изменениями  и  дополнениями№3)"- СанПиН 2.1.4.2652-10 «Гигиенические требования безопасности материалов, реагентов, оборудования, используемых для водоочистки и водоподготовки».</w:t>
      </w:r>
      <w:r w:rsidRPr="00BC5425">
        <w:rPr>
          <w:rFonts w:ascii="Times New Roman" w:hAnsi="Times New Roman" w:cs="Times New Roman"/>
          <w:color w:val="000000"/>
          <w:sz w:val="24"/>
          <w:szCs w:val="24"/>
        </w:rPr>
        <w:t xml:space="preserve">  </w:t>
      </w:r>
      <w:r w:rsidRPr="00BC5425">
        <w:rPr>
          <w:rFonts w:ascii="Times New Roman" w:hAnsi="Times New Roman" w:cs="Times New Roman"/>
          <w:bCs/>
          <w:sz w:val="24"/>
          <w:szCs w:val="24"/>
        </w:rPr>
        <w:t xml:space="preserve">Указанная в паспорте на станцию водоподготовки технологическая схема водоподготовки не соответствует  фактической.  </w:t>
      </w:r>
      <w:r w:rsidRPr="00BC5425">
        <w:rPr>
          <w:rFonts w:ascii="Times New Roman" w:hAnsi="Times New Roman" w:cs="Times New Roman"/>
          <w:color w:val="000000"/>
          <w:sz w:val="24"/>
          <w:szCs w:val="24"/>
        </w:rPr>
        <w:t xml:space="preserve">   Измененная технологическая схема водоочистки отсутствует официально не утверждена.</w:t>
      </w:r>
      <w:r w:rsidRPr="00BC5425">
        <w:rPr>
          <w:rFonts w:ascii="Times New Roman" w:hAnsi="Times New Roman" w:cs="Times New Roman"/>
          <w:sz w:val="24"/>
          <w:szCs w:val="24"/>
          <w:u w:val="single"/>
        </w:rPr>
        <w:t>Утвержденная технология водоочистки  воды  ВОС-4 отсутствует.</w:t>
      </w:r>
      <w:r w:rsidRPr="00BC5425">
        <w:rPr>
          <w:rFonts w:ascii="Times New Roman" w:hAnsi="Times New Roman" w:cs="Times New Roman"/>
          <w:sz w:val="24"/>
          <w:szCs w:val="24"/>
        </w:rPr>
        <w:t xml:space="preserve">  - Отсутствует, утвержденная директором МУП «УГХ» в 2018г-2019г. и согласованная с ТО УРПН в г. Нефтеюганске, Нефтеюганском районе и г. Пыть-Яхе  рабочая программа производственного контроля  качества воды ВОС-4( горячего и холодного водоснабжения),с учетом наличия станции водоподготовки, в нарушение   требований </w:t>
      </w:r>
      <w:bookmarkStart w:id="58" w:name="OLE_LINK40"/>
      <w:bookmarkStart w:id="59" w:name="OLE_LINK41"/>
      <w:r w:rsidRPr="00BC5425">
        <w:rPr>
          <w:rFonts w:ascii="Times New Roman" w:hAnsi="Times New Roman" w:cs="Times New Roman"/>
          <w:sz w:val="24"/>
          <w:szCs w:val="24"/>
        </w:rPr>
        <w:t xml:space="preserve">р.1.п 2.4 п 4.2. ., приложение № 1  п1, п 3.1.р2 приложеиие 1   </w:t>
      </w:r>
      <w:bookmarkEnd w:id="58"/>
      <w:bookmarkEnd w:id="59"/>
      <w:r w:rsidRPr="00BC5425">
        <w:rPr>
          <w:rFonts w:ascii="Times New Roman" w:hAnsi="Times New Roman" w:cs="Times New Roman"/>
          <w:sz w:val="24"/>
          <w:szCs w:val="24"/>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 изменениями и дополнениями)".</w:t>
      </w:r>
    </w:p>
    <w:p w:rsidR="00630798" w:rsidRPr="00BC5425" w:rsidRDefault="00630798" w:rsidP="00D74571">
      <w:pPr>
        <w:spacing w:after="0" w:line="240" w:lineRule="auto"/>
        <w:jc w:val="both"/>
        <w:rPr>
          <w:rFonts w:ascii="Times New Roman" w:hAnsi="Times New Roman" w:cs="Times New Roman"/>
          <w:sz w:val="24"/>
          <w:szCs w:val="24"/>
        </w:rPr>
      </w:pPr>
      <w:r w:rsidRPr="00BC5425">
        <w:rPr>
          <w:rFonts w:ascii="Times New Roman" w:hAnsi="Times New Roman" w:cs="Times New Roman"/>
          <w:sz w:val="24"/>
          <w:szCs w:val="24"/>
        </w:rPr>
        <w:t xml:space="preserve">    </w:t>
      </w:r>
    </w:p>
    <w:p w:rsidR="00630798" w:rsidRPr="00BC5425" w:rsidRDefault="00630798" w:rsidP="00BC5425">
      <w:pPr>
        <w:spacing w:after="0" w:line="240" w:lineRule="auto"/>
        <w:ind w:firstLine="567"/>
        <w:jc w:val="both"/>
        <w:rPr>
          <w:rFonts w:ascii="Times New Roman" w:hAnsi="Times New Roman" w:cs="Times New Roman"/>
          <w:sz w:val="24"/>
          <w:szCs w:val="24"/>
          <w:lang w:bidi="en-US"/>
        </w:rPr>
      </w:pPr>
      <w:r w:rsidRPr="00BC5425">
        <w:rPr>
          <w:rFonts w:ascii="Times New Roman" w:hAnsi="Times New Roman" w:cs="Times New Roman"/>
          <w:sz w:val="24"/>
          <w:szCs w:val="24"/>
        </w:rPr>
        <w:t xml:space="preserve">       </w:t>
      </w:r>
      <w:r w:rsidRPr="00BC5425">
        <w:rPr>
          <w:rFonts w:ascii="Times New Roman" w:hAnsi="Times New Roman" w:cs="Times New Roman"/>
          <w:sz w:val="24"/>
          <w:szCs w:val="24"/>
          <w:lang w:bidi="en-US"/>
        </w:rPr>
        <w:t>В ходе проводимого надзорных мероприятий   в сентябре-октябре  2019 года, на ВОС-4, были проведены лабораторные исследования  воды</w:t>
      </w:r>
      <w:r w:rsidRPr="00BC5425">
        <w:rPr>
          <w:rFonts w:ascii="Times New Roman" w:hAnsi="Times New Roman" w:cs="Times New Roman"/>
          <w:bCs/>
          <w:sz w:val="24"/>
          <w:szCs w:val="24"/>
        </w:rPr>
        <w:t xml:space="preserve"> по санитарно-химическим и микробиологические показателям  из подземного водоисточника</w:t>
      </w:r>
      <w:r w:rsidRPr="00BC5425">
        <w:rPr>
          <w:rFonts w:ascii="Times New Roman" w:hAnsi="Times New Roman" w:cs="Times New Roman"/>
          <w:bCs/>
          <w:color w:val="FF0000"/>
          <w:sz w:val="24"/>
          <w:szCs w:val="24"/>
        </w:rPr>
        <w:t xml:space="preserve">, </w:t>
      </w:r>
      <w:r w:rsidRPr="00BC5425">
        <w:rPr>
          <w:rFonts w:ascii="Times New Roman" w:hAnsi="Times New Roman" w:cs="Times New Roman"/>
          <w:sz w:val="24"/>
          <w:szCs w:val="24"/>
        </w:rPr>
        <w:t xml:space="preserve">после системы доочистки (на выходе с общего коллектора станции водоподготовки),после системы доочистки (на выходе с накопителя в разводящую сеть), в магистральной сети  (ТК П-15),   в разводящей сети по адресу г. Пыть-Ях, 2а мкр. "Лесников", ул. Советская д.18, кв. 7/1, г. Пыть-Ях, 2 а мкр. «Лесников», ул. Советская, д. 32, кв. 10 по результатам которых  вода не отвечала </w:t>
      </w:r>
      <w:r w:rsidRPr="00BC5425">
        <w:rPr>
          <w:rFonts w:ascii="Times New Roman" w:hAnsi="Times New Roman" w:cs="Times New Roman"/>
          <w:bCs/>
          <w:sz w:val="24"/>
          <w:szCs w:val="24"/>
        </w:rPr>
        <w:t xml:space="preserve">на санитарно-химическим показателям. В </w:t>
      </w:r>
      <w:r w:rsidRPr="00BC5425">
        <w:rPr>
          <w:rFonts w:ascii="Times New Roman" w:hAnsi="Times New Roman" w:cs="Times New Roman"/>
          <w:sz w:val="24"/>
          <w:szCs w:val="24"/>
        </w:rPr>
        <w:t xml:space="preserve"> адрес МУП «УГХ»  направлялось предписание о приостановление подачи воды, не отвечающей требованиям СанПиН 2.1.4.1074-01, после очистки, на станции водоподготовки</w:t>
      </w:r>
      <w:r w:rsidRPr="00BC5425">
        <w:rPr>
          <w:rFonts w:ascii="Times New Roman" w:hAnsi="Times New Roman" w:cs="Times New Roman"/>
          <w:bCs/>
          <w:sz w:val="24"/>
          <w:szCs w:val="24"/>
          <w:u w:val="single"/>
        </w:rPr>
        <w:t xml:space="preserve"> </w:t>
      </w:r>
      <w:r w:rsidRPr="00BC5425">
        <w:rPr>
          <w:rFonts w:ascii="Times New Roman" w:hAnsi="Times New Roman" w:cs="Times New Roman"/>
          <w:bCs/>
          <w:sz w:val="24"/>
          <w:szCs w:val="24"/>
          <w:u w:val="single"/>
          <w:lang w:val="en-US"/>
        </w:rPr>
        <w:t>RWT</w:t>
      </w:r>
      <w:r w:rsidRPr="00BC5425">
        <w:rPr>
          <w:rFonts w:ascii="Times New Roman" w:hAnsi="Times New Roman" w:cs="Times New Roman"/>
          <w:bCs/>
          <w:sz w:val="24"/>
          <w:szCs w:val="24"/>
          <w:u w:val="single"/>
        </w:rPr>
        <w:t xml:space="preserve">60. </w:t>
      </w:r>
      <w:r w:rsidRPr="00BC5425">
        <w:rPr>
          <w:rFonts w:ascii="Times New Roman" w:hAnsi="Times New Roman" w:cs="Times New Roman"/>
          <w:bCs/>
          <w:sz w:val="24"/>
          <w:szCs w:val="24"/>
          <w:u w:val="single"/>
          <w:lang w:val="en-US"/>
        </w:rPr>
        <w:t>FAOZ</w:t>
      </w:r>
      <w:r w:rsidRPr="00BC5425">
        <w:rPr>
          <w:rFonts w:ascii="Times New Roman" w:hAnsi="Times New Roman" w:cs="Times New Roman"/>
          <w:sz w:val="24"/>
          <w:szCs w:val="24"/>
        </w:rPr>
        <w:t xml:space="preserve"> установленной на ВОС-4, станция водоподготовки  была отключена.    По результатам проведённой экспертизы   ФФБУЗ «ЦГиЭ» на соответствие ВОС-4 ( в т.ч оборудование используемое для водоподготовки) требованиям ТРТС 010/2011 « О безопасности машин и оборудования», СанПиН 2.1.4.1110-02 «Зоны санитарной охраны источников водоснабжения и водопроводов питьевого водоснабжения», СанПиН 2.1.4.1074-01 по поручению ТОУРПН , согласно информации поступившей из ФФБУЗ  «ЦГиЭ»  о не соответствии воды требованиям санитарных норм  по микробиологическим показателям (обнаружены общие  колиформные  бактерии в магистральной сети и в разводящей сети многоквартирного дома) дано  предписание МУП  «УГХ»  о   вводе во 2а мкр. режима гиперхлорирования с 02.10.2018г. </w:t>
      </w:r>
    </w:p>
    <w:p w:rsidR="00630798" w:rsidRPr="00BC5425" w:rsidRDefault="00630798" w:rsidP="00D74571">
      <w:pPr>
        <w:spacing w:after="0" w:line="240" w:lineRule="auto"/>
        <w:contextualSpacing/>
        <w:jc w:val="both"/>
        <w:rPr>
          <w:rFonts w:ascii="Times New Roman" w:hAnsi="Times New Roman" w:cs="Times New Roman"/>
          <w:sz w:val="24"/>
          <w:szCs w:val="24"/>
        </w:rPr>
      </w:pPr>
      <w:r w:rsidRPr="00BC5425">
        <w:rPr>
          <w:rFonts w:ascii="Times New Roman" w:hAnsi="Times New Roman" w:cs="Times New Roman"/>
          <w:bCs/>
          <w:sz w:val="24"/>
          <w:szCs w:val="24"/>
          <w:u w:val="single"/>
        </w:rPr>
        <w:lastRenderedPageBreak/>
        <w:t xml:space="preserve">     По результатам проверки  (2018г) приняты меры административного правонарушения </w:t>
      </w:r>
      <w:r w:rsidRPr="00BC5425">
        <w:rPr>
          <w:rFonts w:ascii="Times New Roman" w:hAnsi="Times New Roman" w:cs="Times New Roman"/>
          <w:sz w:val="24"/>
          <w:szCs w:val="24"/>
        </w:rPr>
        <w:t>в отношении МУП «УГХ» и  возбуждено административное производство по ст. 6.5 КоАП РФ в отношении юридического и должностного лица, вынесено постановление на штраф, направлено предписание об устранении  нарушения санитарного законодательства.</w:t>
      </w:r>
      <w:r w:rsidRPr="00BC5425">
        <w:rPr>
          <w:rFonts w:ascii="Times New Roman" w:hAnsi="Times New Roman" w:cs="Times New Roman"/>
          <w:bCs/>
          <w:sz w:val="24"/>
          <w:szCs w:val="24"/>
        </w:rPr>
        <w:t xml:space="preserve"> </w:t>
      </w:r>
      <w:r w:rsidRPr="00BC5425">
        <w:rPr>
          <w:rFonts w:ascii="Times New Roman" w:hAnsi="Times New Roman" w:cs="Times New Roman"/>
          <w:sz w:val="24"/>
          <w:szCs w:val="24"/>
        </w:rPr>
        <w:t>В 2018 году в Пыть-Яхским городским судом деятельность станции водоподготовки на объекте ВОС-4 была приостановл</w:t>
      </w:r>
      <w:r w:rsidR="00BC5425">
        <w:rPr>
          <w:rFonts w:ascii="Times New Roman" w:hAnsi="Times New Roman" w:cs="Times New Roman"/>
          <w:sz w:val="24"/>
          <w:szCs w:val="24"/>
        </w:rPr>
        <w:t xml:space="preserve">ена на срок 90 суток (согласно </w:t>
      </w:r>
      <w:r w:rsidRPr="00BC5425">
        <w:rPr>
          <w:rFonts w:ascii="Times New Roman" w:hAnsi="Times New Roman" w:cs="Times New Roman"/>
          <w:sz w:val="24"/>
          <w:szCs w:val="24"/>
        </w:rPr>
        <w:t>направленного дела об административном правонарушении, предусмотренном ст.6.3 КоАП РФ в отношении МУП «УГХ» (ВОС-4) в целях приостановления деятельности по эксплуатации станции водоподготовки на объекте ВОС-4).</w:t>
      </w:r>
    </w:p>
    <w:p w:rsidR="00630798" w:rsidRPr="00BC5425" w:rsidRDefault="00630798" w:rsidP="00BC5425">
      <w:pPr>
        <w:pStyle w:val="afc"/>
        <w:ind w:firstLine="567"/>
        <w:jc w:val="both"/>
        <w:rPr>
          <w:sz w:val="24"/>
          <w:szCs w:val="24"/>
        </w:rPr>
      </w:pPr>
      <w:r w:rsidRPr="00BC5425">
        <w:rPr>
          <w:sz w:val="24"/>
          <w:szCs w:val="24"/>
        </w:rPr>
        <w:t xml:space="preserve">      Ранее в 2017-2019 году  проведено в рамках контрольно-надзорных мероприятий в отношении МУП «Управление городского хозяйства» г. Пыть-Ях 3 проверки:      2  плановые выездная проверка  и 3 внеплановые проверки  и 1 внеплановая проверка в отношении ООО « Инновационные технологии» (установка станции водоочистки), с целью контроля за исполнением санитарного законодательства при осуществлении  водоснабжения 2а мкр. г. Пыть-Ях, </w:t>
      </w:r>
      <w:r w:rsidRPr="00BC5425">
        <w:rPr>
          <w:color w:val="000000"/>
          <w:sz w:val="24"/>
          <w:szCs w:val="24"/>
        </w:rPr>
        <w:t xml:space="preserve"> на основании требования прокуратуры гПыть-Ях.</w:t>
      </w:r>
    </w:p>
    <w:p w:rsidR="00630798" w:rsidRPr="00BC5425" w:rsidRDefault="00630798" w:rsidP="00D74571">
      <w:pPr>
        <w:spacing w:after="0" w:line="240" w:lineRule="auto"/>
        <w:jc w:val="both"/>
        <w:rPr>
          <w:rFonts w:ascii="Times New Roman" w:hAnsi="Times New Roman" w:cs="Times New Roman"/>
          <w:sz w:val="24"/>
          <w:szCs w:val="24"/>
        </w:rPr>
      </w:pPr>
      <w:r w:rsidRPr="00BC5425">
        <w:rPr>
          <w:rFonts w:ascii="Times New Roman" w:hAnsi="Times New Roman" w:cs="Times New Roman"/>
          <w:sz w:val="24"/>
          <w:szCs w:val="24"/>
        </w:rPr>
        <w:t xml:space="preserve">      В ноябре 2017 года по требованию прокуратуры г. Пыть-Ях специалистами ТО РПН по ХМАЮ –Югре  проводилась  внеплановая выездная проверка в отношении ООО « Инновационные технологии» с целью контроля за исполнением санитарного законодательства при осуществлении  водоснабжения 2а мкр. г. Пыть-Ях. Проведены лабораторные исследования проб воды до очистки на  станции водоподготовки «</w:t>
      </w:r>
      <w:r w:rsidRPr="00BC5425">
        <w:rPr>
          <w:rFonts w:ascii="Times New Roman" w:hAnsi="Times New Roman" w:cs="Times New Roman"/>
          <w:sz w:val="24"/>
          <w:szCs w:val="24"/>
          <w:lang w:val="en-US"/>
        </w:rPr>
        <w:t>IWETCONCEPT</w:t>
      </w:r>
      <w:r w:rsidRPr="00BC5425">
        <w:rPr>
          <w:rFonts w:ascii="Times New Roman" w:hAnsi="Times New Roman" w:cs="Times New Roman"/>
          <w:sz w:val="24"/>
          <w:szCs w:val="24"/>
        </w:rPr>
        <w:t xml:space="preserve">» тип   </w:t>
      </w:r>
      <w:r w:rsidRPr="00BC5425">
        <w:rPr>
          <w:rFonts w:ascii="Times New Roman" w:hAnsi="Times New Roman" w:cs="Times New Roman"/>
          <w:sz w:val="24"/>
          <w:szCs w:val="24"/>
          <w:lang w:val="en-US"/>
        </w:rPr>
        <w:t>RWT</w:t>
      </w:r>
      <w:r w:rsidRPr="00BC5425">
        <w:rPr>
          <w:rFonts w:ascii="Times New Roman" w:hAnsi="Times New Roman" w:cs="Times New Roman"/>
          <w:sz w:val="24"/>
          <w:szCs w:val="24"/>
        </w:rPr>
        <w:t>60 и после очистки.  Материалы проверки направлялись в прокуратуру г. Пыть-Ях для принятия мер прокурорского реагирования.</w:t>
      </w:r>
    </w:p>
    <w:p w:rsidR="00630798" w:rsidRPr="00BC5425" w:rsidRDefault="00630798" w:rsidP="00BC5425">
      <w:pPr>
        <w:spacing w:after="0" w:line="240" w:lineRule="auto"/>
        <w:ind w:firstLine="567"/>
        <w:jc w:val="both"/>
        <w:rPr>
          <w:rFonts w:ascii="Times New Roman" w:hAnsi="Times New Roman" w:cs="Times New Roman"/>
          <w:sz w:val="24"/>
          <w:szCs w:val="24"/>
        </w:rPr>
      </w:pPr>
      <w:r w:rsidRPr="00BC5425">
        <w:rPr>
          <w:rStyle w:val="26"/>
          <w:rFonts w:eastAsiaTheme="minorHAnsi"/>
          <w:sz w:val="24"/>
          <w:szCs w:val="24"/>
        </w:rPr>
        <w:t xml:space="preserve"> </w:t>
      </w:r>
      <w:r w:rsidRPr="00BC5425">
        <w:rPr>
          <w:rFonts w:ascii="Times New Roman" w:hAnsi="Times New Roman" w:cs="Times New Roman"/>
          <w:sz w:val="24"/>
          <w:szCs w:val="24"/>
        </w:rPr>
        <w:t xml:space="preserve">     По результатам надзорных мероприятий в 2017-2020 году   были приняты меры административного взыскания, в виде штрафов  (14)  в отношении юридических и должностных лиц (4) по ст. 6.5, ст.6.3., 8.42 ч.2, </w:t>
      </w:r>
      <w:r w:rsidRPr="00BC5425">
        <w:rPr>
          <w:rFonts w:ascii="Times New Roman" w:hAnsi="Times New Roman" w:cs="Times New Roman"/>
          <w:sz w:val="24"/>
          <w:szCs w:val="24"/>
          <w:u w:val="single"/>
        </w:rPr>
        <w:t>КоАП РФ</w:t>
      </w:r>
      <w:r w:rsidRPr="00BC5425">
        <w:rPr>
          <w:rFonts w:ascii="Times New Roman" w:hAnsi="Times New Roman" w:cs="Times New Roman"/>
          <w:sz w:val="24"/>
          <w:szCs w:val="24"/>
        </w:rPr>
        <w:t xml:space="preserve">   на сумму 195 тысяч рублей. Направлены предписания об устранении нарушений  санитарного законодательства. </w:t>
      </w:r>
    </w:p>
    <w:p w:rsidR="00630798" w:rsidRPr="00BC5425" w:rsidRDefault="00630798" w:rsidP="00BC5425">
      <w:pPr>
        <w:autoSpaceDE w:val="0"/>
        <w:autoSpaceDN w:val="0"/>
        <w:adjustRightInd w:val="0"/>
        <w:spacing w:after="0" w:line="240" w:lineRule="auto"/>
        <w:ind w:firstLine="567"/>
        <w:jc w:val="both"/>
        <w:rPr>
          <w:rFonts w:ascii="Times New Roman" w:hAnsi="Times New Roman" w:cs="Times New Roman"/>
          <w:sz w:val="24"/>
          <w:szCs w:val="24"/>
        </w:rPr>
      </w:pPr>
      <w:r w:rsidRPr="00BC5425">
        <w:rPr>
          <w:rFonts w:ascii="Times New Roman" w:hAnsi="Times New Roman" w:cs="Times New Roman"/>
          <w:sz w:val="24"/>
          <w:szCs w:val="24"/>
        </w:rPr>
        <w:t xml:space="preserve">       Территориальным отделом Роспотребнадзора в г.Нефтеюганске, Нефтеюганском районе, в период 2015-2020 г.г., в соответствии  со статьей 46 Закона РФ «О защите прав потребителей» №2300-1, в период 2015-2020 гг.г  </w:t>
      </w:r>
      <w:r w:rsidRPr="00BC5425">
        <w:rPr>
          <w:rFonts w:ascii="Times New Roman" w:hAnsi="Times New Roman" w:cs="Times New Roman"/>
          <w:b/>
          <w:sz w:val="24"/>
          <w:szCs w:val="24"/>
        </w:rPr>
        <w:t>предъявлено 2   иска</w:t>
      </w:r>
      <w:r w:rsidRPr="00BC5425">
        <w:rPr>
          <w:rFonts w:ascii="Times New Roman" w:hAnsi="Times New Roman" w:cs="Times New Roman"/>
          <w:sz w:val="24"/>
          <w:szCs w:val="24"/>
        </w:rPr>
        <w:t xml:space="preserve">  к  МУП «Управление городского хозяйства МО г.Пыть-Ях», из них 1 иск (в 2015 году) о признании действий </w:t>
      </w:r>
      <w:r w:rsidRPr="00BC5425">
        <w:rPr>
          <w:rFonts w:ascii="Times New Roman" w:hAnsi="Times New Roman" w:cs="Times New Roman"/>
          <w:bCs/>
          <w:sz w:val="24"/>
          <w:szCs w:val="24"/>
        </w:rPr>
        <w:t xml:space="preserve">МУП «УГХ» по поставке некачественной питьевой воды населению противоправными в отношении неопределенного круга потребителей в период 2012-2014г, </w:t>
      </w:r>
      <w:r w:rsidRPr="00BC5425">
        <w:rPr>
          <w:rFonts w:ascii="Times New Roman" w:hAnsi="Times New Roman" w:cs="Times New Roman"/>
          <w:sz w:val="24"/>
          <w:szCs w:val="24"/>
        </w:rPr>
        <w:t xml:space="preserve">о возложении обязанности по принятию мер к обеспечению населения города Пыть-Яха качественной питьевой водой.  Решением Пыть-Яхского городского суда по делу №2-313/2015г от 18.06.2015г исковые требования удовлетворены. </w:t>
      </w:r>
      <w:r w:rsidRPr="00BC5425">
        <w:rPr>
          <w:rFonts w:ascii="Times New Roman" w:hAnsi="Times New Roman" w:cs="Times New Roman"/>
          <w:bCs/>
          <w:sz w:val="24"/>
          <w:szCs w:val="24"/>
        </w:rPr>
        <w:t>Информация по данному   решению суда отражается  в направляемых письменных ответах заявителям, которая  может быть использована ими  для проведения  потребителям перерасчета  оплаты за коммунальную услугу  по водоснабжению ненадлежащего качества</w:t>
      </w:r>
    </w:p>
    <w:p w:rsidR="00630798" w:rsidRPr="00BC5425" w:rsidRDefault="00630798" w:rsidP="00BC5425">
      <w:pPr>
        <w:autoSpaceDE w:val="0"/>
        <w:autoSpaceDN w:val="0"/>
        <w:adjustRightInd w:val="0"/>
        <w:spacing w:after="0" w:line="240" w:lineRule="auto"/>
        <w:ind w:firstLine="567"/>
        <w:jc w:val="both"/>
        <w:rPr>
          <w:rFonts w:ascii="Times New Roman" w:hAnsi="Times New Roman" w:cs="Times New Roman"/>
          <w:sz w:val="24"/>
          <w:szCs w:val="24"/>
        </w:rPr>
      </w:pPr>
      <w:r w:rsidRPr="00BC5425">
        <w:rPr>
          <w:rFonts w:ascii="Times New Roman" w:hAnsi="Times New Roman" w:cs="Times New Roman"/>
          <w:sz w:val="24"/>
          <w:szCs w:val="24"/>
        </w:rPr>
        <w:t xml:space="preserve">    Второй иск к МУП «Управление городского хозяйства МО г.П</w:t>
      </w:r>
      <w:r w:rsidR="00BC5425">
        <w:rPr>
          <w:rFonts w:ascii="Times New Roman" w:hAnsi="Times New Roman" w:cs="Times New Roman"/>
          <w:sz w:val="24"/>
          <w:szCs w:val="24"/>
        </w:rPr>
        <w:t xml:space="preserve">ыть-Ях» предъявлен в 2017 году </w:t>
      </w:r>
      <w:r w:rsidRPr="00BC5425">
        <w:rPr>
          <w:rFonts w:ascii="Times New Roman" w:hAnsi="Times New Roman" w:cs="Times New Roman"/>
          <w:sz w:val="24"/>
          <w:szCs w:val="24"/>
        </w:rPr>
        <w:t>о понуждении выполнения обязательных требований санитарного законодательства в рамках ст. 51 Федерального закона от 30.03.1999г «О санитарно-эпидемиологическом благополучии населения», о возложении обязанности на МУП «Управление городского хозяйства» МО г.Пыть-Ях провести  гиперхлорирование водопроводной воды в г.Пыть-Ях. Решением Пыть-Яхского городского суда от 26.06.2017 года исковые требования удовлетворены. В 2018 году , 2019 году в Пыть-Яхский городской суд направлялись  дела об административном правонарушении, предусмотренном ст.6.3 КоАП РФ в отношении МУП «УГХ» (ВОС-4) в целях приостановления деятельности по эксплуатации станции водоподготовки на объекте ВОС-4. Решением  Пыть-Яхского городского суда от 24.10.2018 года, августа и октября  2019 года  деятельность станции водоподготовки на объекте ВОС-4 была  приостановлена на срок  по 90 суток. В 2018 году  данное решение суда обжаловалось  МУП «УГХ  в Суде ХМАО-Югры. Решением Суда ХМАО-Югры от 04.12.2018г решение Пыть-Яхского городского суда оставлено без изменения, жалоба без удовлетворения.</w:t>
      </w:r>
    </w:p>
    <w:p w:rsidR="00630798" w:rsidRPr="00BC5425" w:rsidRDefault="00630798" w:rsidP="00BC5425">
      <w:pPr>
        <w:autoSpaceDE w:val="0"/>
        <w:autoSpaceDN w:val="0"/>
        <w:adjustRightInd w:val="0"/>
        <w:spacing w:after="0" w:line="240" w:lineRule="auto"/>
        <w:ind w:firstLine="567"/>
        <w:jc w:val="both"/>
        <w:rPr>
          <w:rFonts w:ascii="Times New Roman" w:hAnsi="Times New Roman" w:cs="Times New Roman"/>
          <w:sz w:val="24"/>
          <w:szCs w:val="24"/>
        </w:rPr>
      </w:pPr>
      <w:r w:rsidRPr="00BC5425">
        <w:rPr>
          <w:rFonts w:ascii="Times New Roman" w:hAnsi="Times New Roman" w:cs="Times New Roman"/>
          <w:color w:val="00B050"/>
          <w:sz w:val="24"/>
          <w:szCs w:val="24"/>
        </w:rPr>
        <w:lastRenderedPageBreak/>
        <w:t xml:space="preserve">     </w:t>
      </w:r>
      <w:r w:rsidRPr="00BC5425">
        <w:rPr>
          <w:rFonts w:ascii="Times New Roman" w:hAnsi="Times New Roman" w:cs="Times New Roman"/>
          <w:sz w:val="24"/>
          <w:szCs w:val="24"/>
        </w:rPr>
        <w:t xml:space="preserve">     При проведение плановых контрольно-надзорных мероприятий в 2020 году в МО гПыть-Ях специалистами ТО УРПН </w:t>
      </w:r>
      <w:r w:rsidRPr="00BC5425">
        <w:rPr>
          <w:rFonts w:ascii="Times New Roman" w:hAnsi="Times New Roman" w:cs="Times New Roman"/>
          <w:bCs/>
          <w:sz w:val="24"/>
          <w:szCs w:val="24"/>
        </w:rPr>
        <w:t>по неудовлетворительным</w:t>
      </w:r>
      <w:r w:rsidRPr="00BC5425">
        <w:rPr>
          <w:rFonts w:ascii="Times New Roman" w:hAnsi="Times New Roman" w:cs="Times New Roman"/>
          <w:sz w:val="24"/>
          <w:szCs w:val="24"/>
        </w:rPr>
        <w:t xml:space="preserve"> результатам лабораторного исследования водопроводной холодной воды   (по органолептическим и санитарно - химическим показателям воды) и не соблюдения санитарного законодательства в части обеспечения холодной водопроводной водой отвечающей требованиям санитарных правил   используемой для хозяйственно – питьевых целей  </w:t>
      </w:r>
      <w:r w:rsidRPr="00BC5425">
        <w:rPr>
          <w:rFonts w:ascii="Times New Roman" w:hAnsi="Times New Roman" w:cs="Times New Roman"/>
          <w:sz w:val="24"/>
          <w:szCs w:val="24"/>
          <w:u w:val="single"/>
        </w:rPr>
        <w:t>в учреждениях  образования, ЛОУ</w:t>
      </w:r>
      <w:r w:rsidRPr="00BC5425">
        <w:rPr>
          <w:rFonts w:ascii="Times New Roman" w:hAnsi="Times New Roman" w:cs="Times New Roman"/>
          <w:sz w:val="24"/>
          <w:szCs w:val="24"/>
        </w:rPr>
        <w:t xml:space="preserve"> - отсутствия дополнительных локальных очистных сооружений в зданиях учреждениях водопроводной холодной воды</w:t>
      </w:r>
      <w:r w:rsidRPr="00BC5425">
        <w:rPr>
          <w:rFonts w:ascii="Times New Roman" w:hAnsi="Times New Roman" w:cs="Times New Roman"/>
          <w:sz w:val="24"/>
          <w:szCs w:val="24"/>
          <w:u w:val="single"/>
        </w:rPr>
        <w:t xml:space="preserve"> </w:t>
      </w:r>
      <w:r w:rsidRPr="00BC5425">
        <w:rPr>
          <w:rFonts w:ascii="Times New Roman" w:hAnsi="Times New Roman" w:cs="Times New Roman"/>
          <w:sz w:val="24"/>
          <w:szCs w:val="24"/>
        </w:rPr>
        <w:t xml:space="preserve">на территории </w:t>
      </w:r>
      <w:r w:rsidRPr="00BC5425">
        <w:rPr>
          <w:rFonts w:ascii="Times New Roman" w:hAnsi="Times New Roman" w:cs="Times New Roman"/>
          <w:color w:val="000000"/>
          <w:spacing w:val="-1"/>
          <w:sz w:val="24"/>
          <w:szCs w:val="24"/>
        </w:rPr>
        <w:t xml:space="preserve"> </w:t>
      </w:r>
      <w:r w:rsidRPr="00BC5425">
        <w:rPr>
          <w:rFonts w:ascii="Times New Roman" w:hAnsi="Times New Roman" w:cs="Times New Roman"/>
          <w:color w:val="000000"/>
          <w:spacing w:val="-1"/>
          <w:sz w:val="24"/>
          <w:szCs w:val="24"/>
          <w:u w:val="single"/>
        </w:rPr>
        <w:t xml:space="preserve"> гПыть-Ях </w:t>
      </w:r>
      <w:r w:rsidRPr="00BC5425">
        <w:rPr>
          <w:rFonts w:ascii="Times New Roman" w:hAnsi="Times New Roman" w:cs="Times New Roman"/>
          <w:sz w:val="24"/>
          <w:szCs w:val="24"/>
        </w:rPr>
        <w:t>были приняты меры административного взыскания, в виде штрафа, направлялись предписания об устранении нарушений  санитарного законодательства для исполнения руководителями.</w:t>
      </w:r>
    </w:p>
    <w:p w:rsidR="00630798" w:rsidRPr="00BC5425" w:rsidRDefault="00630798" w:rsidP="00BC5425">
      <w:pPr>
        <w:spacing w:after="0" w:line="240" w:lineRule="auto"/>
        <w:ind w:firstLine="567"/>
        <w:jc w:val="both"/>
        <w:rPr>
          <w:rFonts w:ascii="Times New Roman" w:hAnsi="Times New Roman" w:cs="Times New Roman"/>
          <w:sz w:val="24"/>
          <w:szCs w:val="24"/>
        </w:rPr>
      </w:pPr>
      <w:r w:rsidRPr="00BC5425">
        <w:rPr>
          <w:rFonts w:ascii="Times New Roman" w:hAnsi="Times New Roman" w:cs="Times New Roman"/>
          <w:sz w:val="24"/>
          <w:szCs w:val="24"/>
        </w:rPr>
        <w:t xml:space="preserve">          В   2020 году в отделе рассмотрено  4  заявления  от жителей гПыть-Ях </w:t>
      </w:r>
      <w:r w:rsidRPr="00BC5425">
        <w:rPr>
          <w:rFonts w:ascii="Times New Roman" w:hAnsi="Times New Roman" w:cs="Times New Roman"/>
          <w:bCs/>
          <w:sz w:val="24"/>
          <w:szCs w:val="24"/>
        </w:rPr>
        <w:t xml:space="preserve">«О  </w:t>
      </w:r>
      <w:r w:rsidRPr="00BC5425">
        <w:rPr>
          <w:rFonts w:ascii="Times New Roman" w:hAnsi="Times New Roman" w:cs="Times New Roman"/>
          <w:sz w:val="24"/>
          <w:szCs w:val="24"/>
        </w:rPr>
        <w:t>некачественном предоставлении коммунальных услуг и качестве воды», из них р</w:t>
      </w:r>
      <w:r w:rsidRPr="00BC5425">
        <w:rPr>
          <w:rFonts w:ascii="Times New Roman" w:hAnsi="Times New Roman" w:cs="Times New Roman"/>
          <w:bCs/>
          <w:sz w:val="24"/>
          <w:szCs w:val="24"/>
        </w:rPr>
        <w:t xml:space="preserve">яд жалоб  (2) поступающие в ТО «О  </w:t>
      </w:r>
      <w:r w:rsidRPr="00BC5425">
        <w:rPr>
          <w:rFonts w:ascii="Times New Roman" w:hAnsi="Times New Roman" w:cs="Times New Roman"/>
          <w:sz w:val="24"/>
          <w:szCs w:val="24"/>
        </w:rPr>
        <w:t>некачественном предоставлении коммунальных услуг холодного водоснабжения</w:t>
      </w:r>
      <w:r w:rsidRPr="00BC5425">
        <w:rPr>
          <w:rFonts w:ascii="Times New Roman" w:hAnsi="Times New Roman" w:cs="Times New Roman"/>
          <w:bCs/>
          <w:sz w:val="24"/>
          <w:szCs w:val="24"/>
        </w:rPr>
        <w:t xml:space="preserve"> со стороны  УК ЖЭУ в </w:t>
      </w:r>
      <w:r w:rsidRPr="00BC5425">
        <w:rPr>
          <w:rFonts w:ascii="Times New Roman" w:hAnsi="Times New Roman" w:cs="Times New Roman"/>
          <w:sz w:val="24"/>
          <w:szCs w:val="24"/>
        </w:rPr>
        <w:t>части отклонения состава и свойства холодной воды от  требований, по вопросам предоставления коммунальных услуг и внесения платы за предоставления коммунальных услуг</w:t>
      </w:r>
      <w:r w:rsidRPr="00BC5425">
        <w:rPr>
          <w:rFonts w:ascii="Times New Roman" w:hAnsi="Times New Roman" w:cs="Times New Roman"/>
          <w:bCs/>
          <w:sz w:val="24"/>
          <w:szCs w:val="24"/>
        </w:rPr>
        <w:t>»</w:t>
      </w:r>
      <w:r w:rsidRPr="00BC5425">
        <w:rPr>
          <w:rFonts w:ascii="Times New Roman" w:hAnsi="Times New Roman" w:cs="Times New Roman"/>
          <w:sz w:val="24"/>
          <w:szCs w:val="24"/>
        </w:rPr>
        <w:t xml:space="preserve">» направлялись   </w:t>
      </w:r>
      <w:r w:rsidRPr="00BC5425">
        <w:rPr>
          <w:rFonts w:ascii="Times New Roman" w:hAnsi="Times New Roman" w:cs="Times New Roman"/>
          <w:bCs/>
          <w:sz w:val="24"/>
          <w:szCs w:val="24"/>
        </w:rPr>
        <w:t xml:space="preserve">в </w:t>
      </w:r>
      <w:r w:rsidRPr="00BC5425">
        <w:rPr>
          <w:rFonts w:ascii="Times New Roman" w:hAnsi="Times New Roman" w:cs="Times New Roman"/>
          <w:sz w:val="24"/>
          <w:szCs w:val="24"/>
        </w:rPr>
        <w:t xml:space="preserve">Службу жилищного контроля и строительного надзора, </w:t>
      </w:r>
      <w:r w:rsidRPr="00BC5425">
        <w:rPr>
          <w:rFonts w:ascii="Times New Roman" w:hAnsi="Times New Roman" w:cs="Times New Roman"/>
          <w:bCs/>
          <w:sz w:val="24"/>
          <w:szCs w:val="24"/>
        </w:rPr>
        <w:t xml:space="preserve">для рассмотрения и принятия мер в пределах своих полномочий.  При рассмотрение (2) других обращений по улучшению качества воды в городе, </w:t>
      </w:r>
      <w:r w:rsidRPr="00BC5425">
        <w:rPr>
          <w:rFonts w:ascii="Times New Roman" w:hAnsi="Times New Roman" w:cs="Times New Roman"/>
          <w:sz w:val="24"/>
          <w:szCs w:val="24"/>
        </w:rPr>
        <w:t xml:space="preserve">в  адрес управляющих компаний (ООО УК «Югражилсерви» ООО УК «Лифтехсервис»и др.) и гарантирующей организации МУП «УГХ», и организации завода столовых вод  ООО «Агидель» были направлены предостережения о недопустимости указанных нарушений закона и разъясняли, что  за данные нарушения предусмотрена административная ответственность в соответствии с  ст. 6.5 КоАП РФ Нарушение санитарно-эпидемиологических требований к питьевой воде, а также к питьевому и хозяйственно-бытовому водоснабжению. Заявителям направлялись  разъяснения. Все обращения  жителей были доведены до сведения </w:t>
      </w:r>
      <w:r w:rsidRPr="00BC5425">
        <w:rPr>
          <w:rFonts w:ascii="Times New Roman" w:hAnsi="Times New Roman" w:cs="Times New Roman"/>
          <w:bCs/>
          <w:sz w:val="24"/>
          <w:szCs w:val="24"/>
        </w:rPr>
        <w:t>главы МО Пыть-Ях</w:t>
      </w:r>
      <w:r w:rsidRPr="00BC5425">
        <w:rPr>
          <w:rFonts w:ascii="Times New Roman" w:hAnsi="Times New Roman" w:cs="Times New Roman"/>
          <w:sz w:val="24"/>
          <w:szCs w:val="24"/>
        </w:rPr>
        <w:t>.</w:t>
      </w:r>
    </w:p>
    <w:p w:rsidR="00630798" w:rsidRPr="00BC5425" w:rsidRDefault="00630798" w:rsidP="00D74571">
      <w:pPr>
        <w:autoSpaceDE w:val="0"/>
        <w:autoSpaceDN w:val="0"/>
        <w:spacing w:after="0" w:line="240" w:lineRule="auto"/>
        <w:jc w:val="both"/>
        <w:rPr>
          <w:rFonts w:ascii="Times New Roman" w:hAnsi="Times New Roman" w:cs="Times New Roman"/>
          <w:sz w:val="24"/>
          <w:szCs w:val="24"/>
        </w:rPr>
      </w:pPr>
      <w:r w:rsidRPr="00BC5425">
        <w:rPr>
          <w:rFonts w:ascii="Times New Roman" w:hAnsi="Times New Roman" w:cs="Times New Roman"/>
          <w:sz w:val="24"/>
          <w:szCs w:val="24"/>
        </w:rPr>
        <w:tab/>
        <w:t>С целью реализации  положений Федерального закона Федерального закона Российской Федерации от 7 декабря 2011года. «О водоснабжении и водоотведении» (ст. 23. ФЗ-416) ТО  УРПН ежегодно   с 2014 года до 1 февраля  в адрес органов местного самоуправления и в адрес гарантирующих организаций направляются  уведомления  «О несоответствии качества воды нормативным требованиям санитарных правил»  с предложениями   о  внесения изменения до 1 марта в техническое задание на разработку или корректировку инвестиционной программы, в части учета мероприятий по приведению качества питьевого водоснабжения в г. Пыть-Ях в соответствие с установленными требованиями.</w:t>
      </w:r>
    </w:p>
    <w:p w:rsidR="00630798" w:rsidRPr="00BC5425" w:rsidRDefault="00630798" w:rsidP="00D74571">
      <w:pPr>
        <w:autoSpaceDE w:val="0"/>
        <w:autoSpaceDN w:val="0"/>
        <w:spacing w:after="0" w:line="240" w:lineRule="auto"/>
        <w:ind w:firstLine="708"/>
        <w:jc w:val="both"/>
        <w:rPr>
          <w:rFonts w:ascii="Times New Roman" w:hAnsi="Times New Roman" w:cs="Times New Roman"/>
          <w:sz w:val="24"/>
          <w:szCs w:val="24"/>
        </w:rPr>
      </w:pPr>
      <w:r w:rsidRPr="00BC5425">
        <w:rPr>
          <w:rFonts w:ascii="Times New Roman" w:hAnsi="Times New Roman" w:cs="Times New Roman"/>
          <w:sz w:val="24"/>
          <w:szCs w:val="24"/>
        </w:rPr>
        <w:t>Ресурсоснабжающей организацией г. Пыть-Ях  разработан план мероприятий по приведению качества питьевой воды в соответствие с установленными требованиями. В настоящее время возвращен ТО РПН в МУП «Управление городского хозяйства» по ХМАО-Югре на доработку</w:t>
      </w:r>
    </w:p>
    <w:p w:rsidR="00630798" w:rsidRPr="00BC5425" w:rsidRDefault="00630798" w:rsidP="00D74571">
      <w:pPr>
        <w:autoSpaceDE w:val="0"/>
        <w:autoSpaceDN w:val="0"/>
        <w:spacing w:after="0" w:line="240" w:lineRule="auto"/>
        <w:jc w:val="both"/>
        <w:rPr>
          <w:rFonts w:ascii="Times New Roman" w:hAnsi="Times New Roman" w:cs="Times New Roman"/>
          <w:sz w:val="24"/>
          <w:szCs w:val="24"/>
        </w:rPr>
      </w:pPr>
      <w:r w:rsidRPr="00BC5425">
        <w:rPr>
          <w:rFonts w:ascii="Times New Roman" w:hAnsi="Times New Roman" w:cs="Times New Roman"/>
          <w:sz w:val="24"/>
          <w:szCs w:val="24"/>
        </w:rPr>
        <w:t xml:space="preserve">                  В 2020 году  в ТОУРПН  была продолжена практика проведения организационных мероприятий по вопросам улучшения качества  водоснабжения населения в МО  Нефтеюганского района.</w:t>
      </w:r>
      <w:r w:rsidRPr="00BC5425">
        <w:rPr>
          <w:rFonts w:ascii="Times New Roman" w:hAnsi="Times New Roman" w:cs="Times New Roman"/>
          <w:sz w:val="24"/>
          <w:szCs w:val="24"/>
        </w:rPr>
        <w:tab/>
        <w:t xml:space="preserve"> По инициативе ТО  УРПН данный вопрос рассматривался на заседаниях СПЭК Администраций МО гПыть-Ях в мае  2020 года, </w:t>
      </w:r>
      <w:r w:rsidRPr="00BC5425">
        <w:rPr>
          <w:rFonts w:ascii="Times New Roman" w:hAnsi="Times New Roman" w:cs="Times New Roman"/>
          <w:i/>
          <w:sz w:val="24"/>
          <w:szCs w:val="24"/>
        </w:rPr>
        <w:t xml:space="preserve"> </w:t>
      </w:r>
      <w:r w:rsidRPr="00BC5425">
        <w:rPr>
          <w:rFonts w:ascii="Times New Roman" w:hAnsi="Times New Roman" w:cs="Times New Roman"/>
          <w:sz w:val="24"/>
          <w:szCs w:val="24"/>
        </w:rPr>
        <w:t>с включением вопросов  исполнения требований ст. 23. ФЗ-416 «О водоснабжении и  водоотведении».       В администрацию гПыть-Ях неоднократно направлялись  предложения о рассмотрении на межведомственной комиссии вопросы «О соблюдении требований санитарного законодательства в области охраны водных объектов от загрязнения, в части выполнения мероприятий по организации зон санитарной охраны (ЗСО) подземных источников водоснабжения»,  о замене ветхого  водопровода.</w:t>
      </w:r>
    </w:p>
    <w:p w:rsidR="00630798" w:rsidRPr="00BC5425" w:rsidRDefault="00630798" w:rsidP="00D74571">
      <w:pPr>
        <w:pStyle w:val="a5"/>
        <w:rPr>
          <w:b/>
          <w:sz w:val="24"/>
          <w:szCs w:val="24"/>
          <w:u w:val="single"/>
        </w:rPr>
      </w:pPr>
      <w:r w:rsidRPr="00BC5425">
        <w:rPr>
          <w:sz w:val="24"/>
          <w:szCs w:val="24"/>
          <w:lang w:eastAsia="en-US" w:bidi="en-US"/>
        </w:rPr>
        <w:t xml:space="preserve">    Информация по состоянию городских ВОС  была </w:t>
      </w:r>
      <w:r w:rsidRPr="00BC5425">
        <w:rPr>
          <w:sz w:val="24"/>
          <w:szCs w:val="24"/>
        </w:rPr>
        <w:t xml:space="preserve"> направлена Главе  города Пыть-Ях</w:t>
      </w:r>
    </w:p>
    <w:p w:rsidR="00630798" w:rsidRPr="00D74571" w:rsidRDefault="00630798" w:rsidP="00D74571">
      <w:pPr>
        <w:spacing w:after="0" w:line="240" w:lineRule="auto"/>
        <w:jc w:val="both"/>
        <w:rPr>
          <w:rFonts w:ascii="Times New Roman" w:hAnsi="Times New Roman" w:cs="Times New Roman"/>
        </w:rPr>
      </w:pPr>
    </w:p>
    <w:p w:rsidR="00630798" w:rsidRPr="00BC5425" w:rsidRDefault="00630798" w:rsidP="00BC5425">
      <w:pPr>
        <w:spacing w:after="0" w:line="240" w:lineRule="auto"/>
        <w:jc w:val="center"/>
        <w:rPr>
          <w:rFonts w:ascii="Times New Roman" w:hAnsi="Times New Roman" w:cs="Times New Roman"/>
          <w:bCs/>
        </w:rPr>
      </w:pPr>
      <w:r w:rsidRPr="00D74571">
        <w:rPr>
          <w:rFonts w:ascii="Times New Roman" w:hAnsi="Times New Roman" w:cs="Times New Roman"/>
          <w:b/>
        </w:rPr>
        <w:t>Результаты деятельности по улучшению  водоотведения</w:t>
      </w:r>
    </w:p>
    <w:p w:rsidR="00630798" w:rsidRPr="00D74571" w:rsidRDefault="00630798" w:rsidP="00BC5425">
      <w:pPr>
        <w:pStyle w:val="51"/>
        <w:shd w:val="clear" w:color="auto" w:fill="auto"/>
        <w:spacing w:before="0" w:after="0" w:line="240" w:lineRule="auto"/>
        <w:ind w:right="120" w:firstLine="567"/>
        <w:jc w:val="both"/>
        <w:rPr>
          <w:rFonts w:ascii="Times New Roman" w:hAnsi="Times New Roman" w:cs="Times New Roman"/>
          <w:sz w:val="24"/>
          <w:szCs w:val="24"/>
        </w:rPr>
      </w:pPr>
      <w:r w:rsidRPr="00D74571">
        <w:rPr>
          <w:rFonts w:ascii="Times New Roman" w:hAnsi="Times New Roman" w:cs="Times New Roman"/>
        </w:rPr>
        <w:t xml:space="preserve">     </w:t>
      </w:r>
      <w:r w:rsidRPr="00D74571">
        <w:rPr>
          <w:rFonts w:ascii="Times New Roman" w:hAnsi="Times New Roman" w:cs="Times New Roman"/>
          <w:sz w:val="24"/>
          <w:szCs w:val="24"/>
        </w:rPr>
        <w:t xml:space="preserve">В 2020 г. </w:t>
      </w:r>
      <w:r w:rsidRPr="00D74571">
        <w:rPr>
          <w:rStyle w:val="35"/>
          <w:rFonts w:ascii="Times New Roman" w:hAnsi="Times New Roman" w:cs="Times New Roman"/>
          <w:sz w:val="24"/>
          <w:szCs w:val="24"/>
        </w:rPr>
        <w:t>осуществлялся   государственный санитарно</w:t>
      </w:r>
      <w:r w:rsidRPr="00D74571">
        <w:rPr>
          <w:rStyle w:val="35"/>
          <w:rFonts w:ascii="Times New Roman" w:hAnsi="Times New Roman" w:cs="Times New Roman"/>
          <w:sz w:val="24"/>
          <w:szCs w:val="24"/>
        </w:rPr>
        <w:softHyphen/>
        <w:t xml:space="preserve">-эпидемиологический надзор территориальным отделам Управления Роспотребнадзора по Ханты-Мансийскому автономному округу - Югре </w:t>
      </w:r>
      <w:r w:rsidRPr="00D74571">
        <w:rPr>
          <w:rFonts w:ascii="Times New Roman" w:hAnsi="Times New Roman" w:cs="Times New Roman"/>
          <w:sz w:val="24"/>
          <w:szCs w:val="24"/>
        </w:rPr>
        <w:t xml:space="preserve">за соблюдением санитарного </w:t>
      </w:r>
      <w:r w:rsidRPr="00D74571">
        <w:rPr>
          <w:rFonts w:ascii="Times New Roman" w:hAnsi="Times New Roman" w:cs="Times New Roman"/>
          <w:sz w:val="24"/>
          <w:szCs w:val="24"/>
        </w:rPr>
        <w:lastRenderedPageBreak/>
        <w:t>законодательства в отношении объектов  сбора и обработки сточных вод.</w:t>
      </w:r>
    </w:p>
    <w:p w:rsidR="00630798" w:rsidRPr="00BC5425" w:rsidRDefault="00630798" w:rsidP="00BC5425">
      <w:pPr>
        <w:spacing w:after="0" w:line="240" w:lineRule="auto"/>
        <w:ind w:firstLine="567"/>
        <w:jc w:val="both"/>
        <w:rPr>
          <w:rFonts w:ascii="Times New Roman" w:hAnsi="Times New Roman" w:cs="Times New Roman"/>
          <w:sz w:val="24"/>
          <w:szCs w:val="24"/>
        </w:rPr>
      </w:pPr>
      <w:r w:rsidRPr="00BC5425">
        <w:rPr>
          <w:rFonts w:ascii="Times New Roman" w:hAnsi="Times New Roman" w:cs="Times New Roman"/>
          <w:sz w:val="24"/>
          <w:szCs w:val="24"/>
        </w:rPr>
        <w:t xml:space="preserve">     В городе Пыть-Ях  функционирует  2  канализационных очистных сооружений МУП «УГХ» </w:t>
      </w:r>
      <w:r w:rsidRPr="00BC5425">
        <w:rPr>
          <w:rFonts w:ascii="Times New Roman" w:hAnsi="Times New Roman" w:cs="Times New Roman"/>
          <w:b/>
          <w:sz w:val="24"/>
          <w:szCs w:val="24"/>
        </w:rPr>
        <w:t>-КОС 2700 м3/сут и 7000м3/сут</w:t>
      </w:r>
      <w:r w:rsidRPr="00BC5425">
        <w:rPr>
          <w:rFonts w:ascii="Times New Roman" w:hAnsi="Times New Roman" w:cs="Times New Roman"/>
          <w:sz w:val="24"/>
          <w:szCs w:val="24"/>
        </w:rPr>
        <w:t xml:space="preserve"> (1-  ведомственный КОС ОАО «ЮБ «ГПК»), состояние удовлетворительное.      В конце  2015 года  2 объекта КОС МУП «УГХ» гПыть-Ях выведен из технологического режима</w:t>
      </w:r>
      <w:r w:rsidRPr="00BC5425">
        <w:rPr>
          <w:rFonts w:ascii="Times New Roman" w:hAnsi="Times New Roman" w:cs="Times New Roman"/>
          <w:b/>
          <w:sz w:val="24"/>
          <w:szCs w:val="24"/>
        </w:rPr>
        <w:t xml:space="preserve"> (</w:t>
      </w:r>
      <w:r w:rsidRPr="00BC5425">
        <w:rPr>
          <w:rFonts w:ascii="Times New Roman" w:hAnsi="Times New Roman" w:cs="Times New Roman"/>
          <w:sz w:val="24"/>
          <w:szCs w:val="24"/>
        </w:rPr>
        <w:t xml:space="preserve">КОС-1100,  КОС-2200).  </w:t>
      </w:r>
      <w:r w:rsidRPr="00BC5425">
        <w:rPr>
          <w:rFonts w:ascii="Times New Roman" w:hAnsi="Times New Roman" w:cs="Times New Roman"/>
          <w:b/>
          <w:sz w:val="24"/>
          <w:szCs w:val="24"/>
        </w:rPr>
        <w:t xml:space="preserve">КОС-1100 </w:t>
      </w:r>
      <w:r w:rsidRPr="00BC5425">
        <w:rPr>
          <w:rFonts w:ascii="Times New Roman" w:hAnsi="Times New Roman" w:cs="Times New Roman"/>
          <w:sz w:val="24"/>
          <w:szCs w:val="24"/>
        </w:rPr>
        <w:t xml:space="preserve">(открытого типа) расположены по адресу: Тюменская обл., ХМАО-Югра,  г. Пыть – Ях, мкр. 2а, ул. Советская, на основании приказа  МУП «УГХ»№ 199 от 29.07.2013г.  выведен из технологического режим.     С 01.08.2013г. КОС 1100 не функционирует.  Проведен  демонтаж оборудования   (демонтированы компрессоры, вывезено необходимое, в дальнейшем для работы оборудование). В настоящее время работы  по рекультивации земли не завершены.        </w:t>
      </w:r>
      <w:r w:rsidRPr="00BC5425">
        <w:rPr>
          <w:rFonts w:ascii="Times New Roman" w:hAnsi="Times New Roman" w:cs="Times New Roman"/>
          <w:b/>
          <w:sz w:val="24"/>
          <w:szCs w:val="24"/>
        </w:rPr>
        <w:t>КОС-2200</w:t>
      </w:r>
      <w:r w:rsidRPr="00BC5425">
        <w:rPr>
          <w:rFonts w:ascii="Times New Roman" w:hAnsi="Times New Roman" w:cs="Times New Roman"/>
          <w:sz w:val="24"/>
          <w:szCs w:val="24"/>
        </w:rPr>
        <w:t xml:space="preserve"> ( открытого типа) , расположены  по адресу: РФ, Тюменская обл., ХМАО-Югра,  г. Пыть – Ях, 1 мкр, на основании приказа  МУП «УГХ»№ 276 от 16.09.2010г.   выведены из технологического режима. В настоящее время оборудование демонтировано. Проводится  рекультивация земельного участка. Земельный участок   передан администрации муниципального образования.</w:t>
      </w:r>
    </w:p>
    <w:p w:rsidR="00630798" w:rsidRPr="00BC5425" w:rsidRDefault="00630798" w:rsidP="00D74571">
      <w:pPr>
        <w:spacing w:after="0" w:line="240" w:lineRule="auto"/>
        <w:jc w:val="both"/>
        <w:rPr>
          <w:rFonts w:ascii="Times New Roman" w:hAnsi="Times New Roman" w:cs="Times New Roman"/>
          <w:sz w:val="24"/>
          <w:szCs w:val="24"/>
        </w:rPr>
      </w:pPr>
      <w:r w:rsidRPr="00BC5425">
        <w:rPr>
          <w:rFonts w:ascii="Times New Roman" w:hAnsi="Times New Roman" w:cs="Times New Roman"/>
          <w:sz w:val="24"/>
          <w:szCs w:val="24"/>
        </w:rPr>
        <w:t xml:space="preserve">   Хозяйственно-бытовые сточные воды  с  жилых домов, предприятий и организаций 2 «А» мрн, через КНС- 5 , далее через КНС- 1,КНС-2, поступают на КНС-3 «Г», где проходят механическую очистку, через решетку и дробилку РД-600, обеззараживаются  овицидным препаратом  «Пуролат-БИНГСТИ», где  распределяются для последующего обеззараживания на  КОС -2700, КОС-7000 ( в настоящее время действующие).  Хозяйственно-бытовые сточные воды  с  жилых домов, предприятий и организаций 1 микрорайона , через КНС-1, далее КНС-2, поступают на КНС-3 «Г», где проходят механическую очистку, через решетку и дробилку РД-600, обеззараживаются  овицидным препаратом  «Пуролат-БИНГСТИ», где  распределяются для последующего обеззараживания на  КОС -2700, КОС-7000. </w:t>
      </w:r>
    </w:p>
    <w:p w:rsidR="00630798" w:rsidRPr="00BC5425" w:rsidRDefault="00630798" w:rsidP="00BC5425">
      <w:pPr>
        <w:spacing w:after="0" w:line="240" w:lineRule="auto"/>
        <w:ind w:firstLine="567"/>
        <w:jc w:val="both"/>
        <w:rPr>
          <w:rFonts w:ascii="Times New Roman" w:hAnsi="Times New Roman" w:cs="Times New Roman"/>
          <w:sz w:val="24"/>
          <w:szCs w:val="24"/>
        </w:rPr>
      </w:pPr>
      <w:r w:rsidRPr="00BC5425">
        <w:rPr>
          <w:rFonts w:ascii="Times New Roman" w:hAnsi="Times New Roman" w:cs="Times New Roman"/>
          <w:sz w:val="24"/>
          <w:szCs w:val="24"/>
        </w:rPr>
        <w:t xml:space="preserve"> Хозяйственно-бытовые сточные воды  с  жилых домов, предприятий и организаций 2мрн , через КНС-2, поступают на КНС-3 «Г», где проходят механическую очистку, через решетку и дробилку РД-600, обеззараживаются  овицидным препаратом  «Пуролат-БИНГСТИ», где  распределяются для последующего обеззараживания на  КОС -2700, КОС-7000. Хозяйственно-бытовые сточные воды  с  жилых домов, предприятий и организаций 5,4,3,6, микрорайонов, больничного комплекса 8 мрн,  поступают на КНС-3 «Г», где проходят механическую очистку, через решетку и дробилку РД-600, обеззараживаются  овицидным препаратом  «Пуролат-БИНГСТИ», где  распределяются для последующего обеззараживания на  КОС -2700, КОС-7000. Хозяйственно-бытовые сточные воды  с  жилых домов, предприятий и организаций с микрорайона «Мамонтово»,  поступают на КНС-4, где проходят механическую очистку ( через решетку),  не обеззараживаются  овицидным препаратом  «Пуролат-БИНГСТИ», и поступают для  последующего обеззараживания на  КОС-7000. В микрорайоне «Горка», «Черемушки»,  централизованная сеть канализования отсутствует. Прием нецентрализованных хозяйственно-бытовых сточных вод  осуществляется транспортом МУП»УГХ», в приемный колодец , расположенный на КОС-2700. </w:t>
      </w:r>
    </w:p>
    <w:p w:rsidR="00630798" w:rsidRPr="00BC5425" w:rsidRDefault="00630798" w:rsidP="00BC5425">
      <w:pPr>
        <w:pStyle w:val="31"/>
        <w:ind w:firstLine="567"/>
        <w:jc w:val="both"/>
        <w:rPr>
          <w:sz w:val="24"/>
          <w:szCs w:val="24"/>
        </w:rPr>
      </w:pPr>
      <w:r w:rsidRPr="00BC5425">
        <w:rPr>
          <w:sz w:val="24"/>
          <w:szCs w:val="24"/>
        </w:rPr>
        <w:t xml:space="preserve">    </w:t>
      </w:r>
      <w:r w:rsidRPr="00BC5425">
        <w:rPr>
          <w:sz w:val="24"/>
          <w:szCs w:val="24"/>
          <w:u w:val="single"/>
        </w:rPr>
        <w:t>На КОС-2700 м3/сут и 7000 м3/сут</w:t>
      </w:r>
      <w:r w:rsidRPr="00BC5425">
        <w:rPr>
          <w:sz w:val="24"/>
          <w:szCs w:val="24"/>
        </w:rPr>
        <w:t xml:space="preserve">, обеззараживание сточных вод проводится установками УФО после биологической очистки и доочистки. Городские КОС осуществляют сброс сточных вод в  р.Пучип-Игый, р.Балык.   Глубоководные выпуски очищенных сточных вод не осуществляется. КОС ООО ЮБ «ГПК» осуществляет сброс в систему ППД.        В общем объеме сбрасываемых сточных вод – около      тыс. м куб. в год нормативно-очищенные сточные воды составляют 48 %. Протяженность   сетей  водоотведения  </w:t>
      </w:r>
      <w:smartTag w:uri="urn:schemas-microsoft-com:office:smarttags" w:element="metricconverter">
        <w:smartTagPr>
          <w:attr w:name="ProductID" w:val="132,5 км"/>
        </w:smartTagPr>
        <w:r w:rsidRPr="00BC5425">
          <w:rPr>
            <w:sz w:val="24"/>
            <w:szCs w:val="24"/>
          </w:rPr>
          <w:t>132,5 км</w:t>
        </w:r>
      </w:smartTag>
      <w:r w:rsidRPr="00BC5425">
        <w:rPr>
          <w:sz w:val="24"/>
          <w:szCs w:val="24"/>
        </w:rPr>
        <w:t>.     Во временных поселках «Вертолетка», СУ-904, частично в 2 «А» микрорайоне, 36 жилых домов г. Пыть-Ях отсутствует централизованная система канализации и хозяйственно-бытовые стоки сбрасываются по рельефу возле жилых балков и вагончиков, приводя к загрязнению, заболоченности прилегающей территории. Данные участки являются потенциальным источником инфекционных заболеваний.</w:t>
      </w:r>
    </w:p>
    <w:p w:rsidR="00630798" w:rsidRPr="00BC5425" w:rsidRDefault="00630798" w:rsidP="00D74571">
      <w:pPr>
        <w:spacing w:after="0" w:line="240" w:lineRule="auto"/>
        <w:jc w:val="both"/>
        <w:rPr>
          <w:rFonts w:ascii="Times New Roman" w:hAnsi="Times New Roman" w:cs="Times New Roman"/>
          <w:sz w:val="24"/>
          <w:szCs w:val="24"/>
        </w:rPr>
      </w:pPr>
      <w:r w:rsidRPr="00BC5425">
        <w:rPr>
          <w:rFonts w:ascii="Times New Roman" w:hAnsi="Times New Roman" w:cs="Times New Roman"/>
          <w:sz w:val="24"/>
          <w:szCs w:val="24"/>
        </w:rPr>
        <w:t>-Стоки от микрорайона №1 гПыть-Ях  КНС№1 перекачивает на КОС-1, расположенные  восточнее жилого микрорайона.</w:t>
      </w:r>
    </w:p>
    <w:p w:rsidR="00630798" w:rsidRPr="00BC5425" w:rsidRDefault="00630798" w:rsidP="00D74571">
      <w:pPr>
        <w:spacing w:after="0" w:line="240" w:lineRule="auto"/>
        <w:jc w:val="both"/>
        <w:rPr>
          <w:rFonts w:ascii="Times New Roman" w:hAnsi="Times New Roman" w:cs="Times New Roman"/>
          <w:sz w:val="24"/>
          <w:szCs w:val="24"/>
        </w:rPr>
      </w:pPr>
      <w:r w:rsidRPr="00BC5425">
        <w:rPr>
          <w:rFonts w:ascii="Times New Roman" w:hAnsi="Times New Roman" w:cs="Times New Roman"/>
          <w:sz w:val="24"/>
          <w:szCs w:val="24"/>
        </w:rPr>
        <w:lastRenderedPageBreak/>
        <w:t>-Стоки от микрорайона №2 гПыть-Ях  КНС№2  перекачивается в самотечный коллектор по ул..Магистральной и далее поступает в приёмный резервуар насосной станции на КНС-3  расположенные   в 3 микрорайоне.</w:t>
      </w:r>
    </w:p>
    <w:p w:rsidR="00630798" w:rsidRPr="00BC5425" w:rsidRDefault="00630798" w:rsidP="00D74571">
      <w:pPr>
        <w:spacing w:after="0" w:line="240" w:lineRule="auto"/>
        <w:jc w:val="both"/>
        <w:rPr>
          <w:rFonts w:ascii="Times New Roman" w:hAnsi="Times New Roman" w:cs="Times New Roman"/>
          <w:sz w:val="24"/>
          <w:szCs w:val="24"/>
        </w:rPr>
      </w:pPr>
      <w:r w:rsidRPr="00BC5425">
        <w:rPr>
          <w:rFonts w:ascii="Times New Roman" w:hAnsi="Times New Roman" w:cs="Times New Roman"/>
          <w:sz w:val="24"/>
          <w:szCs w:val="24"/>
        </w:rPr>
        <w:t>- В насостную станцию  КНС-3 также поступают стоки от жилой застройки п.Горка, расположенной в Мамонтовской промзоне, Пионерного посёлка, промпредприятий Северной промзоны и ряда других предприятий .</w:t>
      </w:r>
    </w:p>
    <w:p w:rsidR="00630798" w:rsidRPr="00BC5425" w:rsidRDefault="00630798" w:rsidP="00BC5425">
      <w:pPr>
        <w:spacing w:after="0" w:line="240" w:lineRule="auto"/>
        <w:ind w:firstLine="567"/>
        <w:jc w:val="both"/>
        <w:rPr>
          <w:rFonts w:ascii="Times New Roman" w:hAnsi="Times New Roman" w:cs="Times New Roman"/>
          <w:sz w:val="24"/>
          <w:szCs w:val="24"/>
        </w:rPr>
      </w:pPr>
      <w:r w:rsidRPr="00BC5425">
        <w:rPr>
          <w:rFonts w:ascii="Times New Roman" w:hAnsi="Times New Roman" w:cs="Times New Roman"/>
          <w:sz w:val="24"/>
          <w:szCs w:val="24"/>
        </w:rPr>
        <w:t xml:space="preserve">       В городе отсутствует ливневая канализация. 60% промышленных предприятий работают на выгребах непоглощающего типа.  До настоящего времени отсутствует  сливная станция в городе. На протяжении ряда лет данные вопросы рассматривались на заседаниях у главы города. В связи с низким потенциалом имеющихся КОС отсутствует возможность подключения ливневой канализации. </w:t>
      </w:r>
    </w:p>
    <w:p w:rsidR="00630798" w:rsidRPr="00BC5425" w:rsidRDefault="00630798" w:rsidP="00BC5425">
      <w:pPr>
        <w:spacing w:after="0" w:line="240" w:lineRule="auto"/>
        <w:jc w:val="both"/>
        <w:rPr>
          <w:rFonts w:ascii="Times New Roman" w:eastAsia="Arial Unicode MS" w:hAnsi="Times New Roman" w:cs="Times New Roman"/>
          <w:sz w:val="24"/>
          <w:szCs w:val="24"/>
        </w:rPr>
      </w:pPr>
      <w:r w:rsidRPr="00BC5425">
        <w:rPr>
          <w:rFonts w:ascii="Times New Roman" w:hAnsi="Times New Roman" w:cs="Times New Roman"/>
          <w:sz w:val="24"/>
          <w:szCs w:val="24"/>
        </w:rPr>
        <w:t xml:space="preserve">      </w:t>
      </w:r>
      <w:r w:rsidRPr="00BC5425">
        <w:rPr>
          <w:rFonts w:ascii="Times New Roman" w:hAnsi="Times New Roman" w:cs="Times New Roman"/>
          <w:color w:val="000000"/>
          <w:spacing w:val="-1"/>
          <w:sz w:val="24"/>
          <w:szCs w:val="24"/>
        </w:rPr>
        <w:t xml:space="preserve">Контроль за качеством сточных вод в г. Пыть-Яхе осуществляется согласно </w:t>
      </w:r>
      <w:r w:rsidRPr="00BC5425">
        <w:rPr>
          <w:rFonts w:ascii="Times New Roman" w:hAnsi="Times New Roman" w:cs="Times New Roman"/>
          <w:color w:val="000000"/>
          <w:spacing w:val="-2"/>
          <w:sz w:val="24"/>
          <w:szCs w:val="24"/>
        </w:rPr>
        <w:t xml:space="preserve">утвержденным и согласованным графикам производственного контроля, а также рабочим </w:t>
      </w:r>
      <w:r w:rsidRPr="00BC5425">
        <w:rPr>
          <w:rFonts w:ascii="Times New Roman" w:hAnsi="Times New Roman" w:cs="Times New Roman"/>
          <w:color w:val="000000"/>
          <w:sz w:val="24"/>
          <w:szCs w:val="24"/>
        </w:rPr>
        <w:t>программам по проведению контроля за составом сточных вод и работой КОС.</w:t>
      </w:r>
      <w:r w:rsidRPr="00BC5425">
        <w:rPr>
          <w:rFonts w:ascii="Times New Roman" w:hAnsi="Times New Roman" w:cs="Times New Roman"/>
          <w:sz w:val="24"/>
          <w:szCs w:val="24"/>
        </w:rPr>
        <w:t xml:space="preserve"> </w:t>
      </w:r>
      <w:r w:rsidRPr="00BC5425">
        <w:rPr>
          <w:rFonts w:ascii="Times New Roman" w:hAnsi="Times New Roman" w:cs="Times New Roman"/>
          <w:color w:val="000000"/>
          <w:spacing w:val="3"/>
          <w:sz w:val="24"/>
          <w:szCs w:val="24"/>
        </w:rPr>
        <w:t xml:space="preserve">Эффективность  очистки  сточных  вод составляет  80-90%  .  Для  обеззараживания </w:t>
      </w:r>
      <w:r w:rsidRPr="00BC5425">
        <w:rPr>
          <w:rFonts w:ascii="Times New Roman" w:hAnsi="Times New Roman" w:cs="Times New Roman"/>
          <w:color w:val="000000"/>
          <w:spacing w:val="-2"/>
          <w:sz w:val="24"/>
          <w:szCs w:val="24"/>
        </w:rPr>
        <w:t>стоков    используется    жидкий    хлор и</w:t>
      </w:r>
      <w:r w:rsidRPr="00BC5425">
        <w:rPr>
          <w:rFonts w:ascii="Times New Roman" w:hAnsi="Times New Roman" w:cs="Times New Roman"/>
          <w:bCs/>
          <w:spacing w:val="2"/>
          <w:position w:val="-2"/>
          <w:sz w:val="24"/>
          <w:szCs w:val="24"/>
        </w:rPr>
        <w:t xml:space="preserve"> препарат  биологического ингибирования</w:t>
      </w:r>
      <w:r w:rsidRPr="00BC5425">
        <w:rPr>
          <w:rFonts w:ascii="Times New Roman" w:hAnsi="Times New Roman" w:cs="Times New Roman"/>
          <w:sz w:val="24"/>
          <w:szCs w:val="24"/>
        </w:rPr>
        <w:t xml:space="preserve"> «Пуролат – Бингсти». В текущем году проводилась  реконструкция напорного канализационного коллектора - </w:t>
      </w:r>
      <w:smartTag w:uri="urn:schemas-microsoft-com:office:smarttags" w:element="metricconverter">
        <w:smartTagPr>
          <w:attr w:name="ProductID" w:val="0,550 км"/>
        </w:smartTagPr>
        <w:r w:rsidRPr="00BC5425">
          <w:rPr>
            <w:rFonts w:ascii="Times New Roman" w:hAnsi="Times New Roman" w:cs="Times New Roman"/>
            <w:sz w:val="24"/>
            <w:szCs w:val="24"/>
          </w:rPr>
          <w:t>0,550 км</w:t>
        </w:r>
      </w:smartTag>
      <w:r w:rsidRPr="00BC5425">
        <w:rPr>
          <w:rFonts w:ascii="Times New Roman" w:hAnsi="Times New Roman" w:cs="Times New Roman"/>
          <w:sz w:val="24"/>
          <w:szCs w:val="24"/>
        </w:rPr>
        <w:t>.</w:t>
      </w:r>
      <w:r w:rsidRPr="00BC5425">
        <w:rPr>
          <w:rFonts w:ascii="Times New Roman" w:eastAsia="Arial Unicode MS" w:hAnsi="Times New Roman" w:cs="Times New Roman"/>
          <w:sz w:val="24"/>
          <w:szCs w:val="24"/>
        </w:rPr>
        <w:t xml:space="preserve"> </w:t>
      </w:r>
    </w:p>
    <w:p w:rsidR="00630798" w:rsidRPr="00BC5425" w:rsidRDefault="00630798" w:rsidP="00BC5425">
      <w:pPr>
        <w:pStyle w:val="a7"/>
        <w:jc w:val="both"/>
        <w:rPr>
          <w:color w:val="000000"/>
          <w:spacing w:val="-1"/>
          <w:sz w:val="24"/>
          <w:szCs w:val="24"/>
        </w:rPr>
      </w:pPr>
      <w:r w:rsidRPr="00BC5425">
        <w:rPr>
          <w:rFonts w:eastAsia="Arial Unicode MS"/>
          <w:sz w:val="24"/>
          <w:szCs w:val="24"/>
        </w:rPr>
        <w:t xml:space="preserve">        В городе отсутствует ливневая канализация. 60% промышленных предприятий работают на выгребах непоглощающего типа.  До настоящего времени отсутствует  сливная станция в городе. На протяжении ряда лет данные вопросы рассматривались на заседаниях у главы города. В связи с низким потенциалом имеющихся КОС отсутствует возможность подключения ливневой канализации. Необходимо строительство новых КОС.</w:t>
      </w:r>
    </w:p>
    <w:p w:rsidR="00630798" w:rsidRPr="00BC5425" w:rsidRDefault="00630798" w:rsidP="00BC5425">
      <w:pPr>
        <w:spacing w:after="0" w:line="240" w:lineRule="auto"/>
        <w:jc w:val="both"/>
        <w:rPr>
          <w:rFonts w:ascii="Times New Roman" w:hAnsi="Times New Roman" w:cs="Times New Roman"/>
          <w:sz w:val="24"/>
          <w:szCs w:val="24"/>
        </w:rPr>
      </w:pPr>
    </w:p>
    <w:p w:rsidR="00630798" w:rsidRPr="00BC5425" w:rsidRDefault="00630798" w:rsidP="00BC5425">
      <w:pPr>
        <w:spacing w:after="0" w:line="240" w:lineRule="auto"/>
        <w:ind w:firstLine="709"/>
        <w:jc w:val="both"/>
        <w:rPr>
          <w:rFonts w:ascii="Times New Roman" w:hAnsi="Times New Roman" w:cs="Times New Roman"/>
          <w:b/>
          <w:sz w:val="24"/>
          <w:szCs w:val="24"/>
          <w:u w:val="single"/>
        </w:rPr>
      </w:pPr>
      <w:r w:rsidRPr="00BC5425">
        <w:rPr>
          <w:rFonts w:ascii="Times New Roman" w:hAnsi="Times New Roman" w:cs="Times New Roman"/>
          <w:sz w:val="24"/>
          <w:szCs w:val="24"/>
        </w:rPr>
        <w:t>На территории г.Пыть-Ях  имеется 3 постоянных точек контроля на  водных объектов (водоёмы 2 категории), места  массового отдыха – пляжи, организуются стихийно, где в рамках социально гигиенический мониторинг, где ежегодно филиалом ФБУЗ «ЦГиЭ» проводятся  лабораторные исследование воды открытых водоемов. ТОУРПН проводит Лабораторный  контроль воды открытых водоемов проводится по утверждённым точкам отбора (рекреационные зоны в местах несанкционированных зон отдыха..). За 2020 год число исследованных проб воды открытых водоемов г.Пыть-Ях, по микробиологическим-22, санитарно-химическим -73, них не соответствующих-55(железо,  ит.д.), паразитлогическим  показателям – 35, них не соответствующих- 0.</w:t>
      </w:r>
    </w:p>
    <w:p w:rsidR="00630798" w:rsidRPr="00BC5425" w:rsidRDefault="00630798" w:rsidP="00BC5425">
      <w:pPr>
        <w:spacing w:after="0" w:line="240" w:lineRule="auto"/>
        <w:jc w:val="both"/>
        <w:rPr>
          <w:rFonts w:ascii="Times New Roman" w:hAnsi="Times New Roman" w:cs="Times New Roman"/>
          <w:sz w:val="24"/>
          <w:szCs w:val="24"/>
        </w:rPr>
      </w:pPr>
    </w:p>
    <w:p w:rsidR="00630798" w:rsidRPr="00BC5425" w:rsidRDefault="00630798" w:rsidP="00BC5425">
      <w:pPr>
        <w:tabs>
          <w:tab w:val="left" w:pos="-3060"/>
        </w:tabs>
        <w:spacing w:after="0" w:line="240" w:lineRule="auto"/>
        <w:ind w:firstLine="12"/>
        <w:jc w:val="both"/>
        <w:rPr>
          <w:rFonts w:ascii="Times New Roman" w:hAnsi="Times New Roman" w:cs="Times New Roman"/>
          <w:sz w:val="24"/>
          <w:szCs w:val="24"/>
        </w:rPr>
      </w:pPr>
      <w:r w:rsidRPr="00BC5425">
        <w:rPr>
          <w:rFonts w:ascii="Times New Roman" w:hAnsi="Times New Roman" w:cs="Times New Roman"/>
          <w:sz w:val="24"/>
          <w:szCs w:val="24"/>
        </w:rPr>
        <w:t xml:space="preserve">          Контроль за  качеством очистки сточной воды в городе Пыть-Ях осуществляется ведомственными лабораториями, предприятиями, эксплуатирующими системы водоотведения  – МУП «Управление городского хозяйства», ООО «ЮБ ГПК», которые имеют свои ведомственные аттестованные  лаборатории, определяющие качество сточных вод по водоотведению  КОС МУП «УГХ» по химическим показателям.</w:t>
      </w:r>
    </w:p>
    <w:p w:rsidR="00630798" w:rsidRPr="00BC5425" w:rsidRDefault="00630798" w:rsidP="00BC5425">
      <w:pPr>
        <w:spacing w:after="0" w:line="240" w:lineRule="auto"/>
        <w:jc w:val="both"/>
        <w:rPr>
          <w:rFonts w:ascii="Times New Roman" w:hAnsi="Times New Roman" w:cs="Times New Roman"/>
          <w:sz w:val="24"/>
          <w:szCs w:val="24"/>
        </w:rPr>
      </w:pPr>
      <w:r w:rsidRPr="00BC5425">
        <w:rPr>
          <w:rFonts w:ascii="Times New Roman" w:hAnsi="Times New Roman" w:cs="Times New Roman"/>
          <w:sz w:val="24"/>
          <w:szCs w:val="24"/>
        </w:rPr>
        <w:t xml:space="preserve">      Кроме того, производственный контроль осуществляется филиалами ФБУЗ «Центр гигиены и эпидемиологии» в г. Нефтеюганске, Нефтеюганском районе и гПыть-Ях », которые проводят лабораторные  микробиологические, паразитологические исследования сточных вод, лабораторные исследования на этапах технологического процесса работы очистных сооружений на основании договоров. Выполнение производственного контроля за текущий год по предоставленным данным ФФБУЗ «ЦГиЭ в г.Нефтеюганске и Нефтеюганском районе и гПыть-Ях» осуществляется в полном объеме. Наличие НДС есть.  </w:t>
      </w:r>
    </w:p>
    <w:p w:rsidR="00630798" w:rsidRPr="00BC5425" w:rsidRDefault="00630798" w:rsidP="00BC5425">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rPr>
      </w:pPr>
      <w:r w:rsidRPr="00BC5425">
        <w:rPr>
          <w:rFonts w:ascii="Times New Roman" w:hAnsi="Times New Roman" w:cs="Times New Roman"/>
          <w:bCs/>
          <w:color w:val="000000"/>
          <w:spacing w:val="-7"/>
          <w:sz w:val="24"/>
          <w:szCs w:val="24"/>
        </w:rPr>
        <w:t xml:space="preserve">При проведении плановых  контрольно – надзорных мероприятий     объектов сбора и обработки сточных вод  </w:t>
      </w:r>
      <w:r w:rsidRPr="00BC5425">
        <w:rPr>
          <w:rFonts w:ascii="Times New Roman" w:hAnsi="Times New Roman" w:cs="Times New Roman"/>
          <w:sz w:val="24"/>
          <w:szCs w:val="24"/>
        </w:rPr>
        <w:t xml:space="preserve">МУП  «УГХ»  в 2017 году  </w:t>
      </w:r>
      <w:r w:rsidRPr="00BC5425">
        <w:rPr>
          <w:rFonts w:ascii="Times New Roman" w:hAnsi="Times New Roman" w:cs="Times New Roman"/>
          <w:bCs/>
          <w:color w:val="000000"/>
          <w:spacing w:val="-7"/>
          <w:sz w:val="24"/>
          <w:szCs w:val="24"/>
        </w:rPr>
        <w:t xml:space="preserve">установлено:  </w:t>
      </w:r>
      <w:r w:rsidRPr="00BC5425">
        <w:rPr>
          <w:rFonts w:ascii="Times New Roman" w:hAnsi="Times New Roman" w:cs="Times New Roman"/>
          <w:sz w:val="24"/>
          <w:szCs w:val="24"/>
        </w:rPr>
        <w:t xml:space="preserve">-  В АБК  КОС 2700   вытяжная система вентиляции  на механическом побуждении от сварочного поста смонтирована не  в соответствии с требованиями: не оборудована боковая панель равномерного всасывания,  выбросная  шахта от вентсистемы не выведена над коньком крыши. На момент проверки  в нерабочем состояние Приточная система вентиляции по помещениям в нерабочем состоянии, в нарушение требований п.64 Инструкции применительно к требованиям СН 245-63 и СП «По организации технологических процессов и гигиенических требований к </w:t>
      </w:r>
      <w:r w:rsidRPr="00BC5425">
        <w:rPr>
          <w:rFonts w:ascii="Times New Roman" w:hAnsi="Times New Roman" w:cs="Times New Roman"/>
          <w:sz w:val="24"/>
          <w:szCs w:val="24"/>
        </w:rPr>
        <w:lastRenderedPageBreak/>
        <w:t>производственному оборудованию»  № 554-65  от 23.11.65 ; - Сточные воды, поступающие из п. Мамонтово на КНС-4 обработку овицидными препаратами не получают,  в нарушение; - В МУП УГХ  отсутствует производственный контроль за соблюдением санитарных требований,  с применением  лабораторных исследований  на рабочих местах, в нарушении ст.32 Федерального  Закона № 52-ФЗ от 30.03.99  « О санитарно-эпидемиологическом благополучие населения», п.2.1, п.4.1 СП 1.1.1058-01 « Организация и проведение производственного контроля за соблюдением  санитарно-противоэпидемических ( профилактических) мероприятий», п. 2.8 СП 2.2.2.1327-03 «Гигиенические требования к организации технологических процессов, производственному оборудованию и рабочему инструменту»;  - На всех ВОС и КОС отсутствуют дез. средства, используемые для уборки санитарно-бытовых помещений, в нарушении п. 101 Инструкции применительно к требованиям СН 245-63 и СП «По организации технологических процессов и гигиенических требований к производственному оборудованию»  № 554-65  от 23.11.65;  - Не проводится исследования сточных вод  после доочистки, перед обеззараживанием методом УФО, следовательно не контролируются, показатели  состава сточных вод, влияющие на эффективность УФО обеззараживания  сточных вод ( цветность,  ХПК,БПК, взвешенные вещества, в нарушение   п.2.1, п.4.1 СП 1.1.1058-01 « Организация и проведение производственного контроля за соблюдением  санитарно-противоэпидемических ( профилактических) мероприятий», МУ 2.1.5.800-99 «Организация госсанэпиднадзора  за обеззараживанием  сточных вод»</w:t>
      </w:r>
    </w:p>
    <w:p w:rsidR="00630798" w:rsidRPr="00BC5425" w:rsidRDefault="00630798" w:rsidP="00BC5425">
      <w:pPr>
        <w:suppressAutoHyphens/>
        <w:spacing w:after="0" w:line="240" w:lineRule="auto"/>
        <w:ind w:firstLine="567"/>
        <w:jc w:val="both"/>
        <w:rPr>
          <w:rFonts w:ascii="Times New Roman" w:hAnsi="Times New Roman" w:cs="Times New Roman"/>
          <w:sz w:val="24"/>
          <w:szCs w:val="24"/>
        </w:rPr>
      </w:pPr>
      <w:r w:rsidRPr="00BC5425">
        <w:rPr>
          <w:rFonts w:ascii="Times New Roman" w:eastAsia="Calibri" w:hAnsi="Times New Roman" w:cs="Times New Roman"/>
          <w:sz w:val="24"/>
          <w:szCs w:val="24"/>
        </w:rPr>
        <w:t xml:space="preserve">   На </w:t>
      </w:r>
      <w:r w:rsidRPr="00BC5425">
        <w:rPr>
          <w:rFonts w:ascii="Times New Roman" w:hAnsi="Times New Roman" w:cs="Times New Roman"/>
          <w:color w:val="000000"/>
          <w:sz w:val="24"/>
          <w:szCs w:val="24"/>
        </w:rPr>
        <w:t xml:space="preserve">основании Приказа Федеральной службы по надзору в сфере защиты прав потребителей и благополучия человека от 06.08.2015г. №615 «О проведении внеплановых проверок систем водоснабжения и водоотведения на территории Российской Федерации»   </w:t>
      </w:r>
      <w:r w:rsidRPr="00BC5425">
        <w:rPr>
          <w:rFonts w:ascii="Times New Roman" w:eastAsia="Calibri" w:hAnsi="Times New Roman" w:cs="Times New Roman"/>
          <w:sz w:val="24"/>
          <w:szCs w:val="24"/>
        </w:rPr>
        <w:t xml:space="preserve">проведены -2 </w:t>
      </w:r>
      <w:r w:rsidRPr="00BC5425">
        <w:rPr>
          <w:rFonts w:ascii="Times New Roman" w:hAnsi="Times New Roman" w:cs="Times New Roman"/>
          <w:sz w:val="24"/>
          <w:szCs w:val="24"/>
        </w:rPr>
        <w:t xml:space="preserve"> контрольно-надзорных мероприятий в отношении объектов  занимающихся водоотведением  воды </w:t>
      </w:r>
      <w:r w:rsidRPr="00BC5425">
        <w:rPr>
          <w:rFonts w:ascii="Times New Roman" w:hAnsi="Times New Roman" w:cs="Times New Roman"/>
          <w:sz w:val="24"/>
          <w:szCs w:val="24"/>
          <w:u w:val="single"/>
        </w:rPr>
        <w:t>в гПыть-Ях</w:t>
      </w:r>
      <w:r w:rsidRPr="00BC5425">
        <w:rPr>
          <w:rFonts w:ascii="Times New Roman" w:hAnsi="Times New Roman" w:cs="Times New Roman"/>
          <w:sz w:val="24"/>
          <w:szCs w:val="24"/>
        </w:rPr>
        <w:t xml:space="preserve"> в</w:t>
      </w:r>
      <w:r w:rsidRPr="00BC5425">
        <w:rPr>
          <w:rFonts w:ascii="Times New Roman" w:eastAsia="Calibri" w:hAnsi="Times New Roman" w:cs="Times New Roman"/>
          <w:sz w:val="24"/>
          <w:szCs w:val="24"/>
        </w:rPr>
        <w:t xml:space="preserve"> 2015-2016 г.г.</w:t>
      </w:r>
      <w:r w:rsidRPr="00BC5425">
        <w:rPr>
          <w:rFonts w:ascii="Times New Roman" w:hAnsi="Times New Roman" w:cs="Times New Roman"/>
          <w:sz w:val="24"/>
          <w:szCs w:val="24"/>
        </w:rPr>
        <w:t xml:space="preserve"> ЮБ «ГПК» -филиал ОАО «СибурТюменьГаз», МУП «УГХ», в результате проверки установлены факты нарушения:  </w:t>
      </w:r>
    </w:p>
    <w:p w:rsidR="00630798" w:rsidRPr="00BC5425" w:rsidRDefault="00630798" w:rsidP="00BC5425">
      <w:pPr>
        <w:suppressAutoHyphens/>
        <w:spacing w:after="0" w:line="240" w:lineRule="auto"/>
        <w:jc w:val="both"/>
        <w:rPr>
          <w:rFonts w:ascii="Times New Roman" w:hAnsi="Times New Roman" w:cs="Times New Roman"/>
          <w:sz w:val="24"/>
          <w:szCs w:val="24"/>
        </w:rPr>
      </w:pPr>
      <w:r w:rsidRPr="00BC5425">
        <w:rPr>
          <w:rFonts w:ascii="Times New Roman" w:hAnsi="Times New Roman" w:cs="Times New Roman"/>
          <w:sz w:val="24"/>
          <w:szCs w:val="24"/>
        </w:rPr>
        <w:t xml:space="preserve">     </w:t>
      </w:r>
      <w:r w:rsidRPr="00BC5425">
        <w:rPr>
          <w:rFonts w:ascii="Times New Roman" w:hAnsi="Times New Roman" w:cs="Times New Roman"/>
          <w:sz w:val="24"/>
          <w:szCs w:val="24"/>
          <w:u w:val="single"/>
        </w:rPr>
        <w:t xml:space="preserve">При проведении  внеплановой проверки МУП УГХ </w:t>
      </w:r>
      <w:r w:rsidRPr="00BC5425">
        <w:rPr>
          <w:rFonts w:ascii="Times New Roman" w:hAnsi="Times New Roman" w:cs="Times New Roman"/>
          <w:sz w:val="24"/>
          <w:szCs w:val="24"/>
        </w:rPr>
        <w:t>юридический и фактический  адрес: 628307, Тюменская. область ХМАО, г.Пыть-Ях, выявлены следующие нарушения требований санитарного законодательства:  -.  Деинвазия овицидным препаратом проводится с нарушением требований ТУ 9291-001-65422887-2010 от 01.12.2010г.</w:t>
      </w:r>
    </w:p>
    <w:p w:rsidR="00630798" w:rsidRPr="00BC5425" w:rsidRDefault="00630798" w:rsidP="00BC5425">
      <w:pPr>
        <w:spacing w:after="0" w:line="240" w:lineRule="auto"/>
        <w:jc w:val="both"/>
        <w:rPr>
          <w:rFonts w:ascii="Times New Roman" w:hAnsi="Times New Roman" w:cs="Times New Roman"/>
          <w:sz w:val="24"/>
          <w:szCs w:val="24"/>
        </w:rPr>
      </w:pPr>
      <w:r w:rsidRPr="00BC5425">
        <w:rPr>
          <w:rFonts w:ascii="Times New Roman" w:hAnsi="Times New Roman" w:cs="Times New Roman"/>
          <w:sz w:val="24"/>
          <w:szCs w:val="24"/>
        </w:rPr>
        <w:t xml:space="preserve">         В настоящий момент проводится определённая работа по вопросу улучшения качества очистки сточных вод в районе. С 2014 года в гПыть-Ях действует муниципальная программа «Развитие жилищно-коммунального комплекса и повышение энергетической эффективности в МО г.Пыть-Ях на 2014-2020 годы» ( далее Программа). </w:t>
      </w:r>
    </w:p>
    <w:p w:rsidR="00630798" w:rsidRPr="00BC5425" w:rsidRDefault="00630798" w:rsidP="00BC5425">
      <w:pPr>
        <w:spacing w:after="0" w:line="240" w:lineRule="auto"/>
        <w:ind w:firstLine="567"/>
        <w:jc w:val="both"/>
        <w:rPr>
          <w:rFonts w:ascii="Times New Roman" w:hAnsi="Times New Roman" w:cs="Times New Roman"/>
          <w:sz w:val="24"/>
          <w:szCs w:val="24"/>
        </w:rPr>
      </w:pPr>
      <w:r w:rsidRPr="00BC5425">
        <w:rPr>
          <w:rFonts w:ascii="Times New Roman" w:hAnsi="Times New Roman" w:cs="Times New Roman"/>
          <w:sz w:val="24"/>
          <w:szCs w:val="24"/>
        </w:rPr>
        <w:t xml:space="preserve">    </w:t>
      </w:r>
      <w:r w:rsidRPr="00BC5425">
        <w:rPr>
          <w:rFonts w:ascii="Times New Roman" w:hAnsi="Times New Roman" w:cs="Times New Roman"/>
          <w:sz w:val="24"/>
          <w:szCs w:val="24"/>
          <w:u w:val="single"/>
        </w:rPr>
        <w:t xml:space="preserve">В рамках вышеуказанной </w:t>
      </w:r>
      <w:r w:rsidRPr="00BC5425">
        <w:rPr>
          <w:rFonts w:ascii="Times New Roman" w:hAnsi="Times New Roman" w:cs="Times New Roman"/>
          <w:b/>
          <w:sz w:val="24"/>
          <w:szCs w:val="24"/>
          <w:u w:val="single"/>
        </w:rPr>
        <w:t>Программы в 2020</w:t>
      </w:r>
      <w:r w:rsidRPr="00BC5425">
        <w:rPr>
          <w:rFonts w:ascii="Times New Roman" w:hAnsi="Times New Roman" w:cs="Times New Roman"/>
          <w:sz w:val="24"/>
          <w:szCs w:val="24"/>
          <w:u w:val="single"/>
        </w:rPr>
        <w:t xml:space="preserve"> году успешно реализуются следующие мероприятия, направленные на улучшение качества, повышения надёжности систем, водоотведения потребителей города Пыть-</w:t>
      </w:r>
      <w:r w:rsidRPr="00BC5425">
        <w:rPr>
          <w:rFonts w:ascii="Times New Roman" w:hAnsi="Times New Roman" w:cs="Times New Roman"/>
          <w:sz w:val="24"/>
          <w:szCs w:val="24"/>
        </w:rPr>
        <w:t>Ях:</w:t>
      </w:r>
    </w:p>
    <w:p w:rsidR="00630798" w:rsidRPr="00BC5425" w:rsidRDefault="00630798" w:rsidP="00BC5425">
      <w:pPr>
        <w:spacing w:after="0" w:line="240" w:lineRule="auto"/>
        <w:jc w:val="both"/>
        <w:rPr>
          <w:rFonts w:ascii="Times New Roman" w:hAnsi="Times New Roman" w:cs="Times New Roman"/>
          <w:sz w:val="24"/>
          <w:szCs w:val="24"/>
        </w:rPr>
      </w:pPr>
    </w:p>
    <w:p w:rsidR="00630798" w:rsidRPr="00BC5425" w:rsidRDefault="00630798" w:rsidP="00BC5425">
      <w:pPr>
        <w:spacing w:after="0" w:line="240" w:lineRule="auto"/>
        <w:ind w:firstLine="567"/>
        <w:jc w:val="both"/>
        <w:rPr>
          <w:rFonts w:ascii="Times New Roman" w:hAnsi="Times New Roman" w:cs="Times New Roman"/>
          <w:sz w:val="24"/>
          <w:szCs w:val="24"/>
        </w:rPr>
      </w:pPr>
      <w:r w:rsidRPr="00BC5425">
        <w:rPr>
          <w:rFonts w:ascii="Times New Roman" w:hAnsi="Times New Roman" w:cs="Times New Roman"/>
          <w:sz w:val="24"/>
          <w:szCs w:val="24"/>
        </w:rPr>
        <w:t>1)Проведены демонтажные работы по выведению из технологического режима КОС-1100 м3/сут,  КОС-2200 м3/сут, ведётся рекультивация земель.</w:t>
      </w:r>
    </w:p>
    <w:p w:rsidR="00630798" w:rsidRPr="00BC5425" w:rsidRDefault="00630798" w:rsidP="00BC5425">
      <w:pPr>
        <w:shd w:val="clear" w:color="auto" w:fill="FFFFFF"/>
        <w:spacing w:before="10" w:after="0" w:line="240" w:lineRule="auto"/>
        <w:ind w:right="48" w:firstLine="567"/>
        <w:jc w:val="both"/>
        <w:rPr>
          <w:rFonts w:ascii="Times New Roman" w:hAnsi="Times New Roman" w:cs="Times New Roman"/>
          <w:sz w:val="24"/>
          <w:szCs w:val="24"/>
        </w:rPr>
      </w:pPr>
      <w:r w:rsidRPr="00BC5425">
        <w:rPr>
          <w:rFonts w:ascii="Times New Roman" w:hAnsi="Times New Roman" w:cs="Times New Roman"/>
          <w:sz w:val="24"/>
          <w:szCs w:val="24"/>
        </w:rPr>
        <w:t xml:space="preserve">2) В соответствии ФЗ №416 –ФЗ «О водоснабжении и водоотведении …», санитарного законодательства  разработаны  и утверждены </w:t>
      </w:r>
      <w:r w:rsidRPr="00BC5425">
        <w:rPr>
          <w:rFonts w:ascii="Times New Roman" w:hAnsi="Times New Roman" w:cs="Times New Roman"/>
          <w:color w:val="000000"/>
          <w:spacing w:val="1"/>
          <w:sz w:val="24"/>
          <w:szCs w:val="24"/>
        </w:rPr>
        <w:t xml:space="preserve">МУП «УГХ» </w:t>
      </w:r>
      <w:r w:rsidRPr="00BC5425">
        <w:rPr>
          <w:rFonts w:ascii="Times New Roman" w:hAnsi="Times New Roman" w:cs="Times New Roman"/>
          <w:sz w:val="24"/>
          <w:szCs w:val="24"/>
        </w:rPr>
        <w:t>программа производственного контроля сточных вод</w:t>
      </w:r>
      <w:r w:rsidRPr="00BC5425">
        <w:rPr>
          <w:rFonts w:ascii="Times New Roman" w:hAnsi="Times New Roman" w:cs="Times New Roman"/>
          <w:bCs/>
          <w:iCs/>
          <w:sz w:val="24"/>
          <w:szCs w:val="24"/>
        </w:rPr>
        <w:t xml:space="preserve"> и НДС.</w:t>
      </w:r>
    </w:p>
    <w:p w:rsidR="00630798" w:rsidRPr="00BC5425" w:rsidRDefault="00630798" w:rsidP="00BC5425">
      <w:pPr>
        <w:widowControl w:val="0"/>
        <w:shd w:val="clear" w:color="auto" w:fill="FFFFFF"/>
        <w:autoSpaceDE w:val="0"/>
        <w:autoSpaceDN w:val="0"/>
        <w:adjustRightInd w:val="0"/>
        <w:spacing w:after="0" w:line="240" w:lineRule="auto"/>
        <w:ind w:right="14"/>
        <w:jc w:val="both"/>
        <w:rPr>
          <w:rFonts w:ascii="Times New Roman" w:hAnsi="Times New Roman" w:cs="Times New Roman"/>
          <w:sz w:val="24"/>
          <w:szCs w:val="24"/>
        </w:rPr>
      </w:pPr>
      <w:r w:rsidRPr="00BC5425">
        <w:rPr>
          <w:rFonts w:ascii="Times New Roman" w:hAnsi="Times New Roman" w:cs="Times New Roman"/>
          <w:sz w:val="24"/>
          <w:szCs w:val="24"/>
        </w:rPr>
        <w:t xml:space="preserve">   </w:t>
      </w:r>
    </w:p>
    <w:p w:rsidR="00630798" w:rsidRPr="00BC5425" w:rsidRDefault="00630798" w:rsidP="00BC5425">
      <w:pPr>
        <w:widowControl w:val="0"/>
        <w:shd w:val="clear" w:color="auto" w:fill="FFFFFF"/>
        <w:autoSpaceDE w:val="0"/>
        <w:autoSpaceDN w:val="0"/>
        <w:adjustRightInd w:val="0"/>
        <w:spacing w:after="0" w:line="240" w:lineRule="auto"/>
        <w:ind w:right="14" w:firstLine="567"/>
        <w:jc w:val="both"/>
        <w:rPr>
          <w:rFonts w:ascii="Times New Roman" w:hAnsi="Times New Roman" w:cs="Times New Roman"/>
          <w:sz w:val="24"/>
          <w:szCs w:val="24"/>
        </w:rPr>
      </w:pPr>
      <w:r w:rsidRPr="00BC5425">
        <w:rPr>
          <w:rFonts w:ascii="Times New Roman" w:hAnsi="Times New Roman" w:cs="Times New Roman"/>
          <w:sz w:val="24"/>
          <w:szCs w:val="24"/>
        </w:rPr>
        <w:t xml:space="preserve">     </w:t>
      </w:r>
      <w:r w:rsidRPr="00BC5425">
        <w:rPr>
          <w:rFonts w:ascii="Times New Roman" w:hAnsi="Times New Roman" w:cs="Times New Roman"/>
          <w:sz w:val="24"/>
          <w:szCs w:val="24"/>
          <w:u w:val="single"/>
        </w:rPr>
        <w:t>По результатам проведённых контрольно-надзорных мероприятий ТОУРПН  в 2016 2018 г.г и -2019-2020 г году  приняты меры административного воздействия на должностные и  юридические лица МО города Пыть-Ях составлено  6 протокола      на должные  и юридические лица, вынесено постановлений на сумму 61 тыс. рублей,  руководителям</w:t>
      </w:r>
      <w:r w:rsidRPr="00BC5425">
        <w:rPr>
          <w:rFonts w:ascii="Times New Roman" w:hAnsi="Times New Roman" w:cs="Times New Roman"/>
          <w:sz w:val="24"/>
          <w:szCs w:val="24"/>
        </w:rPr>
        <w:t xml:space="preserve"> были направлены предписания  об устранении нарушений  санитарного законодательства и законодательства в сфере защиты прав потребителей для исполнения.</w:t>
      </w:r>
    </w:p>
    <w:p w:rsidR="00630798" w:rsidRPr="00BC5425" w:rsidRDefault="00630798" w:rsidP="00BC5425">
      <w:pPr>
        <w:spacing w:after="0" w:line="240" w:lineRule="auto"/>
        <w:jc w:val="both"/>
        <w:rPr>
          <w:rFonts w:ascii="Times New Roman" w:hAnsi="Times New Roman" w:cs="Times New Roman"/>
          <w:sz w:val="24"/>
          <w:szCs w:val="24"/>
        </w:rPr>
      </w:pPr>
      <w:r w:rsidRPr="00BC5425">
        <w:rPr>
          <w:rFonts w:ascii="Times New Roman" w:hAnsi="Times New Roman" w:cs="Times New Roman"/>
          <w:sz w:val="24"/>
          <w:szCs w:val="24"/>
        </w:rPr>
        <w:t xml:space="preserve">        В 2017-2020 году </w:t>
      </w:r>
      <w:r w:rsidRPr="00BC5425">
        <w:rPr>
          <w:rStyle w:val="35"/>
          <w:rFonts w:ascii="Times New Roman" w:hAnsi="Times New Roman" w:cs="Times New Roman"/>
          <w:sz w:val="24"/>
          <w:szCs w:val="24"/>
        </w:rPr>
        <w:t xml:space="preserve">проведены </w:t>
      </w:r>
      <w:r w:rsidRPr="00BC5425">
        <w:rPr>
          <w:rFonts w:ascii="Times New Roman" w:hAnsi="Times New Roman" w:cs="Times New Roman"/>
          <w:sz w:val="24"/>
          <w:szCs w:val="24"/>
        </w:rPr>
        <w:t xml:space="preserve">3 контрольно-надзорных мероприятий в отношении </w:t>
      </w:r>
      <w:r w:rsidRPr="00BC5425">
        <w:rPr>
          <w:rStyle w:val="35"/>
          <w:rFonts w:ascii="Times New Roman" w:hAnsi="Times New Roman" w:cs="Times New Roman"/>
          <w:sz w:val="24"/>
          <w:szCs w:val="24"/>
        </w:rPr>
        <w:t xml:space="preserve">объекта осуществляющих сбор и обработку сточных вод на территориях МО гПыть-Ях, включая 2 плановых выездных проверки в отношении юридических лиц  МУП «УГХ» </w:t>
      </w:r>
      <w:r w:rsidRPr="00BC5425">
        <w:rPr>
          <w:rFonts w:ascii="Times New Roman" w:hAnsi="Times New Roman" w:cs="Times New Roman"/>
          <w:sz w:val="24"/>
          <w:szCs w:val="24"/>
        </w:rPr>
        <w:t xml:space="preserve">По результатам надзорных мероприятий в 2017-2020г.г.  были приняты меры </w:t>
      </w:r>
      <w:r w:rsidRPr="00BC5425">
        <w:rPr>
          <w:rFonts w:ascii="Times New Roman" w:hAnsi="Times New Roman" w:cs="Times New Roman"/>
          <w:sz w:val="24"/>
          <w:szCs w:val="24"/>
        </w:rPr>
        <w:lastRenderedPageBreak/>
        <w:t>административного взыскания, в виде штрафа в отношении юридических и должностных лиц по ст. 6.3, ст.6.4., КоАП РФ   на сумму 106 000 рублей. Направлялись предписания об устранении нарушений  санитарного законодательства для исполнения руководителями.</w:t>
      </w:r>
    </w:p>
    <w:p w:rsidR="00630798" w:rsidRPr="00BC5425" w:rsidRDefault="00630798" w:rsidP="00BC5425">
      <w:pPr>
        <w:spacing w:after="0" w:line="240" w:lineRule="auto"/>
        <w:jc w:val="both"/>
        <w:rPr>
          <w:rFonts w:ascii="Times New Roman" w:hAnsi="Times New Roman" w:cs="Times New Roman"/>
          <w:sz w:val="24"/>
          <w:szCs w:val="24"/>
        </w:rPr>
      </w:pPr>
    </w:p>
    <w:p w:rsidR="00630798" w:rsidRPr="00BC5425" w:rsidRDefault="00630798" w:rsidP="00BC5425">
      <w:pPr>
        <w:spacing w:after="0" w:line="240" w:lineRule="auto"/>
        <w:ind w:firstLine="567"/>
        <w:jc w:val="both"/>
        <w:rPr>
          <w:rFonts w:ascii="Times New Roman" w:hAnsi="Times New Roman" w:cs="Times New Roman"/>
          <w:sz w:val="24"/>
          <w:szCs w:val="24"/>
        </w:rPr>
      </w:pPr>
      <w:r w:rsidRPr="00BC5425">
        <w:rPr>
          <w:rFonts w:ascii="Times New Roman" w:hAnsi="Times New Roman" w:cs="Times New Roman"/>
          <w:sz w:val="24"/>
          <w:szCs w:val="24"/>
        </w:rPr>
        <w:t xml:space="preserve">      По итогам 2020</w:t>
      </w:r>
      <w:r w:rsidR="00BC5425">
        <w:rPr>
          <w:rFonts w:ascii="Times New Roman" w:hAnsi="Times New Roman" w:cs="Times New Roman"/>
          <w:sz w:val="24"/>
          <w:szCs w:val="24"/>
        </w:rPr>
        <w:t xml:space="preserve"> года </w:t>
      </w:r>
      <w:r w:rsidRPr="00BC5425">
        <w:rPr>
          <w:rFonts w:ascii="Times New Roman" w:hAnsi="Times New Roman" w:cs="Times New Roman"/>
          <w:sz w:val="24"/>
          <w:szCs w:val="24"/>
        </w:rPr>
        <w:t xml:space="preserve">была продолжена практика проведения организационных мероприятий по вопросам улучшения качества водоотведения населенных мест в </w:t>
      </w:r>
      <w:r w:rsidRPr="00BC5425">
        <w:rPr>
          <w:rFonts w:ascii="Times New Roman" w:hAnsi="Times New Roman" w:cs="Times New Roman"/>
          <w:sz w:val="24"/>
          <w:szCs w:val="24"/>
          <w:u w:val="single"/>
        </w:rPr>
        <w:t xml:space="preserve"> г</w:t>
      </w:r>
      <w:r w:rsidR="00BC5425">
        <w:rPr>
          <w:rFonts w:ascii="Times New Roman" w:hAnsi="Times New Roman" w:cs="Times New Roman"/>
          <w:sz w:val="24"/>
          <w:szCs w:val="24"/>
          <w:u w:val="single"/>
        </w:rPr>
        <w:t xml:space="preserve">. </w:t>
      </w:r>
      <w:r w:rsidRPr="00BC5425">
        <w:rPr>
          <w:rFonts w:ascii="Times New Roman" w:hAnsi="Times New Roman" w:cs="Times New Roman"/>
          <w:sz w:val="24"/>
          <w:szCs w:val="24"/>
          <w:u w:val="single"/>
        </w:rPr>
        <w:t>Пыть-Ях.</w:t>
      </w:r>
      <w:r w:rsidRPr="00BC5425">
        <w:rPr>
          <w:rFonts w:ascii="Times New Roman" w:hAnsi="Times New Roman" w:cs="Times New Roman"/>
          <w:sz w:val="24"/>
          <w:szCs w:val="24"/>
        </w:rPr>
        <w:tab/>
        <w:t xml:space="preserve">По инициативе ТО РПН данный вопрос рассматривался на заседаниях </w:t>
      </w:r>
      <w:r w:rsidR="00BC5425">
        <w:rPr>
          <w:rFonts w:ascii="Times New Roman" w:hAnsi="Times New Roman" w:cs="Times New Roman"/>
          <w:sz w:val="24"/>
          <w:szCs w:val="24"/>
        </w:rPr>
        <w:t>межведомственной санитарно – противоэпидемической комиссии г. Пыть-Ях.</w:t>
      </w:r>
      <w:r w:rsidRPr="00BC5425">
        <w:rPr>
          <w:rFonts w:ascii="Times New Roman" w:hAnsi="Times New Roman" w:cs="Times New Roman"/>
          <w:sz w:val="24"/>
          <w:szCs w:val="24"/>
        </w:rPr>
        <w:t xml:space="preserve">  В</w:t>
      </w:r>
      <w:r w:rsidR="00BC5425">
        <w:rPr>
          <w:rFonts w:ascii="Times New Roman" w:hAnsi="Times New Roman" w:cs="Times New Roman"/>
          <w:sz w:val="24"/>
          <w:szCs w:val="24"/>
        </w:rPr>
        <w:t xml:space="preserve"> управление по жилищно – коммунальному комплексу, транспорту и дорогам администрации г. Пыть-Ях </w:t>
      </w:r>
      <w:r w:rsidRPr="00BC5425">
        <w:rPr>
          <w:rFonts w:ascii="Times New Roman" w:hAnsi="Times New Roman" w:cs="Times New Roman"/>
          <w:sz w:val="24"/>
          <w:szCs w:val="24"/>
        </w:rPr>
        <w:t>направлялись предписания, о проведени</w:t>
      </w:r>
      <w:r w:rsidR="00BC5425">
        <w:rPr>
          <w:rFonts w:ascii="Times New Roman" w:hAnsi="Times New Roman" w:cs="Times New Roman"/>
          <w:sz w:val="24"/>
          <w:szCs w:val="24"/>
        </w:rPr>
        <w:t>и</w:t>
      </w:r>
      <w:r w:rsidRPr="00BC5425">
        <w:rPr>
          <w:rFonts w:ascii="Times New Roman" w:hAnsi="Times New Roman" w:cs="Times New Roman"/>
          <w:sz w:val="24"/>
          <w:szCs w:val="24"/>
        </w:rPr>
        <w:t xml:space="preserve"> дополнительных(профилактических) мероприятиях на системах КОС период весеннего половодья в 2020 году. В адрес Главы г.</w:t>
      </w:r>
      <w:r w:rsidR="00BC5425">
        <w:rPr>
          <w:rFonts w:ascii="Times New Roman" w:hAnsi="Times New Roman" w:cs="Times New Roman"/>
          <w:sz w:val="24"/>
          <w:szCs w:val="24"/>
        </w:rPr>
        <w:t xml:space="preserve"> </w:t>
      </w:r>
      <w:r w:rsidRPr="00BC5425">
        <w:rPr>
          <w:rFonts w:ascii="Times New Roman" w:hAnsi="Times New Roman" w:cs="Times New Roman"/>
          <w:sz w:val="24"/>
          <w:szCs w:val="24"/>
        </w:rPr>
        <w:t xml:space="preserve">Пыть-Ях в целях предупреждения возникновения случаев массовых инфекционных заболеваний среди населения и других чрезвычайных ситуаций, связанных с эксплуатацией водопроводно-канализационных систем, в период весеннего паводка, ежегодного направляются письма и предложения  направленные на  усилении  соблюдения требований действующих законодательств. Проводились совещания при администрации города гПыть-Ях по вопросу улучшения и об </w:t>
      </w:r>
      <w:r w:rsidRPr="00BC5425">
        <w:rPr>
          <w:rFonts w:ascii="Times New Roman" w:hAnsi="Times New Roman" w:cs="Times New Roman"/>
          <w:color w:val="222222"/>
          <w:sz w:val="24"/>
          <w:szCs w:val="24"/>
        </w:rPr>
        <w:t>обеспечения функционирования  системы государственного регулирования в сфере водоснабжения и водоотведения,  в рамках ст.3 ФЗ №416 «О водоснабжении и водоотведении».</w:t>
      </w:r>
      <w:r w:rsidRPr="00BC5425">
        <w:rPr>
          <w:rFonts w:ascii="Times New Roman" w:hAnsi="Times New Roman" w:cs="Times New Roman"/>
          <w:sz w:val="24"/>
          <w:szCs w:val="24"/>
        </w:rPr>
        <w:t xml:space="preserve"> </w:t>
      </w:r>
    </w:p>
    <w:p w:rsidR="00630798" w:rsidRPr="00BC5425" w:rsidRDefault="00630798" w:rsidP="00BC5425">
      <w:pPr>
        <w:widowControl w:val="0"/>
        <w:shd w:val="clear" w:color="auto" w:fill="FFFFFF"/>
        <w:autoSpaceDE w:val="0"/>
        <w:autoSpaceDN w:val="0"/>
        <w:adjustRightInd w:val="0"/>
        <w:spacing w:after="0" w:line="240" w:lineRule="auto"/>
        <w:ind w:right="14" w:firstLine="567"/>
        <w:jc w:val="both"/>
        <w:rPr>
          <w:rFonts w:ascii="Times New Roman" w:hAnsi="Times New Roman" w:cs="Times New Roman"/>
          <w:sz w:val="24"/>
          <w:szCs w:val="24"/>
        </w:rPr>
      </w:pPr>
      <w:r w:rsidRPr="00BC5425">
        <w:rPr>
          <w:rFonts w:ascii="Times New Roman" w:hAnsi="Times New Roman" w:cs="Times New Roman"/>
          <w:sz w:val="24"/>
          <w:szCs w:val="24"/>
        </w:rPr>
        <w:t xml:space="preserve">      </w:t>
      </w:r>
      <w:r w:rsidRPr="00BC5425">
        <w:rPr>
          <w:rFonts w:ascii="Times New Roman" w:hAnsi="Times New Roman" w:cs="Times New Roman"/>
          <w:sz w:val="24"/>
          <w:szCs w:val="24"/>
          <w:lang w:bidi="en-US"/>
        </w:rPr>
        <w:t xml:space="preserve">Информация по состоянию городских КОС была </w:t>
      </w:r>
      <w:r w:rsidRPr="00BC5425">
        <w:rPr>
          <w:rFonts w:ascii="Times New Roman" w:hAnsi="Times New Roman" w:cs="Times New Roman"/>
          <w:sz w:val="24"/>
          <w:szCs w:val="24"/>
        </w:rPr>
        <w:t>направлена Главе  города Пыть-Ях.</w:t>
      </w:r>
    </w:p>
    <w:p w:rsidR="00630798" w:rsidRPr="00BC5425" w:rsidRDefault="00630798" w:rsidP="00BC5425">
      <w:pPr>
        <w:spacing w:after="0" w:line="240" w:lineRule="auto"/>
        <w:jc w:val="both"/>
        <w:rPr>
          <w:rFonts w:ascii="Times New Roman" w:hAnsi="Times New Roman" w:cs="Times New Roman"/>
          <w:sz w:val="24"/>
          <w:szCs w:val="24"/>
        </w:rPr>
      </w:pPr>
    </w:p>
    <w:p w:rsidR="00630798" w:rsidRPr="00BC5425" w:rsidRDefault="00630798" w:rsidP="00BC5425">
      <w:pPr>
        <w:spacing w:after="0" w:line="240" w:lineRule="auto"/>
        <w:rPr>
          <w:rFonts w:ascii="Times New Roman" w:eastAsia="Times New Roman" w:hAnsi="Times New Roman" w:cs="Times New Roman"/>
          <w:b/>
          <w:sz w:val="24"/>
          <w:szCs w:val="24"/>
          <w:lang w:eastAsia="ru-RU"/>
        </w:rPr>
      </w:pPr>
      <w:r w:rsidRPr="00BC5425">
        <w:rPr>
          <w:rFonts w:ascii="Times New Roman" w:eastAsia="Times New Roman" w:hAnsi="Times New Roman" w:cs="Times New Roman"/>
          <w:b/>
          <w:sz w:val="24"/>
          <w:szCs w:val="24"/>
          <w:lang w:eastAsia="ru-RU"/>
        </w:rPr>
        <w:t>2.1.3.Результаты деятельности по улучшению состояния  почвы</w:t>
      </w:r>
    </w:p>
    <w:p w:rsidR="00630798" w:rsidRPr="00BC5425" w:rsidRDefault="00630798" w:rsidP="00BC5425">
      <w:pPr>
        <w:spacing w:after="0" w:line="240" w:lineRule="auto"/>
        <w:jc w:val="center"/>
        <w:rPr>
          <w:rFonts w:ascii="Times New Roman" w:eastAsia="Times New Roman" w:hAnsi="Times New Roman" w:cs="Times New Roman"/>
          <w:b/>
          <w:sz w:val="24"/>
          <w:szCs w:val="24"/>
          <w:lang w:eastAsia="ru-RU"/>
        </w:rPr>
      </w:pPr>
    </w:p>
    <w:p w:rsidR="00630798" w:rsidRPr="00BC5425" w:rsidRDefault="00630798" w:rsidP="00BC5425">
      <w:pPr>
        <w:spacing w:after="0" w:line="240" w:lineRule="auto"/>
        <w:ind w:firstLine="567"/>
        <w:jc w:val="both"/>
        <w:rPr>
          <w:rFonts w:ascii="Times New Roman" w:hAnsi="Times New Roman" w:cs="Times New Roman"/>
          <w:sz w:val="24"/>
          <w:szCs w:val="24"/>
        </w:rPr>
      </w:pPr>
      <w:r w:rsidRPr="00BC5425">
        <w:rPr>
          <w:rFonts w:ascii="Times New Roman" w:hAnsi="Times New Roman" w:cs="Times New Roman"/>
          <w:sz w:val="24"/>
          <w:szCs w:val="24"/>
        </w:rPr>
        <w:t xml:space="preserve">       В 2020 г. </w:t>
      </w:r>
      <w:r w:rsidRPr="00BC5425">
        <w:rPr>
          <w:rStyle w:val="35"/>
          <w:rFonts w:ascii="Times New Roman" w:hAnsi="Times New Roman" w:cs="Times New Roman"/>
          <w:sz w:val="24"/>
          <w:szCs w:val="24"/>
        </w:rPr>
        <w:t>осуществлялся   государственный санитарно</w:t>
      </w:r>
      <w:r w:rsidRPr="00BC5425">
        <w:rPr>
          <w:rStyle w:val="35"/>
          <w:rFonts w:ascii="Times New Roman" w:hAnsi="Times New Roman" w:cs="Times New Roman"/>
          <w:sz w:val="24"/>
          <w:szCs w:val="24"/>
        </w:rPr>
        <w:softHyphen/>
        <w:t xml:space="preserve">-эпидемиологический надзор территориальным отделам Управления Роспотребнадзора по Ханты-Мансийскому автономному округу - Югре </w:t>
      </w:r>
      <w:r w:rsidRPr="00BC5425">
        <w:rPr>
          <w:rFonts w:ascii="Times New Roman" w:hAnsi="Times New Roman" w:cs="Times New Roman"/>
          <w:sz w:val="24"/>
          <w:szCs w:val="24"/>
        </w:rPr>
        <w:t xml:space="preserve">за соблюдением санитарного законодательства в отношении объектов сбора, обработки и утилизации неопасных отходов, включая полигонов неопасных отходов.      </w:t>
      </w:r>
    </w:p>
    <w:p w:rsidR="00630798" w:rsidRPr="00BC5425" w:rsidRDefault="00630798" w:rsidP="00946FE0">
      <w:pPr>
        <w:spacing w:after="0" w:line="240" w:lineRule="auto"/>
        <w:ind w:firstLine="567"/>
        <w:jc w:val="both"/>
        <w:rPr>
          <w:rStyle w:val="35"/>
          <w:rFonts w:ascii="Times New Roman" w:hAnsi="Times New Roman" w:cs="Times New Roman"/>
          <w:sz w:val="24"/>
          <w:szCs w:val="24"/>
        </w:rPr>
      </w:pPr>
      <w:r w:rsidRPr="00BC5425">
        <w:rPr>
          <w:rFonts w:ascii="Times New Roman" w:hAnsi="Times New Roman" w:cs="Times New Roman"/>
          <w:sz w:val="24"/>
          <w:szCs w:val="24"/>
        </w:rPr>
        <w:t xml:space="preserve">    По сравнению с прошлым 2</w:t>
      </w:r>
      <w:r w:rsidR="00946FE0">
        <w:rPr>
          <w:rFonts w:ascii="Times New Roman" w:hAnsi="Times New Roman" w:cs="Times New Roman"/>
          <w:sz w:val="24"/>
          <w:szCs w:val="24"/>
        </w:rPr>
        <w:t xml:space="preserve">019 годом в городе </w:t>
      </w:r>
      <w:r w:rsidRPr="00BC5425">
        <w:rPr>
          <w:rFonts w:ascii="Times New Roman" w:hAnsi="Times New Roman" w:cs="Times New Roman"/>
          <w:sz w:val="24"/>
          <w:szCs w:val="24"/>
        </w:rPr>
        <w:t>Пыть-Ях</w:t>
      </w:r>
      <w:r w:rsidR="00946FE0">
        <w:rPr>
          <w:rFonts w:ascii="Times New Roman" w:hAnsi="Times New Roman" w:cs="Times New Roman"/>
          <w:sz w:val="24"/>
          <w:szCs w:val="24"/>
        </w:rPr>
        <w:t>е</w:t>
      </w:r>
      <w:r w:rsidRPr="00BC5425">
        <w:rPr>
          <w:rFonts w:ascii="Times New Roman" w:hAnsi="Times New Roman" w:cs="Times New Roman"/>
          <w:sz w:val="24"/>
          <w:szCs w:val="24"/>
        </w:rPr>
        <w:t xml:space="preserve"> не произошли изменение в количестве объектов  сбора, обработки и утилизации неопасных отходов.   В 2020 году на территории города Пыть-Ях функционировали 4 объекта осуществляющие  на сбор, транспортировку и доставку до полигона неопасных отходов.</w:t>
      </w:r>
      <w:r w:rsidRPr="00BC5425">
        <w:rPr>
          <w:rStyle w:val="35"/>
          <w:rFonts w:ascii="Times New Roman" w:hAnsi="Times New Roman" w:cs="Times New Roman"/>
          <w:sz w:val="24"/>
          <w:szCs w:val="24"/>
        </w:rPr>
        <w:t xml:space="preserve"> </w:t>
      </w:r>
    </w:p>
    <w:p w:rsidR="00630798" w:rsidRPr="00BC5425" w:rsidRDefault="00630798" w:rsidP="00BC5425">
      <w:pPr>
        <w:spacing w:after="0" w:line="240" w:lineRule="auto"/>
        <w:ind w:firstLine="708"/>
        <w:jc w:val="both"/>
        <w:rPr>
          <w:rFonts w:ascii="Times New Roman" w:hAnsi="Times New Roman" w:cs="Times New Roman"/>
          <w:sz w:val="24"/>
          <w:szCs w:val="24"/>
        </w:rPr>
      </w:pPr>
      <w:r w:rsidRPr="00BC5425">
        <w:rPr>
          <w:rFonts w:ascii="Times New Roman" w:hAnsi="Times New Roman" w:cs="Times New Roman"/>
          <w:sz w:val="24"/>
          <w:szCs w:val="24"/>
        </w:rPr>
        <w:t>Основными источниками загрязнения почвы города Пыть-Ях</w:t>
      </w:r>
      <w:r w:rsidR="00946FE0">
        <w:rPr>
          <w:rFonts w:ascii="Times New Roman" w:hAnsi="Times New Roman" w:cs="Times New Roman"/>
          <w:sz w:val="24"/>
          <w:szCs w:val="24"/>
        </w:rPr>
        <w:t>а</w:t>
      </w:r>
      <w:r w:rsidRPr="00BC5425">
        <w:rPr>
          <w:rFonts w:ascii="Times New Roman" w:hAnsi="Times New Roman" w:cs="Times New Roman"/>
          <w:sz w:val="24"/>
          <w:szCs w:val="24"/>
        </w:rPr>
        <w:t xml:space="preserve"> являются хозяйственная деятельность человека, производственные отходы промышленных предприятий, в том числе строительные отходы, бытовые отходы с населенных мест. В городе Пыть-Яхе 11 микрорайонов, п. Дружба и промышленная зона. На территории города Пыть-Ях сбор, транспортировку и доставку до полигона осуществляют 4 организации: - ООО СП «Лифттехсервис» (получена лицензия от 11.08.2016);- ООО «Пыть-ЯхАвтоСпецЦентр» (получена лицензия 12.04.2016);- ООО «ЮграПромСервис» (получена лицензия 16.03.2016);-  ООО «Экотон» (получена лицензия 16.03.2016);- МУП «Управление городского хозяйства» (получена лицензия  21.06.2016).</w:t>
      </w:r>
    </w:p>
    <w:p w:rsidR="00630798" w:rsidRPr="00724021" w:rsidRDefault="00630798" w:rsidP="00946FE0">
      <w:pPr>
        <w:spacing w:after="0" w:line="240" w:lineRule="auto"/>
        <w:ind w:firstLine="709"/>
        <w:jc w:val="both"/>
        <w:rPr>
          <w:rFonts w:ascii="Times New Roman" w:hAnsi="Times New Roman"/>
          <w:sz w:val="24"/>
          <w:szCs w:val="24"/>
        </w:rPr>
      </w:pPr>
      <w:r w:rsidRPr="00BC5425">
        <w:rPr>
          <w:rFonts w:ascii="Times New Roman" w:hAnsi="Times New Roman" w:cs="Times New Roman"/>
          <w:sz w:val="24"/>
          <w:szCs w:val="24"/>
        </w:rPr>
        <w:t xml:space="preserve"> В городе принята дворовая система накопления отходов на типовых контейнерных площадках и планово-регулярный вывоз ТБО спецавтотранспортом на полигон ТБО ООО «Спецкоммунсервис», расположенный на 24 км.автодороги Нефтеюганск-Пыть-Ях. Работы по содержанию территорий проводятся в соответствии  детальной схемы санитарной очистки, утвержденной администрацией города. Количество контейнерных площадок в микрорайонах города – 169, на которых установлено 675 контейнеров для сбора ТБО (уменьшение контейнеров связана с установкой контейнеров большего объема 1,1 м</w:t>
      </w:r>
      <w:r w:rsidRPr="00BC5425">
        <w:rPr>
          <w:rFonts w:ascii="Times New Roman" w:hAnsi="Times New Roman" w:cs="Times New Roman"/>
          <w:sz w:val="24"/>
          <w:szCs w:val="24"/>
          <w:vertAlign w:val="superscript"/>
        </w:rPr>
        <w:t>3</w:t>
      </w:r>
      <w:r w:rsidRPr="00BC5425">
        <w:rPr>
          <w:rFonts w:ascii="Times New Roman" w:hAnsi="Times New Roman" w:cs="Times New Roman"/>
          <w:sz w:val="24"/>
          <w:szCs w:val="24"/>
        </w:rPr>
        <w:t>.) Места для обработки  и мойки контейнеров не определены. В жилом фонде города Пыть-Ях имеется 33 мусоропровода. Мероприятия по дезинфекции, дератизации и дезинсекции</w:t>
      </w:r>
      <w:r w:rsidRPr="00724021">
        <w:rPr>
          <w:rFonts w:ascii="Times New Roman" w:hAnsi="Times New Roman"/>
          <w:sz w:val="24"/>
          <w:szCs w:val="24"/>
        </w:rPr>
        <w:t xml:space="preserve"> мусоропроводов осуществляют управляющие компании, обслуживающие жилой фонд и МУП «ДЕЗ» на  договорной основе со специализированными предприятиям. </w:t>
      </w:r>
    </w:p>
    <w:p w:rsidR="00630798" w:rsidRPr="009E5901" w:rsidRDefault="00630798" w:rsidP="00946FE0">
      <w:pPr>
        <w:spacing w:after="0" w:line="240" w:lineRule="auto"/>
        <w:ind w:firstLine="709"/>
        <w:jc w:val="both"/>
        <w:rPr>
          <w:rFonts w:ascii="Times New Roman" w:hAnsi="Times New Roman"/>
          <w:sz w:val="24"/>
          <w:szCs w:val="24"/>
        </w:rPr>
      </w:pPr>
      <w:r w:rsidRPr="00724021">
        <w:rPr>
          <w:rFonts w:ascii="Times New Roman" w:hAnsi="Times New Roman"/>
          <w:sz w:val="24"/>
          <w:szCs w:val="24"/>
        </w:rPr>
        <w:lastRenderedPageBreak/>
        <w:t xml:space="preserve"> Сбор ЖБО в домах, не подключенных к централизованной системе канализации, осуществляется специализированной машиной по заявке жителей МУП «УГХ» путем откачки жидких отходов из септиков, доставки спецтехникой и сливом в приемный канализационный колодец очистных сооружений МУП «УГХ». </w:t>
      </w:r>
      <w:r w:rsidRPr="00724021">
        <w:rPr>
          <w:rFonts w:ascii="Times New Roman" w:eastAsia="Arial Unicode MS" w:hAnsi="Times New Roman"/>
          <w:sz w:val="24"/>
          <w:szCs w:val="24"/>
        </w:rPr>
        <w:t xml:space="preserve">Во временных поселках «Вертолетка», СУ-904, частично в 2 «А» микрорайоне (30 жилых домов) г. Пыть-Ях отсутствует централизованная система канализации и хозяйственно-бытовые стоки сбрасываются по рельефу возле жилых балков и вагончиков, приводя к загрязнению, заболоченности прилегающей территории. Вопрос по вывозу жидких отходов с балочного массива остается актуальным. Мероприятия по сбору и обеззараживанию сточных вод с балочных массивов не проводились. </w:t>
      </w:r>
    </w:p>
    <w:p w:rsidR="00630798" w:rsidRPr="009C072E" w:rsidRDefault="00630798" w:rsidP="00630798">
      <w:pPr>
        <w:pStyle w:val="afc"/>
        <w:jc w:val="both"/>
        <w:rPr>
          <w:sz w:val="24"/>
          <w:szCs w:val="24"/>
        </w:rPr>
      </w:pPr>
      <w:r>
        <w:rPr>
          <w:sz w:val="24"/>
          <w:szCs w:val="24"/>
        </w:rPr>
        <w:t xml:space="preserve">     </w:t>
      </w:r>
      <w:r w:rsidR="00946FE0">
        <w:rPr>
          <w:sz w:val="24"/>
          <w:szCs w:val="24"/>
        </w:rPr>
        <w:tab/>
      </w:r>
      <w:r w:rsidRPr="009C072E">
        <w:rPr>
          <w:sz w:val="24"/>
          <w:szCs w:val="24"/>
        </w:rPr>
        <w:t>Федеральными законами от 28.12.2016 N 486-ФЗ и от 31.12.2017 N 503-ФЗ внесены изменения в Федеральный закон от 24.06.1998 N 89-ФЗ "Об отходах производства и потребления", вступившие в силу 01.01.2019, предусматривающие в том числе, что обращение с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и территориальной схемой обращения с отходами, а также наделение органов исполнительной власти субъектов Российской Федерации полномочиями по организации деятельности по накоплению твердых коммунальных отходов (далее - ТКО), в том числе раздельному, утверждению порядка раздельного накопления ГКО.</w:t>
      </w:r>
    </w:p>
    <w:p w:rsidR="00630798" w:rsidRPr="009C072E" w:rsidRDefault="00630798" w:rsidP="00630798">
      <w:pPr>
        <w:pStyle w:val="afc"/>
        <w:jc w:val="both"/>
        <w:rPr>
          <w:sz w:val="24"/>
          <w:szCs w:val="24"/>
        </w:rPr>
      </w:pPr>
      <w:r w:rsidRPr="009C072E">
        <w:rPr>
          <w:sz w:val="24"/>
          <w:szCs w:val="24"/>
        </w:rPr>
        <w:t xml:space="preserve">       </w:t>
      </w:r>
      <w:r w:rsidR="00946FE0">
        <w:rPr>
          <w:sz w:val="24"/>
          <w:szCs w:val="24"/>
        </w:rPr>
        <w:tab/>
      </w:r>
      <w:r w:rsidRPr="009C072E">
        <w:rPr>
          <w:sz w:val="24"/>
          <w:szCs w:val="24"/>
        </w:rPr>
        <w:t>К полномочиям органов исполнительной власти субъектов Российской Федерации отнесена разработка и утверждение территориальной схемы обращения с отходами, в том числе с твердыми коммунальными отходами в порядке, а также разработка и утверждение порядка накопления (в том числе раздельного) ТКО.</w:t>
      </w:r>
    </w:p>
    <w:p w:rsidR="00630798" w:rsidRPr="009C072E" w:rsidRDefault="00630798" w:rsidP="00630798">
      <w:pPr>
        <w:pStyle w:val="afc"/>
        <w:jc w:val="both"/>
        <w:rPr>
          <w:sz w:val="24"/>
          <w:szCs w:val="24"/>
        </w:rPr>
      </w:pPr>
      <w:r w:rsidRPr="009C072E">
        <w:rPr>
          <w:sz w:val="24"/>
          <w:szCs w:val="24"/>
        </w:rPr>
        <w:t xml:space="preserve">        Согласно статье 24.6 Закона N 89-ФЗ сбор, транспортирование, обработка, утилизация, обезвреживание, захоронение ТКО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в том числе с ТКО, и территориальной схемой обращения с отходами, в том числе с ТКО. При этом накопление, сбор, транспортирование, обработка, утилизация, обезвреживание и захоронение ТКО осуществляются в соответствии с Правилами N 1156.</w:t>
      </w:r>
    </w:p>
    <w:p w:rsidR="00630798" w:rsidRPr="009C072E" w:rsidRDefault="00630798" w:rsidP="00946FE0">
      <w:pPr>
        <w:pStyle w:val="afc"/>
        <w:ind w:firstLine="708"/>
        <w:jc w:val="both"/>
        <w:rPr>
          <w:sz w:val="24"/>
          <w:szCs w:val="24"/>
        </w:rPr>
      </w:pPr>
      <w:r w:rsidRPr="009C072E">
        <w:rPr>
          <w:sz w:val="24"/>
          <w:szCs w:val="24"/>
        </w:rPr>
        <w:t xml:space="preserve">    Пунктом 13 Правил N 1156 и пунктом 148(12) Правил N 354 установлено, что региональный оператор несёт ответственность за обращение с ТКО с момента погрузки таких отходов в мусоровоз. При этом погрузка ТКО включает в себя уборку мест погрузки ТКО, под которой, согласно пункту 2 Правил N 1156, понимаются действия по подбору оброненных (просыпавшихся и др.) при погрузке ТКО и перемещению их в мусоровоз.</w:t>
      </w:r>
    </w:p>
    <w:p w:rsidR="00630798" w:rsidRPr="00141863" w:rsidRDefault="00630798" w:rsidP="00946FE0">
      <w:pPr>
        <w:pStyle w:val="afc"/>
        <w:ind w:firstLine="708"/>
        <w:jc w:val="both"/>
        <w:rPr>
          <w:sz w:val="24"/>
          <w:szCs w:val="24"/>
        </w:rPr>
      </w:pPr>
      <w:r w:rsidRPr="009C072E">
        <w:rPr>
          <w:sz w:val="24"/>
          <w:szCs w:val="24"/>
        </w:rPr>
        <w:t>Таким образом, уборка мест погрузки ТКО - действия по подбору оброненных (просыпавшихся и др.) при погрузке ТКО и перемещению их в мусоровоз, является обязанно</w:t>
      </w:r>
      <w:r>
        <w:rPr>
          <w:sz w:val="24"/>
          <w:szCs w:val="24"/>
        </w:rPr>
        <w:t xml:space="preserve">стью регионального оператора </w:t>
      </w:r>
      <w:r>
        <w:rPr>
          <w:sz w:val="24"/>
          <w:szCs w:val="24"/>
        </w:rPr>
        <w:tab/>
        <w:t>А</w:t>
      </w:r>
      <w:r w:rsidRPr="009C072E">
        <w:rPr>
          <w:sz w:val="24"/>
          <w:szCs w:val="24"/>
        </w:rPr>
        <w:t>О «Югра-Экология».</w:t>
      </w:r>
    </w:p>
    <w:p w:rsidR="00630798" w:rsidRDefault="00630798" w:rsidP="00630798">
      <w:pPr>
        <w:spacing w:after="0"/>
        <w:ind w:firstLine="708"/>
        <w:jc w:val="both"/>
        <w:rPr>
          <w:rFonts w:ascii="Times New Roman" w:hAnsi="Times New Roman"/>
          <w:sz w:val="24"/>
          <w:szCs w:val="24"/>
        </w:rPr>
      </w:pPr>
      <w:r w:rsidRPr="00724021">
        <w:rPr>
          <w:rFonts w:ascii="Times New Roman" w:eastAsia="Arial Unicode MS" w:hAnsi="Times New Roman"/>
          <w:sz w:val="24"/>
          <w:szCs w:val="24"/>
        </w:rPr>
        <w:t xml:space="preserve">Полигон ТБО и промышленных отходов в городе </w:t>
      </w:r>
      <w:r w:rsidRPr="00F447AE">
        <w:rPr>
          <w:rFonts w:ascii="Times New Roman" w:eastAsia="Arial Unicode MS" w:hAnsi="Times New Roman"/>
          <w:sz w:val="24"/>
          <w:szCs w:val="24"/>
          <w:u w:val="single"/>
        </w:rPr>
        <w:t>Пыть-Ях до настоящего времени отсутствует</w:t>
      </w:r>
      <w:r w:rsidRPr="00724021">
        <w:rPr>
          <w:rFonts w:ascii="Times New Roman" w:eastAsia="Arial Unicode MS" w:hAnsi="Times New Roman"/>
          <w:sz w:val="24"/>
          <w:szCs w:val="24"/>
        </w:rPr>
        <w:t xml:space="preserve">. Для сбора и захоронения бытовые отходы вывозятся на территорию Нефтеюганского района  на полигон ТБО ООО «Спецкоммунсервис», где процесс переработки не ведется. </w:t>
      </w:r>
      <w:r w:rsidRPr="00724021">
        <w:rPr>
          <w:rFonts w:ascii="Times New Roman" w:hAnsi="Times New Roman"/>
          <w:sz w:val="24"/>
          <w:szCs w:val="24"/>
        </w:rPr>
        <w:t>Планируется строительство межмуниципального полигона для г. Нефтеюганска, Нефтеюганского района и г. Пыть-Ях, предполагаемый срок ввода в эксплуатацию 2020 год.</w:t>
      </w:r>
    </w:p>
    <w:p w:rsidR="00630798" w:rsidRPr="00333E8C" w:rsidRDefault="00630798" w:rsidP="00946FE0">
      <w:pPr>
        <w:spacing w:after="0" w:line="240" w:lineRule="auto"/>
        <w:ind w:firstLine="708"/>
        <w:jc w:val="both"/>
        <w:rPr>
          <w:rFonts w:ascii="Times New Roman" w:hAnsi="Times New Roman"/>
          <w:sz w:val="24"/>
          <w:szCs w:val="24"/>
        </w:rPr>
      </w:pPr>
      <w:r>
        <w:rPr>
          <w:rFonts w:ascii="Times New Roman" w:hAnsi="Times New Roman"/>
          <w:sz w:val="24"/>
          <w:szCs w:val="24"/>
        </w:rPr>
        <w:t>В г.Пыть-Ях за 2020 год образовалось 74048</w:t>
      </w:r>
      <w:r w:rsidRPr="00834DE2">
        <w:rPr>
          <w:rFonts w:ascii="Times New Roman" w:hAnsi="Times New Roman"/>
          <w:sz w:val="24"/>
          <w:szCs w:val="24"/>
        </w:rPr>
        <w:t xml:space="preserve">  м3</w:t>
      </w:r>
      <w:r>
        <w:rPr>
          <w:rFonts w:ascii="Times New Roman" w:hAnsi="Times New Roman"/>
          <w:sz w:val="24"/>
          <w:szCs w:val="24"/>
        </w:rPr>
        <w:t xml:space="preserve"> ТБО,  промышленных отходов </w:t>
      </w:r>
      <w:r w:rsidRPr="00834DE2">
        <w:rPr>
          <w:rFonts w:ascii="Times New Roman" w:hAnsi="Times New Roman"/>
          <w:sz w:val="24"/>
          <w:szCs w:val="24"/>
        </w:rPr>
        <w:t>1</w:t>
      </w:r>
      <w:r>
        <w:rPr>
          <w:rFonts w:ascii="Times New Roman" w:hAnsi="Times New Roman"/>
          <w:sz w:val="24"/>
          <w:szCs w:val="24"/>
        </w:rPr>
        <w:t>1376</w:t>
      </w:r>
      <w:r w:rsidRPr="00C34A42">
        <w:rPr>
          <w:rFonts w:ascii="Times New Roman" w:hAnsi="Times New Roman"/>
          <w:sz w:val="24"/>
          <w:szCs w:val="24"/>
        </w:rPr>
        <w:t>м3</w:t>
      </w:r>
      <w:r>
        <w:rPr>
          <w:rFonts w:ascii="Times New Roman" w:hAnsi="Times New Roman"/>
          <w:sz w:val="24"/>
          <w:szCs w:val="24"/>
        </w:rPr>
        <w:t>.</w:t>
      </w:r>
      <w:r>
        <w:rPr>
          <w:rFonts w:ascii="Times New Roman" w:eastAsia="Arial Unicode MS" w:hAnsi="Times New Roman"/>
          <w:sz w:val="24"/>
          <w:szCs w:val="24"/>
        </w:rPr>
        <w:t xml:space="preserve"> Вывоз ТБО осуществляется 3 организациями: </w:t>
      </w:r>
      <w:r w:rsidRPr="00C94107">
        <w:rPr>
          <w:rFonts w:ascii="Times New Roman" w:hAnsi="Times New Roman"/>
          <w:sz w:val="24"/>
          <w:szCs w:val="24"/>
        </w:rPr>
        <w:t>ООО «Пыть-ЯхАвтоСервисЦентр»</w:t>
      </w:r>
      <w:r>
        <w:rPr>
          <w:rFonts w:ascii="Times New Roman" w:hAnsi="Times New Roman"/>
          <w:sz w:val="24"/>
          <w:szCs w:val="24"/>
        </w:rPr>
        <w:t xml:space="preserve"> -(МАЗ 5337 МКМ 3403, КАМАЗ МКМ2001,ЗИЛ 433362), </w:t>
      </w:r>
      <w:r w:rsidRPr="00C94107">
        <w:rPr>
          <w:rFonts w:ascii="Times New Roman" w:hAnsi="Times New Roman"/>
          <w:sz w:val="24"/>
          <w:szCs w:val="24"/>
        </w:rPr>
        <w:t>ООО «ЮграПромСервис»</w:t>
      </w:r>
      <w:r>
        <w:rPr>
          <w:rFonts w:ascii="Times New Roman" w:hAnsi="Times New Roman"/>
          <w:sz w:val="24"/>
          <w:szCs w:val="24"/>
        </w:rPr>
        <w:t xml:space="preserve"> (МАЗ 5337 МКМ 3403), </w:t>
      </w:r>
      <w:r w:rsidRPr="00C94107">
        <w:rPr>
          <w:rFonts w:ascii="Times New Roman" w:hAnsi="Times New Roman"/>
          <w:sz w:val="24"/>
          <w:szCs w:val="24"/>
        </w:rPr>
        <w:t>ООО СП «Лифттехсервис»</w:t>
      </w:r>
      <w:r>
        <w:rPr>
          <w:rFonts w:ascii="Times New Roman" w:eastAsia="Arial Unicode MS" w:hAnsi="Times New Roman"/>
          <w:sz w:val="24"/>
          <w:szCs w:val="24"/>
        </w:rPr>
        <w:t>(КАМАЗ МКМ 2001, КАМАЗ 6515 АН2014).</w:t>
      </w:r>
      <w:r w:rsidRPr="00724021">
        <w:rPr>
          <w:rFonts w:ascii="Times New Roman" w:eastAsia="Arial Unicode MS" w:hAnsi="Times New Roman"/>
          <w:sz w:val="24"/>
          <w:szCs w:val="24"/>
        </w:rPr>
        <w:t xml:space="preserve"> Обработка спецтранспорта не осуществляется в виду отсутствия специализированной мойки. Вывоз промышленных отходов осуществляется также промышленными предприятиями, имеющими специализированную технику, лицензию на данный вид деятельности. </w:t>
      </w:r>
    </w:p>
    <w:p w:rsidR="00630798" w:rsidRPr="00724021" w:rsidRDefault="00630798" w:rsidP="00946FE0">
      <w:pPr>
        <w:spacing w:after="0" w:line="240" w:lineRule="auto"/>
        <w:ind w:firstLine="708"/>
        <w:jc w:val="both"/>
        <w:rPr>
          <w:rFonts w:ascii="Times New Roman" w:eastAsia="Arial Unicode MS" w:hAnsi="Times New Roman"/>
          <w:sz w:val="24"/>
          <w:szCs w:val="24"/>
        </w:rPr>
      </w:pPr>
      <w:r w:rsidRPr="00724021">
        <w:rPr>
          <w:rFonts w:ascii="Times New Roman" w:eastAsia="Arial Unicode MS" w:hAnsi="Times New Roman"/>
          <w:sz w:val="24"/>
          <w:szCs w:val="24"/>
        </w:rPr>
        <w:lastRenderedPageBreak/>
        <w:t>Постановление Администрации города  № 35-па от 18.02.2015 «Об организации сбора и определение мест первичного сбора и размещения  отработанных ртутьсодержащих ламп  на территории города Пыть-Яха»</w:t>
      </w:r>
    </w:p>
    <w:p w:rsidR="00630798" w:rsidRPr="00872A4A" w:rsidRDefault="00630798" w:rsidP="00946FE0">
      <w:pPr>
        <w:spacing w:after="0" w:line="240" w:lineRule="auto"/>
        <w:ind w:firstLine="708"/>
        <w:jc w:val="both"/>
        <w:rPr>
          <w:rFonts w:ascii="Times New Roman" w:eastAsia="Arial Unicode MS" w:hAnsi="Times New Roman"/>
          <w:sz w:val="24"/>
          <w:szCs w:val="24"/>
        </w:rPr>
      </w:pPr>
      <w:r w:rsidRPr="00872A4A">
        <w:rPr>
          <w:rFonts w:ascii="Times New Roman" w:hAnsi="Times New Roman" w:cs="Times New Roman"/>
          <w:sz w:val="24"/>
          <w:szCs w:val="24"/>
        </w:rPr>
        <w:t>Субъектов и  объектов занимающихся сбором, транспортировкой, размещением, обезвреживанием утилизацией  отходов 1-2 класса на территории г. Пыть-Яха нет. Для обезвреживания и утилизации отходов 1-2 класса опасности у организаций, предприятий, управляющих компаний и  ТСЖ заключены договора с ООО «Промышленная безопасность» г. Нефтеюганск, ООО «Эконадзор» г. Сургут. Управляющими компаниями и ТСЖ  жители информируются о принятии ртутных ламп и размещении экобокса посредством развешивания информации на информационных стендах расположенных на подъездах, а также информация размещена на официальном сайте администрации в разделе ЖКК, закладка «Благоустройство и экология» (Информация о местах размещения  контейнеров для временного хранения ртутьсодержащим лампам и ответственных лицах за прием ртутьсодержащим лампам)..</w:t>
      </w:r>
    </w:p>
    <w:p w:rsidR="00630798" w:rsidRPr="00333E8C" w:rsidRDefault="00630798" w:rsidP="00946FE0">
      <w:pPr>
        <w:spacing w:after="0" w:line="240" w:lineRule="auto"/>
        <w:jc w:val="both"/>
        <w:rPr>
          <w:rFonts w:ascii="Times New Roman" w:eastAsia="Arial Unicode MS" w:hAnsi="Times New Roman"/>
          <w:sz w:val="24"/>
          <w:szCs w:val="24"/>
        </w:rPr>
      </w:pPr>
      <w:r w:rsidRPr="00724021">
        <w:rPr>
          <w:rFonts w:ascii="Times New Roman" w:eastAsia="Arial Unicode MS" w:hAnsi="Times New Roman"/>
          <w:sz w:val="24"/>
          <w:szCs w:val="24"/>
        </w:rPr>
        <w:t>Управляющими компаниями, ТСЖ, КТОС организованы места сбора ртутьсодержащих ламп и заключены договора с лицензированными организациями на их вывоз и демеркуризацию( ООО «Эконадзор» г. Сургут)</w:t>
      </w:r>
      <w:r>
        <w:rPr>
          <w:rFonts w:ascii="Times New Roman" w:eastAsia="Arial Unicode MS" w:hAnsi="Times New Roman"/>
          <w:sz w:val="24"/>
          <w:szCs w:val="24"/>
        </w:rPr>
        <w:t>.</w:t>
      </w:r>
      <w:r w:rsidRPr="00724021">
        <w:rPr>
          <w:rFonts w:ascii="Times New Roman" w:eastAsia="Calibri" w:hAnsi="Times New Roman"/>
          <w:sz w:val="24"/>
          <w:szCs w:val="24"/>
        </w:rPr>
        <w:t xml:space="preserve"> Ежедневно вывозится ТБО с контейнерных площадок. Ежедневно в весенне-осенний период производится санитарная уборка от мусора  территории микрорайонов. В течении всего года осуществляется работа по очитке улично-дорожной сети с прилегающими территориями, объектами благоустройства (места отдыха, скверы, лесопарковые территории), а также в весеннее-летний период производится определяется ликвидация несанкционированных свалок.</w:t>
      </w:r>
    </w:p>
    <w:p w:rsidR="00630798" w:rsidRPr="00F447AE" w:rsidRDefault="00630798" w:rsidP="00946FE0">
      <w:pPr>
        <w:suppressAutoHyphens/>
        <w:spacing w:after="0" w:line="240" w:lineRule="auto"/>
        <w:ind w:firstLine="708"/>
        <w:jc w:val="both"/>
        <w:rPr>
          <w:rFonts w:ascii="Times New Roman" w:hAnsi="Times New Roman"/>
          <w:color w:val="000000"/>
          <w:lang w:eastAsia="zh-CN"/>
        </w:rPr>
      </w:pPr>
      <w:r w:rsidRPr="00F447AE">
        <w:rPr>
          <w:rFonts w:ascii="Times New Roman" w:hAnsi="Times New Roman"/>
          <w:color w:val="000000"/>
          <w:sz w:val="24"/>
          <w:szCs w:val="24"/>
          <w:lang w:eastAsia="zh-CN"/>
        </w:rPr>
        <w:t xml:space="preserve">Наличие в населенных пунктах на поднадзорной территории </w:t>
      </w:r>
      <w:r w:rsidRPr="00F447AE">
        <w:rPr>
          <w:rFonts w:ascii="Times New Roman" w:hAnsi="Times New Roman"/>
          <w:color w:val="000000"/>
          <w:sz w:val="24"/>
          <w:lang w:eastAsia="zh-CN"/>
        </w:rPr>
        <w:t>схем санитарной очистки территории в соответствии с таблицей:</w:t>
      </w:r>
    </w:p>
    <w:tbl>
      <w:tblPr>
        <w:tblW w:w="9580" w:type="dxa"/>
        <w:tblInd w:w="-5" w:type="dxa"/>
        <w:tblLayout w:type="fixed"/>
        <w:tblLook w:val="0000" w:firstRow="0" w:lastRow="0" w:firstColumn="0" w:lastColumn="0" w:noHBand="0" w:noVBand="0"/>
      </w:tblPr>
      <w:tblGrid>
        <w:gridCol w:w="397"/>
        <w:gridCol w:w="257"/>
        <w:gridCol w:w="1019"/>
        <w:gridCol w:w="1134"/>
        <w:gridCol w:w="992"/>
        <w:gridCol w:w="4536"/>
        <w:gridCol w:w="1245"/>
      </w:tblGrid>
      <w:tr w:rsidR="00630798" w:rsidRPr="00F447AE" w:rsidTr="00630798">
        <w:trPr>
          <w:trHeight w:val="1230"/>
        </w:trPr>
        <w:tc>
          <w:tcPr>
            <w:tcW w:w="397" w:type="dxa"/>
            <w:tcBorders>
              <w:top w:val="single" w:sz="4" w:space="0" w:color="000000"/>
              <w:left w:val="single" w:sz="4" w:space="0" w:color="000000"/>
              <w:bottom w:val="single" w:sz="4" w:space="0" w:color="000000"/>
            </w:tcBorders>
            <w:shd w:val="clear" w:color="auto" w:fill="auto"/>
          </w:tcPr>
          <w:p w:rsidR="00630798" w:rsidRPr="00F447AE" w:rsidRDefault="00630798" w:rsidP="00946FE0">
            <w:pPr>
              <w:suppressAutoHyphens/>
              <w:spacing w:after="0" w:line="240" w:lineRule="auto"/>
              <w:jc w:val="both"/>
              <w:rPr>
                <w:rFonts w:ascii="Times New Roman" w:hAnsi="Times New Roman"/>
                <w:sz w:val="16"/>
                <w:szCs w:val="16"/>
                <w:lang w:eastAsia="zh-CN"/>
              </w:rPr>
            </w:pPr>
            <w:r w:rsidRPr="00F447AE">
              <w:rPr>
                <w:rFonts w:ascii="Times New Roman" w:hAnsi="Times New Roman"/>
                <w:lang w:eastAsia="zh-CN"/>
              </w:rPr>
              <w:t>№/№</w:t>
            </w:r>
          </w:p>
        </w:tc>
        <w:tc>
          <w:tcPr>
            <w:tcW w:w="1276" w:type="dxa"/>
            <w:gridSpan w:val="2"/>
            <w:tcBorders>
              <w:top w:val="single" w:sz="4" w:space="0" w:color="000000"/>
              <w:left w:val="single" w:sz="4" w:space="0" w:color="000000"/>
              <w:bottom w:val="single" w:sz="4" w:space="0" w:color="000000"/>
            </w:tcBorders>
            <w:shd w:val="clear" w:color="auto" w:fill="auto"/>
          </w:tcPr>
          <w:p w:rsidR="00630798" w:rsidRPr="00F447AE" w:rsidRDefault="00630798" w:rsidP="00946FE0">
            <w:pPr>
              <w:suppressAutoHyphens/>
              <w:spacing w:after="0" w:line="240" w:lineRule="auto"/>
              <w:jc w:val="center"/>
              <w:rPr>
                <w:rFonts w:ascii="Times New Roman" w:hAnsi="Times New Roman"/>
                <w:sz w:val="16"/>
                <w:szCs w:val="16"/>
                <w:lang w:eastAsia="zh-CN"/>
              </w:rPr>
            </w:pPr>
            <w:r w:rsidRPr="00F447AE">
              <w:rPr>
                <w:rFonts w:ascii="Times New Roman" w:hAnsi="Times New Roman"/>
                <w:sz w:val="16"/>
                <w:szCs w:val="16"/>
                <w:lang w:eastAsia="zh-CN"/>
              </w:rPr>
              <w:t xml:space="preserve">Населенный пункт </w:t>
            </w:r>
          </w:p>
        </w:tc>
        <w:tc>
          <w:tcPr>
            <w:tcW w:w="1134" w:type="dxa"/>
            <w:tcBorders>
              <w:top w:val="single" w:sz="4" w:space="0" w:color="000000"/>
              <w:left w:val="single" w:sz="4" w:space="0" w:color="000000"/>
              <w:bottom w:val="single" w:sz="4" w:space="0" w:color="000000"/>
            </w:tcBorders>
            <w:shd w:val="clear" w:color="auto" w:fill="auto"/>
          </w:tcPr>
          <w:p w:rsidR="00630798" w:rsidRPr="00F447AE" w:rsidRDefault="00630798" w:rsidP="00946FE0">
            <w:pPr>
              <w:suppressAutoHyphens/>
              <w:spacing w:after="0" w:line="240" w:lineRule="auto"/>
              <w:jc w:val="center"/>
              <w:rPr>
                <w:rFonts w:ascii="Times New Roman" w:hAnsi="Times New Roman"/>
                <w:sz w:val="16"/>
                <w:szCs w:val="16"/>
                <w:lang w:eastAsia="zh-CN"/>
              </w:rPr>
            </w:pPr>
            <w:r w:rsidRPr="00F447AE">
              <w:rPr>
                <w:rFonts w:ascii="Times New Roman" w:hAnsi="Times New Roman"/>
                <w:sz w:val="16"/>
                <w:szCs w:val="16"/>
                <w:lang w:eastAsia="zh-CN"/>
              </w:rPr>
              <w:t>Численность населения</w:t>
            </w:r>
          </w:p>
        </w:tc>
        <w:tc>
          <w:tcPr>
            <w:tcW w:w="992" w:type="dxa"/>
            <w:tcBorders>
              <w:top w:val="single" w:sz="4" w:space="0" w:color="000000"/>
              <w:left w:val="single" w:sz="4" w:space="0" w:color="000000"/>
              <w:bottom w:val="single" w:sz="4" w:space="0" w:color="000000"/>
            </w:tcBorders>
            <w:shd w:val="clear" w:color="auto" w:fill="auto"/>
          </w:tcPr>
          <w:p w:rsidR="00630798" w:rsidRPr="00F447AE" w:rsidRDefault="00630798" w:rsidP="00946FE0">
            <w:pPr>
              <w:suppressAutoHyphens/>
              <w:spacing w:after="0" w:line="240" w:lineRule="auto"/>
              <w:jc w:val="center"/>
              <w:rPr>
                <w:rFonts w:ascii="Times New Roman" w:hAnsi="Times New Roman"/>
                <w:sz w:val="16"/>
                <w:szCs w:val="16"/>
                <w:lang w:eastAsia="zh-CN"/>
              </w:rPr>
            </w:pPr>
            <w:r w:rsidRPr="00F447AE">
              <w:rPr>
                <w:rFonts w:ascii="Times New Roman" w:hAnsi="Times New Roman"/>
                <w:sz w:val="16"/>
                <w:szCs w:val="16"/>
                <w:lang w:eastAsia="zh-CN"/>
              </w:rPr>
              <w:t>Схема саночистки не разработана</w:t>
            </w:r>
          </w:p>
        </w:tc>
        <w:tc>
          <w:tcPr>
            <w:tcW w:w="4536" w:type="dxa"/>
            <w:tcBorders>
              <w:top w:val="single" w:sz="4" w:space="0" w:color="000000"/>
              <w:left w:val="single" w:sz="4" w:space="0" w:color="000000"/>
              <w:bottom w:val="single" w:sz="4" w:space="0" w:color="000000"/>
            </w:tcBorders>
            <w:shd w:val="clear" w:color="auto" w:fill="auto"/>
          </w:tcPr>
          <w:p w:rsidR="00630798" w:rsidRPr="00F447AE" w:rsidRDefault="00630798" w:rsidP="00946FE0">
            <w:pPr>
              <w:suppressAutoHyphens/>
              <w:spacing w:after="0" w:line="240" w:lineRule="auto"/>
              <w:jc w:val="center"/>
              <w:rPr>
                <w:rFonts w:ascii="Times New Roman" w:hAnsi="Times New Roman"/>
                <w:sz w:val="16"/>
                <w:szCs w:val="16"/>
                <w:lang w:eastAsia="zh-CN"/>
              </w:rPr>
            </w:pPr>
            <w:r w:rsidRPr="00F447AE">
              <w:rPr>
                <w:rFonts w:ascii="Times New Roman" w:hAnsi="Times New Roman"/>
                <w:sz w:val="16"/>
                <w:szCs w:val="16"/>
                <w:lang w:eastAsia="zh-CN"/>
              </w:rPr>
              <w:t xml:space="preserve">Схема саночистки разработана но не </w:t>
            </w:r>
            <w:r>
              <w:rPr>
                <w:rFonts w:ascii="Times New Roman" w:hAnsi="Times New Roman"/>
                <w:sz w:val="16"/>
                <w:szCs w:val="16"/>
                <w:lang w:eastAsia="zh-CN"/>
              </w:rPr>
              <w:t>согласована с Роспотребнадзором</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630798" w:rsidRPr="00F447AE" w:rsidRDefault="00630798" w:rsidP="00946FE0">
            <w:pPr>
              <w:suppressAutoHyphens/>
              <w:spacing w:after="0" w:line="240" w:lineRule="auto"/>
              <w:jc w:val="center"/>
              <w:rPr>
                <w:rFonts w:ascii="Times New Roman" w:hAnsi="Times New Roman"/>
                <w:sz w:val="16"/>
                <w:szCs w:val="16"/>
                <w:lang w:eastAsia="zh-CN"/>
              </w:rPr>
            </w:pPr>
            <w:r w:rsidRPr="00F447AE">
              <w:rPr>
                <w:rFonts w:ascii="Times New Roman" w:hAnsi="Times New Roman"/>
                <w:sz w:val="16"/>
                <w:szCs w:val="16"/>
                <w:lang w:eastAsia="zh-CN"/>
              </w:rPr>
              <w:t>Схема саночистки разработана и согласована с Роспотребнадзором</w:t>
            </w:r>
          </w:p>
        </w:tc>
      </w:tr>
      <w:tr w:rsidR="00630798" w:rsidRPr="00F447AE" w:rsidTr="00630798">
        <w:trPr>
          <w:trHeight w:val="995"/>
        </w:trPr>
        <w:tc>
          <w:tcPr>
            <w:tcW w:w="654" w:type="dxa"/>
            <w:gridSpan w:val="2"/>
            <w:tcBorders>
              <w:top w:val="single" w:sz="4" w:space="0" w:color="000000"/>
              <w:left w:val="single" w:sz="4" w:space="0" w:color="000000"/>
              <w:bottom w:val="single" w:sz="4" w:space="0" w:color="000000"/>
            </w:tcBorders>
            <w:shd w:val="clear" w:color="auto" w:fill="auto"/>
          </w:tcPr>
          <w:p w:rsidR="00630798" w:rsidRPr="00F447AE" w:rsidRDefault="00630798" w:rsidP="00946FE0">
            <w:pPr>
              <w:suppressAutoHyphens/>
              <w:snapToGrid w:val="0"/>
              <w:spacing w:after="0" w:line="240" w:lineRule="auto"/>
              <w:jc w:val="both"/>
              <w:rPr>
                <w:rFonts w:ascii="Times New Roman" w:eastAsia="Calibri" w:hAnsi="Times New Roman"/>
                <w:lang w:eastAsia="zh-CN"/>
              </w:rPr>
            </w:pPr>
          </w:p>
        </w:tc>
        <w:tc>
          <w:tcPr>
            <w:tcW w:w="1019" w:type="dxa"/>
            <w:tcBorders>
              <w:top w:val="single" w:sz="4" w:space="0" w:color="000000"/>
              <w:left w:val="single" w:sz="4" w:space="0" w:color="000000"/>
              <w:bottom w:val="single" w:sz="4" w:space="0" w:color="000000"/>
            </w:tcBorders>
            <w:shd w:val="clear" w:color="auto" w:fill="auto"/>
          </w:tcPr>
          <w:p w:rsidR="00630798" w:rsidRPr="00F447AE" w:rsidRDefault="00630798" w:rsidP="00946FE0">
            <w:pPr>
              <w:suppressAutoHyphens/>
              <w:snapToGrid w:val="0"/>
              <w:spacing w:after="0" w:line="240" w:lineRule="auto"/>
              <w:jc w:val="both"/>
              <w:rPr>
                <w:rFonts w:ascii="Times New Roman" w:eastAsia="Calibri" w:hAnsi="Times New Roman"/>
                <w:lang w:eastAsia="zh-CN"/>
              </w:rPr>
            </w:pPr>
            <w:r w:rsidRPr="00F447AE">
              <w:rPr>
                <w:rFonts w:ascii="Times New Roman" w:eastAsia="Calibri" w:hAnsi="Times New Roman"/>
                <w:lang w:eastAsia="zh-CN"/>
              </w:rPr>
              <w:t>г.Пыть-Ях</w:t>
            </w:r>
          </w:p>
        </w:tc>
        <w:tc>
          <w:tcPr>
            <w:tcW w:w="1134" w:type="dxa"/>
            <w:tcBorders>
              <w:top w:val="single" w:sz="4" w:space="0" w:color="000000"/>
              <w:left w:val="single" w:sz="4" w:space="0" w:color="000000"/>
              <w:bottom w:val="single" w:sz="4" w:space="0" w:color="000000"/>
            </w:tcBorders>
            <w:shd w:val="clear" w:color="auto" w:fill="auto"/>
          </w:tcPr>
          <w:p w:rsidR="00630798" w:rsidRPr="00F447AE" w:rsidRDefault="00630798" w:rsidP="00946FE0">
            <w:pPr>
              <w:suppressAutoHyphens/>
              <w:snapToGrid w:val="0"/>
              <w:spacing w:after="0" w:line="240" w:lineRule="auto"/>
              <w:jc w:val="both"/>
              <w:rPr>
                <w:rFonts w:ascii="Times New Roman" w:eastAsia="Calibri" w:hAnsi="Times New Roman"/>
                <w:lang w:eastAsia="zh-CN"/>
              </w:rPr>
            </w:pPr>
            <w:r w:rsidRPr="00F447AE">
              <w:rPr>
                <w:rFonts w:ascii="Times New Roman" w:eastAsia="Calibri" w:hAnsi="Times New Roman"/>
                <w:lang w:eastAsia="zh-CN"/>
              </w:rPr>
              <w:t>42682</w:t>
            </w:r>
          </w:p>
        </w:tc>
        <w:tc>
          <w:tcPr>
            <w:tcW w:w="992" w:type="dxa"/>
            <w:tcBorders>
              <w:top w:val="single" w:sz="4" w:space="0" w:color="000000"/>
              <w:left w:val="single" w:sz="4" w:space="0" w:color="000000"/>
              <w:bottom w:val="single" w:sz="4" w:space="0" w:color="000000"/>
            </w:tcBorders>
            <w:shd w:val="clear" w:color="auto" w:fill="auto"/>
          </w:tcPr>
          <w:p w:rsidR="00630798" w:rsidRPr="00F447AE" w:rsidRDefault="00630798" w:rsidP="00946FE0">
            <w:pPr>
              <w:suppressAutoHyphens/>
              <w:snapToGrid w:val="0"/>
              <w:spacing w:after="0" w:line="240" w:lineRule="auto"/>
              <w:jc w:val="both"/>
              <w:rPr>
                <w:rFonts w:ascii="Times New Roman" w:eastAsia="Calibri" w:hAnsi="Times New Roman"/>
                <w:lang w:eastAsia="zh-CN"/>
              </w:rPr>
            </w:pPr>
          </w:p>
        </w:tc>
        <w:tc>
          <w:tcPr>
            <w:tcW w:w="4536" w:type="dxa"/>
            <w:tcBorders>
              <w:top w:val="single" w:sz="4" w:space="0" w:color="000000"/>
              <w:left w:val="single" w:sz="4" w:space="0" w:color="000000"/>
              <w:bottom w:val="single" w:sz="4" w:space="0" w:color="000000"/>
            </w:tcBorders>
            <w:shd w:val="clear" w:color="auto" w:fill="auto"/>
          </w:tcPr>
          <w:p w:rsidR="00630798" w:rsidRPr="00333E8C" w:rsidRDefault="00630798" w:rsidP="00946FE0">
            <w:pPr>
              <w:suppressAutoHyphens/>
              <w:snapToGrid w:val="0"/>
              <w:spacing w:after="0" w:line="240" w:lineRule="auto"/>
              <w:jc w:val="both"/>
              <w:rPr>
                <w:rFonts w:ascii="Times New Roman" w:eastAsia="Calibri" w:hAnsi="Times New Roman"/>
                <w:sz w:val="20"/>
                <w:szCs w:val="20"/>
                <w:lang w:eastAsia="zh-CN"/>
              </w:rPr>
            </w:pPr>
            <w:r w:rsidRPr="00333E8C">
              <w:rPr>
                <w:rFonts w:ascii="Times New Roman" w:eastAsia="Calibri" w:hAnsi="Times New Roman"/>
                <w:sz w:val="20"/>
                <w:szCs w:val="20"/>
                <w:lang w:eastAsia="zh-CN"/>
              </w:rPr>
              <w:t>разработана-Постановление администрации города от 30.08.2013 № 204-па «Об утверждении Генеральной схемы санитарной очистки территории города Пыть-Ях»</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630798" w:rsidRPr="00F447AE" w:rsidRDefault="00630798" w:rsidP="00946FE0">
            <w:pPr>
              <w:suppressAutoHyphens/>
              <w:snapToGrid w:val="0"/>
              <w:spacing w:after="0" w:line="240" w:lineRule="auto"/>
              <w:jc w:val="both"/>
              <w:rPr>
                <w:rFonts w:ascii="Times New Roman" w:eastAsia="Calibri" w:hAnsi="Times New Roman"/>
                <w:lang w:eastAsia="zh-CN"/>
              </w:rPr>
            </w:pPr>
          </w:p>
        </w:tc>
      </w:tr>
    </w:tbl>
    <w:p w:rsidR="00630798" w:rsidRPr="00F447AE" w:rsidRDefault="00630798" w:rsidP="00946FE0">
      <w:pPr>
        <w:spacing w:after="0" w:line="240" w:lineRule="auto"/>
        <w:jc w:val="both"/>
        <w:rPr>
          <w:rFonts w:ascii="Times New Roman" w:eastAsia="Arial Unicode MS" w:hAnsi="Times New Roman"/>
          <w:sz w:val="24"/>
          <w:szCs w:val="24"/>
        </w:rPr>
      </w:pPr>
      <w:r w:rsidRPr="00F447AE">
        <w:rPr>
          <w:rFonts w:ascii="Times New Roman" w:eastAsia="Arial Unicode MS" w:hAnsi="Times New Roman"/>
          <w:sz w:val="24"/>
          <w:szCs w:val="24"/>
        </w:rPr>
        <w:t>Ликвидированы несанкционированные свалки общей площадью 6 га 2А микрорайон «Лесников (проселочная дорогая во въезде во 2А микрорайон, вдоль моста)</w:t>
      </w:r>
      <w:r>
        <w:rPr>
          <w:rFonts w:ascii="Times New Roman" w:eastAsia="Arial Unicode MS" w:hAnsi="Times New Roman"/>
          <w:sz w:val="24"/>
          <w:szCs w:val="24"/>
        </w:rPr>
        <w:t xml:space="preserve">, </w:t>
      </w:r>
      <w:r w:rsidRPr="00F447AE">
        <w:rPr>
          <w:rFonts w:ascii="Times New Roman" w:eastAsia="Arial Unicode MS" w:hAnsi="Times New Roman"/>
          <w:sz w:val="24"/>
          <w:szCs w:val="24"/>
        </w:rPr>
        <w:t>6А микрорайон «Веротолетка» (ул. Белых ночей вдоль дороги; вокруг вертолетной площадки (строительный и бытовой мусор); дорога на снежный полигон).8 микрорайон «Горка» (в/п Автомобилистов ул. Автомобилистов (бытовой мусор); ул. Северная район гаражей; ул. Северная на въезде).10 микрорайон мамонтово (ул. Е.Котина в районе балка №175, ул. Е.Котина в районе балка №250; ул. Мамонтовская около забора).</w:t>
      </w:r>
    </w:p>
    <w:p w:rsidR="00630798" w:rsidRPr="00E4628F" w:rsidRDefault="00630798" w:rsidP="00946FE0">
      <w:pPr>
        <w:spacing w:after="0" w:line="240" w:lineRule="auto"/>
        <w:ind w:left="1068"/>
        <w:jc w:val="both"/>
        <w:rPr>
          <w:rFonts w:ascii="Times New Roman" w:eastAsia="Arial Unicode MS" w:hAnsi="Times New Roman"/>
          <w:i/>
          <w:sz w:val="24"/>
          <w:szCs w:val="24"/>
        </w:rPr>
      </w:pPr>
    </w:p>
    <w:p w:rsidR="00630798" w:rsidRPr="00E4628F" w:rsidRDefault="00630798" w:rsidP="00946FE0">
      <w:pPr>
        <w:spacing w:after="0" w:line="240" w:lineRule="auto"/>
        <w:ind w:firstLine="708"/>
        <w:jc w:val="both"/>
        <w:rPr>
          <w:rFonts w:ascii="Times New Roman" w:hAnsi="Times New Roman"/>
          <w:sz w:val="24"/>
          <w:szCs w:val="24"/>
        </w:rPr>
      </w:pPr>
      <w:r w:rsidRPr="00E4628F">
        <w:rPr>
          <w:rFonts w:ascii="Times New Roman" w:eastAsia="Arial Unicode MS" w:hAnsi="Times New Roman"/>
          <w:sz w:val="24"/>
          <w:szCs w:val="24"/>
        </w:rPr>
        <w:t xml:space="preserve">В ЛПУ города Пыть-Ях образуются отходы класса «А», «Б», «Г». </w:t>
      </w:r>
      <w:r w:rsidRPr="00E4628F">
        <w:rPr>
          <w:rFonts w:ascii="Times New Roman" w:hAnsi="Times New Roman"/>
          <w:sz w:val="24"/>
          <w:szCs w:val="24"/>
        </w:rPr>
        <w:t>В ЛПУ (лечебно-профилактические учреждения) приказами руководителей назначены ответственные специалисты для организации по обращению с отходами, в том числе и биологическими отходами.  В ЛПУ имеются утвержденные и согласованные инструкции, устанавливающие правила обращения с отходами. Биологические отходы (б</w:t>
      </w:r>
      <w:r w:rsidRPr="00E4628F">
        <w:rPr>
          <w:rFonts w:ascii="Times New Roman" w:hAnsi="Times New Roman"/>
          <w:bCs/>
          <w:sz w:val="24"/>
          <w:szCs w:val="24"/>
        </w:rPr>
        <w:t xml:space="preserve">иопсийный и отработанный операционный материал) относится к классу «Б». </w:t>
      </w:r>
      <w:r w:rsidRPr="00E4628F">
        <w:rPr>
          <w:rFonts w:ascii="Times New Roman" w:hAnsi="Times New Roman"/>
          <w:sz w:val="24"/>
          <w:szCs w:val="24"/>
        </w:rPr>
        <w:t xml:space="preserve">Обеззараживание отходов класса «Б» организовано в местах их первичного образования (процедурные, перевязочные, лаборатории, операционные). Для дезинфекции используются формалин,  хлорная известь, клорсепт-25, сульфохлорантин-Д, сухая хлорная известь, самаровка, деконекс, деохлор, пюржавель. </w:t>
      </w:r>
    </w:p>
    <w:p w:rsidR="00630798" w:rsidRPr="00E4628F" w:rsidRDefault="00630798" w:rsidP="00946FE0">
      <w:pPr>
        <w:spacing w:after="0" w:line="240" w:lineRule="auto"/>
        <w:ind w:firstLine="708"/>
        <w:jc w:val="both"/>
        <w:rPr>
          <w:rFonts w:ascii="Times New Roman" w:hAnsi="Times New Roman"/>
          <w:sz w:val="24"/>
          <w:szCs w:val="24"/>
        </w:rPr>
      </w:pPr>
      <w:r w:rsidRPr="00E4628F">
        <w:rPr>
          <w:rFonts w:ascii="Times New Roman" w:hAnsi="Times New Roman"/>
          <w:sz w:val="24"/>
          <w:szCs w:val="24"/>
        </w:rPr>
        <w:t xml:space="preserve"> В БУ-ХМАО-Югры «Пыть-</w:t>
      </w:r>
      <w:r>
        <w:rPr>
          <w:rFonts w:ascii="Times New Roman" w:hAnsi="Times New Roman"/>
          <w:sz w:val="24"/>
          <w:szCs w:val="24"/>
        </w:rPr>
        <w:t>Яхская окружная больница» в 2020</w:t>
      </w:r>
      <w:r w:rsidRPr="00E4628F">
        <w:rPr>
          <w:rFonts w:ascii="Times New Roman" w:hAnsi="Times New Roman"/>
          <w:sz w:val="24"/>
          <w:szCs w:val="24"/>
        </w:rPr>
        <w:t xml:space="preserve"> году образовалось отходов класса «А» -399,732 тонны, отходов класса Б 0,734 тонн, отходов класса Г 0,110 тонн. </w:t>
      </w:r>
    </w:p>
    <w:p w:rsidR="00630798" w:rsidRPr="00E4628F" w:rsidRDefault="00630798" w:rsidP="00946FE0">
      <w:pPr>
        <w:spacing w:after="0" w:line="240" w:lineRule="auto"/>
        <w:ind w:firstLine="709"/>
        <w:jc w:val="both"/>
        <w:rPr>
          <w:rFonts w:ascii="Times New Roman" w:hAnsi="Times New Roman"/>
          <w:sz w:val="24"/>
          <w:szCs w:val="24"/>
        </w:rPr>
      </w:pPr>
      <w:r w:rsidRPr="00E4628F">
        <w:rPr>
          <w:rFonts w:ascii="Times New Roman" w:hAnsi="Times New Roman"/>
          <w:sz w:val="24"/>
          <w:szCs w:val="24"/>
        </w:rPr>
        <w:lastRenderedPageBreak/>
        <w:t>Механизм и схема  сбора временного хранения. Дезинфекции и удаления отходов указан в инструкции, устанавливающей правила сбора, хранения и удаления медицинских отходов «, утвержденной главным врачом 07.04.2016г.</w:t>
      </w:r>
    </w:p>
    <w:p w:rsidR="00630798" w:rsidRPr="00E4628F" w:rsidRDefault="00630798" w:rsidP="00946FE0">
      <w:pPr>
        <w:spacing w:after="0" w:line="240" w:lineRule="auto"/>
        <w:ind w:firstLine="709"/>
        <w:jc w:val="both"/>
        <w:rPr>
          <w:rFonts w:ascii="Times New Roman" w:hAnsi="Times New Roman"/>
          <w:sz w:val="24"/>
          <w:szCs w:val="24"/>
        </w:rPr>
      </w:pPr>
      <w:r w:rsidRPr="00E4628F">
        <w:rPr>
          <w:rFonts w:ascii="Times New Roman" w:hAnsi="Times New Roman"/>
          <w:sz w:val="24"/>
          <w:szCs w:val="24"/>
        </w:rPr>
        <w:t>Отходы класса «А», образующиеся в ходе деятельности БУ ХМАО-Югры «Пыть-Яхская окружная больница» ежедневно вывозятся на полигон согласно договоров с ООО «ПытьЯхАвтоСервисЦентр» на полигон ООО «Спецкоммунсервис»</w:t>
      </w:r>
    </w:p>
    <w:p w:rsidR="00630798" w:rsidRPr="00E4628F" w:rsidRDefault="00630798" w:rsidP="00946FE0">
      <w:pPr>
        <w:spacing w:after="0" w:line="240" w:lineRule="auto"/>
        <w:ind w:firstLine="709"/>
        <w:jc w:val="both"/>
        <w:rPr>
          <w:rFonts w:ascii="Times New Roman" w:hAnsi="Times New Roman"/>
          <w:sz w:val="24"/>
          <w:szCs w:val="24"/>
        </w:rPr>
      </w:pPr>
      <w:r w:rsidRPr="00E4628F">
        <w:rPr>
          <w:rFonts w:ascii="Times New Roman" w:hAnsi="Times New Roman"/>
          <w:sz w:val="24"/>
          <w:szCs w:val="24"/>
        </w:rPr>
        <w:t>Отходы класса «Г» вывозятся и утилизируются по договору  с ООО «Сибирская экологическая компания».</w:t>
      </w:r>
    </w:p>
    <w:p w:rsidR="00630798" w:rsidRPr="00E4628F" w:rsidRDefault="00630798" w:rsidP="00946FE0">
      <w:pPr>
        <w:spacing w:after="0" w:line="240" w:lineRule="auto"/>
        <w:ind w:firstLine="709"/>
        <w:jc w:val="both"/>
        <w:rPr>
          <w:rFonts w:ascii="Times New Roman" w:hAnsi="Times New Roman"/>
          <w:sz w:val="24"/>
          <w:szCs w:val="24"/>
        </w:rPr>
      </w:pPr>
      <w:r w:rsidRPr="00E4628F">
        <w:rPr>
          <w:rFonts w:ascii="Times New Roman" w:hAnsi="Times New Roman"/>
          <w:sz w:val="24"/>
          <w:szCs w:val="24"/>
        </w:rPr>
        <w:t xml:space="preserve">Отходы класса «Б» вывозятся и утилизируются по договору  с ООО «Окса» </w:t>
      </w:r>
    </w:p>
    <w:p w:rsidR="00630798" w:rsidRPr="00E4628F" w:rsidRDefault="00630798" w:rsidP="00946FE0">
      <w:pPr>
        <w:spacing w:after="0" w:line="240" w:lineRule="auto"/>
        <w:ind w:firstLine="708"/>
        <w:jc w:val="both"/>
        <w:rPr>
          <w:rFonts w:ascii="Times New Roman" w:hAnsi="Times New Roman"/>
          <w:sz w:val="24"/>
          <w:szCs w:val="24"/>
        </w:rPr>
      </w:pPr>
      <w:r w:rsidRPr="00E4628F">
        <w:rPr>
          <w:rFonts w:ascii="Times New Roman" w:hAnsi="Times New Roman"/>
          <w:sz w:val="24"/>
          <w:szCs w:val="24"/>
        </w:rPr>
        <w:t>Отходы класса «А», образующиеся в ходе деятельности АУ ХМАО-Югры «Пыть-Яхская городская стоматологическая поликлиника »хранятся на территории не более суток и ежедневно вывозятся на полигон ООО «Спецкоммунсервис» согласно договоров с ООО «ЮграПромСервис».</w:t>
      </w:r>
    </w:p>
    <w:p w:rsidR="00630798" w:rsidRPr="00E4628F" w:rsidRDefault="00630798" w:rsidP="00946FE0">
      <w:pPr>
        <w:spacing w:after="0" w:line="240" w:lineRule="auto"/>
        <w:ind w:firstLine="708"/>
        <w:jc w:val="both"/>
        <w:rPr>
          <w:rFonts w:ascii="Times New Roman" w:hAnsi="Times New Roman"/>
          <w:sz w:val="24"/>
          <w:szCs w:val="24"/>
        </w:rPr>
      </w:pPr>
      <w:r w:rsidRPr="00E4628F">
        <w:rPr>
          <w:rFonts w:ascii="Times New Roman" w:hAnsi="Times New Roman"/>
          <w:sz w:val="24"/>
          <w:szCs w:val="24"/>
        </w:rPr>
        <w:t xml:space="preserve">Отходы класса «Б», образующиеся в ходе деятельности АУ ХМАО-Югры «Пыть-Яхская городская стоматологическая поликлиника » хранятся на территории не более суток и ежедневно вывозятся на полигон согласно договоров с ООО «Пыть-ЯхАвтоСервисЦентр» </w:t>
      </w:r>
    </w:p>
    <w:p w:rsidR="00630798" w:rsidRPr="00E4628F" w:rsidRDefault="00630798" w:rsidP="00946FE0">
      <w:pPr>
        <w:spacing w:after="0" w:line="240" w:lineRule="auto"/>
        <w:ind w:firstLine="708"/>
        <w:jc w:val="both"/>
        <w:rPr>
          <w:rFonts w:ascii="Times New Roman" w:hAnsi="Times New Roman"/>
          <w:sz w:val="24"/>
          <w:szCs w:val="24"/>
        </w:rPr>
      </w:pPr>
      <w:r w:rsidRPr="00E4628F">
        <w:rPr>
          <w:rFonts w:ascii="Times New Roman" w:hAnsi="Times New Roman"/>
          <w:sz w:val="24"/>
          <w:szCs w:val="24"/>
        </w:rPr>
        <w:t>Отходы класса «Г»  утилизируются по договору с ООО «Сибирская экологическая компания».</w:t>
      </w:r>
    </w:p>
    <w:p w:rsidR="00630798" w:rsidRPr="006E7FEC" w:rsidRDefault="00630798" w:rsidP="00946FE0">
      <w:pPr>
        <w:pStyle w:val="a5"/>
        <w:ind w:firstLine="283"/>
        <w:jc w:val="both"/>
        <w:rPr>
          <w:rFonts w:eastAsia="Arial Unicode MS"/>
          <w:sz w:val="24"/>
          <w:szCs w:val="24"/>
          <w:highlight w:val="yellow"/>
        </w:rPr>
      </w:pPr>
      <w:r w:rsidRPr="00A71447">
        <w:rPr>
          <w:sz w:val="24"/>
          <w:szCs w:val="24"/>
        </w:rPr>
        <w:t xml:space="preserve">ТОУРПН проводит социально гигиенический мониторинг, где ежегодно филиалом ФБУЗ «ЦГиЭ» проводятся  лабораторные исследование </w:t>
      </w:r>
      <w:r w:rsidRPr="00A71447">
        <w:rPr>
          <w:rFonts w:eastAsia="Arial Unicode MS"/>
          <w:sz w:val="24"/>
          <w:szCs w:val="24"/>
        </w:rPr>
        <w:t>почвы по санитарно-</w:t>
      </w:r>
      <w:r>
        <w:rPr>
          <w:rFonts w:eastAsia="Arial Unicode MS"/>
          <w:sz w:val="24"/>
          <w:szCs w:val="24"/>
        </w:rPr>
        <w:t>химическим, микробиологическим,</w:t>
      </w:r>
      <w:r w:rsidRPr="00A71447">
        <w:rPr>
          <w:rFonts w:eastAsia="Arial Unicode MS"/>
          <w:sz w:val="24"/>
          <w:szCs w:val="24"/>
        </w:rPr>
        <w:t xml:space="preserve">паразитологическим показателям.  </w:t>
      </w:r>
      <w:r w:rsidRPr="006E7FEC">
        <w:rPr>
          <w:rFonts w:eastAsia="Arial Unicode MS"/>
          <w:sz w:val="24"/>
          <w:szCs w:val="24"/>
        </w:rPr>
        <w:t>Контроль за качественным составом почв, содержанием территорий организован  в селитебной зоне (детские площадки, места массового отдыха населения), вдоль автомагистралей, гранич</w:t>
      </w:r>
      <w:r>
        <w:rPr>
          <w:rFonts w:eastAsia="Arial Unicode MS"/>
          <w:sz w:val="24"/>
          <w:szCs w:val="24"/>
        </w:rPr>
        <w:t>ащих с дачными участками. В 2020</w:t>
      </w:r>
      <w:r w:rsidRPr="006E7FEC">
        <w:rPr>
          <w:rFonts w:eastAsia="Arial Unicode MS"/>
          <w:sz w:val="24"/>
          <w:szCs w:val="24"/>
        </w:rPr>
        <w:t xml:space="preserve"> году исследовано проб </w:t>
      </w:r>
      <w:r>
        <w:rPr>
          <w:rFonts w:eastAsia="Arial Unicode MS"/>
          <w:sz w:val="24"/>
          <w:szCs w:val="24"/>
        </w:rPr>
        <w:t xml:space="preserve">почвы </w:t>
      </w:r>
      <w:r w:rsidRPr="006E7FEC">
        <w:rPr>
          <w:rFonts w:eastAsia="Arial Unicode MS"/>
          <w:sz w:val="24"/>
          <w:szCs w:val="24"/>
        </w:rPr>
        <w:t>по паразитологическим показателям 19 - все пробы  соответствуют нормативным показателям, по санитарно-химическим показателям отобрано 4 проб несоответствующих проб нет,  проб не соответствующих по микробиологическим (12 проб), радиологическим (2 проб) показателям нет.</w:t>
      </w:r>
    </w:p>
    <w:p w:rsidR="00630798" w:rsidRPr="00FE1915" w:rsidRDefault="00630798" w:rsidP="00946FE0">
      <w:pPr>
        <w:pStyle w:val="a5"/>
        <w:ind w:firstLine="708"/>
        <w:jc w:val="both"/>
        <w:rPr>
          <w:rFonts w:eastAsia="Arial Unicode MS"/>
          <w:sz w:val="24"/>
          <w:szCs w:val="24"/>
        </w:rPr>
      </w:pPr>
      <w:r w:rsidRPr="00BB76C3">
        <w:rPr>
          <w:sz w:val="24"/>
          <w:szCs w:val="24"/>
        </w:rPr>
        <w:t xml:space="preserve">По степени загрязнения почвы селитебной территории города можно отнести ко 2-й степени с умеренным загрязнением. </w:t>
      </w:r>
    </w:p>
    <w:p w:rsidR="00630798" w:rsidRDefault="00630798" w:rsidP="00946FE0">
      <w:pPr>
        <w:spacing w:after="0" w:line="240" w:lineRule="auto"/>
        <w:jc w:val="both"/>
        <w:rPr>
          <w:rFonts w:ascii="Times New Roman" w:eastAsia="Arial Unicode MS" w:hAnsi="Times New Roman" w:cs="Times New Roman"/>
          <w:sz w:val="24"/>
          <w:szCs w:val="24"/>
        </w:rPr>
      </w:pPr>
      <w:r>
        <w:rPr>
          <w:rFonts w:ascii="Times New Roman" w:hAnsi="Times New Roman" w:cs="Times New Roman"/>
          <w:sz w:val="24"/>
          <w:szCs w:val="24"/>
        </w:rPr>
        <w:t xml:space="preserve">    В 2020 году заболеваемость лептоспирозом, иерсиниозом, псевдотуберкулезом – не регистрировалась. Уровень заселенности синантропными грызунами – крысами (весной -0,2, осенью- 0,4), мышами (весной 0,5, осенью -0.6) грызун на </w:t>
      </w:r>
      <w:smartTag w:uri="urn:schemas-microsoft-com:office:smarttags" w:element="metricconverter">
        <w:smartTagPr>
          <w:attr w:name="ProductID" w:val="1000 кв. м"/>
        </w:smartTagPr>
        <w:r>
          <w:rPr>
            <w:rFonts w:ascii="Times New Roman" w:hAnsi="Times New Roman" w:cs="Times New Roman"/>
            <w:sz w:val="24"/>
            <w:szCs w:val="24"/>
          </w:rPr>
          <w:t>1000 кв. м</w:t>
        </w:r>
      </w:smartTag>
      <w:r>
        <w:rPr>
          <w:rFonts w:ascii="Times New Roman" w:hAnsi="Times New Roman" w:cs="Times New Roman"/>
          <w:sz w:val="24"/>
          <w:szCs w:val="24"/>
        </w:rPr>
        <w:t>.  Пострадавших от укусов грызунов - нет. Мероприятия по дератизации и дезинсекции на полигоне ТБО проводятся.</w:t>
      </w:r>
      <w:r>
        <w:rPr>
          <w:rFonts w:ascii="Times New Roman" w:eastAsia="Arial Unicode MS" w:hAnsi="Times New Roman" w:cs="Times New Roman"/>
          <w:sz w:val="24"/>
          <w:szCs w:val="24"/>
        </w:rPr>
        <w:tab/>
      </w:r>
    </w:p>
    <w:p w:rsidR="00630798" w:rsidRPr="00E4628F" w:rsidRDefault="00630798" w:rsidP="00946FE0">
      <w:pPr>
        <w:pStyle w:val="a5"/>
        <w:ind w:firstLine="708"/>
        <w:jc w:val="both"/>
        <w:rPr>
          <w:rStyle w:val="35"/>
          <w:rFonts w:eastAsia="Arial Unicode MS"/>
          <w:sz w:val="24"/>
          <w:szCs w:val="24"/>
        </w:rPr>
      </w:pPr>
      <w:r w:rsidRPr="00E4628F">
        <w:rPr>
          <w:rFonts w:eastAsia="Arial Unicode MS"/>
          <w:sz w:val="24"/>
          <w:szCs w:val="24"/>
        </w:rPr>
        <w:t xml:space="preserve">На территории г. Пыть-Ях  имеется 4 водных объекта, водоемы 2-й категории (из них 4 - места неорганизованного рекреационного водопользования).   Место  массового отдыха - пляж  до настоящего времени не введен  в эксплуатацию. Урны имеются, туалет оборудован. Оборудование (навесы, скамьи) установлено, оборудовано   помещение  для спасателей, ограждение выполнено. Санитарно-эпидемиологическое заключение на использование водных объектов в целях купания, занятия спортом, отдыха  отсутствует.  Филиалом ФБУЗ «ЦГ и Э» проводятся лабораторные исследования воды открытых водоемов. </w:t>
      </w:r>
    </w:p>
    <w:p w:rsidR="00630798" w:rsidRPr="001B1EB5" w:rsidRDefault="00630798" w:rsidP="00946FE0">
      <w:pPr>
        <w:spacing w:after="0" w:line="240" w:lineRule="auto"/>
        <w:ind w:firstLine="708"/>
        <w:jc w:val="both"/>
        <w:rPr>
          <w:rFonts w:ascii="Times New Roman" w:hAnsi="Times New Roman" w:cs="Times New Roman"/>
          <w:sz w:val="24"/>
          <w:szCs w:val="24"/>
        </w:rPr>
      </w:pPr>
      <w:r w:rsidRPr="001B1EB5">
        <w:rPr>
          <w:rFonts w:ascii="Times New Roman" w:hAnsi="Times New Roman" w:cs="Times New Roman"/>
          <w:sz w:val="24"/>
          <w:szCs w:val="24"/>
        </w:rPr>
        <w:t>В рамках реализации Концепции и мероприятий целево</w:t>
      </w:r>
      <w:r w:rsidR="00946FE0">
        <w:rPr>
          <w:rFonts w:ascii="Times New Roman" w:hAnsi="Times New Roman" w:cs="Times New Roman"/>
          <w:sz w:val="24"/>
          <w:szCs w:val="24"/>
        </w:rPr>
        <w:t xml:space="preserve">й программы автономного округа </w:t>
      </w:r>
      <w:r w:rsidRPr="001B1EB5">
        <w:rPr>
          <w:rFonts w:ascii="Times New Roman" w:hAnsi="Times New Roman" w:cs="Times New Roman"/>
          <w:sz w:val="24"/>
          <w:szCs w:val="24"/>
        </w:rPr>
        <w:t xml:space="preserve">«Развитие системы обращений с отходами производства и потребления в ХМАО-Югре на 2012-2015 г.г. и на период до 2020г.» проводятся мероприятия по проектированию и строительству межмуниципального полигона для захоронения (утилизации) бытовых и промышленных отходов для г. Нефтеюганск и </w:t>
      </w:r>
      <w:r w:rsidRPr="00420D01">
        <w:rPr>
          <w:rFonts w:ascii="Times New Roman" w:hAnsi="Times New Roman" w:cs="Times New Roman"/>
          <w:b/>
          <w:sz w:val="24"/>
          <w:szCs w:val="24"/>
        </w:rPr>
        <w:t>Пыть-Ях</w:t>
      </w:r>
      <w:r w:rsidR="00946FE0">
        <w:rPr>
          <w:rFonts w:ascii="Times New Roman" w:hAnsi="Times New Roman" w:cs="Times New Roman"/>
          <w:b/>
          <w:sz w:val="24"/>
          <w:szCs w:val="24"/>
        </w:rPr>
        <w:t xml:space="preserve">, </w:t>
      </w:r>
      <w:r w:rsidRPr="00420D01">
        <w:rPr>
          <w:rFonts w:ascii="Times New Roman" w:hAnsi="Times New Roman" w:cs="Times New Roman"/>
          <w:sz w:val="24"/>
          <w:szCs w:val="24"/>
        </w:rPr>
        <w:t>поселений</w:t>
      </w:r>
      <w:r w:rsidR="00946FE0">
        <w:rPr>
          <w:rFonts w:ascii="Times New Roman" w:hAnsi="Times New Roman" w:cs="Times New Roman"/>
          <w:sz w:val="24"/>
          <w:szCs w:val="24"/>
        </w:rPr>
        <w:t xml:space="preserve"> </w:t>
      </w:r>
      <w:r w:rsidRPr="00420D01">
        <w:rPr>
          <w:rFonts w:ascii="Times New Roman" w:hAnsi="Times New Roman" w:cs="Times New Roman"/>
          <w:sz w:val="24"/>
          <w:szCs w:val="24"/>
        </w:rPr>
        <w:t>Нефтеюганского района.</w:t>
      </w:r>
      <w:r w:rsidRPr="001B1EB5">
        <w:rPr>
          <w:rFonts w:ascii="Times New Roman" w:hAnsi="Times New Roman" w:cs="Times New Roman"/>
          <w:sz w:val="24"/>
          <w:szCs w:val="24"/>
        </w:rPr>
        <w:t xml:space="preserve">, </w:t>
      </w:r>
    </w:p>
    <w:p w:rsidR="00630798" w:rsidRDefault="00630798" w:rsidP="00946F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письмом заместителя Губернатора ХМАО-Югры Д.В.Шаповалова  от 10.09.2013г. №ДШ-18391, в рамках государственной программы автономного округа  «Обеспечение экологической безопасности ХМАО-Югры на 2014-2020годы» , подпрограммой «Развитие системы обращения с отходами производства и потребления в ХМАО-Югре» по объекту «Комплексный межмуниципальный полигон для захоронения </w:t>
      </w:r>
      <w:r>
        <w:rPr>
          <w:rFonts w:ascii="Times New Roman" w:hAnsi="Times New Roman" w:cs="Times New Roman"/>
          <w:sz w:val="24"/>
          <w:szCs w:val="24"/>
        </w:rPr>
        <w:lastRenderedPageBreak/>
        <w:t xml:space="preserve">бытовых и промышленных отходов для г.Нефтеюганска и </w:t>
      </w:r>
      <w:r w:rsidRPr="00420D01">
        <w:rPr>
          <w:rFonts w:ascii="Times New Roman" w:hAnsi="Times New Roman" w:cs="Times New Roman"/>
          <w:b/>
          <w:sz w:val="24"/>
          <w:szCs w:val="24"/>
        </w:rPr>
        <w:t>Пыть-Ях,</w:t>
      </w:r>
      <w:r>
        <w:rPr>
          <w:rFonts w:ascii="Times New Roman" w:hAnsi="Times New Roman" w:cs="Times New Roman"/>
          <w:sz w:val="24"/>
          <w:szCs w:val="24"/>
        </w:rPr>
        <w:t xml:space="preserve"> поселений Нефтеюганского района» запланированы следующие этапы:  - 2013-2014 годы проведение проектно-изыскательских работ; -  2014-2015 годы строительство объекта.</w:t>
      </w:r>
    </w:p>
    <w:p w:rsidR="00630798" w:rsidRDefault="00630798" w:rsidP="00946FE0">
      <w:pPr>
        <w:spacing w:after="0" w:line="240" w:lineRule="auto"/>
        <w:ind w:firstLine="360"/>
        <w:jc w:val="both"/>
        <w:rPr>
          <w:rFonts w:ascii="Times New Roman" w:hAnsi="Times New Roman" w:cs="Times New Roman"/>
          <w:b/>
          <w:sz w:val="24"/>
          <w:szCs w:val="24"/>
        </w:rPr>
      </w:pPr>
      <w:r>
        <w:rPr>
          <w:rFonts w:ascii="Times New Roman" w:hAnsi="Times New Roman" w:cs="Times New Roman"/>
          <w:sz w:val="24"/>
          <w:szCs w:val="24"/>
        </w:rPr>
        <w:t xml:space="preserve">    В настоящее время работы по строительству полигона не проводятся. Бюджетное учреждение «Управления капитального строительства ХМАО-Югры» проводит мероприятие по проектированию 1 этапа объекта «Комплексный межмуниципальный полигон для захоронения отходов для городов Нефтеюганск, </w:t>
      </w:r>
      <w:r w:rsidR="00946FE0">
        <w:rPr>
          <w:rFonts w:ascii="Times New Roman" w:hAnsi="Times New Roman" w:cs="Times New Roman"/>
          <w:b/>
          <w:sz w:val="24"/>
          <w:szCs w:val="24"/>
        </w:rPr>
        <w:t>Пыть-Ях</w:t>
      </w:r>
      <w:r w:rsidRPr="008B7E69">
        <w:rPr>
          <w:rFonts w:ascii="Times New Roman" w:hAnsi="Times New Roman" w:cs="Times New Roman"/>
          <w:b/>
          <w:sz w:val="24"/>
          <w:szCs w:val="24"/>
        </w:rPr>
        <w:t>,</w:t>
      </w:r>
      <w:r>
        <w:rPr>
          <w:rFonts w:ascii="Times New Roman" w:hAnsi="Times New Roman" w:cs="Times New Roman"/>
          <w:sz w:val="24"/>
          <w:szCs w:val="24"/>
        </w:rPr>
        <w:t xml:space="preserve"> поселений </w:t>
      </w:r>
      <w:r w:rsidRPr="008B7E69">
        <w:rPr>
          <w:rFonts w:ascii="Times New Roman" w:hAnsi="Times New Roman" w:cs="Times New Roman"/>
          <w:sz w:val="24"/>
          <w:szCs w:val="24"/>
        </w:rPr>
        <w:t>Нефтеюганского района.»</w:t>
      </w:r>
    </w:p>
    <w:p w:rsidR="00630798" w:rsidRDefault="00630798" w:rsidP="00946FE0">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По информации Департамента природных ресурсов и несырьевого сектора экономики ХМАО-Югры, завершение проектирования планировалось  в апреле 2017 года. В соответствии с указанной Государственной программой строительство межмуниципального полигона запланировано на 2017-2020 годы за счет средств внебюджетных источников на основе концессионного соглашения.</w:t>
      </w:r>
    </w:p>
    <w:p w:rsidR="00630798" w:rsidRDefault="00630798" w:rsidP="00946FE0">
      <w:pPr>
        <w:spacing w:after="0" w:line="240" w:lineRule="auto"/>
        <w:ind w:firstLine="357"/>
        <w:jc w:val="both"/>
        <w:rPr>
          <w:rFonts w:ascii="Times New Roman" w:hAnsi="Times New Roman" w:cs="Times New Roman"/>
          <w:b/>
          <w:sz w:val="24"/>
          <w:szCs w:val="24"/>
        </w:rPr>
      </w:pPr>
      <w:r>
        <w:rPr>
          <w:rFonts w:ascii="Times New Roman" w:hAnsi="Times New Roman" w:cs="Times New Roman"/>
          <w:sz w:val="24"/>
          <w:szCs w:val="24"/>
        </w:rPr>
        <w:t xml:space="preserve">При строительстве объекта «Комплексный межмуниципальный полигон для захоронения отходов для городов Нефтеюганск, </w:t>
      </w:r>
      <w:r w:rsidR="00946FE0">
        <w:rPr>
          <w:rFonts w:ascii="Times New Roman" w:hAnsi="Times New Roman" w:cs="Times New Roman"/>
          <w:b/>
          <w:sz w:val="24"/>
          <w:szCs w:val="24"/>
        </w:rPr>
        <w:t>Пыть-Ях</w:t>
      </w:r>
      <w:r w:rsidRPr="008B7E69">
        <w:rPr>
          <w:rFonts w:ascii="Times New Roman" w:hAnsi="Times New Roman" w:cs="Times New Roman"/>
          <w:b/>
          <w:sz w:val="24"/>
          <w:szCs w:val="24"/>
        </w:rPr>
        <w:t>,</w:t>
      </w:r>
      <w:r>
        <w:rPr>
          <w:rFonts w:ascii="Times New Roman" w:hAnsi="Times New Roman" w:cs="Times New Roman"/>
          <w:sz w:val="24"/>
          <w:szCs w:val="24"/>
        </w:rPr>
        <w:t xml:space="preserve"> поселений </w:t>
      </w:r>
      <w:r w:rsidRPr="008B7E69">
        <w:rPr>
          <w:rFonts w:ascii="Times New Roman" w:hAnsi="Times New Roman" w:cs="Times New Roman"/>
          <w:sz w:val="24"/>
          <w:szCs w:val="24"/>
        </w:rPr>
        <w:t>Нефтеюганскогорайона.»</w:t>
      </w:r>
      <w:r>
        <w:rPr>
          <w:rFonts w:ascii="Times New Roman" w:hAnsi="Times New Roman" w:cs="Times New Roman"/>
          <w:sz w:val="24"/>
          <w:szCs w:val="24"/>
        </w:rPr>
        <w:t xml:space="preserve"> планируется в составе полигона строительство «Завода по переработке отходов..».</w:t>
      </w:r>
    </w:p>
    <w:p w:rsidR="00630798" w:rsidRPr="00C61B10" w:rsidRDefault="00630798" w:rsidP="00946FE0">
      <w:pPr>
        <w:spacing w:after="0" w:line="240" w:lineRule="auto"/>
        <w:ind w:firstLine="708"/>
        <w:jc w:val="both"/>
        <w:rPr>
          <w:rFonts w:ascii="Times New Roman" w:hAnsi="Times New Roman" w:cs="Times New Roman"/>
          <w:sz w:val="24"/>
          <w:szCs w:val="24"/>
        </w:rPr>
      </w:pPr>
      <w:r w:rsidRPr="00C35AB9">
        <w:rPr>
          <w:rFonts w:ascii="Times New Roman" w:hAnsi="Times New Roman" w:cs="Times New Roman"/>
          <w:sz w:val="24"/>
          <w:szCs w:val="24"/>
          <w:u w:val="single"/>
        </w:rPr>
        <w:t>В настоящий момент проводится определённая работа по вопросу улучшения санитарного  состояния городской территории. С</w:t>
      </w:r>
      <w:r>
        <w:rPr>
          <w:rFonts w:ascii="Times New Roman" w:hAnsi="Times New Roman" w:cs="Times New Roman"/>
          <w:sz w:val="24"/>
          <w:szCs w:val="24"/>
          <w:u w:val="single"/>
        </w:rPr>
        <w:t xml:space="preserve"> 2013</w:t>
      </w:r>
      <w:r w:rsidRPr="00C35AB9">
        <w:rPr>
          <w:rFonts w:ascii="Times New Roman" w:hAnsi="Times New Roman" w:cs="Times New Roman"/>
          <w:sz w:val="24"/>
          <w:szCs w:val="24"/>
          <w:u w:val="single"/>
        </w:rPr>
        <w:t xml:space="preserve"> года в гНефтеюганске  действует муниципальная программа «Развитие жилищно-коммунального комплекса и повышение энергетической</w:t>
      </w:r>
      <w:r>
        <w:rPr>
          <w:rFonts w:ascii="Times New Roman" w:hAnsi="Times New Roman" w:cs="Times New Roman"/>
          <w:sz w:val="24"/>
          <w:szCs w:val="24"/>
          <w:u w:val="single"/>
        </w:rPr>
        <w:t xml:space="preserve"> эффективности в МО города Нефтеюганс</w:t>
      </w:r>
      <w:r w:rsidRPr="00C35AB9">
        <w:rPr>
          <w:rFonts w:ascii="Times New Roman" w:hAnsi="Times New Roman" w:cs="Times New Roman"/>
          <w:sz w:val="24"/>
          <w:szCs w:val="24"/>
          <w:u w:val="single"/>
        </w:rPr>
        <w:t xml:space="preserve">ка на 2014-2020 годы» ( далее </w:t>
      </w:r>
      <w:r w:rsidRPr="00C61B10">
        <w:rPr>
          <w:rFonts w:ascii="Times New Roman" w:hAnsi="Times New Roman" w:cs="Times New Roman"/>
          <w:sz w:val="24"/>
          <w:szCs w:val="24"/>
          <w:u w:val="single"/>
        </w:rPr>
        <w:t xml:space="preserve">Программа) утвержденной постановлением администрации города Пыть-Ях от </w:t>
      </w:r>
      <w:r w:rsidRPr="00C61B10">
        <w:rPr>
          <w:rFonts w:ascii="Times New Roman" w:eastAsia="Calibri" w:hAnsi="Times New Roman" w:cs="Times New Roman"/>
          <w:sz w:val="24"/>
          <w:szCs w:val="24"/>
          <w:u w:val="single"/>
        </w:rPr>
        <w:t>17.12.2015г№350-па)</w:t>
      </w:r>
      <w:r w:rsidRPr="00C61B10">
        <w:rPr>
          <w:rFonts w:ascii="Times New Roman" w:hAnsi="Times New Roman" w:cs="Times New Roman"/>
          <w:sz w:val="24"/>
          <w:szCs w:val="24"/>
        </w:rPr>
        <w:t xml:space="preserve">с последующими изменениями и дополнениями. </w:t>
      </w:r>
    </w:p>
    <w:p w:rsidR="00630798" w:rsidRDefault="00630798" w:rsidP="00630798">
      <w:pPr>
        <w:spacing w:after="0"/>
        <w:ind w:firstLine="360"/>
        <w:jc w:val="both"/>
        <w:rPr>
          <w:rFonts w:ascii="Times New Roman" w:hAnsi="Times New Roman" w:cs="Times New Roman"/>
          <w:sz w:val="24"/>
          <w:szCs w:val="24"/>
        </w:rPr>
      </w:pPr>
    </w:p>
    <w:p w:rsidR="00630798" w:rsidRPr="00C61B10" w:rsidRDefault="00630798" w:rsidP="00946FE0">
      <w:pPr>
        <w:spacing w:after="0" w:line="240" w:lineRule="auto"/>
        <w:ind w:firstLine="360"/>
        <w:jc w:val="both"/>
        <w:rPr>
          <w:rFonts w:ascii="Times New Roman" w:hAnsi="Times New Roman" w:cs="Times New Roman"/>
          <w:sz w:val="24"/>
          <w:szCs w:val="24"/>
        </w:rPr>
      </w:pPr>
      <w:r w:rsidRPr="00C61B10">
        <w:rPr>
          <w:rFonts w:ascii="Times New Roman" w:hAnsi="Times New Roman" w:cs="Times New Roman"/>
          <w:sz w:val="24"/>
          <w:szCs w:val="24"/>
        </w:rPr>
        <w:t xml:space="preserve">В рамках вышеуказанной </w:t>
      </w:r>
      <w:r>
        <w:rPr>
          <w:rFonts w:ascii="Times New Roman" w:hAnsi="Times New Roman" w:cs="Times New Roman"/>
          <w:b/>
          <w:sz w:val="24"/>
          <w:szCs w:val="24"/>
        </w:rPr>
        <w:t>Программы в 2020</w:t>
      </w:r>
      <w:r w:rsidRPr="00C61B10">
        <w:rPr>
          <w:rFonts w:ascii="Times New Roman" w:hAnsi="Times New Roman" w:cs="Times New Roman"/>
          <w:sz w:val="24"/>
          <w:szCs w:val="24"/>
        </w:rPr>
        <w:t xml:space="preserve"> году успешно реализуются следующие мероприятия, направленные на улучшения санитарного состояния территорий гПыть-Ях:</w:t>
      </w:r>
    </w:p>
    <w:p w:rsidR="00630798" w:rsidRPr="00C61B10" w:rsidRDefault="00630798" w:rsidP="006A23B3">
      <w:pPr>
        <w:pStyle w:val="aff"/>
        <w:numPr>
          <w:ilvl w:val="0"/>
          <w:numId w:val="18"/>
        </w:numPr>
        <w:spacing w:after="0" w:line="240" w:lineRule="auto"/>
        <w:ind w:left="0" w:firstLine="567"/>
        <w:jc w:val="both"/>
        <w:rPr>
          <w:rFonts w:ascii="Times New Roman" w:eastAsia="Calibri" w:hAnsi="Times New Roman"/>
          <w:sz w:val="24"/>
          <w:szCs w:val="24"/>
        </w:rPr>
      </w:pPr>
      <w:r w:rsidRPr="00C61B10">
        <w:rPr>
          <w:rFonts w:ascii="Times New Roman" w:eastAsia="Calibri" w:hAnsi="Times New Roman"/>
          <w:sz w:val="24"/>
          <w:szCs w:val="24"/>
        </w:rPr>
        <w:t xml:space="preserve"> Проведение мероприятий по охране городских территорий, водного и воздушного бассейнов, почвенного покрова  города от загрязнения атмосферными выбросами, бытовыми и промышленными стоками и отходами</w:t>
      </w:r>
    </w:p>
    <w:p w:rsidR="00630798" w:rsidRPr="00C61B10" w:rsidRDefault="00630798" w:rsidP="006A23B3">
      <w:pPr>
        <w:pStyle w:val="aff"/>
        <w:numPr>
          <w:ilvl w:val="0"/>
          <w:numId w:val="18"/>
        </w:numPr>
        <w:spacing w:after="0" w:line="240" w:lineRule="auto"/>
        <w:ind w:left="0" w:firstLine="567"/>
        <w:jc w:val="both"/>
        <w:rPr>
          <w:rFonts w:ascii="Times New Roman" w:eastAsia="Calibri" w:hAnsi="Times New Roman"/>
          <w:sz w:val="24"/>
          <w:szCs w:val="24"/>
        </w:rPr>
      </w:pPr>
      <w:r w:rsidRPr="00C61B10">
        <w:rPr>
          <w:rFonts w:ascii="Times New Roman" w:eastAsia="Calibri" w:hAnsi="Times New Roman"/>
          <w:sz w:val="24"/>
          <w:szCs w:val="24"/>
        </w:rPr>
        <w:t xml:space="preserve"> Проведение комплексного мониторинга на радиационные исследования</w:t>
      </w:r>
    </w:p>
    <w:p w:rsidR="00630798" w:rsidRPr="00C61B10" w:rsidRDefault="00630798" w:rsidP="006A23B3">
      <w:pPr>
        <w:pStyle w:val="aff"/>
        <w:numPr>
          <w:ilvl w:val="0"/>
          <w:numId w:val="18"/>
        </w:numPr>
        <w:spacing w:after="0" w:line="240" w:lineRule="auto"/>
        <w:ind w:left="0" w:firstLine="567"/>
        <w:jc w:val="both"/>
        <w:rPr>
          <w:rFonts w:ascii="Times New Roman" w:eastAsia="Calibri" w:hAnsi="Times New Roman"/>
          <w:sz w:val="24"/>
          <w:szCs w:val="24"/>
        </w:rPr>
      </w:pPr>
      <w:r w:rsidRPr="00C61B10">
        <w:rPr>
          <w:rFonts w:ascii="Times New Roman" w:eastAsia="Calibri" w:hAnsi="Times New Roman"/>
          <w:sz w:val="24"/>
          <w:szCs w:val="24"/>
        </w:rPr>
        <w:t xml:space="preserve"> Разработка и реализация мероприятий по ликвидации несанкционированных свалок</w:t>
      </w:r>
    </w:p>
    <w:p w:rsidR="00630798" w:rsidRPr="00C61B10" w:rsidRDefault="00630798" w:rsidP="006A23B3">
      <w:pPr>
        <w:pStyle w:val="aff"/>
        <w:numPr>
          <w:ilvl w:val="0"/>
          <w:numId w:val="18"/>
        </w:numPr>
        <w:spacing w:after="0" w:line="240" w:lineRule="auto"/>
        <w:ind w:left="0" w:firstLine="567"/>
        <w:jc w:val="both"/>
        <w:rPr>
          <w:rFonts w:ascii="Times New Roman" w:eastAsia="Calibri" w:hAnsi="Times New Roman"/>
          <w:sz w:val="24"/>
          <w:szCs w:val="24"/>
        </w:rPr>
      </w:pPr>
      <w:r w:rsidRPr="00C61B10">
        <w:rPr>
          <w:rFonts w:ascii="Times New Roman" w:eastAsia="Calibri" w:hAnsi="Times New Roman"/>
          <w:sz w:val="24"/>
          <w:szCs w:val="24"/>
        </w:rPr>
        <w:t xml:space="preserve"> Проведение просветительских мероприятий среди населения </w:t>
      </w:r>
    </w:p>
    <w:p w:rsidR="00630798" w:rsidRPr="00FC4B3E" w:rsidRDefault="00630798" w:rsidP="006A23B3">
      <w:pPr>
        <w:pStyle w:val="aff"/>
        <w:numPr>
          <w:ilvl w:val="0"/>
          <w:numId w:val="18"/>
        </w:numPr>
        <w:spacing w:after="0" w:line="240" w:lineRule="auto"/>
        <w:ind w:left="0" w:firstLine="567"/>
        <w:jc w:val="both"/>
        <w:rPr>
          <w:rFonts w:ascii="Times New Roman" w:eastAsia="Arial Unicode MS" w:hAnsi="Times New Roman"/>
          <w:sz w:val="24"/>
          <w:szCs w:val="24"/>
        </w:rPr>
      </w:pPr>
      <w:r w:rsidRPr="00C61B10">
        <w:rPr>
          <w:rFonts w:ascii="Times New Roman" w:eastAsia="Calibri" w:hAnsi="Times New Roman"/>
          <w:sz w:val="24"/>
          <w:szCs w:val="24"/>
        </w:rPr>
        <w:t>Ежегодно проводятся субботники «Чисты город»; «Чистый берег» (май, июнь, сентябрь) и высадка деревьев «Зеленая Россия» (май, июнь).</w:t>
      </w:r>
    </w:p>
    <w:p w:rsidR="00630798" w:rsidRPr="00B71200" w:rsidRDefault="00630798" w:rsidP="00946FE0">
      <w:pPr>
        <w:spacing w:after="0" w:line="240" w:lineRule="auto"/>
        <w:ind w:firstLine="567"/>
        <w:jc w:val="both"/>
        <w:rPr>
          <w:rFonts w:ascii="Times New Roman" w:hAnsi="Times New Roman"/>
          <w:sz w:val="24"/>
          <w:szCs w:val="24"/>
          <w:u w:val="single"/>
        </w:rPr>
      </w:pPr>
      <w:r w:rsidRPr="00281C87">
        <w:rPr>
          <w:rFonts w:ascii="Times New Roman" w:hAnsi="Times New Roman"/>
          <w:b/>
          <w:sz w:val="24"/>
          <w:szCs w:val="24"/>
          <w:u w:val="single"/>
        </w:rPr>
        <w:t>Документы регулирующие обращение с отходами производства и потребления на территории МО г.Пыть-Я</w:t>
      </w:r>
      <w:r w:rsidRPr="00735DE8">
        <w:rPr>
          <w:rFonts w:ascii="Times New Roman" w:hAnsi="Times New Roman"/>
          <w:sz w:val="24"/>
          <w:szCs w:val="24"/>
          <w:u w:val="single"/>
        </w:rPr>
        <w:t>х</w:t>
      </w:r>
      <w:r>
        <w:rPr>
          <w:rFonts w:ascii="Times New Roman" w:hAnsi="Times New Roman"/>
          <w:sz w:val="24"/>
          <w:szCs w:val="24"/>
          <w:u w:val="single"/>
        </w:rPr>
        <w:t>:</w:t>
      </w:r>
    </w:p>
    <w:p w:rsidR="00630798" w:rsidRPr="00B71200" w:rsidRDefault="00630798" w:rsidP="00946FE0">
      <w:pPr>
        <w:pStyle w:val="a5"/>
        <w:ind w:firstLine="567"/>
        <w:jc w:val="both"/>
        <w:rPr>
          <w:sz w:val="24"/>
          <w:szCs w:val="24"/>
        </w:rPr>
      </w:pPr>
      <w:r w:rsidRPr="00B71200">
        <w:rPr>
          <w:sz w:val="24"/>
          <w:szCs w:val="24"/>
        </w:rPr>
        <w:t xml:space="preserve">  - «Схема обращения с отходами производства и потребления вХанты-Мансийском автономном округе-Югре на период до 2020 года»  утверждена распоряжением Правительства ХМАО-Югры от 03.11.2011г. №625-рп.</w:t>
      </w:r>
    </w:p>
    <w:p w:rsidR="00630798" w:rsidRPr="00B71200" w:rsidRDefault="00630798" w:rsidP="00946FE0">
      <w:pPr>
        <w:pStyle w:val="a5"/>
        <w:ind w:firstLine="567"/>
        <w:jc w:val="both"/>
        <w:rPr>
          <w:sz w:val="24"/>
          <w:szCs w:val="24"/>
        </w:rPr>
      </w:pPr>
    </w:p>
    <w:p w:rsidR="00630798" w:rsidRPr="00B71200" w:rsidRDefault="00630798" w:rsidP="00946FE0">
      <w:pPr>
        <w:spacing w:after="0" w:line="240" w:lineRule="auto"/>
        <w:ind w:firstLine="567"/>
        <w:rPr>
          <w:rFonts w:ascii="Times New Roman" w:hAnsi="Times New Roman" w:cs="Times New Roman"/>
          <w:sz w:val="24"/>
          <w:szCs w:val="24"/>
        </w:rPr>
      </w:pPr>
      <w:r w:rsidRPr="00B71200">
        <w:rPr>
          <w:rFonts w:ascii="Times New Roman" w:hAnsi="Times New Roman" w:cs="Times New Roman"/>
          <w:sz w:val="24"/>
          <w:szCs w:val="24"/>
        </w:rPr>
        <w:t>1. Решением Думы города от 24.05.2013 № 211 «Об утверждении Нормы и правила по благоустройству территории городской округ город Пыть-Ях»;</w:t>
      </w:r>
    </w:p>
    <w:p w:rsidR="00630798" w:rsidRPr="00B71200" w:rsidRDefault="00630798" w:rsidP="00946FE0">
      <w:pPr>
        <w:spacing w:after="0" w:line="240" w:lineRule="auto"/>
        <w:ind w:firstLine="567"/>
        <w:rPr>
          <w:rFonts w:ascii="Times New Roman" w:hAnsi="Times New Roman" w:cs="Times New Roman"/>
          <w:sz w:val="24"/>
          <w:szCs w:val="24"/>
        </w:rPr>
      </w:pPr>
      <w:r w:rsidRPr="00B71200">
        <w:rPr>
          <w:rFonts w:ascii="Times New Roman" w:hAnsi="Times New Roman" w:cs="Times New Roman"/>
          <w:sz w:val="24"/>
          <w:szCs w:val="24"/>
        </w:rPr>
        <w:t>2. Постановление Администрации № 350-па от 17.12.2015 «Об утверждении муниципальной программы «Обеспечение экологической безопасности муниципального образования городской округ город Пыть-Ях на 2016 – 2020 годы»;</w:t>
      </w:r>
    </w:p>
    <w:p w:rsidR="00630798" w:rsidRPr="00B71200" w:rsidRDefault="00630798" w:rsidP="00946FE0">
      <w:pPr>
        <w:spacing w:after="0" w:line="240" w:lineRule="auto"/>
        <w:ind w:right="-108" w:firstLine="567"/>
        <w:rPr>
          <w:rFonts w:ascii="Times New Roman" w:hAnsi="Times New Roman" w:cs="Times New Roman"/>
          <w:sz w:val="24"/>
          <w:szCs w:val="24"/>
        </w:rPr>
      </w:pPr>
      <w:r w:rsidRPr="00B71200">
        <w:rPr>
          <w:rFonts w:ascii="Times New Roman" w:hAnsi="Times New Roman" w:cs="Times New Roman"/>
          <w:sz w:val="24"/>
          <w:szCs w:val="24"/>
        </w:rPr>
        <w:t>3. Постановление Администрации № 204-па от 30.08.2013 «Об утверждении   генеральной схемы санитарной очистки территории города Пыть-Яха»;</w:t>
      </w:r>
    </w:p>
    <w:p w:rsidR="00630798" w:rsidRPr="00B71200" w:rsidRDefault="00630798" w:rsidP="00946FE0">
      <w:pPr>
        <w:spacing w:after="0" w:line="240" w:lineRule="auto"/>
        <w:ind w:firstLine="567"/>
        <w:jc w:val="both"/>
        <w:rPr>
          <w:rFonts w:ascii="Times New Roman" w:hAnsi="Times New Roman" w:cs="Times New Roman"/>
          <w:sz w:val="24"/>
          <w:szCs w:val="24"/>
        </w:rPr>
      </w:pPr>
      <w:r w:rsidRPr="00B71200">
        <w:rPr>
          <w:rFonts w:ascii="Times New Roman" w:hAnsi="Times New Roman" w:cs="Times New Roman"/>
          <w:sz w:val="24"/>
          <w:szCs w:val="24"/>
        </w:rPr>
        <w:t>4. Постановление Администрации № 308-па от 04.12.2012 «О создании комиссии по согласованию размещения контейнерных площадок для сбора и временного хранения твердых бытовых отходов на территории города Пыть-Ях»;</w:t>
      </w:r>
    </w:p>
    <w:p w:rsidR="00630798" w:rsidRPr="00B71200" w:rsidRDefault="00630798" w:rsidP="00946FE0">
      <w:pPr>
        <w:spacing w:after="0" w:line="240" w:lineRule="auto"/>
        <w:ind w:firstLine="567"/>
        <w:jc w:val="both"/>
        <w:rPr>
          <w:rFonts w:ascii="Times New Roman" w:hAnsi="Times New Roman" w:cs="Times New Roman"/>
          <w:sz w:val="24"/>
          <w:szCs w:val="24"/>
        </w:rPr>
      </w:pPr>
      <w:r w:rsidRPr="00B71200">
        <w:rPr>
          <w:rFonts w:ascii="Times New Roman" w:hAnsi="Times New Roman" w:cs="Times New Roman"/>
          <w:sz w:val="24"/>
          <w:szCs w:val="24"/>
        </w:rPr>
        <w:t>5. Постановление Администрации города № 54-па от 19.03.2014 «Об утверждении Правил обращения с отходами на территории муниципального образования городской округ город Пыть-Ях»;</w:t>
      </w:r>
    </w:p>
    <w:p w:rsidR="00630798" w:rsidRPr="00B71200" w:rsidRDefault="00630798" w:rsidP="00946FE0">
      <w:pPr>
        <w:spacing w:after="0" w:line="240" w:lineRule="auto"/>
        <w:ind w:firstLine="567"/>
        <w:jc w:val="both"/>
        <w:rPr>
          <w:rFonts w:ascii="Times New Roman" w:hAnsi="Times New Roman" w:cs="Times New Roman"/>
          <w:sz w:val="24"/>
          <w:szCs w:val="24"/>
          <w:lang w:eastAsia="ar-SA"/>
        </w:rPr>
      </w:pPr>
      <w:r w:rsidRPr="00B71200">
        <w:rPr>
          <w:rFonts w:ascii="Times New Roman" w:hAnsi="Times New Roman" w:cs="Times New Roman"/>
          <w:sz w:val="24"/>
          <w:szCs w:val="24"/>
        </w:rPr>
        <w:lastRenderedPageBreak/>
        <w:t xml:space="preserve">6. Постановление Администрации города № 35-па от 18.02.2015 «Об организации </w:t>
      </w:r>
      <w:r w:rsidRPr="00B71200">
        <w:rPr>
          <w:rFonts w:ascii="Times New Roman" w:hAnsi="Times New Roman" w:cs="Times New Roman"/>
          <w:sz w:val="24"/>
          <w:szCs w:val="24"/>
          <w:lang w:eastAsia="ar-SA"/>
        </w:rPr>
        <w:t xml:space="preserve">сбора и </w:t>
      </w:r>
      <w:r w:rsidRPr="00B71200">
        <w:rPr>
          <w:rFonts w:ascii="Times New Roman" w:hAnsi="Times New Roman" w:cs="Times New Roman"/>
          <w:sz w:val="24"/>
          <w:szCs w:val="24"/>
        </w:rPr>
        <w:t xml:space="preserve">определение мест первичного сбора и размещения </w:t>
      </w:r>
      <w:r w:rsidRPr="00B71200">
        <w:rPr>
          <w:rFonts w:ascii="Times New Roman" w:hAnsi="Times New Roman" w:cs="Times New Roman"/>
          <w:sz w:val="24"/>
          <w:szCs w:val="24"/>
          <w:lang w:eastAsia="ar-SA"/>
        </w:rPr>
        <w:t>отработанных ртутьсодержащих ламп на территории города Пыть-Яха»;</w:t>
      </w:r>
    </w:p>
    <w:p w:rsidR="00630798" w:rsidRPr="00B71200" w:rsidRDefault="00630798" w:rsidP="00946FE0">
      <w:pPr>
        <w:pStyle w:val="afc"/>
        <w:ind w:firstLine="567"/>
        <w:rPr>
          <w:sz w:val="24"/>
          <w:szCs w:val="24"/>
        </w:rPr>
      </w:pPr>
      <w:r w:rsidRPr="00B71200">
        <w:rPr>
          <w:sz w:val="24"/>
          <w:szCs w:val="24"/>
        </w:rPr>
        <w:t>7. Постановление Администрации города № 30-па от 26.02.2018 «Об утверждении нормативов накопления твердых коммунальных отходов на территории муниципального образования городской округ город Пыть-Ях»;</w:t>
      </w:r>
    </w:p>
    <w:p w:rsidR="00630798" w:rsidRPr="00B71200" w:rsidRDefault="00630798" w:rsidP="00946FE0">
      <w:pPr>
        <w:pStyle w:val="afc"/>
        <w:ind w:firstLine="567"/>
        <w:rPr>
          <w:sz w:val="24"/>
          <w:szCs w:val="24"/>
        </w:rPr>
      </w:pPr>
      <w:r w:rsidRPr="00B71200">
        <w:rPr>
          <w:sz w:val="24"/>
          <w:szCs w:val="24"/>
        </w:rPr>
        <w:t>8. Постановление Администрации города № 103-па от 11.052018 «Об утверждении порядка накопления твердых коммунальных отходов»</w:t>
      </w:r>
    </w:p>
    <w:p w:rsidR="00630798" w:rsidRDefault="00630798" w:rsidP="00946FE0">
      <w:pPr>
        <w:pStyle w:val="a5"/>
        <w:ind w:firstLine="567"/>
        <w:jc w:val="both"/>
        <w:rPr>
          <w:rStyle w:val="35"/>
          <w:sz w:val="24"/>
          <w:szCs w:val="24"/>
        </w:rPr>
      </w:pPr>
      <w:r w:rsidRPr="00B71200">
        <w:rPr>
          <w:sz w:val="24"/>
          <w:szCs w:val="24"/>
        </w:rPr>
        <w:t>9. Проект постановления «Об утверждении правил обустройства мест размещения контейнерных площадок для накопления твердых коммунальных отходов и ведение их реестра» (проходит стадию согласования)</w:t>
      </w:r>
    </w:p>
    <w:p w:rsidR="00630798" w:rsidRPr="00330BED" w:rsidRDefault="00630798" w:rsidP="00946FE0">
      <w:pPr>
        <w:pStyle w:val="a5"/>
        <w:ind w:firstLine="708"/>
        <w:jc w:val="both"/>
        <w:rPr>
          <w:rStyle w:val="35"/>
          <w:sz w:val="24"/>
          <w:szCs w:val="24"/>
        </w:rPr>
      </w:pPr>
      <w:r>
        <w:rPr>
          <w:rStyle w:val="35"/>
          <w:sz w:val="24"/>
          <w:szCs w:val="24"/>
        </w:rPr>
        <w:t>В 2019г-2020г.</w:t>
      </w:r>
      <w:r w:rsidRPr="009C63A7">
        <w:rPr>
          <w:rStyle w:val="35"/>
          <w:sz w:val="24"/>
          <w:szCs w:val="24"/>
        </w:rPr>
        <w:t xml:space="preserve"> проведение плановых контрольно-надзорные мероприятия в отношении объектов занимающихся сбором и обработкой и утилизацией неопасных отходов в</w:t>
      </w:r>
      <w:r>
        <w:rPr>
          <w:rStyle w:val="35"/>
          <w:sz w:val="24"/>
          <w:szCs w:val="24"/>
        </w:rPr>
        <w:t xml:space="preserve"> </w:t>
      </w:r>
      <w:r w:rsidRPr="009C63A7">
        <w:rPr>
          <w:rStyle w:val="35"/>
          <w:sz w:val="24"/>
          <w:szCs w:val="24"/>
        </w:rPr>
        <w:t xml:space="preserve">Нефтеюганском районе   не проводились. </w:t>
      </w:r>
    </w:p>
    <w:p w:rsidR="00630798" w:rsidRPr="000200C5" w:rsidRDefault="00630798" w:rsidP="00946FE0">
      <w:pPr>
        <w:pStyle w:val="a5"/>
        <w:ind w:firstLine="708"/>
        <w:jc w:val="both"/>
        <w:rPr>
          <w:rFonts w:eastAsia="Arial Unicode MS"/>
          <w:i/>
          <w:sz w:val="24"/>
          <w:szCs w:val="24"/>
        </w:rPr>
      </w:pPr>
      <w:r>
        <w:rPr>
          <w:sz w:val="24"/>
          <w:szCs w:val="24"/>
        </w:rPr>
        <w:t>В 2017-</w:t>
      </w:r>
      <w:r>
        <w:rPr>
          <w:rStyle w:val="35"/>
          <w:sz w:val="24"/>
          <w:szCs w:val="24"/>
        </w:rPr>
        <w:t>2019-2020</w:t>
      </w:r>
      <w:r w:rsidRPr="009C63A7">
        <w:rPr>
          <w:rStyle w:val="35"/>
          <w:sz w:val="24"/>
          <w:szCs w:val="24"/>
        </w:rPr>
        <w:t>г.г.</w:t>
      </w:r>
      <w:r w:rsidRPr="000200C5">
        <w:rPr>
          <w:rStyle w:val="35"/>
          <w:sz w:val="24"/>
          <w:szCs w:val="24"/>
        </w:rPr>
        <w:t xml:space="preserve"> на контроле у территориального отдела Управления Роспотребнад</w:t>
      </w:r>
      <w:r>
        <w:rPr>
          <w:rStyle w:val="35"/>
          <w:sz w:val="24"/>
          <w:szCs w:val="24"/>
        </w:rPr>
        <w:t xml:space="preserve">зора по ХМАО - Югры состояло – 4 </w:t>
      </w:r>
      <w:r w:rsidRPr="00F301D3">
        <w:rPr>
          <w:rStyle w:val="35"/>
          <w:sz w:val="24"/>
          <w:szCs w:val="24"/>
        </w:rPr>
        <w:t>объект</w:t>
      </w:r>
      <w:r>
        <w:rPr>
          <w:rStyle w:val="35"/>
          <w:sz w:val="24"/>
          <w:szCs w:val="24"/>
        </w:rPr>
        <w:t>а</w:t>
      </w:r>
      <w:r w:rsidRPr="00F301D3">
        <w:rPr>
          <w:rStyle w:val="35"/>
          <w:sz w:val="24"/>
          <w:szCs w:val="24"/>
        </w:rPr>
        <w:t xml:space="preserve"> занимающихся сбором</w:t>
      </w:r>
      <w:r>
        <w:rPr>
          <w:rStyle w:val="35"/>
          <w:sz w:val="24"/>
          <w:szCs w:val="24"/>
        </w:rPr>
        <w:t xml:space="preserve">,  </w:t>
      </w:r>
      <w:r>
        <w:rPr>
          <w:sz w:val="24"/>
          <w:szCs w:val="24"/>
        </w:rPr>
        <w:t>транспортировкой и доставкой</w:t>
      </w:r>
      <w:r w:rsidRPr="00053104">
        <w:rPr>
          <w:sz w:val="24"/>
          <w:szCs w:val="24"/>
        </w:rPr>
        <w:t xml:space="preserve"> до полигона </w:t>
      </w:r>
      <w:r>
        <w:rPr>
          <w:rStyle w:val="35"/>
          <w:sz w:val="24"/>
          <w:szCs w:val="24"/>
        </w:rPr>
        <w:t xml:space="preserve">неопасных отходов </w:t>
      </w:r>
      <w:r>
        <w:rPr>
          <w:sz w:val="24"/>
          <w:szCs w:val="24"/>
        </w:rPr>
        <w:t>(</w:t>
      </w:r>
      <w:r w:rsidRPr="00053104">
        <w:rPr>
          <w:sz w:val="24"/>
          <w:szCs w:val="24"/>
        </w:rPr>
        <w:t>ООО СП «Лифттехсервис»</w:t>
      </w:r>
      <w:r>
        <w:rPr>
          <w:sz w:val="24"/>
          <w:szCs w:val="24"/>
        </w:rPr>
        <w:t>,</w:t>
      </w:r>
      <w:r w:rsidRPr="00053104">
        <w:rPr>
          <w:sz w:val="24"/>
          <w:szCs w:val="24"/>
        </w:rPr>
        <w:t xml:space="preserve"> ООО «Пыть-ЯхАвтоСпецЦентр»</w:t>
      </w:r>
      <w:r>
        <w:rPr>
          <w:sz w:val="24"/>
          <w:szCs w:val="24"/>
        </w:rPr>
        <w:t>,</w:t>
      </w:r>
      <w:r w:rsidRPr="00053104">
        <w:rPr>
          <w:sz w:val="24"/>
          <w:szCs w:val="24"/>
        </w:rPr>
        <w:t xml:space="preserve"> ООО «ЮграПромСервис»</w:t>
      </w:r>
      <w:r>
        <w:rPr>
          <w:sz w:val="24"/>
          <w:szCs w:val="24"/>
        </w:rPr>
        <w:t xml:space="preserve">, </w:t>
      </w:r>
      <w:r w:rsidRPr="00053104">
        <w:rPr>
          <w:sz w:val="24"/>
          <w:szCs w:val="24"/>
        </w:rPr>
        <w:t xml:space="preserve"> ООО «Экотон»</w:t>
      </w:r>
      <w:r>
        <w:rPr>
          <w:sz w:val="24"/>
          <w:szCs w:val="24"/>
        </w:rPr>
        <w:t>).</w:t>
      </w:r>
    </w:p>
    <w:p w:rsidR="00630798" w:rsidRPr="00516F80" w:rsidRDefault="00630798" w:rsidP="00946FE0">
      <w:pPr>
        <w:pStyle w:val="51"/>
        <w:shd w:val="clear" w:color="auto" w:fill="auto"/>
        <w:spacing w:before="0" w:after="0" w:line="240" w:lineRule="auto"/>
        <w:ind w:right="120" w:firstLine="0"/>
        <w:jc w:val="both"/>
        <w:rPr>
          <w:rFonts w:ascii="Times New Roman" w:hAnsi="Times New Roman" w:cs="Times New Roman"/>
          <w:sz w:val="24"/>
          <w:szCs w:val="24"/>
        </w:rPr>
      </w:pPr>
      <w:r>
        <w:rPr>
          <w:rStyle w:val="35"/>
          <w:sz w:val="24"/>
          <w:szCs w:val="24"/>
        </w:rPr>
        <w:t xml:space="preserve">     В 2020 г.</w:t>
      </w:r>
      <w:r w:rsidRPr="009C63A7">
        <w:rPr>
          <w:rStyle w:val="35"/>
          <w:sz w:val="24"/>
          <w:szCs w:val="24"/>
        </w:rPr>
        <w:t xml:space="preserve"> проведение плановых контрольно-надзорные мероприятия в отношении объектов занимающихся сбором и обработкой и утилизацией неопасных отходов в </w:t>
      </w:r>
      <w:r>
        <w:rPr>
          <w:rStyle w:val="35"/>
          <w:sz w:val="24"/>
          <w:szCs w:val="24"/>
        </w:rPr>
        <w:t>гПыть-Ях</w:t>
      </w:r>
      <w:r w:rsidRPr="009C63A7">
        <w:rPr>
          <w:rStyle w:val="35"/>
          <w:sz w:val="24"/>
          <w:szCs w:val="24"/>
        </w:rPr>
        <w:t>не</w:t>
      </w:r>
      <w:r>
        <w:rPr>
          <w:rStyle w:val="35"/>
          <w:sz w:val="24"/>
          <w:szCs w:val="24"/>
        </w:rPr>
        <w:t xml:space="preserve"> не </w:t>
      </w:r>
      <w:r w:rsidRPr="009C63A7">
        <w:rPr>
          <w:rStyle w:val="35"/>
          <w:sz w:val="24"/>
          <w:szCs w:val="24"/>
        </w:rPr>
        <w:t xml:space="preserve">проводились. </w:t>
      </w:r>
      <w:r>
        <w:rPr>
          <w:rFonts w:ascii="Times New Roman" w:hAnsi="Times New Roman" w:cs="Times New Roman"/>
          <w:sz w:val="24"/>
          <w:szCs w:val="24"/>
        </w:rPr>
        <w:t xml:space="preserve">В 2017-2019-2020 году </w:t>
      </w:r>
      <w:r w:rsidRPr="000F3CC3">
        <w:rPr>
          <w:rFonts w:ascii="Times New Roman" w:hAnsi="Times New Roman" w:cs="Times New Roman"/>
          <w:sz w:val="24"/>
          <w:szCs w:val="24"/>
        </w:rPr>
        <w:t xml:space="preserve">  в</w:t>
      </w:r>
      <w:r w:rsidRPr="000F3CC3">
        <w:rPr>
          <w:rStyle w:val="35"/>
          <w:sz w:val="24"/>
          <w:szCs w:val="24"/>
        </w:rPr>
        <w:t xml:space="preserve">сего проверено </w:t>
      </w:r>
      <w:r>
        <w:rPr>
          <w:rStyle w:val="35"/>
          <w:sz w:val="24"/>
          <w:szCs w:val="24"/>
        </w:rPr>
        <w:t>12 объектов</w:t>
      </w:r>
      <w:r w:rsidRPr="000F3CC3">
        <w:rPr>
          <w:rStyle w:val="35"/>
          <w:sz w:val="24"/>
          <w:szCs w:val="24"/>
        </w:rPr>
        <w:t xml:space="preserve"> в рамках </w:t>
      </w:r>
      <w:r w:rsidRPr="000F3CC3">
        <w:rPr>
          <w:rFonts w:ascii="Times New Roman" w:hAnsi="Times New Roman" w:cs="Times New Roman"/>
          <w:sz w:val="24"/>
          <w:szCs w:val="24"/>
        </w:rPr>
        <w:t>внеплановых контрольно-надзорных мероприятий</w:t>
      </w:r>
      <w:r w:rsidRPr="00330BED">
        <w:rPr>
          <w:rFonts w:ascii="Times New Roman" w:hAnsi="Times New Roman" w:cs="Times New Roman"/>
          <w:sz w:val="24"/>
          <w:szCs w:val="24"/>
        </w:rPr>
        <w:t>,</w:t>
      </w:r>
      <w:r w:rsidRPr="00330BED">
        <w:rPr>
          <w:rFonts w:ascii="Times New Roman" w:eastAsia="Arial Unicode MS" w:hAnsi="Times New Roman"/>
          <w:sz w:val="24"/>
          <w:szCs w:val="24"/>
        </w:rPr>
        <w:t>включая</w:t>
      </w:r>
      <w:r>
        <w:rPr>
          <w:rFonts w:ascii="Times New Roman" w:hAnsi="Times New Roman"/>
          <w:sz w:val="24"/>
          <w:szCs w:val="24"/>
        </w:rPr>
        <w:t>административные расследования</w:t>
      </w:r>
      <w:r>
        <w:rPr>
          <w:rFonts w:ascii="Times New Roman" w:hAnsi="Times New Roman" w:cs="Times New Roman"/>
          <w:sz w:val="24"/>
          <w:szCs w:val="24"/>
        </w:rPr>
        <w:t>,</w:t>
      </w:r>
      <w:r w:rsidRPr="000F3CC3">
        <w:rPr>
          <w:rFonts w:ascii="Times New Roman" w:hAnsi="Times New Roman" w:cs="Times New Roman"/>
          <w:sz w:val="24"/>
          <w:szCs w:val="24"/>
        </w:rPr>
        <w:t xml:space="preserve"> в отношении объектов  занимающихся, </w:t>
      </w:r>
      <w:r w:rsidRPr="00F301D3">
        <w:rPr>
          <w:rStyle w:val="35"/>
          <w:sz w:val="24"/>
          <w:szCs w:val="24"/>
        </w:rPr>
        <w:t>сбором</w:t>
      </w:r>
      <w:r>
        <w:rPr>
          <w:rStyle w:val="35"/>
          <w:sz w:val="24"/>
          <w:szCs w:val="24"/>
        </w:rPr>
        <w:t xml:space="preserve"> и  транспортировкой и утилизацией неопасных отходов </w:t>
      </w:r>
      <w:r>
        <w:rPr>
          <w:rFonts w:ascii="Times New Roman" w:hAnsi="Times New Roman" w:cs="Times New Roman"/>
          <w:sz w:val="24"/>
          <w:szCs w:val="24"/>
        </w:rPr>
        <w:t>в гПыть-Ях.</w:t>
      </w:r>
    </w:p>
    <w:p w:rsidR="00630798" w:rsidRDefault="00630798" w:rsidP="00946FE0">
      <w:pPr>
        <w:pStyle w:val="a5"/>
        <w:ind w:firstLine="708"/>
        <w:jc w:val="both"/>
        <w:rPr>
          <w:rFonts w:eastAsia="Arial Unicode MS"/>
          <w:sz w:val="24"/>
          <w:szCs w:val="24"/>
        </w:rPr>
      </w:pPr>
      <w:r>
        <w:rPr>
          <w:sz w:val="24"/>
          <w:szCs w:val="24"/>
          <w:u w:val="single"/>
        </w:rPr>
        <w:t xml:space="preserve">В 2018-2020 г.г. </w:t>
      </w:r>
      <w:r w:rsidRPr="0073567B">
        <w:rPr>
          <w:rStyle w:val="35"/>
          <w:sz w:val="24"/>
          <w:szCs w:val="24"/>
          <w:u w:val="single"/>
        </w:rPr>
        <w:t>проведены</w:t>
      </w:r>
      <w:r>
        <w:rPr>
          <w:rStyle w:val="35"/>
          <w:sz w:val="24"/>
          <w:szCs w:val="24"/>
          <w:u w:val="single"/>
        </w:rPr>
        <w:t xml:space="preserve"> </w:t>
      </w:r>
      <w:r>
        <w:rPr>
          <w:sz w:val="24"/>
          <w:szCs w:val="24"/>
          <w:u w:val="single"/>
        </w:rPr>
        <w:t>5</w:t>
      </w:r>
      <w:r w:rsidRPr="0073567B">
        <w:rPr>
          <w:sz w:val="24"/>
          <w:szCs w:val="24"/>
          <w:u w:val="single"/>
        </w:rPr>
        <w:t xml:space="preserve"> внеплановые контрольно-надзорных мероприятий специалистами ТОУРПН в отношении </w:t>
      </w:r>
      <w:r>
        <w:rPr>
          <w:sz w:val="24"/>
          <w:szCs w:val="24"/>
          <w:u w:val="single"/>
        </w:rPr>
        <w:t xml:space="preserve">ООО «ДомоСтрой», </w:t>
      </w:r>
      <w:r>
        <w:rPr>
          <w:rFonts w:eastAsia="Arial Unicode MS"/>
          <w:sz w:val="24"/>
          <w:szCs w:val="24"/>
          <w:u w:val="single"/>
        </w:rPr>
        <w:t xml:space="preserve">ООО ИПФ «Промэнергосервис», </w:t>
      </w:r>
      <w:r w:rsidRPr="00D31034">
        <w:rPr>
          <w:rFonts w:eastAsia="Arial Unicode MS"/>
          <w:sz w:val="24"/>
          <w:szCs w:val="24"/>
          <w:u w:val="single"/>
        </w:rPr>
        <w:t>ООО УК «Югра КоммуналСервис</w:t>
      </w:r>
      <w:r>
        <w:rPr>
          <w:rFonts w:eastAsia="Arial Unicode MS"/>
          <w:sz w:val="24"/>
          <w:szCs w:val="24"/>
          <w:u w:val="single"/>
        </w:rPr>
        <w:t>, Администрация</w:t>
      </w:r>
      <w:r w:rsidRPr="0017329C">
        <w:rPr>
          <w:rFonts w:eastAsia="Arial Unicode MS"/>
          <w:sz w:val="24"/>
          <w:szCs w:val="24"/>
          <w:u w:val="single"/>
        </w:rPr>
        <w:t xml:space="preserve"> г. Пыть-Ях</w:t>
      </w:r>
      <w:r>
        <w:rPr>
          <w:rFonts w:eastAsia="Arial Unicode MS"/>
          <w:sz w:val="24"/>
          <w:szCs w:val="24"/>
          <w:u w:val="single"/>
        </w:rPr>
        <w:t xml:space="preserve">и др., включая 3  </w:t>
      </w:r>
      <w:r>
        <w:rPr>
          <w:sz w:val="24"/>
          <w:szCs w:val="24"/>
        </w:rPr>
        <w:t xml:space="preserve">административных  с жилых микрорайонов  города. </w:t>
      </w:r>
      <w:r w:rsidRPr="0073567B">
        <w:rPr>
          <w:rFonts w:eastAsia="Arial Unicode MS"/>
          <w:sz w:val="24"/>
          <w:szCs w:val="24"/>
        </w:rPr>
        <w:t xml:space="preserve">По результатам </w:t>
      </w:r>
      <w:r w:rsidRPr="0073567B">
        <w:rPr>
          <w:sz w:val="24"/>
          <w:szCs w:val="24"/>
          <w:u w:val="single"/>
        </w:rPr>
        <w:t xml:space="preserve">контрольно-надзорных мероприятий </w:t>
      </w:r>
      <w:r>
        <w:rPr>
          <w:sz w:val="24"/>
          <w:szCs w:val="24"/>
          <w:u w:val="single"/>
        </w:rPr>
        <w:t xml:space="preserve">в 2019 году </w:t>
      </w:r>
      <w:r w:rsidRPr="0073567B">
        <w:rPr>
          <w:rFonts w:eastAsia="Arial Unicode MS"/>
          <w:sz w:val="24"/>
          <w:szCs w:val="24"/>
        </w:rPr>
        <w:t>составлен</w:t>
      </w:r>
      <w:r>
        <w:rPr>
          <w:rFonts w:eastAsia="Arial Unicode MS"/>
          <w:sz w:val="24"/>
          <w:szCs w:val="24"/>
        </w:rPr>
        <w:t>о 8</w:t>
      </w:r>
      <w:r>
        <w:rPr>
          <w:sz w:val="24"/>
          <w:szCs w:val="24"/>
          <w:u w:val="single"/>
        </w:rPr>
        <w:t>протоколов</w:t>
      </w:r>
      <w:r w:rsidRPr="009C63A7">
        <w:rPr>
          <w:sz w:val="24"/>
          <w:szCs w:val="24"/>
          <w:u w:val="single"/>
        </w:rPr>
        <w:t xml:space="preserve">      на должные  </w:t>
      </w:r>
      <w:r>
        <w:rPr>
          <w:sz w:val="24"/>
          <w:szCs w:val="24"/>
          <w:u w:val="single"/>
        </w:rPr>
        <w:t>лица по ст.8.2 КоАП РФ, ст.</w:t>
      </w:r>
      <w:r w:rsidRPr="0017329C">
        <w:rPr>
          <w:sz w:val="24"/>
          <w:szCs w:val="24"/>
        </w:rPr>
        <w:t>8.2.5</w:t>
      </w:r>
      <w:r>
        <w:rPr>
          <w:sz w:val="24"/>
          <w:szCs w:val="24"/>
          <w:u w:val="single"/>
        </w:rPr>
        <w:t>КоАП РФ, ст.6.4.</w:t>
      </w:r>
      <w:r w:rsidRPr="009C63A7">
        <w:rPr>
          <w:sz w:val="24"/>
          <w:szCs w:val="24"/>
          <w:u w:val="single"/>
        </w:rPr>
        <w:t xml:space="preserve">КоАП РФ,  </w:t>
      </w:r>
      <w:r>
        <w:rPr>
          <w:sz w:val="24"/>
          <w:szCs w:val="24"/>
          <w:u w:val="single"/>
        </w:rPr>
        <w:t xml:space="preserve"> ст. 6.3.</w:t>
      </w:r>
      <w:r w:rsidRPr="009C63A7">
        <w:rPr>
          <w:sz w:val="24"/>
          <w:szCs w:val="24"/>
          <w:u w:val="single"/>
        </w:rPr>
        <w:t xml:space="preserve"> КоАП РФ,  вынесено п</w:t>
      </w:r>
      <w:r>
        <w:rPr>
          <w:sz w:val="24"/>
          <w:szCs w:val="24"/>
          <w:u w:val="single"/>
        </w:rPr>
        <w:t>остановлений на сумму 19</w:t>
      </w:r>
      <w:r w:rsidRPr="009C63A7">
        <w:rPr>
          <w:sz w:val="24"/>
          <w:szCs w:val="24"/>
          <w:u w:val="single"/>
        </w:rPr>
        <w:t>6 тыс. рублей.  Руководителям</w:t>
      </w:r>
      <w:r w:rsidRPr="009C63A7">
        <w:rPr>
          <w:sz w:val="24"/>
          <w:szCs w:val="24"/>
        </w:rPr>
        <w:t xml:space="preserve"> были направлены предписания  об устранении нарушений  санитарного законодательства и законодательства в сфере защиты прав потребителей для исполнения</w:t>
      </w:r>
      <w:r w:rsidRPr="0073567B">
        <w:rPr>
          <w:rFonts w:eastAsia="Arial Unicode MS"/>
          <w:sz w:val="24"/>
          <w:szCs w:val="24"/>
        </w:rPr>
        <w:t xml:space="preserve"> об устранении вы</w:t>
      </w:r>
      <w:r>
        <w:rPr>
          <w:rFonts w:eastAsia="Arial Unicode MS"/>
          <w:sz w:val="24"/>
          <w:szCs w:val="24"/>
        </w:rPr>
        <w:t>явленных санитарных нарушений.</w:t>
      </w:r>
    </w:p>
    <w:p w:rsidR="00630798" w:rsidRPr="00E24564" w:rsidRDefault="00630798" w:rsidP="00946FE0">
      <w:pPr>
        <w:pStyle w:val="a5"/>
        <w:ind w:firstLine="708"/>
        <w:jc w:val="both"/>
        <w:rPr>
          <w:rFonts w:eastAsia="Arial Unicode MS"/>
          <w:sz w:val="24"/>
          <w:szCs w:val="24"/>
        </w:rPr>
      </w:pPr>
      <w:r>
        <w:rPr>
          <w:rFonts w:eastAsia="Calibri"/>
          <w:sz w:val="24"/>
          <w:szCs w:val="24"/>
        </w:rPr>
        <w:t>В 2019-2020г.г.</w:t>
      </w:r>
      <w:r w:rsidRPr="005C2778">
        <w:rPr>
          <w:rFonts w:eastAsia="Calibri"/>
          <w:sz w:val="24"/>
          <w:szCs w:val="24"/>
        </w:rPr>
        <w:t xml:space="preserve">  в</w:t>
      </w:r>
      <w:r w:rsidRPr="005C2778">
        <w:rPr>
          <w:rFonts w:eastAsia="Calibri"/>
          <w:color w:val="000000"/>
          <w:spacing w:val="4"/>
          <w:sz w:val="24"/>
          <w:szCs w:val="24"/>
          <w:shd w:val="clear" w:color="auto" w:fill="FFFFFF"/>
        </w:rPr>
        <w:t xml:space="preserve">сего проверено </w:t>
      </w:r>
      <w:r>
        <w:rPr>
          <w:rFonts w:eastAsia="Calibri"/>
          <w:color w:val="000000"/>
          <w:spacing w:val="4"/>
          <w:sz w:val="24"/>
          <w:szCs w:val="24"/>
          <w:shd w:val="clear" w:color="auto" w:fill="FFFFFF"/>
        </w:rPr>
        <w:t>2  объекта</w:t>
      </w:r>
      <w:r w:rsidRPr="005C2778">
        <w:rPr>
          <w:rFonts w:eastAsia="Calibri"/>
          <w:color w:val="000000"/>
          <w:spacing w:val="4"/>
          <w:sz w:val="24"/>
          <w:szCs w:val="24"/>
          <w:shd w:val="clear" w:color="auto" w:fill="FFFFFF"/>
        </w:rPr>
        <w:t xml:space="preserve"> в рамках </w:t>
      </w:r>
      <w:r w:rsidRPr="005C2778">
        <w:rPr>
          <w:rFonts w:eastAsia="Calibri"/>
          <w:sz w:val="24"/>
          <w:szCs w:val="24"/>
        </w:rPr>
        <w:t xml:space="preserve"> внеплановых контрольно-надзорных мероприятий</w:t>
      </w:r>
      <w:r>
        <w:rPr>
          <w:rFonts w:eastAsia="Calibri"/>
          <w:sz w:val="24"/>
          <w:szCs w:val="24"/>
        </w:rPr>
        <w:t xml:space="preserve"> и административных расследований </w:t>
      </w:r>
      <w:r w:rsidRPr="005C2778">
        <w:rPr>
          <w:rFonts w:eastAsia="Calibri"/>
          <w:sz w:val="24"/>
          <w:szCs w:val="24"/>
        </w:rPr>
        <w:t xml:space="preserve"> в отношении объектов  занимающихся, </w:t>
      </w:r>
      <w:r w:rsidRPr="005C2778">
        <w:rPr>
          <w:rFonts w:eastAsia="Calibri"/>
          <w:color w:val="000000"/>
          <w:spacing w:val="4"/>
          <w:sz w:val="24"/>
          <w:szCs w:val="24"/>
          <w:shd w:val="clear" w:color="auto" w:fill="FFFFFF"/>
        </w:rPr>
        <w:t xml:space="preserve">сбором и обработкой и утилизацией неопасных отходов </w:t>
      </w:r>
      <w:r>
        <w:rPr>
          <w:rFonts w:eastAsia="Calibri"/>
          <w:sz w:val="24"/>
          <w:szCs w:val="24"/>
        </w:rPr>
        <w:t>г.Пыть-Ях</w:t>
      </w:r>
      <w:r>
        <w:rPr>
          <w:sz w:val="24"/>
          <w:szCs w:val="24"/>
        </w:rPr>
        <w:t xml:space="preserve">и т.д. </w:t>
      </w:r>
      <w:r>
        <w:rPr>
          <w:sz w:val="24"/>
          <w:szCs w:val="24"/>
          <w:u w:val="single"/>
        </w:rPr>
        <w:t>п</w:t>
      </w:r>
      <w:r w:rsidRPr="0017329C">
        <w:rPr>
          <w:sz w:val="24"/>
          <w:szCs w:val="24"/>
        </w:rPr>
        <w:t xml:space="preserve">о результатам </w:t>
      </w:r>
      <w:r>
        <w:rPr>
          <w:sz w:val="24"/>
          <w:szCs w:val="24"/>
        </w:rPr>
        <w:t>которых на юридические и должностные  лица</w:t>
      </w:r>
      <w:r w:rsidRPr="0017329C">
        <w:rPr>
          <w:sz w:val="24"/>
          <w:szCs w:val="24"/>
        </w:rPr>
        <w:t xml:space="preserve"> составлен</w:t>
      </w:r>
      <w:r>
        <w:rPr>
          <w:sz w:val="24"/>
          <w:szCs w:val="24"/>
        </w:rPr>
        <w:t>ы</w:t>
      </w:r>
      <w:r w:rsidRPr="0017329C">
        <w:rPr>
          <w:sz w:val="24"/>
          <w:szCs w:val="24"/>
        </w:rPr>
        <w:t xml:space="preserve"> протокол</w:t>
      </w:r>
      <w:r>
        <w:rPr>
          <w:sz w:val="24"/>
          <w:szCs w:val="24"/>
        </w:rPr>
        <w:t>ы</w:t>
      </w:r>
      <w:r w:rsidRPr="0017329C">
        <w:rPr>
          <w:sz w:val="24"/>
          <w:szCs w:val="24"/>
        </w:rPr>
        <w:t xml:space="preserve"> об административном правонарушении по ст. 8.2</w:t>
      </w:r>
      <w:r>
        <w:rPr>
          <w:sz w:val="24"/>
          <w:szCs w:val="24"/>
        </w:rPr>
        <w:t xml:space="preserve">, с.т. 6.4.ст6.3 </w:t>
      </w:r>
      <w:r w:rsidRPr="0017329C">
        <w:rPr>
          <w:sz w:val="24"/>
          <w:szCs w:val="24"/>
        </w:rPr>
        <w:t>КоАП РФ</w:t>
      </w:r>
      <w:r w:rsidRPr="004B31E8">
        <w:rPr>
          <w:sz w:val="24"/>
          <w:szCs w:val="24"/>
        </w:rPr>
        <w:t>(и др</w:t>
      </w:r>
      <w:r>
        <w:t>.)</w:t>
      </w:r>
      <w:r w:rsidRPr="009D3601">
        <w:t>,</w:t>
      </w:r>
      <w:r>
        <w:rPr>
          <w:sz w:val="24"/>
          <w:szCs w:val="24"/>
        </w:rPr>
        <w:t xml:space="preserve"> вынесены постановления на штраф,  в сумме 112 тыс. руб.</w:t>
      </w:r>
      <w:r w:rsidRPr="002579E4">
        <w:rPr>
          <w:sz w:val="24"/>
          <w:szCs w:val="24"/>
        </w:rPr>
        <w:t xml:space="preserve"> руководителям были направлены</w:t>
      </w:r>
      <w:r w:rsidRPr="009C63A7">
        <w:rPr>
          <w:sz w:val="24"/>
          <w:szCs w:val="24"/>
        </w:rPr>
        <w:t xml:space="preserve"> предписания  об устранении нарушений  санитарного законодательства и законодательства в сфере защиты п</w:t>
      </w:r>
      <w:r>
        <w:rPr>
          <w:sz w:val="24"/>
          <w:szCs w:val="24"/>
        </w:rPr>
        <w:t>рав потребителей для исполнения</w:t>
      </w:r>
    </w:p>
    <w:p w:rsidR="00630798" w:rsidRPr="00A702CD" w:rsidRDefault="00630798" w:rsidP="00946FE0">
      <w:pPr>
        <w:pStyle w:val="a5"/>
        <w:jc w:val="both"/>
        <w:rPr>
          <w:sz w:val="24"/>
          <w:szCs w:val="24"/>
        </w:rPr>
      </w:pPr>
      <w:r w:rsidRPr="007A02B8">
        <w:rPr>
          <w:sz w:val="24"/>
          <w:szCs w:val="24"/>
        </w:rPr>
        <w:t>При проведении плановых контрольно-надзорных меропри</w:t>
      </w:r>
      <w:r>
        <w:rPr>
          <w:sz w:val="24"/>
          <w:szCs w:val="24"/>
        </w:rPr>
        <w:t>ятий специалистами ТОУРПН в 2020</w:t>
      </w:r>
      <w:r w:rsidRPr="007A02B8">
        <w:rPr>
          <w:sz w:val="24"/>
          <w:szCs w:val="24"/>
        </w:rPr>
        <w:t xml:space="preserve"> году в  образовательных организациях (школы, детские сады,), социальных учреждениях, ЛОУ на территории </w:t>
      </w:r>
      <w:r>
        <w:rPr>
          <w:color w:val="000000"/>
          <w:spacing w:val="-1"/>
          <w:sz w:val="24"/>
          <w:szCs w:val="24"/>
          <w:u w:val="single"/>
        </w:rPr>
        <w:t>гПыть-Ях</w:t>
      </w:r>
      <w:r w:rsidRPr="007A02B8">
        <w:rPr>
          <w:color w:val="000000"/>
          <w:spacing w:val="-1"/>
          <w:sz w:val="24"/>
          <w:szCs w:val="24"/>
          <w:u w:val="single"/>
        </w:rPr>
        <w:t xml:space="preserve">, </w:t>
      </w:r>
      <w:r w:rsidRPr="007A02B8">
        <w:rPr>
          <w:bCs/>
          <w:sz w:val="24"/>
          <w:szCs w:val="24"/>
        </w:rPr>
        <w:t xml:space="preserve">по </w:t>
      </w:r>
      <w:r w:rsidRPr="007A02B8">
        <w:rPr>
          <w:rFonts w:eastAsia="Arial Unicode MS"/>
          <w:sz w:val="24"/>
          <w:szCs w:val="24"/>
        </w:rPr>
        <w:t xml:space="preserve"> выявленн</w:t>
      </w:r>
      <w:r>
        <w:rPr>
          <w:rFonts w:eastAsia="Arial Unicode MS"/>
          <w:sz w:val="24"/>
          <w:szCs w:val="24"/>
        </w:rPr>
        <w:t>ым</w:t>
      </w:r>
      <w:r w:rsidRPr="007A02B8">
        <w:rPr>
          <w:rFonts w:eastAsia="Arial Unicode MS"/>
          <w:sz w:val="24"/>
          <w:szCs w:val="24"/>
        </w:rPr>
        <w:t xml:space="preserve"> нарушения</w:t>
      </w:r>
      <w:r>
        <w:rPr>
          <w:rFonts w:eastAsia="Arial Unicode MS"/>
          <w:sz w:val="24"/>
          <w:szCs w:val="24"/>
        </w:rPr>
        <w:t>м</w:t>
      </w:r>
      <w:r w:rsidRPr="007A02B8">
        <w:rPr>
          <w:rFonts w:eastAsia="Arial Unicode MS"/>
          <w:sz w:val="24"/>
          <w:szCs w:val="24"/>
        </w:rPr>
        <w:t xml:space="preserve"> требования санитарного законодательства в сфере обращения с отходами и  содержания территорий, </w:t>
      </w:r>
      <w:r w:rsidRPr="007A02B8">
        <w:rPr>
          <w:sz w:val="24"/>
          <w:szCs w:val="24"/>
        </w:rPr>
        <w:t>принимались  меры административного взыскания, в виде штрафа, направлялись предписания об устранении нарушений  санитарного законодательства для исполнения руководителями.</w:t>
      </w:r>
      <w:r w:rsidRPr="002F1342">
        <w:rPr>
          <w:rFonts w:eastAsia="Arial Unicode MS"/>
          <w:sz w:val="24"/>
          <w:szCs w:val="24"/>
        </w:rPr>
        <w:t>выявлены нарушения содержания территорий населенных мест, неудовлетворительное состояние территорий, нарушения при обращении с отходами производства и потреблени</w:t>
      </w:r>
      <w:r>
        <w:rPr>
          <w:rFonts w:eastAsia="Arial Unicode MS"/>
          <w:sz w:val="24"/>
          <w:szCs w:val="24"/>
        </w:rPr>
        <w:t>я, несвоевременный вывоз мусора,</w:t>
      </w:r>
      <w:r w:rsidRPr="007840EE">
        <w:rPr>
          <w:sz w:val="24"/>
          <w:szCs w:val="24"/>
        </w:rPr>
        <w:t xml:space="preserve">По результатам проверок </w:t>
      </w:r>
      <w:r>
        <w:rPr>
          <w:sz w:val="24"/>
          <w:szCs w:val="24"/>
        </w:rPr>
        <w:t xml:space="preserve"> информация направлялась  Главе  города  Пыть-Ях</w:t>
      </w:r>
    </w:p>
    <w:p w:rsidR="00630798" w:rsidRPr="00830F88" w:rsidRDefault="00630798" w:rsidP="00946F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2018</w:t>
      </w:r>
      <w:r w:rsidRPr="00830F88">
        <w:rPr>
          <w:rFonts w:ascii="Times New Roman" w:hAnsi="Times New Roman" w:cs="Times New Roman"/>
          <w:sz w:val="24"/>
          <w:szCs w:val="24"/>
        </w:rPr>
        <w:t xml:space="preserve"> году Управлением Роспотребнадзора по ХМАО-Югре, ТО РПН в г.Нефтеюганске, Нефтеюгансокм районе и г.Пыть-Ях, предъявлен иск к Управляющей </w:t>
      </w:r>
      <w:r w:rsidRPr="00830F88">
        <w:rPr>
          <w:rFonts w:ascii="Times New Roman" w:hAnsi="Times New Roman" w:cs="Times New Roman"/>
          <w:sz w:val="24"/>
          <w:szCs w:val="24"/>
        </w:rPr>
        <w:lastRenderedPageBreak/>
        <w:t>организации ООО «ДомоСтрой» г.Пыть-Ях о понуждении выполнения обязательных требований санитарного законодательства.</w:t>
      </w:r>
    </w:p>
    <w:p w:rsidR="00630798" w:rsidRPr="00830F88" w:rsidRDefault="00630798" w:rsidP="00946FE0">
      <w:pPr>
        <w:spacing w:after="0" w:line="240" w:lineRule="auto"/>
        <w:ind w:firstLine="708"/>
        <w:jc w:val="both"/>
        <w:rPr>
          <w:rFonts w:ascii="Times New Roman" w:hAnsi="Times New Roman" w:cs="Times New Roman"/>
          <w:sz w:val="24"/>
          <w:szCs w:val="24"/>
        </w:rPr>
      </w:pPr>
      <w:r w:rsidRPr="00830F88">
        <w:rPr>
          <w:rFonts w:ascii="Times New Roman" w:hAnsi="Times New Roman" w:cs="Times New Roman"/>
          <w:sz w:val="24"/>
          <w:szCs w:val="24"/>
        </w:rPr>
        <w:t>Основанием</w:t>
      </w:r>
      <w:r w:rsidR="00946FE0">
        <w:rPr>
          <w:rFonts w:ascii="Times New Roman" w:hAnsi="Times New Roman" w:cs="Times New Roman"/>
          <w:sz w:val="24"/>
          <w:szCs w:val="24"/>
        </w:rPr>
        <w:t xml:space="preserve"> к подаче </w:t>
      </w:r>
      <w:r w:rsidRPr="00830F88">
        <w:rPr>
          <w:rFonts w:ascii="Times New Roman" w:hAnsi="Times New Roman" w:cs="Times New Roman"/>
          <w:sz w:val="24"/>
          <w:szCs w:val="24"/>
        </w:rPr>
        <w:t xml:space="preserve">иска послужила жалоба  от  жителя города Пыть-Ях на  нарушение санитарного законодательства, в части консервации мусоропровода в жилом доме  г.Пыть-Ях  и временного хранения ТБО (твердых бытовых отходов). В ходе проведенного административного расследования доводы, изложенные в жалобе, подтвердились. </w:t>
      </w:r>
    </w:p>
    <w:p w:rsidR="00630798" w:rsidRPr="00A702CD" w:rsidRDefault="00630798" w:rsidP="00946FE0">
      <w:pPr>
        <w:spacing w:after="0" w:line="240" w:lineRule="auto"/>
        <w:ind w:firstLine="567"/>
        <w:jc w:val="both"/>
        <w:rPr>
          <w:rFonts w:ascii="Times New Roman" w:hAnsi="Times New Roman" w:cs="Times New Roman"/>
          <w:bCs/>
          <w:sz w:val="24"/>
          <w:szCs w:val="24"/>
        </w:rPr>
      </w:pPr>
      <w:r w:rsidRPr="00830F88">
        <w:rPr>
          <w:rFonts w:ascii="Times New Roman" w:hAnsi="Times New Roman" w:cs="Times New Roman"/>
          <w:sz w:val="24"/>
          <w:szCs w:val="24"/>
        </w:rPr>
        <w:t xml:space="preserve">Так, контейнерная площадка для временного хранения ТБО размещена с нарушением требований санитарного законодательства, расположена  на расстоянии менее 20 м. от детского учреждения (МДОАУ «Улыбка») в нарушение  п.2.2.3. СП </w:t>
      </w:r>
      <w:r w:rsidRPr="00830F88">
        <w:rPr>
          <w:rFonts w:ascii="Times New Roman" w:hAnsi="Times New Roman" w:cs="Times New Roman"/>
          <w:bCs/>
          <w:kern w:val="36"/>
          <w:sz w:val="24"/>
          <w:szCs w:val="24"/>
        </w:rPr>
        <w:t xml:space="preserve">"СанПиН 42-128-4690-88. Санитарные правила содержания территорий населенных мест". </w:t>
      </w:r>
      <w:r w:rsidRPr="00830F88">
        <w:rPr>
          <w:rFonts w:ascii="Times New Roman" w:hAnsi="Times New Roman" w:cs="Times New Roman"/>
          <w:bCs/>
          <w:sz w:val="24"/>
          <w:szCs w:val="24"/>
        </w:rPr>
        <w:t>Размещение контейнерной площадки  возле дома № 12, 5 мкр. г. Пыть-Ях не согласовано с ТО РПН по ХМАО-Югре, в нарушение требований, п. 2.2.3 СанПиН 42-128-4690-88 «Санитарные правила содержания территорий населенных мест»</w:t>
      </w:r>
      <w:r w:rsidRPr="00830F88">
        <w:rPr>
          <w:rFonts w:ascii="Times New Roman" w:hAnsi="Times New Roman" w:cs="Times New Roman"/>
          <w:bCs/>
          <w:kern w:val="36"/>
          <w:sz w:val="24"/>
          <w:szCs w:val="24"/>
        </w:rPr>
        <w:t>.</w:t>
      </w:r>
      <w:r w:rsidRPr="00830F88">
        <w:rPr>
          <w:rFonts w:ascii="Times New Roman" w:hAnsi="Times New Roman" w:cs="Times New Roman"/>
          <w:bCs/>
          <w:sz w:val="24"/>
          <w:szCs w:val="24"/>
        </w:rPr>
        <w:t xml:space="preserve">Вывоз твердых бытовых отходов осуществляется не ежедневно, уборка контейнерной площадки не качественная, что </w:t>
      </w:r>
      <w:r w:rsidRPr="00A702CD">
        <w:rPr>
          <w:rFonts w:ascii="Times New Roman" w:hAnsi="Times New Roman" w:cs="Times New Roman"/>
          <w:bCs/>
          <w:sz w:val="24"/>
          <w:szCs w:val="24"/>
        </w:rPr>
        <w:t>подтверждается  материалами дела, в нарушение требований 8.2.4 СанПиН 2.1.2.2645-10 «Санитарно-эпидемиологические требования к условиям проживания  в жилых зданиях и помещениях».</w:t>
      </w:r>
      <w:r w:rsidR="00946FE0">
        <w:rPr>
          <w:rFonts w:ascii="Times New Roman" w:hAnsi="Times New Roman" w:cs="Times New Roman"/>
          <w:bCs/>
          <w:sz w:val="24"/>
          <w:szCs w:val="24"/>
        </w:rPr>
        <w:t xml:space="preserve"> </w:t>
      </w:r>
      <w:r w:rsidRPr="00A702CD">
        <w:rPr>
          <w:rFonts w:ascii="Times New Roman" w:hAnsi="Times New Roman" w:cs="Times New Roman"/>
          <w:bCs/>
          <w:sz w:val="24"/>
          <w:szCs w:val="24"/>
        </w:rPr>
        <w:t>Роспотребнадзор просил суд обязать ответчика</w:t>
      </w:r>
      <w:r w:rsidRPr="00A702CD">
        <w:rPr>
          <w:rFonts w:ascii="Times New Roman" w:hAnsi="Times New Roman" w:cs="Times New Roman"/>
          <w:sz w:val="24"/>
          <w:szCs w:val="24"/>
        </w:rPr>
        <w:t xml:space="preserve"> восстановить работу мусоропровода в полном объеме во всех подъездах жилого дома г.Пыть-Ях, обеспечить  всем жильцам жилого дома ежедневный доступ к мусоропроводу, исправность его работы, еженедельную  чистку, дезинфекцию и дезинсекцию ствола мусоропровода в соответствии с п.2.2.8.,2.2.7</w:t>
      </w:r>
      <w:r w:rsidRPr="00A702CD">
        <w:rPr>
          <w:rFonts w:ascii="Times New Roman" w:hAnsi="Times New Roman" w:cs="Times New Roman"/>
          <w:bCs/>
          <w:kern w:val="36"/>
          <w:sz w:val="24"/>
          <w:szCs w:val="24"/>
        </w:rPr>
        <w:t xml:space="preserve"> СанПиН 42-128-4690-88. Санитарные правила содержания территорий населенных мест", п.8.2.2.</w:t>
      </w:r>
      <w:r w:rsidRPr="00A702CD">
        <w:rPr>
          <w:rFonts w:ascii="Times New Roman" w:hAnsi="Times New Roman" w:cs="Times New Roman"/>
          <w:bCs/>
          <w:sz w:val="24"/>
          <w:szCs w:val="24"/>
        </w:rPr>
        <w:t xml:space="preserve"> СанПиН 2.1.2.2645-10 «Санитарно-эпидемиологические требования к условиям проживания  в жилых зданиях и помещениях». </w:t>
      </w:r>
      <w:r w:rsidRPr="00A702CD">
        <w:rPr>
          <w:rFonts w:ascii="Times New Roman" w:hAnsi="Times New Roman" w:cs="Times New Roman"/>
          <w:sz w:val="24"/>
          <w:szCs w:val="24"/>
        </w:rPr>
        <w:t xml:space="preserve">Кроме того, обязать Ответчика осуществлять временное хранение и вывоз ТБО на придомовой территории жилого дома г.Пыть-Ях в соответствии с  требованиями </w:t>
      </w:r>
      <w:r w:rsidRPr="00A702CD">
        <w:rPr>
          <w:rFonts w:ascii="Times New Roman" w:hAnsi="Times New Roman" w:cs="Times New Roman"/>
          <w:bCs/>
          <w:kern w:val="36"/>
          <w:sz w:val="24"/>
          <w:szCs w:val="24"/>
        </w:rPr>
        <w:t xml:space="preserve">СанПиН 42-128-4690-88 Санитарные правила содержания территорий населенных мест", </w:t>
      </w:r>
      <w:r w:rsidRPr="00A702CD">
        <w:rPr>
          <w:rFonts w:ascii="Times New Roman" w:hAnsi="Times New Roman" w:cs="Times New Roman"/>
          <w:bCs/>
          <w:sz w:val="24"/>
          <w:szCs w:val="24"/>
        </w:rPr>
        <w:t>СанПиН 2.1.2.2645-10 «Санитарно-эпидемиологические требования к условиям проживания  в жилых зданиях и помещениях».Исковые требования Роспотребнадзора удовлетворены в полном объеме. Решение суда вступило в законную силу.</w:t>
      </w:r>
    </w:p>
    <w:p w:rsidR="00630798" w:rsidRPr="00A702CD" w:rsidRDefault="00630798" w:rsidP="00946FE0">
      <w:pPr>
        <w:spacing w:after="0" w:line="240" w:lineRule="auto"/>
        <w:ind w:firstLine="567"/>
        <w:jc w:val="both"/>
        <w:rPr>
          <w:rFonts w:ascii="Times New Roman" w:eastAsia="Calibri" w:hAnsi="Times New Roman" w:cs="Times New Roman"/>
          <w:sz w:val="24"/>
          <w:szCs w:val="24"/>
        </w:rPr>
      </w:pPr>
      <w:r w:rsidRPr="00A702CD">
        <w:rPr>
          <w:rFonts w:ascii="Times New Roman" w:eastAsia="Calibri" w:hAnsi="Times New Roman" w:cs="Times New Roman"/>
          <w:sz w:val="24"/>
          <w:szCs w:val="24"/>
        </w:rPr>
        <w:t xml:space="preserve">  Одним из разделов деятельности </w:t>
      </w:r>
      <w:r w:rsidRPr="00A702CD">
        <w:rPr>
          <w:rFonts w:ascii="Times New Roman" w:eastAsia="Calibri" w:hAnsi="Times New Roman" w:cs="Times New Roman"/>
          <w:color w:val="000000"/>
          <w:spacing w:val="4"/>
          <w:sz w:val="24"/>
          <w:szCs w:val="24"/>
          <w:shd w:val="clear" w:color="auto" w:fill="FFFFFF"/>
        </w:rPr>
        <w:t xml:space="preserve">территориального отдела Управления Роспотребнадзора по ХМАО - Югры  </w:t>
      </w:r>
      <w:r w:rsidRPr="00A702CD">
        <w:rPr>
          <w:rFonts w:ascii="Times New Roman" w:eastAsia="Calibri" w:hAnsi="Times New Roman" w:cs="Times New Roman"/>
          <w:sz w:val="24"/>
          <w:szCs w:val="24"/>
        </w:rPr>
        <w:t>является прием и рассмотрение обращений и жалоб граждан. В 2018г.   рассматривались   15    обращений  жителей   города Пыть-Ях, в 2019 году - 29 обращений</w:t>
      </w:r>
      <w:r>
        <w:rPr>
          <w:rFonts w:ascii="Times New Roman" w:eastAsia="Calibri" w:hAnsi="Times New Roman" w:cs="Times New Roman"/>
          <w:sz w:val="24"/>
          <w:szCs w:val="24"/>
        </w:rPr>
        <w:t>,</w:t>
      </w:r>
      <w:r w:rsidRPr="00A702CD">
        <w:rPr>
          <w:rFonts w:ascii="Times New Roman" w:eastAsia="Calibri" w:hAnsi="Times New Roman" w:cs="Times New Roman"/>
          <w:sz w:val="24"/>
          <w:szCs w:val="24"/>
        </w:rPr>
        <w:t xml:space="preserve"> </w:t>
      </w:r>
      <w:r>
        <w:rPr>
          <w:rFonts w:ascii="Times New Roman" w:eastAsia="Calibri" w:hAnsi="Times New Roman" w:cs="Times New Roman"/>
          <w:sz w:val="24"/>
          <w:szCs w:val="24"/>
        </w:rPr>
        <w:t>в 2020 году - 12</w:t>
      </w:r>
      <w:r w:rsidRPr="00A702CD">
        <w:rPr>
          <w:rFonts w:ascii="Times New Roman" w:eastAsia="Calibri" w:hAnsi="Times New Roman" w:cs="Times New Roman"/>
          <w:sz w:val="24"/>
          <w:szCs w:val="24"/>
        </w:rPr>
        <w:t xml:space="preserve"> обращений </w:t>
      </w:r>
      <w:r w:rsidRPr="00A702CD">
        <w:rPr>
          <w:rFonts w:ascii="Times New Roman" w:eastAsia="Arial Unicode MS" w:hAnsi="Times New Roman" w:cs="Times New Roman"/>
          <w:sz w:val="24"/>
          <w:szCs w:val="24"/>
        </w:rPr>
        <w:t xml:space="preserve">(по обращениям жителей и </w:t>
      </w:r>
      <w:r w:rsidRPr="00A702CD">
        <w:rPr>
          <w:rFonts w:ascii="Times New Roman" w:hAnsi="Times New Roman" w:cs="Times New Roman"/>
          <w:sz w:val="24"/>
          <w:szCs w:val="24"/>
        </w:rPr>
        <w:t xml:space="preserve">Общероссийским народным фронтом интернет - ресурса «Карта свалок»), </w:t>
      </w:r>
      <w:r w:rsidRPr="00A702CD">
        <w:rPr>
          <w:rFonts w:ascii="Times New Roman" w:eastAsia="Calibri" w:hAnsi="Times New Roman" w:cs="Times New Roman"/>
          <w:sz w:val="24"/>
          <w:szCs w:val="24"/>
        </w:rPr>
        <w:t>на некачественное предоставление коммунальных услуг, наличие несанкционированных свалок, некачественные уборки территорий мест общего пользования</w:t>
      </w:r>
      <w:r w:rsidRPr="00A702CD">
        <w:rPr>
          <w:rFonts w:ascii="Times New Roman" w:eastAsia="Calibri" w:hAnsi="Times New Roman" w:cs="Times New Roman"/>
          <w:bCs/>
          <w:sz w:val="24"/>
          <w:szCs w:val="24"/>
        </w:rPr>
        <w:t xml:space="preserve"> со стороны  УК ЖЭУ, </w:t>
      </w:r>
      <w:r w:rsidRPr="00A702CD">
        <w:rPr>
          <w:rFonts w:ascii="Times New Roman" w:eastAsia="Calibri" w:hAnsi="Times New Roman" w:cs="Times New Roman"/>
          <w:sz w:val="24"/>
          <w:szCs w:val="24"/>
        </w:rPr>
        <w:t>в Управление ЖКК</w:t>
      </w:r>
      <w:r w:rsidRPr="00A702CD">
        <w:rPr>
          <w:rFonts w:ascii="Times New Roman" w:eastAsia="Calibri" w:hAnsi="Times New Roman" w:cs="Times New Roman"/>
          <w:bCs/>
          <w:sz w:val="24"/>
          <w:szCs w:val="24"/>
        </w:rPr>
        <w:t xml:space="preserve">,т.ж в </w:t>
      </w:r>
      <w:r w:rsidRPr="00A702CD">
        <w:rPr>
          <w:rFonts w:ascii="Times New Roman" w:eastAsia="Calibri" w:hAnsi="Times New Roman" w:cs="Times New Roman"/>
          <w:sz w:val="24"/>
          <w:szCs w:val="24"/>
        </w:rPr>
        <w:t>части  несвоевременного вывоза ТБО с контейнерных площадок города,   состояния площадок,   и т.д.</w:t>
      </w:r>
      <w:r w:rsidRPr="00A702CD">
        <w:rPr>
          <w:rFonts w:ascii="Times New Roman" w:eastAsia="Calibri" w:hAnsi="Times New Roman" w:cs="Times New Roman"/>
          <w:bCs/>
          <w:sz w:val="24"/>
          <w:szCs w:val="24"/>
        </w:rPr>
        <w:t xml:space="preserve"> по данным фактам нарушения санитарного законодательства принимались меры административного воздействия, </w:t>
      </w:r>
      <w:r w:rsidRPr="00A702CD">
        <w:rPr>
          <w:rFonts w:ascii="Times New Roman" w:eastAsia="Calibri" w:hAnsi="Times New Roman" w:cs="Times New Roman"/>
          <w:bCs/>
          <w:sz w:val="24"/>
          <w:szCs w:val="24"/>
          <w:u w:val="single"/>
        </w:rPr>
        <w:t>направлялись предостережения юридическим лицам</w:t>
      </w:r>
      <w:r>
        <w:rPr>
          <w:rFonts w:ascii="Times New Roman" w:eastAsia="Calibri" w:hAnsi="Times New Roman" w:cs="Times New Roman"/>
          <w:bCs/>
          <w:sz w:val="24"/>
          <w:szCs w:val="24"/>
          <w:u w:val="single"/>
        </w:rPr>
        <w:t xml:space="preserve"> </w:t>
      </w:r>
      <w:r w:rsidRPr="00A702CD">
        <w:rPr>
          <w:rFonts w:ascii="Times New Roman" w:eastAsia="Calibri" w:hAnsi="Times New Roman" w:cs="Times New Roman"/>
          <w:bCs/>
          <w:sz w:val="24"/>
          <w:szCs w:val="24"/>
          <w:u w:val="single"/>
        </w:rPr>
        <w:t>,</w:t>
      </w:r>
      <w:r w:rsidRPr="00A702CD">
        <w:rPr>
          <w:rFonts w:ascii="Times New Roman" w:eastAsia="Calibri" w:hAnsi="Times New Roman" w:cs="Times New Roman"/>
          <w:sz w:val="24"/>
          <w:szCs w:val="24"/>
        </w:rPr>
        <w:t xml:space="preserve">заявителям  направлялись  письменные разъяснения о порядке обращения с претензией,  подачи искового заявления в суд, и привлечения ТО  в качестве третьих лиц по исковым заявлениям граждан,  т.е. давались   разъяснения об их правах  согласно действующих законодательств РФ </w:t>
      </w:r>
    </w:p>
    <w:p w:rsidR="00946FE0" w:rsidRDefault="00630798" w:rsidP="00946FE0">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По итогам 2020</w:t>
      </w:r>
      <w:r w:rsidR="00946FE0">
        <w:rPr>
          <w:rFonts w:ascii="Times New Roman" w:eastAsia="Calibri" w:hAnsi="Times New Roman" w:cs="Times New Roman"/>
          <w:sz w:val="24"/>
          <w:szCs w:val="24"/>
        </w:rPr>
        <w:t xml:space="preserve"> года </w:t>
      </w:r>
      <w:r w:rsidRPr="00191F51">
        <w:rPr>
          <w:rFonts w:ascii="Times New Roman" w:eastAsia="Calibri" w:hAnsi="Times New Roman" w:cs="Times New Roman"/>
          <w:sz w:val="24"/>
          <w:szCs w:val="24"/>
        </w:rPr>
        <w:t>была продолжена практика проведения организационных мероприятий по вопросам улучшения обеспечения населения города Пыть-Яхпредоставления качественных услуг по организации   сбора, хранения, транспортировки утилизации твёрдых, жидких отходов потребления, и санитарного состояния территорий населенных мест в  МО г.Пыть-Ях</w:t>
      </w:r>
      <w:r w:rsidR="00946FE0">
        <w:rPr>
          <w:rFonts w:ascii="Times New Roman" w:eastAsia="Calibri" w:hAnsi="Times New Roman" w:cs="Times New Roman"/>
          <w:sz w:val="24"/>
          <w:szCs w:val="24"/>
        </w:rPr>
        <w:t>.</w:t>
      </w:r>
      <w:r w:rsidR="00946FE0">
        <w:rPr>
          <w:rFonts w:ascii="Times New Roman" w:eastAsia="Calibri" w:hAnsi="Times New Roman" w:cs="Times New Roman"/>
          <w:sz w:val="24"/>
          <w:szCs w:val="24"/>
        </w:rPr>
        <w:tab/>
        <w:t>По инициативе ТО УРПН вопрос</w:t>
      </w:r>
      <w:r w:rsidRPr="00191F51">
        <w:rPr>
          <w:rFonts w:ascii="Times New Roman" w:eastAsia="Calibri" w:hAnsi="Times New Roman" w:cs="Times New Roman"/>
          <w:sz w:val="24"/>
          <w:szCs w:val="24"/>
        </w:rPr>
        <w:t xml:space="preserve"> вывоза и утилизации ТБО от населения и строительства полигона ТБО р</w:t>
      </w:r>
      <w:r w:rsidR="00946FE0">
        <w:rPr>
          <w:rFonts w:ascii="Times New Roman" w:eastAsia="Calibri" w:hAnsi="Times New Roman" w:cs="Times New Roman"/>
          <w:sz w:val="24"/>
          <w:szCs w:val="24"/>
        </w:rPr>
        <w:t>ассматривался на заседаниях Межведомственной санитарно – противоэпидемической комиссии г. Пыть-Ях</w:t>
      </w:r>
      <w:r w:rsidRPr="00191F51">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Pr="00191F51">
        <w:rPr>
          <w:rFonts w:ascii="Times New Roman" w:eastAsia="Calibri" w:hAnsi="Times New Roman" w:cs="Times New Roman"/>
          <w:sz w:val="24"/>
          <w:szCs w:val="24"/>
        </w:rPr>
        <w:t>В течение</w:t>
      </w:r>
      <w:r>
        <w:rPr>
          <w:rFonts w:ascii="Times New Roman" w:eastAsia="Calibri" w:hAnsi="Times New Roman" w:cs="Times New Roman"/>
          <w:sz w:val="24"/>
          <w:szCs w:val="24"/>
        </w:rPr>
        <w:t xml:space="preserve"> 2020</w:t>
      </w:r>
      <w:r w:rsidRPr="00191F51">
        <w:rPr>
          <w:rFonts w:ascii="Times New Roman" w:eastAsia="Calibri" w:hAnsi="Times New Roman" w:cs="Times New Roman"/>
          <w:sz w:val="24"/>
          <w:szCs w:val="24"/>
        </w:rPr>
        <w:t xml:space="preserve"> года по результатам рассмотрения и согласования </w:t>
      </w:r>
      <w:r w:rsidR="00946FE0">
        <w:rPr>
          <w:rFonts w:ascii="Times New Roman" w:hAnsi="Times New Roman" w:cs="Times New Roman"/>
          <w:sz w:val="24"/>
          <w:szCs w:val="24"/>
        </w:rPr>
        <w:t xml:space="preserve">генеральной схемы </w:t>
      </w:r>
      <w:r w:rsidRPr="00191F51">
        <w:rPr>
          <w:rFonts w:ascii="Times New Roman" w:hAnsi="Times New Roman" w:cs="Times New Roman"/>
          <w:sz w:val="24"/>
          <w:szCs w:val="24"/>
        </w:rPr>
        <w:t>санитарной очистки  гПыть-Ях ТОУРПН была дважды отклонена от согласования  генеральная схема  санитарной очистки  гПыть-Ях</w:t>
      </w:r>
      <w:r w:rsidR="00946FE0">
        <w:rPr>
          <w:rFonts w:ascii="Times New Roman" w:hAnsi="Times New Roman" w:cs="Times New Roman"/>
          <w:sz w:val="24"/>
          <w:szCs w:val="24"/>
        </w:rPr>
        <w:t>.</w:t>
      </w:r>
    </w:p>
    <w:p w:rsidR="00630798" w:rsidRPr="00191F51" w:rsidRDefault="00630798" w:rsidP="00946FE0">
      <w:pPr>
        <w:spacing w:after="0" w:line="240" w:lineRule="auto"/>
        <w:ind w:firstLine="567"/>
        <w:jc w:val="both"/>
        <w:rPr>
          <w:rFonts w:ascii="Times New Roman" w:hAnsi="Times New Roman" w:cs="Times New Roman"/>
          <w:sz w:val="24"/>
          <w:szCs w:val="24"/>
        </w:rPr>
      </w:pPr>
      <w:r w:rsidRPr="00A702CD">
        <w:rPr>
          <w:rFonts w:ascii="Times New Roman" w:eastAsia="Calibri" w:hAnsi="Times New Roman" w:cs="Times New Roman"/>
          <w:sz w:val="24"/>
          <w:szCs w:val="24"/>
        </w:rPr>
        <w:lastRenderedPageBreak/>
        <w:t>Направл</w:t>
      </w:r>
      <w:r w:rsidR="00946FE0">
        <w:rPr>
          <w:rFonts w:ascii="Times New Roman" w:eastAsia="Calibri" w:hAnsi="Times New Roman" w:cs="Times New Roman"/>
          <w:sz w:val="24"/>
          <w:szCs w:val="24"/>
        </w:rPr>
        <w:t xml:space="preserve">ялись предложения Главе города </w:t>
      </w:r>
      <w:r w:rsidRPr="00A702CD">
        <w:rPr>
          <w:rFonts w:ascii="Times New Roman" w:eastAsia="Calibri" w:hAnsi="Times New Roman" w:cs="Times New Roman"/>
          <w:sz w:val="24"/>
          <w:szCs w:val="24"/>
        </w:rPr>
        <w:t xml:space="preserve">по проведению мероприятий </w:t>
      </w:r>
      <w:r w:rsidRPr="00A702CD">
        <w:rPr>
          <w:rFonts w:ascii="Times New Roman" w:eastAsia="Arial Unicode MS" w:hAnsi="Times New Roman" w:cs="Times New Roman"/>
          <w:sz w:val="24"/>
          <w:szCs w:val="24"/>
        </w:rPr>
        <w:t xml:space="preserve">в сфере обращения с отходами и содержания территорий, </w:t>
      </w:r>
      <w:r w:rsidRPr="00A702CD">
        <w:rPr>
          <w:rFonts w:ascii="Times New Roman" w:eastAsia="Calibri" w:hAnsi="Times New Roman" w:cs="Times New Roman"/>
          <w:sz w:val="24"/>
          <w:szCs w:val="24"/>
        </w:rPr>
        <w:t>в соответствии с требованиями санитарного законодательства в период весеннего половодья. Направлялись предписания в Управление ЖКК о проведении дополнительных</w:t>
      </w:r>
      <w:r w:rsidR="00946FE0">
        <w:rPr>
          <w:rFonts w:ascii="Times New Roman" w:eastAsia="Calibri" w:hAnsi="Times New Roman" w:cs="Times New Roman"/>
          <w:sz w:val="24"/>
          <w:szCs w:val="24"/>
        </w:rPr>
        <w:t xml:space="preserve"> </w:t>
      </w:r>
      <w:r w:rsidRPr="00A702CD">
        <w:rPr>
          <w:rFonts w:ascii="Times New Roman" w:eastAsia="Calibri" w:hAnsi="Times New Roman" w:cs="Times New Roman"/>
          <w:sz w:val="24"/>
          <w:szCs w:val="24"/>
        </w:rPr>
        <w:t>(профилактических) мероприятиях по исполнению требований санитарного законодательства содержания городской территории  в период весеннего половодья в 20</w:t>
      </w:r>
      <w:r>
        <w:rPr>
          <w:rFonts w:ascii="Times New Roman" w:eastAsia="Calibri" w:hAnsi="Times New Roman" w:cs="Times New Roman"/>
          <w:sz w:val="24"/>
          <w:szCs w:val="24"/>
        </w:rPr>
        <w:t>20</w:t>
      </w:r>
      <w:r w:rsidRPr="00A702CD">
        <w:rPr>
          <w:rFonts w:ascii="Times New Roman" w:eastAsia="Calibri" w:hAnsi="Times New Roman" w:cs="Times New Roman"/>
          <w:sz w:val="24"/>
          <w:szCs w:val="24"/>
        </w:rPr>
        <w:t xml:space="preserve"> году.    </w:t>
      </w:r>
    </w:p>
    <w:p w:rsidR="00630798" w:rsidRDefault="00630798" w:rsidP="00946FE0">
      <w:pPr>
        <w:shd w:val="clear" w:color="auto" w:fill="FFFFFF"/>
        <w:spacing w:after="0" w:line="240" w:lineRule="auto"/>
        <w:ind w:firstLine="567"/>
        <w:jc w:val="both"/>
        <w:rPr>
          <w:rFonts w:ascii="Times New Roman" w:hAnsi="Times New Roman" w:cs="Times New Roman"/>
          <w:sz w:val="24"/>
          <w:szCs w:val="24"/>
        </w:rPr>
      </w:pPr>
      <w:r w:rsidRPr="00A702CD">
        <w:rPr>
          <w:rFonts w:ascii="Times New Roman" w:hAnsi="Times New Roman" w:cs="Times New Roman"/>
          <w:sz w:val="24"/>
          <w:szCs w:val="24"/>
        </w:rPr>
        <w:t>Главе</w:t>
      </w:r>
      <w:r>
        <w:rPr>
          <w:rFonts w:ascii="Times New Roman" w:hAnsi="Times New Roman" w:cs="Times New Roman"/>
          <w:sz w:val="24"/>
          <w:szCs w:val="24"/>
        </w:rPr>
        <w:t xml:space="preserve"> </w:t>
      </w:r>
      <w:r w:rsidRPr="00A702CD">
        <w:rPr>
          <w:rFonts w:ascii="Times New Roman" w:hAnsi="Times New Roman" w:cs="Times New Roman"/>
          <w:sz w:val="24"/>
          <w:szCs w:val="24"/>
        </w:rPr>
        <w:t>города Пыть-Ях</w:t>
      </w:r>
      <w:r w:rsidR="00946FE0">
        <w:rPr>
          <w:rFonts w:ascii="Times New Roman" w:hAnsi="Times New Roman" w:cs="Times New Roman"/>
          <w:sz w:val="24"/>
          <w:szCs w:val="24"/>
        </w:rPr>
        <w:t>а</w:t>
      </w:r>
      <w:r w:rsidRPr="00A702CD">
        <w:rPr>
          <w:rFonts w:ascii="Times New Roman" w:hAnsi="Times New Roman" w:cs="Times New Roman"/>
          <w:sz w:val="24"/>
          <w:szCs w:val="24"/>
        </w:rPr>
        <w:t xml:space="preserve"> ежегодно направляется информация по санитарному состоянию городской территории города Пыть-Ях.</w:t>
      </w:r>
    </w:p>
    <w:p w:rsidR="00946FE0" w:rsidRPr="00A702CD" w:rsidRDefault="00946FE0" w:rsidP="00946FE0">
      <w:pPr>
        <w:shd w:val="clear" w:color="auto" w:fill="FFFFFF"/>
        <w:spacing w:after="0" w:line="240" w:lineRule="auto"/>
        <w:ind w:firstLine="567"/>
        <w:jc w:val="both"/>
        <w:rPr>
          <w:rFonts w:ascii="Times New Roman" w:eastAsia="Times New Roman" w:hAnsi="Times New Roman" w:cs="Times New Roman"/>
          <w:i/>
          <w:sz w:val="24"/>
          <w:szCs w:val="24"/>
          <w:lang w:eastAsia="ru-RU"/>
        </w:rPr>
      </w:pPr>
    </w:p>
    <w:p w:rsidR="004F742E" w:rsidRDefault="004F742E" w:rsidP="004F742E">
      <w:pPr>
        <w:jc w:val="center"/>
        <w:rPr>
          <w:rFonts w:ascii="Times New Roman" w:hAnsi="Times New Roman" w:cs="Times New Roman"/>
          <w:b/>
          <w:sz w:val="24"/>
          <w:szCs w:val="24"/>
        </w:rPr>
      </w:pPr>
      <w:r>
        <w:rPr>
          <w:rFonts w:ascii="Times New Roman" w:hAnsi="Times New Roman" w:cs="Times New Roman"/>
          <w:b/>
          <w:sz w:val="24"/>
          <w:szCs w:val="24"/>
        </w:rPr>
        <w:t>Глава 2.2. Основные меры по профилактике массовых неинфекционных (отравлений) и приоритетных заболеваний в связи с вредным воздействием факторов среды обитания в г. Пыть-Ях.</w:t>
      </w:r>
    </w:p>
    <w:p w:rsidR="004F742E" w:rsidRDefault="004F742E" w:rsidP="004F742E">
      <w:pPr>
        <w:rPr>
          <w:rFonts w:ascii="Times New Roman" w:hAnsi="Times New Roman" w:cs="Times New Roman"/>
          <w:b/>
          <w:sz w:val="24"/>
          <w:szCs w:val="24"/>
        </w:rPr>
      </w:pPr>
      <w:r>
        <w:rPr>
          <w:rFonts w:ascii="Times New Roman" w:hAnsi="Times New Roman" w:cs="Times New Roman"/>
          <w:b/>
          <w:sz w:val="24"/>
          <w:szCs w:val="24"/>
        </w:rPr>
        <w:t>2.2.1  Результаты деятельности по безопасности питания.</w:t>
      </w:r>
    </w:p>
    <w:p w:rsidR="004F742E" w:rsidRPr="009D7FA0" w:rsidRDefault="004F742E" w:rsidP="004F742E">
      <w:pPr>
        <w:pStyle w:val="Default"/>
        <w:ind w:firstLine="709"/>
        <w:jc w:val="both"/>
      </w:pPr>
      <w:r w:rsidRPr="009D7FA0">
        <w:t xml:space="preserve">Питание в жизни современного человека продолжает оставаться одной из наиболее значимой компонентой основ «здоровой» жизнедеятельности человека, способной оказывать непосредственное и опосредованное влияние на состояние здоровья населения, уровень и структуру заболеваемости, продолжительность и качество жизни. Поэтому необходимое условие обеспечения санитарно-эпидемиологического благополучия населения – это безопасность пищи. Не способные восполнить существующие в питании нарушения, вызванные дефицитом природных микроэлементов, сложившиеся на настоящий момент традиционные способы питания населения, личные и национальные пищевые привычки усугубляются неблагоприятным воздействием окружающей среды, стрессами, кризисами, динамикой жизнедеятельности. В связи с этим осуществление мониторинга за степенью загрязнения продуктов питания и продовольственного сырья чужеродными веществами различной природы, уровнем материально-технического и санитарно-технического состояния пищевых объектов, разработкой и внедрением новых технологий производства «здоровой» пищи, использование этих данных при разработке критериев для оценки риска влияния на здоровье населения носят приоритетный характер в деятельности учреждений государственного санитарно-эпидемиологического надзора по разделу гигиены питания и являются одним из направлений государственной политики в области здорового питания населения Российской Федерации. </w:t>
      </w:r>
    </w:p>
    <w:p w:rsidR="004F742E" w:rsidRPr="000F3D16" w:rsidRDefault="004F742E" w:rsidP="004F742E">
      <w:pPr>
        <w:spacing w:line="240" w:lineRule="auto"/>
        <w:ind w:firstLine="709"/>
        <w:jc w:val="both"/>
        <w:rPr>
          <w:rFonts w:ascii="Times New Roman" w:hAnsi="Times New Roman" w:cs="Times New Roman"/>
          <w:sz w:val="24"/>
          <w:szCs w:val="24"/>
        </w:rPr>
      </w:pPr>
      <w:r w:rsidRPr="009D7FA0">
        <w:rPr>
          <w:rFonts w:ascii="Times New Roman" w:hAnsi="Times New Roman" w:cs="Times New Roman"/>
          <w:sz w:val="24"/>
          <w:szCs w:val="24"/>
        </w:rPr>
        <w:t>Основными особенностями, которые опр</w:t>
      </w:r>
      <w:r>
        <w:rPr>
          <w:rFonts w:ascii="Times New Roman" w:hAnsi="Times New Roman" w:cs="Times New Roman"/>
          <w:sz w:val="24"/>
          <w:szCs w:val="24"/>
        </w:rPr>
        <w:t>еделяли деятельность ТО Роспотребнадзора в г. Нефтеюганске, Нефтеюганском районе и г. Пыть-Яхе в 2020</w:t>
      </w:r>
      <w:r w:rsidRPr="009D7FA0">
        <w:rPr>
          <w:rFonts w:ascii="Times New Roman" w:hAnsi="Times New Roman" w:cs="Times New Roman"/>
          <w:sz w:val="24"/>
          <w:szCs w:val="24"/>
        </w:rPr>
        <w:t xml:space="preserve"> году были реализация Единых санитарных требований применяемых на всей территории Таможенного союза.</w:t>
      </w:r>
    </w:p>
    <w:p w:rsidR="004F742E" w:rsidRPr="004C0A95" w:rsidRDefault="004F742E" w:rsidP="004F742E">
      <w:pPr>
        <w:tabs>
          <w:tab w:val="left" w:pos="1860"/>
        </w:tabs>
        <w:ind w:firstLine="709"/>
        <w:jc w:val="both"/>
        <w:rPr>
          <w:rFonts w:ascii="Times New Roman" w:hAnsi="Times New Roman" w:cs="Times New Roman"/>
          <w:b/>
          <w:bCs/>
          <w:sz w:val="24"/>
          <w:szCs w:val="24"/>
        </w:rPr>
      </w:pPr>
      <w:r w:rsidRPr="004C0A95">
        <w:rPr>
          <w:rFonts w:ascii="Times New Roman" w:hAnsi="Times New Roman" w:cs="Times New Roman"/>
          <w:sz w:val="24"/>
          <w:szCs w:val="24"/>
        </w:rPr>
        <w:t>Деятельность по надзору за питанием населения осуществлялась по следующим   направлениям:</w:t>
      </w:r>
    </w:p>
    <w:p w:rsidR="004F742E" w:rsidRPr="004C0A95" w:rsidRDefault="004F742E" w:rsidP="006A23B3">
      <w:pPr>
        <w:pStyle w:val="a4"/>
        <w:numPr>
          <w:ilvl w:val="0"/>
          <w:numId w:val="47"/>
        </w:numPr>
        <w:tabs>
          <w:tab w:val="clear" w:pos="720"/>
          <w:tab w:val="num" w:pos="567"/>
        </w:tabs>
        <w:spacing w:before="0" w:beforeAutospacing="0" w:after="0" w:afterAutospacing="0"/>
        <w:ind w:left="0" w:firstLine="567"/>
        <w:jc w:val="both"/>
      </w:pPr>
      <w:r w:rsidRPr="004C0A95">
        <w:t>осуществление контроля выполнения технических регламентов в области безопасности пищевых продук</w:t>
      </w:r>
      <w:r>
        <w:t>тов на территории   города Пыть-Ях</w:t>
      </w:r>
    </w:p>
    <w:p w:rsidR="004F742E" w:rsidRPr="004C0A95" w:rsidRDefault="004F742E" w:rsidP="006A23B3">
      <w:pPr>
        <w:pStyle w:val="a4"/>
        <w:numPr>
          <w:ilvl w:val="0"/>
          <w:numId w:val="47"/>
        </w:numPr>
        <w:tabs>
          <w:tab w:val="clear" w:pos="720"/>
          <w:tab w:val="num" w:pos="567"/>
        </w:tabs>
        <w:spacing w:before="0" w:beforeAutospacing="0" w:after="0" w:afterAutospacing="0"/>
        <w:ind w:left="0" w:firstLine="567"/>
        <w:jc w:val="both"/>
      </w:pPr>
      <w:r w:rsidRPr="004C0A95">
        <w:t>реализация мер по профилактике заболеваемости населения, обусловленной дефицитом микронутриентов, информированию населения об основных принципах здорового питания, мерах личной и общественной профилактики алиментарно-зависимых заболеваний;</w:t>
      </w:r>
    </w:p>
    <w:p w:rsidR="004F742E" w:rsidRPr="004C0A95" w:rsidRDefault="004F742E" w:rsidP="006A23B3">
      <w:pPr>
        <w:pStyle w:val="a4"/>
        <w:numPr>
          <w:ilvl w:val="0"/>
          <w:numId w:val="47"/>
        </w:numPr>
        <w:tabs>
          <w:tab w:val="clear" w:pos="720"/>
          <w:tab w:val="num" w:pos="567"/>
        </w:tabs>
        <w:spacing w:before="0" w:beforeAutospacing="0" w:after="0" w:afterAutospacing="0"/>
        <w:ind w:left="0" w:firstLine="567"/>
        <w:jc w:val="both"/>
      </w:pPr>
      <w:r w:rsidRPr="004C0A95">
        <w:t>совершенствование государственного санитарно-эпидемиологического надзора за применением   генетически модифицированных организмов (ГМО);</w:t>
      </w:r>
    </w:p>
    <w:p w:rsidR="004F742E" w:rsidRPr="004C0A95" w:rsidRDefault="004F742E" w:rsidP="006A23B3">
      <w:pPr>
        <w:pStyle w:val="a4"/>
        <w:numPr>
          <w:ilvl w:val="0"/>
          <w:numId w:val="47"/>
        </w:numPr>
        <w:tabs>
          <w:tab w:val="clear" w:pos="720"/>
          <w:tab w:val="num" w:pos="567"/>
        </w:tabs>
        <w:spacing w:before="0" w:beforeAutospacing="0" w:after="0" w:afterAutospacing="0"/>
        <w:ind w:left="0" w:firstLine="567"/>
        <w:jc w:val="both"/>
      </w:pPr>
      <w:r w:rsidRPr="004C0A95">
        <w:t xml:space="preserve">реализация мер по выполнению Концепции демографической политики Российской Федерации на период до 2025 года, в том числе, направленных на снижение алкоголизации населения и курения табака и осуществления надзора за алкогольной продукцией и табачными изделиями на </w:t>
      </w:r>
      <w:r>
        <w:t>территории   города Пыть-Ях</w:t>
      </w:r>
    </w:p>
    <w:p w:rsidR="004F742E" w:rsidRDefault="004F742E" w:rsidP="004F742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Сотрудниками Роспотребнадзора,  при проведении плановых и внеплановых мероприятий по контролю в предприятиях торговли, общественного питания, предприятий пищевой промышленности города Пыть-Ях обращается особое внимание:</w:t>
      </w:r>
    </w:p>
    <w:p w:rsidR="004F742E" w:rsidRDefault="004F742E" w:rsidP="004F742E">
      <w:pPr>
        <w:ind w:firstLine="708"/>
        <w:jc w:val="both"/>
        <w:rPr>
          <w:rFonts w:ascii="Times New Roman" w:hAnsi="Times New Roman" w:cs="Times New Roman"/>
          <w:sz w:val="24"/>
          <w:szCs w:val="24"/>
        </w:rPr>
      </w:pPr>
      <w:r>
        <w:rPr>
          <w:rFonts w:ascii="Times New Roman" w:hAnsi="Times New Roman" w:cs="Times New Roman"/>
          <w:sz w:val="24"/>
          <w:szCs w:val="24"/>
        </w:rPr>
        <w:t>- На проведение производственного контроля при производстве и реализации пищевой продукции.</w:t>
      </w:r>
    </w:p>
    <w:p w:rsidR="004F742E" w:rsidRPr="004D3700" w:rsidRDefault="004F742E" w:rsidP="004F742E">
      <w:pPr>
        <w:ind w:firstLine="708"/>
        <w:jc w:val="both"/>
        <w:rPr>
          <w:rFonts w:ascii="Times New Roman" w:hAnsi="Times New Roman" w:cs="Times New Roman"/>
          <w:sz w:val="24"/>
          <w:szCs w:val="24"/>
        </w:rPr>
      </w:pPr>
      <w:r>
        <w:rPr>
          <w:rFonts w:ascii="Times New Roman" w:hAnsi="Times New Roman" w:cs="Times New Roman"/>
          <w:sz w:val="24"/>
          <w:szCs w:val="24"/>
        </w:rPr>
        <w:t>- На осуществление условий хранения и реализации молочной, мясной, птицеводческой продукции и т.д.</w:t>
      </w:r>
    </w:p>
    <w:p w:rsidR="004F742E" w:rsidRPr="004D3700" w:rsidRDefault="004F742E" w:rsidP="004F742E">
      <w:pPr>
        <w:ind w:firstLine="708"/>
        <w:jc w:val="both"/>
        <w:rPr>
          <w:rFonts w:ascii="Times New Roman" w:hAnsi="Times New Roman" w:cs="Times New Roman"/>
          <w:sz w:val="24"/>
          <w:szCs w:val="24"/>
        </w:rPr>
      </w:pPr>
      <w:r>
        <w:rPr>
          <w:rFonts w:ascii="Times New Roman" w:hAnsi="Times New Roman" w:cs="Times New Roman"/>
          <w:sz w:val="24"/>
          <w:szCs w:val="24"/>
        </w:rPr>
        <w:t>- Документацию, подтверждающую качество и безопасность пищевой продукции.</w:t>
      </w:r>
    </w:p>
    <w:p w:rsidR="004F742E" w:rsidRDefault="004F742E" w:rsidP="004F742E">
      <w:pPr>
        <w:ind w:firstLine="708"/>
        <w:jc w:val="both"/>
        <w:rPr>
          <w:rFonts w:ascii="Times New Roman" w:hAnsi="Times New Roman" w:cs="Times New Roman"/>
          <w:sz w:val="24"/>
          <w:szCs w:val="24"/>
        </w:rPr>
      </w:pPr>
      <w:r>
        <w:rPr>
          <w:rFonts w:ascii="Times New Roman" w:hAnsi="Times New Roman" w:cs="Times New Roman"/>
          <w:sz w:val="24"/>
          <w:szCs w:val="24"/>
        </w:rPr>
        <w:t xml:space="preserve">-На уровень гигиенического обучения сотрудников предприятий пищевой промышленности и предприятий торговли.  </w:t>
      </w:r>
    </w:p>
    <w:p w:rsidR="004F742E" w:rsidRPr="00633148" w:rsidRDefault="004F742E" w:rsidP="004F742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Проверки предприятий торговли, общественного питания и пищевой промышленности проводились на основании плана работ на 2020 год, приказов Федеральной службы  по надзору в сфере защиты прав потребителей и благополучия человека, изданных по поручению правительства РФ, на основании жалоб от населения. Всего в 2020 году проведено 15 мероприятий по контролю за объектами пищевой промышленности и предприятий торговли пищевыми продуктами. При проведении плановых и внеплановых мероприятий предприятий торговли и общественного  питания проводится большая работа по контролю за  условиями хранения, поставки и реализации скоропортящейся, молочной, мясной продукции. Основные нарушения  выявленные при осуществлении надзорных мероприятий: отсутствие производственного контроля в процессе производства и реализации продуктов питания; содержание производственных помещений, технологического оборудования  и  инвентаря, используемых  в процессе производства и реализации с нарушением  санитарных  норм;  нарушение поточности технологического процесса при производстве и хранении пищевой продукции, недостаточный набор производственных помещений, отсутствие документации, подтверждающей качество и безопасность реализуемых продуктов питания; нарушение сроков реализации  и условий хранения продуктов питания; нарушения условий хранения и удаления  отходов при реализации и производстве продуктов питания; наличие на продуктах питания и объектах внешней среды микробного  обсеменения, по результатам лабораторных исследований; выявление пищевой продукции с признаками фальсификации; нарушения сроков прохождения периодических и предварительных медицинских осмотров, аттестации по курсу санитарно-гигиенического минимума, курение табака в помещениях, предназначенных для предоставления услуг общественного питания, отсутствие необходимых сведений для потребителей о продавце, о реализуемой продукции. </w:t>
      </w:r>
    </w:p>
    <w:p w:rsidR="004F742E" w:rsidRPr="008C3FFE" w:rsidRDefault="004F742E" w:rsidP="004F742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 результатам проведенных проверок были применены меры административного наказания. На юридические лица, должностные лица, допустившие нарушения санитарного законодательства и  законодательства в сфере защиты прав потребителей,  при осуществлении деятельности по производству, торговле пищевыми продуктами и предоставлении  услуг общественного питания в 2020 г.  всего составлено  13  протоколов об административном нарушении по статьям  6.3, 6.6, 6.25, 14.2, 14.43 ч.1, 14.43 ч.2, 14.5,  14.45, 14.53 ч.1, 14.7, 14.8 ч.1, 14.15, 15.12 ч.2 КоАП РФ. В 2019 году  в Пыть-Яхский городской суд  направлено 5 административных материалов по статьям 15.12 ч.2,  19.5 ч.1, 6.6 КоАП РФ, по всем материалам вынесены постановления об административном наказании. На основании решения Пыть-Яхского городского суда в 2020 году приостановлена работа 1 предприятия  по производству пищевой продукции на срок от 70 суток. В ходе контрольно-надзорной деятельности в 2020 году  забракован</w:t>
      </w:r>
      <w:r w:rsidRPr="001679A1">
        <w:rPr>
          <w:rFonts w:ascii="Times New Roman" w:hAnsi="Times New Roman" w:cs="Times New Roman"/>
          <w:sz w:val="24"/>
          <w:szCs w:val="24"/>
        </w:rPr>
        <w:t>о</w:t>
      </w:r>
      <w:r>
        <w:rPr>
          <w:rFonts w:ascii="Times New Roman" w:hAnsi="Times New Roman" w:cs="Times New Roman"/>
          <w:sz w:val="24"/>
          <w:szCs w:val="24"/>
        </w:rPr>
        <w:t xml:space="preserve">  12</w:t>
      </w:r>
      <w:r w:rsidRPr="005D5EC3">
        <w:rPr>
          <w:rFonts w:ascii="Times New Roman" w:hAnsi="Times New Roman" w:cs="Times New Roman"/>
          <w:sz w:val="24"/>
          <w:szCs w:val="24"/>
        </w:rPr>
        <w:t xml:space="preserve"> партии некачественной продукции, объемом </w:t>
      </w:r>
      <w:r>
        <w:rPr>
          <w:rFonts w:ascii="Times New Roman" w:hAnsi="Times New Roman" w:cs="Times New Roman"/>
          <w:sz w:val="24"/>
          <w:szCs w:val="24"/>
        </w:rPr>
        <w:t>200</w:t>
      </w:r>
      <w:r w:rsidRPr="005D5EC3">
        <w:rPr>
          <w:rFonts w:ascii="Times New Roman" w:hAnsi="Times New Roman" w:cs="Times New Roman"/>
          <w:sz w:val="24"/>
          <w:szCs w:val="24"/>
        </w:rPr>
        <w:t xml:space="preserve"> кг.</w:t>
      </w:r>
      <w:r>
        <w:rPr>
          <w:rFonts w:ascii="Times New Roman" w:hAnsi="Times New Roman" w:cs="Times New Roman"/>
          <w:sz w:val="24"/>
          <w:szCs w:val="24"/>
        </w:rPr>
        <w:t xml:space="preserve"> Основными причинами забраковки пищевой продукции является продукция с истекшим сроком годности, продукция без сопроводительных документов, подтверждающих их происхождение, качество и безопасность, несоответствие продукции при лабораторном исследовании. </w:t>
      </w:r>
    </w:p>
    <w:p w:rsidR="004F742E" w:rsidRPr="008D125B" w:rsidRDefault="004F742E" w:rsidP="004F74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  целью снижения вредного воздействия потребления алкоголя в стране распоряжением   Правительства  Российской  Федерации от 30 декабря 2009 года №2128-р утверждена Концепция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2020г.,  целями  которой являются: </w:t>
      </w:r>
      <w:r>
        <w:rPr>
          <w:rFonts w:ascii="Times New Roman" w:hAnsi="Times New Roman" w:cs="Times New Roman"/>
          <w:color w:val="000000"/>
          <w:sz w:val="24"/>
          <w:szCs w:val="24"/>
        </w:rPr>
        <w:t xml:space="preserve">снижение уровня потребления алкогольной продукции;  повышение эффективности системы профилактики злоупотребления алкогольной продукцией; повышение эффективности регулирования алкогольного рынка. Специалистами ТО Роспотребнадзора в течение 2020 года при осуществлении надзора за производством и оборотом алкогольной продукции обследовано </w:t>
      </w:r>
      <w:r w:rsidRPr="003D7A51">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3D7A51">
        <w:rPr>
          <w:rFonts w:ascii="Times New Roman" w:hAnsi="Times New Roman" w:cs="Times New Roman"/>
          <w:color w:val="000000"/>
          <w:sz w:val="24"/>
          <w:szCs w:val="24"/>
        </w:rPr>
        <w:t xml:space="preserve"> предприятий занятых в области</w:t>
      </w:r>
      <w:r>
        <w:rPr>
          <w:rFonts w:ascii="Times New Roman" w:hAnsi="Times New Roman" w:cs="Times New Roman"/>
          <w:color w:val="000000"/>
          <w:sz w:val="24"/>
          <w:szCs w:val="24"/>
        </w:rPr>
        <w:t xml:space="preserve"> оборота алкоголя, </w:t>
      </w:r>
      <w:r>
        <w:rPr>
          <w:rFonts w:ascii="Times New Roman" w:hAnsi="Times New Roman" w:cs="Times New Roman"/>
          <w:sz w:val="24"/>
          <w:szCs w:val="24"/>
        </w:rPr>
        <w:t>из них 6 мероприятий с лабораторными исследованиями алкогольной продукции, всего исследовано 11 образцов алкогольной продукции. Образцы исследованных проб алкогольной продукции по исследованным  санитарно-химическим и микробиологическим показателям соответствуют  гигиеническим нормативам. В ходе проверок выявлены следующие нарушения:</w:t>
      </w:r>
      <w:r>
        <w:rPr>
          <w:rFonts w:ascii="Times New Roman" w:hAnsi="Times New Roman" w:cs="Times New Roman"/>
          <w:sz w:val="24"/>
          <w:szCs w:val="24"/>
          <w:lang w:bidi="en-US"/>
        </w:rPr>
        <w:t>отсутствует программа производственного контроля, не проводится производственный контроль факторов внешней среды,  алкогольной продукции, находящейся в реализации</w:t>
      </w:r>
      <w:r>
        <w:rPr>
          <w:rFonts w:ascii="Times New Roman" w:hAnsi="Times New Roman" w:cs="Times New Roman"/>
          <w:sz w:val="24"/>
          <w:szCs w:val="24"/>
        </w:rPr>
        <w:t>; отсутствует информация для потребителя о государственной регистрации и наименовании зарегистрировавшего  его органа, о наличие лицензии, ее номере,   сроке действия лицензии и органе ее выдавшем,</w:t>
      </w:r>
      <w:r>
        <w:rPr>
          <w:rFonts w:ascii="Times New Roman" w:hAnsi="Times New Roman" w:cs="Times New Roman"/>
          <w:sz w:val="24"/>
          <w:szCs w:val="24"/>
          <w:lang w:bidi="en-US"/>
        </w:rPr>
        <w:t xml:space="preserve"> в </w:t>
      </w:r>
      <w:r>
        <w:rPr>
          <w:rFonts w:ascii="Times New Roman" w:hAnsi="Times New Roman" w:cs="Times New Roman"/>
          <w:sz w:val="24"/>
          <w:szCs w:val="24"/>
        </w:rPr>
        <w:t>складском помещении для хранения алкогольной продукции отсутствует приточно-вытяжная вентиляция, контроль за температурно-влажностным режимом не осуществляется;</w:t>
      </w:r>
      <w:r>
        <w:rPr>
          <w:rFonts w:ascii="Times New Roman" w:hAnsi="Times New Roman" w:cs="Times New Roman"/>
          <w:sz w:val="24"/>
          <w:szCs w:val="24"/>
          <w:lang w:bidi="en-US"/>
        </w:rPr>
        <w:t xml:space="preserve"> о</w:t>
      </w:r>
      <w:r>
        <w:rPr>
          <w:rFonts w:ascii="Times New Roman" w:hAnsi="Times New Roman" w:cs="Times New Roman"/>
          <w:sz w:val="24"/>
          <w:szCs w:val="24"/>
        </w:rPr>
        <w:t>тсутствует информация о цене  реализуемой алкогольной продукции. По выявленным нарушениям при осуществлении надзора за оборотом алкогольной продукции составлены протоколы об административном правонарушении по ст. 14.43 ч.1,   14.8 ч. 1, 6.3 КоАП РФ</w:t>
      </w:r>
      <w:r w:rsidRPr="008D125B">
        <w:rPr>
          <w:rFonts w:ascii="Times New Roman" w:hAnsi="Times New Roman" w:cs="Times New Roman"/>
          <w:sz w:val="24"/>
          <w:szCs w:val="24"/>
        </w:rPr>
        <w:t xml:space="preserve">, снято с реализации  </w:t>
      </w:r>
      <w:r>
        <w:rPr>
          <w:rFonts w:ascii="Times New Roman" w:hAnsi="Times New Roman" w:cs="Times New Roman"/>
          <w:sz w:val="24"/>
          <w:szCs w:val="24"/>
        </w:rPr>
        <w:t>15</w:t>
      </w:r>
      <w:r w:rsidRPr="008D125B">
        <w:rPr>
          <w:rFonts w:ascii="Times New Roman" w:hAnsi="Times New Roman" w:cs="Times New Roman"/>
          <w:sz w:val="24"/>
          <w:szCs w:val="24"/>
        </w:rPr>
        <w:t xml:space="preserve"> литров алкогольной продукции</w:t>
      </w:r>
      <w:r>
        <w:rPr>
          <w:rFonts w:ascii="Times New Roman" w:hAnsi="Times New Roman" w:cs="Times New Roman"/>
          <w:sz w:val="24"/>
          <w:szCs w:val="24"/>
        </w:rPr>
        <w:t>.</w:t>
      </w:r>
    </w:p>
    <w:p w:rsidR="004F742E" w:rsidRDefault="004F742E" w:rsidP="004F742E">
      <w:pPr>
        <w:pStyle w:val="22"/>
        <w:numPr>
          <w:ilvl w:val="12"/>
          <w:numId w:val="0"/>
        </w:numPr>
        <w:jc w:val="both"/>
        <w:rPr>
          <w:sz w:val="24"/>
          <w:szCs w:val="24"/>
        </w:rPr>
      </w:pPr>
      <w:r>
        <w:rPr>
          <w:sz w:val="24"/>
          <w:szCs w:val="24"/>
        </w:rPr>
        <w:tab/>
        <w:t xml:space="preserve"> В последние годы большое внимание уделяется надзору за пищевой продукцией, содержащей генетически модифицированные организмы (ГМО). Создана законодательная, нормативная и методическая база, включающая все аспекты производства, оборота и контроля этой продукции, система оценки её безопасности, основанная на проведении комплекса медико-биологических, медико-генетических и технологических исследований. В  лаборатории автономного округа постоянно проводится пострегистрационный мониторинг за пищевыми продуктами, содержащими ГМО,  продуктов питания отобранных в предприятиях торговли Нефтеюганского региона, не соответствующих исследований не зарегистрировано. Мониторинг за производством и оборотом пищевых продуктов, содержащих ГМО, проводится на основании экспертизы сопроводительной документации, исследования образцов самой продукции в лаборатории ХМАО-Югры,  при проведении мероприятий по контролю на объектах.     В соответствии  с Постановлением Главного государственного санитарного врача РФ от 25.06.2007 г. №42  «Об утверждении СанПиН 2.3.2.2227-07»  с 01.09.2007 г. установлен пороговый уровень процентного содержания генетически модифицированного компонента – 0,9% для маркировки пищевых продуктов, полученных из ГМО. Продолжено исследование пищевых продуктов на ГМО:  так, в 2020 году исследовано 16 пробы пищевых продуктов на ГМО (2019 г. -24 проб, 2018г. - 17).  Расширен ассортимент продуктов, исследованных на ГМО: исследовались молочные продукты (творог, йогурты, кисломолочные продукты)   импортные фрукты и овощи, пиво, ГМО не обнаружены. </w:t>
      </w:r>
    </w:p>
    <w:p w:rsidR="004F742E" w:rsidRDefault="004F742E" w:rsidP="004F742E">
      <w:pPr>
        <w:pStyle w:val="22"/>
        <w:numPr>
          <w:ilvl w:val="12"/>
          <w:numId w:val="0"/>
        </w:numPr>
        <w:ind w:firstLine="720"/>
        <w:jc w:val="both"/>
        <w:rPr>
          <w:sz w:val="24"/>
          <w:szCs w:val="24"/>
        </w:rPr>
      </w:pPr>
      <w:r>
        <w:rPr>
          <w:sz w:val="24"/>
          <w:szCs w:val="24"/>
        </w:rPr>
        <w:t xml:space="preserve">Правильное питание обеспечивает нормальный рост и развитие детей, способствует профилактике заболеваний, продлению жизни людей, повышению работоспособности и создаёт условия для адекватной адаптации их к окружающей среде. Среди основных причин  большинства заболеваний – вредные условия труда, загрязнение окружающей среды, потребляемая в пищу некачественная вода и продукты питания. Сложившиеся в питании населения округа привычки,  отсутствие сбалансированного питания, отличные от принципов «рациональности» и «адекватности», снижают его способность оказывать профилактическое воздействие на соматическую заболеваемость и сдерживать ее рост, </w:t>
      </w:r>
      <w:r>
        <w:rPr>
          <w:sz w:val="24"/>
          <w:szCs w:val="24"/>
        </w:rPr>
        <w:lastRenderedPageBreak/>
        <w:t xml:space="preserve">проявлять корригирующее действие на физическое и психическое развитие детей и подростков, продолжительности жизни и здоровье нации в целом. </w:t>
      </w:r>
    </w:p>
    <w:p w:rsidR="004F742E" w:rsidRPr="00DB1CC0" w:rsidRDefault="004F742E" w:rsidP="004F742E">
      <w:pPr>
        <w:pStyle w:val="22"/>
        <w:numPr>
          <w:ilvl w:val="12"/>
          <w:numId w:val="0"/>
        </w:numPr>
        <w:ind w:firstLine="720"/>
        <w:jc w:val="both"/>
        <w:rPr>
          <w:rStyle w:val="FontStyle22"/>
          <w:sz w:val="24"/>
          <w:szCs w:val="24"/>
        </w:rPr>
      </w:pPr>
      <w:r>
        <w:rPr>
          <w:sz w:val="24"/>
          <w:szCs w:val="24"/>
        </w:rPr>
        <w:t>Одним из путей решения проблемы рационального питания является применение биологически активных добавок к пище (БАД),  оборот которых в последние годы значительно вырос  и на потребительском рынке находится большое количество как отечественных, так и импортных БАД. На территории г. Пыть-Ях в 2020 году на контроле состоит 12 объектов, занятых в области оборота БАД к пище.  Предприятия по производству биологически активных добавок в автономном округе не зарегистрированы.  В 2020 году в ходе контрольно-надзорных мероприятий проведены лабораторные исследования БАД и</w:t>
      </w:r>
      <w:r>
        <w:rPr>
          <w:rStyle w:val="FontStyle22"/>
          <w:sz w:val="24"/>
          <w:szCs w:val="24"/>
        </w:rPr>
        <w:t xml:space="preserve"> специализированной пищевой продукции </w:t>
      </w:r>
      <w:r>
        <w:rPr>
          <w:iCs/>
          <w:sz w:val="24"/>
          <w:szCs w:val="24"/>
        </w:rPr>
        <w:t>детского диетического лечебного питания</w:t>
      </w:r>
      <w:r>
        <w:rPr>
          <w:rStyle w:val="FontStyle22"/>
          <w:sz w:val="24"/>
          <w:szCs w:val="24"/>
        </w:rPr>
        <w:t>, всего исследовано 9 проб БАД, в том числе по санитарно-химическим показателям 6 проб, по микробиологическим показателям 6 проб,  на содержание биологически активных веществ 2 пробы,</w:t>
      </w:r>
      <w:r>
        <w:rPr>
          <w:sz w:val="24"/>
          <w:szCs w:val="24"/>
        </w:rPr>
        <w:t xml:space="preserve"> санитарно-эпидемиологическая экспертиза маркировки  2 образцов БАД, </w:t>
      </w:r>
      <w:r>
        <w:rPr>
          <w:rStyle w:val="FontStyle22"/>
          <w:sz w:val="24"/>
          <w:szCs w:val="24"/>
        </w:rPr>
        <w:t xml:space="preserve"> не соответствующих нормативным требованиям   по микробиологическим  и санитарно-химическим показателям не обнаружено.</w:t>
      </w:r>
      <w:r>
        <w:rPr>
          <w:sz w:val="24"/>
          <w:szCs w:val="24"/>
        </w:rPr>
        <w:t xml:space="preserve"> </w:t>
      </w:r>
      <w:r>
        <w:rPr>
          <w:color w:val="000000"/>
          <w:spacing w:val="-5"/>
          <w:sz w:val="24"/>
          <w:szCs w:val="24"/>
        </w:rPr>
        <w:t xml:space="preserve">При проверке реализуемой продукции фальсифицированных БАД, подлежащих изъятию из оборота, не обнаружено. </w:t>
      </w:r>
      <w:r>
        <w:rPr>
          <w:sz w:val="24"/>
          <w:szCs w:val="24"/>
        </w:rPr>
        <w:t xml:space="preserve"> В 2020 году в ходе контрольно-надзорных мероприятий по соблюдению норм санитарного законодательства при реализации БАД выявлены следующие основные нарушения: не проводится производственный контроль БАД на этапе реализации  в нарушение требований санитарного законодательства; в программу производственного контроля не включен полный перечень официально изданных санитарных норм и правил. По результатам проверок приняты меры административного реагирования, составлены протоколы об административном правонарушении  по ст. 6.3 КоАП РФ,  выданы предписания об устранении выявленных нарушений.</w:t>
      </w:r>
    </w:p>
    <w:p w:rsidR="004F742E" w:rsidRPr="00572F29" w:rsidRDefault="004F742E" w:rsidP="004F742E">
      <w:pPr>
        <w:widowControl w:val="0"/>
        <w:adjustRightInd w:val="0"/>
        <w:ind w:firstLine="708"/>
        <w:jc w:val="both"/>
      </w:pPr>
      <w:r>
        <w:rPr>
          <w:rStyle w:val="FontStyle22"/>
          <w:sz w:val="24"/>
          <w:szCs w:val="24"/>
        </w:rPr>
        <w:t xml:space="preserve"> В 2018-19 г.г. всего исследовано 30 проб БАД, в том числе по санитарно-химическим показателям 14 проб, по микробиологическим показателям 14 проб,  на содержание биологически активных веществ – 4 пробы, 4 пробы специализированной пищевой продукции для питания спортсменов, не соответствующих нормативным требованиям   по микробиологическим  и санитарно-химическим показателям не обнаружено. </w:t>
      </w:r>
      <w:r>
        <w:rPr>
          <w:rFonts w:ascii="Times New Roman" w:hAnsi="Times New Roman" w:cs="Times New Roman"/>
          <w:sz w:val="24"/>
          <w:szCs w:val="24"/>
        </w:rPr>
        <w:t>Проведена санитарно-эпидемиологическая экспертиза маркировки  20 образцов БАД, из них 3  образца БАД  не соответствуют требованиям нормативных документов в части маркировки, а именно: надписи трудночитаемы, отсутствует контрастность, что не позволяет прочитать всю имеющуюся информацию для потребителей. В 2018-19 г.г году в ходе контрольно-надзорных мероприятий по соблюдению норм санитарного законодательства при реализации БАД выявлены следующие основные нарушения: не проводится производственный контроль БАД на этапе реализации, установлены нарушения  прав потребителя в части представления информации, а именно, в удобном для ознакомления покупателя  месте отсутствует информация:   о государственной  регистрации юридического лица  и наименовании  зарегистрировавшего его   органа; о номере и сроке действия лицензии, а так же об органе ее выдавшем. По результатам проверок приняты меры административного реагирования, составлены протоколы об административном правонарушении  по ст. 6.3 КоАП РФ, 14.8 ч. 1, 15.12 ч.1 КоАП РФ,  выданы предписания об устранении выявленных нарушений. В 2018-2019 г.г. в ходе контрольно-надзорных мероприятий по соблюдению норм санитарного законодательства при реализации БАД выявлены  следующие нарушения:</w:t>
      </w:r>
      <w:r>
        <w:rPr>
          <w:rFonts w:ascii="Times New Roman" w:eastAsia="Calibri" w:hAnsi="Times New Roman" w:cs="Times New Roman"/>
          <w:sz w:val="24"/>
          <w:szCs w:val="24"/>
        </w:rPr>
        <w:t xml:space="preserve">не осуществляется производственный контроль за биологически активными добавками, программа производственного контроля отсутствует, </w:t>
      </w:r>
      <w:r>
        <w:rPr>
          <w:rFonts w:ascii="Times New Roman" w:hAnsi="Times New Roman" w:cs="Times New Roman"/>
          <w:sz w:val="24"/>
          <w:szCs w:val="24"/>
        </w:rPr>
        <w:t xml:space="preserve">при хранении БАД не соблюдаются условия хранения, установленные изготовителем; </w:t>
      </w:r>
      <w:r>
        <w:rPr>
          <w:rFonts w:ascii="Times New Roman" w:hAnsi="Times New Roman" w:cs="Times New Roman"/>
          <w:color w:val="000000"/>
          <w:sz w:val="24"/>
          <w:szCs w:val="24"/>
        </w:rPr>
        <w:t>в учреждениях н</w:t>
      </w:r>
      <w:r>
        <w:rPr>
          <w:rFonts w:ascii="Times New Roman" w:hAnsi="Times New Roman" w:cs="Times New Roman"/>
          <w:sz w:val="24"/>
          <w:szCs w:val="24"/>
        </w:rPr>
        <w:t xml:space="preserve">е проводится производственный контроль за состоянием факторов внешней среды (микроклимата) в местах хранения БАД. По результатам проверок приняты меры административного реагирования, составлены протоколы об административном правонарушении  по ст. 6.3 КоАП РФ, 14.43 ч. 1 КоАП РФ, ст. 14.15 КоАП РФ, выданы предписания об устранении </w:t>
      </w:r>
      <w:r>
        <w:rPr>
          <w:rFonts w:ascii="Times New Roman" w:hAnsi="Times New Roman" w:cs="Times New Roman"/>
          <w:sz w:val="24"/>
          <w:szCs w:val="24"/>
        </w:rPr>
        <w:lastRenderedPageBreak/>
        <w:t>выявленных нарушений.</w:t>
      </w:r>
    </w:p>
    <w:p w:rsidR="004F742E" w:rsidRDefault="004F742E" w:rsidP="004F742E">
      <w:pPr>
        <w:pStyle w:val="a5"/>
        <w:ind w:firstLine="708"/>
        <w:jc w:val="both"/>
        <w:rPr>
          <w:sz w:val="24"/>
          <w:szCs w:val="24"/>
        </w:rPr>
      </w:pPr>
      <w:r>
        <w:rPr>
          <w:sz w:val="24"/>
          <w:szCs w:val="24"/>
        </w:rPr>
        <w:t>Одним из основных направлений профилактики заболеваний обусловленных микронутриентной недостаточностью, является обогащение продуктов питания витаминами и микронутриентами в первую очередь в образовательных, лечебно-профилактических, оздоровительных учреждениях, учреждениях социальной защиты.  Использование в пищу йодированной соли признается нутрициологами и эндокринологами одним из наиболее действенных способов профилактики йод дефицитных состояний. В связи с этим в рамках реализации комплексных программ, направленных на снижение и предупреждение возникновения йод дефицита, санитарной службой города проводится работа по контролю за содержанием йода в йодированной соли и других продуктах питания. По результатам лабораторного контроля в  2020 г.  было исследовано 22 пробы соли,  в  2019 году – исследовано 22 пробы соли,   в 2018 году  - 24 проб соли, неудовлетворительных  результатов лабораторных исследований не выявлено.  В рационы питания детских дошкольных учреждений, школ, детских социальных учреждений, практически повсеместно, введены блюда из морской капусты, морепродуктов, хлебобулочные изделия с йодсодержащими препаратами, йодированное молоко, йодированное яйцо,  плавленые сырки с йодом, сухая морская капуста в качестве добавки ко вторым блюдам и закускам, йодированная соль.</w:t>
      </w:r>
    </w:p>
    <w:p w:rsidR="004F742E" w:rsidRDefault="004F742E" w:rsidP="004F742E">
      <w:pPr>
        <w:pStyle w:val="a5"/>
        <w:ind w:firstLine="708"/>
        <w:jc w:val="both"/>
        <w:rPr>
          <w:sz w:val="24"/>
          <w:szCs w:val="24"/>
        </w:rPr>
      </w:pPr>
      <w:r>
        <w:rPr>
          <w:sz w:val="24"/>
          <w:szCs w:val="24"/>
        </w:rPr>
        <w:t xml:space="preserve"> Для обогащения рациона  питания обучающихся и воспитанников витаминами и микронутриентами, для профилактики заболеваний, обусловленных дефицитом железа в питании обучающихся, воспитанников муниципальных образовательных учреждений включены следующие продукты: ягоды свежие брусника, клюква, чёрная смородина, плоды шиповника; свежие фрукты (апельсины, лимоны, яблоки и т.п.); ламинария, содержащая в своем составе йод, железо, магний; овощи свежие, зелень; крупы: гречневая, кукурузная, ячменная, ячневая и т.д. содержащие в своем составе витамины группы «В», «Р», «РР», микронутриенты «К», «Са», «М</w:t>
      </w:r>
      <w:r>
        <w:rPr>
          <w:sz w:val="24"/>
          <w:szCs w:val="24"/>
          <w:lang w:val="en-US"/>
        </w:rPr>
        <w:t>g</w:t>
      </w:r>
      <w:r>
        <w:rPr>
          <w:sz w:val="24"/>
          <w:szCs w:val="24"/>
        </w:rPr>
        <w:t>», «</w:t>
      </w:r>
      <w:r>
        <w:rPr>
          <w:sz w:val="24"/>
          <w:szCs w:val="24"/>
          <w:lang w:val="en-US"/>
        </w:rPr>
        <w:t>Fe</w:t>
      </w:r>
      <w:r>
        <w:rPr>
          <w:sz w:val="24"/>
          <w:szCs w:val="24"/>
        </w:rPr>
        <w:t xml:space="preserve">» и т.п.; соки и нектары обогащенные витаминами и (или) минералами (витамин «С», кальцием, железом и т.п.); кондитерские мучные изделия (промышленного изготовления) обогащённые  железом и кальцием; бакалейные изделия: какао обогащённое витамином «С».  </w:t>
      </w:r>
    </w:p>
    <w:p w:rsidR="004F742E" w:rsidRDefault="004F742E" w:rsidP="004F742E">
      <w:pPr>
        <w:pStyle w:val="a5"/>
        <w:ind w:firstLine="708"/>
        <w:jc w:val="both"/>
        <w:rPr>
          <w:b/>
          <w:sz w:val="24"/>
          <w:szCs w:val="24"/>
        </w:rPr>
      </w:pPr>
      <w:r>
        <w:rPr>
          <w:sz w:val="24"/>
          <w:szCs w:val="24"/>
        </w:rPr>
        <w:t xml:space="preserve">В течение 2020 года работниками муниципальной системы здравоохранения велась активная работа по гигиеническому обучению населения, в том числе формированию здорового образа жизни и рациональному (сбалансированному и витаминизированному) питанию: теле-трансляции видеоролика по здоровому образу жизни рациональному питанию и грудному вскармливанию;публикации в средствах массовой информации по рациональному питанию (лечебное питание при артериальной гипертонии, здоровое питание; качество еды-качество жизни; рациональный выход из постов; рациональное построение повседневных пищевых рационов; физиология поста и прочие); лектории с преподавателями образовательных учреждений по теме рационального питания.  В работе общеобразовательных организациях используются образовательные программы, направленные на формирование культуры здоровья у детей и подростков: образовательная программа «Разговор о правильном питании» (1-2 классы), «Две недели в лагере здоровья» (3-4 классы), «Формула правильного питания» (5-6 классы), разработанная Институтом возрастной физиологии Российской академии образования; программа «Здоровье школьника» разработанная НИИ гигиены и охраны здоровья детей и подростков Российской академии медицинских наук. </w:t>
      </w:r>
    </w:p>
    <w:p w:rsidR="004F742E" w:rsidRDefault="004F742E" w:rsidP="004F742E">
      <w:pPr>
        <w:spacing w:line="240" w:lineRule="auto"/>
        <w:ind w:firstLine="708"/>
        <w:jc w:val="both"/>
        <w:rPr>
          <w:rFonts w:ascii="Times New Roman" w:hAnsi="Times New Roman" w:cs="Times New Roman"/>
          <w:b/>
          <w:sz w:val="24"/>
          <w:szCs w:val="24"/>
        </w:rPr>
      </w:pPr>
      <w:r>
        <w:rPr>
          <w:rFonts w:ascii="Times New Roman" w:hAnsi="Times New Roman" w:cs="Times New Roman"/>
          <w:sz w:val="24"/>
          <w:szCs w:val="24"/>
        </w:rPr>
        <w:t>Растет сеть специализированных торговых предприятий и отделов по реализации диетических продуктов питания.  Практически повсеместно в торговой сети имеется широкий выбор питьевой, минеральной и искусственно минерализованной воды отечественного и импортного производства с содержанием йода: «Тюменская», «Янтарная слеза», «Ваше здоровье+», «Благовест», «Архыз», «Курган» и другие. Аптечная сеть округа располагает большим ассортиментом лечебно-профилактических препаратов, биологически-активных добавок к пище: калий йодид-100, йодид-200, антиструмин, «Йод-актив», «Йодомарин», «Фито-йод», «Кламин», йодированные леденцы, дрожжи с йодом, разнообразные минерально-витаминные и поливитаминные комплексы.</w:t>
      </w:r>
    </w:p>
    <w:p w:rsidR="004F742E" w:rsidRPr="006F6B2C" w:rsidRDefault="004F742E" w:rsidP="004F742E">
      <w:pPr>
        <w:spacing w:line="240" w:lineRule="auto"/>
        <w:ind w:firstLine="708"/>
        <w:jc w:val="both"/>
        <w:rPr>
          <w:rFonts w:ascii="Times New Roman" w:hAnsi="Times New Roman" w:cs="Times New Roman"/>
          <w:b/>
          <w:sz w:val="24"/>
          <w:szCs w:val="24"/>
        </w:rPr>
      </w:pPr>
      <w:r>
        <w:rPr>
          <w:rFonts w:ascii="Times New Roman" w:hAnsi="Times New Roman" w:cs="Times New Roman"/>
          <w:sz w:val="24"/>
          <w:szCs w:val="24"/>
        </w:rPr>
        <w:lastRenderedPageBreak/>
        <w:t xml:space="preserve">В целях возмещения природного недостатка йода, других микронутриентов и жизненно необходимых веществ в </w:t>
      </w:r>
      <w:r>
        <w:rPr>
          <w:rFonts w:ascii="Times New Roman" w:hAnsi="Times New Roman" w:cs="Times New Roman"/>
          <w:bCs/>
          <w:sz w:val="24"/>
          <w:szCs w:val="24"/>
        </w:rPr>
        <w:t xml:space="preserve">ОАО «ХлебокомбинатНефтеюганский» г. Нефтеюганск производится хлеб  «Молочный отрубяной» и хлеб «8 злаков», при выпечке хлеба используется  йодированная соль. </w:t>
      </w:r>
      <w:r>
        <w:rPr>
          <w:rFonts w:ascii="Times New Roman" w:hAnsi="Times New Roman" w:cs="Times New Roman"/>
          <w:sz w:val="24"/>
          <w:szCs w:val="24"/>
        </w:rPr>
        <w:t xml:space="preserve">Так же в город доставляется  обогащенная микронутриенатами и йодом продукция  из г. Москвы и Московской области, г. Санкт-Петербурга, Пермской области, Курганской области, Свердловской области, Тюменской области, Омской области, Новосибирской области, Самарской области, Республики Башкортостан, Республики Удмуртия. </w:t>
      </w:r>
      <w:r>
        <w:rPr>
          <w:rFonts w:ascii="Times New Roman" w:hAnsi="Times New Roman" w:cs="Times New Roman"/>
          <w:sz w:val="24"/>
          <w:szCs w:val="24"/>
        </w:rPr>
        <w:tab/>
      </w:r>
    </w:p>
    <w:p w:rsidR="002914EB" w:rsidRDefault="002914EB" w:rsidP="002914EB">
      <w:pPr>
        <w:jc w:val="center"/>
      </w:pPr>
      <w:r>
        <w:rPr>
          <w:rFonts w:ascii="Times New Roman" w:hAnsi="Times New Roman"/>
          <w:b/>
          <w:sz w:val="24"/>
          <w:szCs w:val="24"/>
        </w:rPr>
        <w:t xml:space="preserve">2.2.2. Результаты деятельности по безопасности условий труда </w:t>
      </w:r>
    </w:p>
    <w:p w:rsidR="002914EB" w:rsidRPr="00A729B4" w:rsidRDefault="002914EB" w:rsidP="00946F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A729B4">
        <w:rPr>
          <w:rFonts w:ascii="Times New Roman" w:hAnsi="Times New Roman"/>
          <w:sz w:val="24"/>
          <w:szCs w:val="24"/>
        </w:rPr>
        <w:t>В</w:t>
      </w:r>
      <w:r w:rsidRPr="00A729B4">
        <w:rPr>
          <w:rFonts w:ascii="Bauhaus 93" w:hAnsi="Bauhaus 93"/>
          <w:sz w:val="24"/>
          <w:szCs w:val="24"/>
        </w:rPr>
        <w:t xml:space="preserve"> </w:t>
      </w:r>
      <w:r>
        <w:rPr>
          <w:rFonts w:ascii="Times New Roman" w:hAnsi="Times New Roman"/>
          <w:sz w:val="24"/>
          <w:szCs w:val="24"/>
        </w:rPr>
        <w:t>2020</w:t>
      </w:r>
      <w:r w:rsidRPr="00A729B4">
        <w:rPr>
          <w:rFonts w:ascii="Times New Roman" w:hAnsi="Times New Roman"/>
          <w:sz w:val="24"/>
          <w:szCs w:val="24"/>
        </w:rPr>
        <w:t xml:space="preserve"> году</w:t>
      </w:r>
      <w:r w:rsidRPr="00A729B4">
        <w:rPr>
          <w:rFonts w:ascii="Bauhaus 93" w:hAnsi="Bauhaus 93"/>
          <w:sz w:val="24"/>
          <w:szCs w:val="24"/>
        </w:rPr>
        <w:t xml:space="preserve"> </w:t>
      </w:r>
      <w:r w:rsidRPr="00A729B4">
        <w:rPr>
          <w:rFonts w:ascii="Times New Roman" w:hAnsi="Times New Roman"/>
          <w:sz w:val="24"/>
          <w:szCs w:val="24"/>
        </w:rPr>
        <w:t>специалистами</w:t>
      </w:r>
      <w:r w:rsidRPr="00A729B4">
        <w:rPr>
          <w:rFonts w:ascii="Bauhaus 93" w:hAnsi="Bauhaus 93"/>
          <w:sz w:val="24"/>
          <w:szCs w:val="24"/>
        </w:rPr>
        <w:t xml:space="preserve"> </w:t>
      </w:r>
      <w:r w:rsidRPr="00A729B4">
        <w:rPr>
          <w:rFonts w:ascii="Times New Roman" w:hAnsi="Times New Roman"/>
          <w:sz w:val="24"/>
          <w:szCs w:val="24"/>
        </w:rPr>
        <w:t>территориального</w:t>
      </w:r>
      <w:r w:rsidRPr="00A729B4">
        <w:rPr>
          <w:rFonts w:ascii="Bauhaus 93" w:hAnsi="Bauhaus 93"/>
          <w:sz w:val="24"/>
          <w:szCs w:val="24"/>
        </w:rPr>
        <w:t xml:space="preserve"> </w:t>
      </w:r>
      <w:r w:rsidRPr="00A729B4">
        <w:rPr>
          <w:rFonts w:ascii="Times New Roman" w:hAnsi="Times New Roman"/>
          <w:sz w:val="24"/>
          <w:szCs w:val="24"/>
        </w:rPr>
        <w:t>отдела</w:t>
      </w:r>
      <w:r w:rsidRPr="00A729B4">
        <w:rPr>
          <w:rFonts w:ascii="Bauhaus 93" w:hAnsi="Bauhaus 93"/>
          <w:sz w:val="24"/>
          <w:szCs w:val="24"/>
        </w:rPr>
        <w:t xml:space="preserve"> </w:t>
      </w:r>
      <w:r w:rsidRPr="00A729B4">
        <w:rPr>
          <w:rFonts w:ascii="Times New Roman" w:hAnsi="Times New Roman"/>
          <w:sz w:val="24"/>
          <w:szCs w:val="24"/>
        </w:rPr>
        <w:t>Управления</w:t>
      </w:r>
      <w:r w:rsidRPr="00A729B4">
        <w:rPr>
          <w:rFonts w:ascii="Bauhaus 93" w:hAnsi="Bauhaus 93"/>
          <w:sz w:val="24"/>
          <w:szCs w:val="24"/>
        </w:rPr>
        <w:t xml:space="preserve">  </w:t>
      </w:r>
      <w:r w:rsidRPr="00A729B4">
        <w:rPr>
          <w:rFonts w:ascii="Times New Roman" w:hAnsi="Times New Roman"/>
          <w:sz w:val="24"/>
          <w:szCs w:val="24"/>
        </w:rPr>
        <w:t>Роспотребнадзора</w:t>
      </w:r>
      <w:r w:rsidRPr="00A729B4">
        <w:rPr>
          <w:rFonts w:ascii="Bauhaus 93" w:hAnsi="Bauhaus 93"/>
          <w:sz w:val="24"/>
          <w:szCs w:val="24"/>
        </w:rPr>
        <w:t xml:space="preserve"> </w:t>
      </w:r>
      <w:r w:rsidRPr="00A729B4">
        <w:rPr>
          <w:rFonts w:ascii="Times New Roman" w:hAnsi="Times New Roman"/>
          <w:sz w:val="24"/>
          <w:szCs w:val="24"/>
        </w:rPr>
        <w:t>в</w:t>
      </w:r>
      <w:r w:rsidRPr="00A729B4">
        <w:rPr>
          <w:rFonts w:ascii="Bauhaus 93" w:hAnsi="Bauhaus 93"/>
          <w:sz w:val="24"/>
          <w:szCs w:val="24"/>
        </w:rPr>
        <w:t xml:space="preserve"> </w:t>
      </w:r>
      <w:r w:rsidRPr="00A729B4">
        <w:rPr>
          <w:rFonts w:ascii="Times New Roman" w:hAnsi="Times New Roman"/>
          <w:sz w:val="24"/>
          <w:szCs w:val="24"/>
        </w:rPr>
        <w:t>г.г. Нефтеюганске, Пыть-Яхе и Нефтеюганском районе проводилась работа по изучению влияния на организм человека трудового процесса по каждому отдельно взятому предприятию, факторов производственной среды с целью профилактики профессиональных заболеваний (отравлений) и др. неблагоприятных последствий воздействия условий труда на работающих. Основной задачей является проведение совместно со специалистами филиала ФБУЗ «Центр гигиены и эпидемиологии» качественной и количественной оценки воздействий условий труда на организм работающих, с целью проведения разработки программ производственного контроля, способных обеспечить максимальное снижение вредного влияния производственных факторов на организм работающих и недопущение развитие профессиональных заболеваний (отравлений).</w:t>
      </w:r>
    </w:p>
    <w:p w:rsidR="002914EB" w:rsidRDefault="002914EB" w:rsidP="00946FE0">
      <w:pPr>
        <w:suppressAutoHyphen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4"/>
          <w:lang w:eastAsia="ru-RU"/>
        </w:rPr>
        <w:t xml:space="preserve">        </w:t>
      </w:r>
      <w:r w:rsidRPr="00CE50B9">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г. Пыть-Ях зарегистрировано 59</w:t>
      </w:r>
      <w:r w:rsidRPr="002912DB">
        <w:rPr>
          <w:rFonts w:ascii="Times New Roman" w:eastAsia="Times New Roman" w:hAnsi="Times New Roman"/>
          <w:sz w:val="24"/>
          <w:szCs w:val="24"/>
          <w:lang w:eastAsia="ru-RU"/>
        </w:rPr>
        <w:t xml:space="preserve"> промышленных предприятий, кол-во работающих </w:t>
      </w:r>
      <w:r>
        <w:rPr>
          <w:rFonts w:ascii="Times New Roman" w:hAnsi="Times New Roman"/>
          <w:sz w:val="24"/>
          <w:szCs w:val="24"/>
        </w:rPr>
        <w:t>10910</w:t>
      </w:r>
      <w:r w:rsidRPr="0057172D">
        <w:rPr>
          <w:rFonts w:ascii="Times New Roman" w:eastAsia="Times New Roman" w:hAnsi="Times New Roman"/>
          <w:sz w:val="24"/>
          <w:szCs w:val="24"/>
          <w:lang w:eastAsia="ru-RU"/>
        </w:rPr>
        <w:t xml:space="preserve"> в</w:t>
      </w:r>
      <w:r w:rsidRPr="002912DB">
        <w:rPr>
          <w:rFonts w:ascii="Times New Roman" w:eastAsia="Times New Roman" w:hAnsi="Times New Roman"/>
          <w:sz w:val="24"/>
          <w:szCs w:val="24"/>
          <w:lang w:eastAsia="ru-RU"/>
        </w:rPr>
        <w:t xml:space="preserve"> т</w:t>
      </w:r>
      <w:r>
        <w:rPr>
          <w:rFonts w:ascii="Times New Roman" w:eastAsia="Times New Roman" w:hAnsi="Times New Roman"/>
          <w:sz w:val="24"/>
          <w:szCs w:val="24"/>
          <w:lang w:eastAsia="ru-RU"/>
        </w:rPr>
        <w:t xml:space="preserve"> </w:t>
      </w:r>
      <w:r w:rsidRPr="002912DB">
        <w:rPr>
          <w:rFonts w:ascii="Times New Roman" w:eastAsia="Times New Roman" w:hAnsi="Times New Roman"/>
          <w:sz w:val="24"/>
          <w:szCs w:val="24"/>
          <w:lang w:eastAsia="ru-RU"/>
        </w:rPr>
        <w:t xml:space="preserve">.ч. женщин </w:t>
      </w:r>
      <w:r>
        <w:rPr>
          <w:rFonts w:ascii="Times New Roman" w:eastAsia="Times New Roman" w:hAnsi="Times New Roman"/>
          <w:sz w:val="24"/>
          <w:szCs w:val="24"/>
          <w:lang w:eastAsia="ru-RU"/>
        </w:rPr>
        <w:t>1990</w:t>
      </w:r>
      <w:r w:rsidRPr="002912DB">
        <w:rPr>
          <w:rFonts w:ascii="Times New Roman" w:eastAsia="Times New Roman" w:hAnsi="Times New Roman"/>
          <w:sz w:val="24"/>
          <w:szCs w:val="28"/>
          <w:lang w:eastAsia="ru-RU"/>
        </w:rPr>
        <w:t>, подростков 0.</w:t>
      </w:r>
    </w:p>
    <w:p w:rsidR="002914EB" w:rsidRDefault="002914EB" w:rsidP="00946FE0">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CD2655">
        <w:rPr>
          <w:rFonts w:ascii="Times New Roman" w:hAnsi="Times New Roman"/>
          <w:sz w:val="24"/>
          <w:szCs w:val="24"/>
        </w:rPr>
        <w:t xml:space="preserve">Основная доля промышленных благополучных предприятий приходится на предприятия, занимающиеся добычей сырой нефти и природного газа, а также оказывающих услуги в данной области и составляет </w:t>
      </w:r>
      <w:r>
        <w:rPr>
          <w:rFonts w:ascii="Times New Roman" w:hAnsi="Times New Roman"/>
          <w:sz w:val="24"/>
          <w:szCs w:val="24"/>
        </w:rPr>
        <w:t>37</w:t>
      </w:r>
      <w:r w:rsidRPr="00CD2655">
        <w:rPr>
          <w:rFonts w:ascii="Times New Roman" w:hAnsi="Times New Roman"/>
          <w:sz w:val="24"/>
          <w:szCs w:val="24"/>
        </w:rPr>
        <w:t xml:space="preserve"> % от общей численности промышленных предприятий, находящихся на контроле. Из </w:t>
      </w:r>
      <w:r>
        <w:rPr>
          <w:rFonts w:ascii="Times New Roman" w:hAnsi="Times New Roman"/>
          <w:sz w:val="24"/>
          <w:szCs w:val="24"/>
        </w:rPr>
        <w:t xml:space="preserve">57 </w:t>
      </w:r>
      <w:r w:rsidRPr="00CD2655">
        <w:rPr>
          <w:rFonts w:ascii="Times New Roman" w:hAnsi="Times New Roman"/>
          <w:sz w:val="24"/>
          <w:szCs w:val="24"/>
        </w:rPr>
        <w:t xml:space="preserve">промышленных объектов к нефтедобывающей промышленности относится  </w:t>
      </w:r>
      <w:r>
        <w:rPr>
          <w:rFonts w:ascii="Times New Roman" w:hAnsi="Times New Roman"/>
          <w:sz w:val="24"/>
          <w:szCs w:val="24"/>
        </w:rPr>
        <w:t>24  предприятия</w:t>
      </w:r>
      <w:r w:rsidRPr="00A729B4">
        <w:rPr>
          <w:rFonts w:ascii="Times New Roman" w:hAnsi="Times New Roman"/>
          <w:sz w:val="24"/>
          <w:szCs w:val="24"/>
        </w:rPr>
        <w:t xml:space="preserve"> с общей численностью </w:t>
      </w:r>
      <w:r>
        <w:rPr>
          <w:rFonts w:ascii="Times New Roman" w:hAnsi="Times New Roman"/>
          <w:sz w:val="24"/>
          <w:szCs w:val="24"/>
        </w:rPr>
        <w:t xml:space="preserve">6367 </w:t>
      </w:r>
      <w:r w:rsidRPr="00A729B4">
        <w:rPr>
          <w:rFonts w:ascii="Times New Roman" w:hAnsi="Times New Roman"/>
          <w:sz w:val="24"/>
          <w:szCs w:val="24"/>
        </w:rPr>
        <w:t xml:space="preserve">человек, из них женщин  </w:t>
      </w:r>
      <w:r>
        <w:rPr>
          <w:rFonts w:ascii="Times New Roman" w:hAnsi="Times New Roman"/>
          <w:sz w:val="24"/>
          <w:szCs w:val="24"/>
        </w:rPr>
        <w:t>1050.</w:t>
      </w:r>
    </w:p>
    <w:p w:rsidR="002914EB" w:rsidRPr="00A729B4" w:rsidRDefault="002914EB" w:rsidP="00946FE0">
      <w:pPr>
        <w:spacing w:after="0" w:line="240" w:lineRule="auto"/>
        <w:jc w:val="both"/>
        <w:rPr>
          <w:rFonts w:ascii="Times New Roman" w:hAnsi="Times New Roman"/>
          <w:sz w:val="24"/>
          <w:szCs w:val="24"/>
        </w:rPr>
      </w:pPr>
      <w:r w:rsidRPr="00A729B4">
        <w:rPr>
          <w:rFonts w:ascii="Times New Roman" w:hAnsi="Times New Roman"/>
          <w:sz w:val="24"/>
          <w:szCs w:val="24"/>
        </w:rPr>
        <w:t xml:space="preserve">       </w:t>
      </w:r>
      <w:r w:rsidRPr="00CD2655">
        <w:rPr>
          <w:rFonts w:ascii="Times New Roman" w:hAnsi="Times New Roman"/>
          <w:sz w:val="24"/>
          <w:szCs w:val="24"/>
        </w:rPr>
        <w:t xml:space="preserve">В данной отрасли промышленности широко финансируются проекты по обеспечению благоприятных условий труда работающих, ведется строительство новых и реконструкция существующих производственных зданий и сооружений, устройство административно-бытовых зданий, реконструкция санитарно-технических систем и оборудования, отопления, вентиляции, освещения и т.д. </w:t>
      </w:r>
    </w:p>
    <w:p w:rsidR="002914EB" w:rsidRPr="00946FE0" w:rsidRDefault="002914EB" w:rsidP="00946FE0">
      <w:pPr>
        <w:spacing w:after="0" w:line="240" w:lineRule="auto"/>
        <w:jc w:val="both"/>
        <w:rPr>
          <w:rFonts w:ascii="Times New Roman" w:eastAsia="Times New Roman" w:hAnsi="Times New Roman"/>
          <w:lang w:eastAsia="ru-RU"/>
        </w:rPr>
      </w:pPr>
      <w:r>
        <w:t xml:space="preserve">           </w:t>
      </w:r>
      <w:r w:rsidRPr="00A729B4">
        <w:rPr>
          <w:rFonts w:ascii="Times New Roman" w:eastAsia="Times New Roman" w:hAnsi="Times New Roman" w:cs="Calibri"/>
          <w:sz w:val="24"/>
          <w:szCs w:val="24"/>
          <w:lang w:eastAsia="ru-RU"/>
        </w:rPr>
        <w:t>За последние годы по прежнему</w:t>
      </w:r>
      <w:r w:rsidR="00946FE0">
        <w:rPr>
          <w:rFonts w:ascii="Times New Roman" w:eastAsia="Times New Roman" w:hAnsi="Times New Roman" w:cs="Calibri"/>
          <w:sz w:val="24"/>
          <w:szCs w:val="24"/>
          <w:lang w:eastAsia="ru-RU"/>
        </w:rPr>
        <w:t>,</w:t>
      </w:r>
      <w:r w:rsidRPr="00A729B4">
        <w:rPr>
          <w:rFonts w:ascii="Times New Roman" w:eastAsia="Times New Roman" w:hAnsi="Times New Roman" w:cs="Calibri"/>
          <w:sz w:val="24"/>
          <w:szCs w:val="24"/>
          <w:lang w:eastAsia="ru-RU"/>
        </w:rPr>
        <w:t xml:space="preserve"> прослеживается положительная тенденция к улучшению условий труда на промышленных предприятиях нефтедобывающей отрасли.</w:t>
      </w:r>
    </w:p>
    <w:p w:rsidR="002914EB" w:rsidRPr="00A729B4" w:rsidRDefault="002914EB" w:rsidP="002914EB">
      <w:pPr>
        <w:spacing w:after="0" w:line="240" w:lineRule="auto"/>
        <w:ind w:firstLine="720"/>
        <w:jc w:val="both"/>
        <w:rPr>
          <w:rFonts w:ascii="Times New Roman" w:eastAsia="Times New Roman" w:hAnsi="Times New Roman" w:cs="Calibri"/>
          <w:sz w:val="24"/>
          <w:szCs w:val="24"/>
          <w:lang w:eastAsia="ru-RU"/>
        </w:rPr>
      </w:pPr>
      <w:r w:rsidRPr="00A729B4">
        <w:rPr>
          <w:rFonts w:ascii="Times New Roman" w:eastAsia="Times New Roman" w:hAnsi="Times New Roman" w:cs="Calibri"/>
          <w:sz w:val="24"/>
          <w:szCs w:val="24"/>
          <w:lang w:eastAsia="ru-RU"/>
        </w:rPr>
        <w:t>В данной отрасли промышленности создаются довольно серьезные предпосылки для обеспечения благоприятных условий труда работающим: ведется строительство новых и реконструкция существующих производственных зданий и сооружений; устройство административно-бытовых зданий; реконструкция санитарно-технических систем и оборудования – отопления, вентиляции, освещения и т.д. Устаревшее оборудование заменяется на современное. Администрацией предприятий целенаправленно проводятся работы по модернизации производства, внедрению современного оборудования и технологических процессов, особое внимание уделяется условиям труда и быта работающих, обеспечению спецодеждой.</w:t>
      </w:r>
    </w:p>
    <w:p w:rsidR="002914EB" w:rsidRPr="00A729B4" w:rsidRDefault="002914EB" w:rsidP="002914EB">
      <w:pPr>
        <w:spacing w:after="0" w:line="240" w:lineRule="auto"/>
        <w:ind w:firstLine="720"/>
        <w:jc w:val="both"/>
        <w:rPr>
          <w:rFonts w:ascii="Times New Roman" w:eastAsia="Times New Roman" w:hAnsi="Times New Roman" w:cs="Calibri"/>
          <w:sz w:val="24"/>
          <w:szCs w:val="24"/>
          <w:lang w:eastAsia="ru-RU"/>
        </w:rPr>
      </w:pPr>
      <w:r w:rsidRPr="00A729B4">
        <w:rPr>
          <w:rFonts w:ascii="Times New Roman" w:eastAsia="Times New Roman" w:hAnsi="Times New Roman" w:cs="Calibri"/>
          <w:sz w:val="24"/>
          <w:szCs w:val="24"/>
          <w:lang w:eastAsia="ru-RU"/>
        </w:rPr>
        <w:t>Наибольшее число работников</w:t>
      </w:r>
      <w:r w:rsidR="00946FE0">
        <w:rPr>
          <w:rFonts w:ascii="Times New Roman" w:eastAsia="Times New Roman" w:hAnsi="Times New Roman" w:cs="Calibri"/>
          <w:sz w:val="24"/>
          <w:szCs w:val="24"/>
          <w:lang w:eastAsia="ru-RU"/>
        </w:rPr>
        <w:t>,</w:t>
      </w:r>
      <w:r w:rsidRPr="00A729B4">
        <w:rPr>
          <w:rFonts w:ascii="Times New Roman" w:eastAsia="Times New Roman" w:hAnsi="Times New Roman" w:cs="Calibri"/>
          <w:sz w:val="24"/>
          <w:szCs w:val="24"/>
          <w:lang w:eastAsia="ru-RU"/>
        </w:rPr>
        <w:t xml:space="preserve"> занятых во вредных и опасных условиях труда, занято на предприятиях с негосударственной формой собственности, т.е. более половины работников промышленных предприятий округа подвергается значительно большему риску утраты здоровья, работая на предприятиях негосударственной формы собственности.</w:t>
      </w:r>
    </w:p>
    <w:p w:rsidR="002914EB" w:rsidRPr="00A729B4" w:rsidRDefault="00946FE0" w:rsidP="002914EB">
      <w:pPr>
        <w:spacing w:after="0" w:line="240" w:lineRule="auto"/>
        <w:ind w:firstLine="720"/>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Однако </w:t>
      </w:r>
      <w:r w:rsidR="002914EB" w:rsidRPr="00A729B4">
        <w:rPr>
          <w:rFonts w:ascii="Times New Roman" w:eastAsia="Times New Roman" w:hAnsi="Times New Roman" w:cs="Calibri"/>
          <w:sz w:val="24"/>
          <w:szCs w:val="24"/>
          <w:lang w:eastAsia="ru-RU"/>
        </w:rPr>
        <w:t xml:space="preserve">условия труда и быта, работающих на предприятиях строительства, транспорта, лесозаготовки и жилищно-коммунального хозяйства, особенно среднего и малого бизнеса, вызывают тревогу и озабоченность. По-прежнему много грубых нарушений санитарного законодательства в области охраны труда и профилактики </w:t>
      </w:r>
      <w:r w:rsidR="002914EB" w:rsidRPr="00A729B4">
        <w:rPr>
          <w:rFonts w:ascii="Times New Roman" w:eastAsia="Times New Roman" w:hAnsi="Times New Roman" w:cs="Calibri"/>
          <w:sz w:val="24"/>
          <w:szCs w:val="24"/>
          <w:lang w:eastAsia="ru-RU"/>
        </w:rPr>
        <w:lastRenderedPageBreak/>
        <w:t>профессиональных заболеваний выявляется на предприятиях мало</w:t>
      </w:r>
      <w:r>
        <w:rPr>
          <w:rFonts w:ascii="Times New Roman" w:eastAsia="Times New Roman" w:hAnsi="Times New Roman" w:cs="Calibri"/>
          <w:sz w:val="24"/>
          <w:szCs w:val="24"/>
          <w:lang w:eastAsia="ru-RU"/>
        </w:rPr>
        <w:t xml:space="preserve">го и среднего бизнеса, которые </w:t>
      </w:r>
      <w:r w:rsidR="002914EB" w:rsidRPr="00A729B4">
        <w:rPr>
          <w:rFonts w:ascii="Times New Roman" w:eastAsia="Times New Roman" w:hAnsi="Times New Roman" w:cs="Calibri"/>
          <w:sz w:val="24"/>
          <w:szCs w:val="24"/>
          <w:lang w:eastAsia="ru-RU"/>
        </w:rPr>
        <w:t>открываются самостоятельно без заключений санитарной службы о соответствии таких объектов требованиям санитарного законодательства и которые  крайне неохотно вкладывают средства в создание оптимальных условий труда.</w:t>
      </w:r>
    </w:p>
    <w:p w:rsidR="002914EB" w:rsidRPr="00A729B4" w:rsidRDefault="002914EB" w:rsidP="002914EB">
      <w:pPr>
        <w:spacing w:after="0" w:line="240" w:lineRule="auto"/>
        <w:ind w:firstLine="720"/>
        <w:jc w:val="both"/>
        <w:rPr>
          <w:rFonts w:ascii="Times New Roman" w:eastAsia="Times New Roman" w:hAnsi="Times New Roman" w:cs="Calibri"/>
          <w:sz w:val="24"/>
          <w:szCs w:val="24"/>
          <w:lang w:eastAsia="ru-RU"/>
        </w:rPr>
      </w:pPr>
      <w:r w:rsidRPr="00A729B4">
        <w:rPr>
          <w:rFonts w:ascii="Times New Roman" w:eastAsia="Times New Roman" w:hAnsi="Times New Roman" w:cs="Calibri"/>
          <w:sz w:val="24"/>
          <w:szCs w:val="24"/>
          <w:lang w:eastAsia="ru-RU"/>
        </w:rPr>
        <w:t xml:space="preserve">На данных предприятиях не разрабатываются комплексные планы по улучшению условий труда, не осуществляется производственный контроль на рабочих местах </w:t>
      </w:r>
      <w:r w:rsidR="00946FE0">
        <w:rPr>
          <w:rFonts w:ascii="Times New Roman" w:eastAsia="Times New Roman" w:hAnsi="Times New Roman" w:cs="Calibri"/>
          <w:sz w:val="24"/>
          <w:szCs w:val="24"/>
          <w:lang w:eastAsia="ru-RU"/>
        </w:rPr>
        <w:t xml:space="preserve">связанных с вредными </w:t>
      </w:r>
      <w:r w:rsidRPr="00A729B4">
        <w:rPr>
          <w:rFonts w:ascii="Times New Roman" w:eastAsia="Times New Roman" w:hAnsi="Times New Roman" w:cs="Calibri"/>
          <w:sz w:val="24"/>
          <w:szCs w:val="24"/>
          <w:lang w:eastAsia="ru-RU"/>
        </w:rPr>
        <w:t xml:space="preserve">производственными факторами, не проводится аттестация рабочих мест, не осуществляют контроль за прохождением медицинских осмотров работников, сокращаются объёмы капитального и профилактического ремонта промышленных зданий, сокращается финансирование разработок по созданию новой техники. На многих предприятиях используется устаревшее оборудование и технологии. Износ основных производственных средств, в т. </w:t>
      </w:r>
      <w:r>
        <w:rPr>
          <w:rFonts w:ascii="Times New Roman" w:eastAsia="Times New Roman" w:hAnsi="Times New Roman" w:cs="Calibri"/>
          <w:sz w:val="24"/>
          <w:szCs w:val="24"/>
          <w:lang w:eastAsia="ru-RU"/>
        </w:rPr>
        <w:t>ч</w:t>
      </w:r>
      <w:r w:rsidRPr="00A729B4">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транспортных средств</w:t>
      </w:r>
      <w:r w:rsidRPr="00A729B4">
        <w:rPr>
          <w:rFonts w:ascii="Times New Roman" w:eastAsia="Times New Roman" w:hAnsi="Times New Roman" w:cs="Calibri"/>
          <w:sz w:val="24"/>
          <w:szCs w:val="24"/>
          <w:lang w:eastAsia="ru-RU"/>
        </w:rPr>
        <w:t xml:space="preserve"> и оборудования на многих предприятиях достигает 50-70%.</w:t>
      </w:r>
    </w:p>
    <w:p w:rsidR="002914EB" w:rsidRPr="00A729B4" w:rsidRDefault="002914EB" w:rsidP="002914EB">
      <w:pPr>
        <w:spacing w:after="0" w:line="240" w:lineRule="auto"/>
        <w:ind w:firstLine="720"/>
        <w:jc w:val="both"/>
        <w:rPr>
          <w:rFonts w:ascii="Times New Roman" w:eastAsia="Times New Roman" w:hAnsi="Times New Roman" w:cs="Calibri"/>
          <w:sz w:val="24"/>
          <w:szCs w:val="24"/>
          <w:lang w:eastAsia="ru-RU"/>
        </w:rPr>
      </w:pPr>
      <w:r w:rsidRPr="00A729B4">
        <w:rPr>
          <w:rFonts w:ascii="Times New Roman" w:eastAsia="Times New Roman" w:hAnsi="Times New Roman" w:cs="Calibri"/>
          <w:sz w:val="24"/>
          <w:szCs w:val="24"/>
          <w:lang w:eastAsia="ru-RU"/>
        </w:rPr>
        <w:t xml:space="preserve"> Комплексные планы улучшения условий, охраны труда и санитарно-оздоровительных мероприятий на многих предприятиях не разрабатываются или выполняются лишь на 30-70%, финансирование планов ограничено.</w:t>
      </w:r>
    </w:p>
    <w:p w:rsidR="002914EB" w:rsidRPr="00A729B4" w:rsidRDefault="002914EB" w:rsidP="002914EB">
      <w:pPr>
        <w:spacing w:after="0" w:line="240" w:lineRule="auto"/>
        <w:ind w:firstLine="284"/>
        <w:jc w:val="both"/>
        <w:rPr>
          <w:rFonts w:ascii="Times New Roman" w:eastAsia="Times New Roman" w:hAnsi="Times New Roman" w:cs="Calibri"/>
          <w:sz w:val="24"/>
          <w:szCs w:val="24"/>
          <w:lang w:eastAsia="ru-RU"/>
        </w:rPr>
      </w:pPr>
      <w:r w:rsidRPr="00A729B4">
        <w:rPr>
          <w:rFonts w:ascii="Times New Roman" w:eastAsia="Times New Roman" w:hAnsi="Times New Roman" w:cs="Calibri"/>
          <w:sz w:val="24"/>
          <w:szCs w:val="24"/>
          <w:lang w:eastAsia="ru-RU"/>
        </w:rPr>
        <w:t xml:space="preserve">       Основная причина, в данном случае, заключается в отсутствии:</w:t>
      </w:r>
    </w:p>
    <w:p w:rsidR="002914EB" w:rsidRPr="00A729B4" w:rsidRDefault="002914EB" w:rsidP="002914EB">
      <w:pPr>
        <w:spacing w:after="0" w:line="240" w:lineRule="auto"/>
        <w:ind w:firstLine="720"/>
        <w:jc w:val="both"/>
        <w:rPr>
          <w:rFonts w:ascii="Times New Roman" w:eastAsia="Times New Roman" w:hAnsi="Times New Roman" w:cs="Calibri"/>
          <w:sz w:val="24"/>
          <w:szCs w:val="24"/>
          <w:lang w:eastAsia="ru-RU"/>
        </w:rPr>
      </w:pPr>
      <w:r w:rsidRPr="00A729B4">
        <w:rPr>
          <w:rFonts w:ascii="Times New Roman" w:eastAsia="Times New Roman" w:hAnsi="Times New Roman" w:cs="Calibri"/>
          <w:sz w:val="24"/>
          <w:szCs w:val="24"/>
          <w:lang w:eastAsia="ru-RU"/>
        </w:rPr>
        <w:t xml:space="preserve">-  экономической заинтересованности работодателей в проведении мероприятий по улучшению условий труда, </w:t>
      </w:r>
    </w:p>
    <w:p w:rsidR="002914EB" w:rsidRPr="00A729B4" w:rsidRDefault="002914EB" w:rsidP="002914EB">
      <w:pPr>
        <w:spacing w:after="0" w:line="240" w:lineRule="auto"/>
        <w:ind w:firstLine="720"/>
        <w:jc w:val="both"/>
        <w:rPr>
          <w:rFonts w:ascii="Times New Roman" w:eastAsia="Times New Roman" w:hAnsi="Times New Roman" w:cs="Calibri"/>
          <w:sz w:val="24"/>
          <w:szCs w:val="24"/>
          <w:lang w:eastAsia="ru-RU"/>
        </w:rPr>
      </w:pPr>
      <w:r w:rsidRPr="00A729B4">
        <w:rPr>
          <w:rFonts w:ascii="Times New Roman" w:eastAsia="Times New Roman" w:hAnsi="Times New Roman" w:cs="Calibri"/>
          <w:sz w:val="24"/>
          <w:szCs w:val="24"/>
          <w:lang w:eastAsia="ru-RU"/>
        </w:rPr>
        <w:t xml:space="preserve">- </w:t>
      </w:r>
      <w:r w:rsidR="00946FE0">
        <w:rPr>
          <w:rFonts w:ascii="Times New Roman" w:eastAsia="Times New Roman" w:hAnsi="Times New Roman" w:cs="Calibri"/>
          <w:sz w:val="24"/>
          <w:szCs w:val="24"/>
          <w:lang w:eastAsia="ru-RU"/>
        </w:rPr>
        <w:t xml:space="preserve">достаточных финансовых средств </w:t>
      </w:r>
      <w:r w:rsidRPr="00A729B4">
        <w:rPr>
          <w:rFonts w:ascii="Times New Roman" w:eastAsia="Times New Roman" w:hAnsi="Times New Roman" w:cs="Calibri"/>
          <w:sz w:val="24"/>
          <w:szCs w:val="24"/>
          <w:lang w:eastAsia="ru-RU"/>
        </w:rPr>
        <w:t>для проведения коренных изменений в условиях труда работающих, для замены и модернизации оборудования,</w:t>
      </w:r>
    </w:p>
    <w:p w:rsidR="002914EB" w:rsidRPr="00A729B4" w:rsidRDefault="002914EB" w:rsidP="002914EB">
      <w:pPr>
        <w:spacing w:after="0" w:line="240" w:lineRule="auto"/>
        <w:ind w:firstLine="720"/>
        <w:jc w:val="both"/>
        <w:rPr>
          <w:rFonts w:ascii="Times New Roman" w:eastAsia="Times New Roman" w:hAnsi="Times New Roman" w:cs="Calibri"/>
          <w:sz w:val="24"/>
          <w:szCs w:val="24"/>
          <w:lang w:eastAsia="ru-RU"/>
        </w:rPr>
      </w:pPr>
      <w:r w:rsidRPr="00A729B4">
        <w:rPr>
          <w:rFonts w:ascii="Times New Roman" w:eastAsia="Times New Roman" w:hAnsi="Times New Roman" w:cs="Calibri"/>
          <w:sz w:val="24"/>
          <w:szCs w:val="24"/>
          <w:lang w:eastAsia="ru-RU"/>
        </w:rPr>
        <w:t>- снижение ответственности работодателей и руководителей производств за состояние условий и охраны труда, ослабление внимания к безопасности производства работ,- недостаточный уровень обучения и контроля навыков и знаний по охране труда.</w:t>
      </w:r>
    </w:p>
    <w:p w:rsidR="00946FE0" w:rsidRDefault="002914EB" w:rsidP="00946FE0">
      <w:pPr>
        <w:spacing w:after="0" w:line="240" w:lineRule="auto"/>
        <w:ind w:firstLine="720"/>
        <w:jc w:val="both"/>
        <w:rPr>
          <w:rFonts w:ascii="Times New Roman" w:eastAsia="Times New Roman" w:hAnsi="Times New Roman" w:cs="Calibri"/>
          <w:sz w:val="24"/>
          <w:szCs w:val="24"/>
          <w:lang w:eastAsia="ru-RU"/>
        </w:rPr>
      </w:pPr>
      <w:r w:rsidRPr="00A729B4">
        <w:rPr>
          <w:rFonts w:ascii="Times New Roman" w:eastAsia="Times New Roman" w:hAnsi="Times New Roman" w:cs="Calibri"/>
          <w:sz w:val="24"/>
          <w:szCs w:val="24"/>
          <w:lang w:eastAsia="ru-RU"/>
        </w:rPr>
        <w:t>На рабочих местах освещенность ни</w:t>
      </w:r>
      <w:r w:rsidR="00946FE0">
        <w:rPr>
          <w:rFonts w:ascii="Times New Roman" w:eastAsia="Times New Roman" w:hAnsi="Times New Roman" w:cs="Calibri"/>
          <w:sz w:val="24"/>
          <w:szCs w:val="24"/>
          <w:lang w:eastAsia="ru-RU"/>
        </w:rPr>
        <w:t xml:space="preserve">же нормативной, не соблюдается </w:t>
      </w:r>
      <w:r w:rsidRPr="00A729B4">
        <w:rPr>
          <w:rFonts w:ascii="Times New Roman" w:eastAsia="Times New Roman" w:hAnsi="Times New Roman" w:cs="Calibri"/>
          <w:sz w:val="24"/>
          <w:szCs w:val="24"/>
          <w:lang w:eastAsia="ru-RU"/>
        </w:rPr>
        <w:t>тепловой режим, неудовлетворительная обеспеченность средствами индивидуальной защиты, неэффективность работы вентиляционных систем, отсутствуют или имеются в недостаточном количестве бытовые помещения. Не решаются вопросы питания  и отдыха рабочих. Не проводитс</w:t>
      </w:r>
      <w:r w:rsidR="00946FE0">
        <w:rPr>
          <w:rFonts w:ascii="Times New Roman" w:eastAsia="Times New Roman" w:hAnsi="Times New Roman" w:cs="Calibri"/>
          <w:sz w:val="24"/>
          <w:szCs w:val="24"/>
          <w:lang w:eastAsia="ru-RU"/>
        </w:rPr>
        <w:t xml:space="preserve">я аттестация рабочих мест, или </w:t>
      </w:r>
      <w:r w:rsidRPr="00A729B4">
        <w:rPr>
          <w:rFonts w:ascii="Times New Roman" w:eastAsia="Times New Roman" w:hAnsi="Times New Roman" w:cs="Calibri"/>
          <w:sz w:val="24"/>
          <w:szCs w:val="24"/>
          <w:lang w:eastAsia="ru-RU"/>
        </w:rPr>
        <w:t>при про</w:t>
      </w:r>
      <w:r w:rsidR="00946FE0">
        <w:rPr>
          <w:rFonts w:ascii="Times New Roman" w:eastAsia="Times New Roman" w:hAnsi="Times New Roman" w:cs="Calibri"/>
          <w:sz w:val="24"/>
          <w:szCs w:val="24"/>
          <w:lang w:eastAsia="ru-RU"/>
        </w:rPr>
        <w:t xml:space="preserve">ведении аттестации обследуются </w:t>
      </w:r>
      <w:r w:rsidRPr="00A729B4">
        <w:rPr>
          <w:rFonts w:ascii="Times New Roman" w:eastAsia="Times New Roman" w:hAnsi="Times New Roman" w:cs="Calibri"/>
          <w:sz w:val="24"/>
          <w:szCs w:val="24"/>
          <w:lang w:eastAsia="ru-RU"/>
        </w:rPr>
        <w:t>не все и не в полном объёме рабочие места, что указывает на необъективность и не достоверность карт аттестации рабочих мест и  что подтверждается при комплексном лабораторном исследовании рабочих мест при расследовании случаев проф</w:t>
      </w:r>
      <w:r w:rsidR="00946FE0">
        <w:rPr>
          <w:rFonts w:ascii="Times New Roman" w:eastAsia="Times New Roman" w:hAnsi="Times New Roman" w:cs="Calibri"/>
          <w:sz w:val="24"/>
          <w:szCs w:val="24"/>
          <w:lang w:eastAsia="ru-RU"/>
        </w:rPr>
        <w:t xml:space="preserve">ессиональных заболеваний.  При </w:t>
      </w:r>
      <w:r w:rsidRPr="00A729B4">
        <w:rPr>
          <w:rFonts w:ascii="Times New Roman" w:eastAsia="Times New Roman" w:hAnsi="Times New Roman" w:cs="Calibri"/>
          <w:sz w:val="24"/>
          <w:szCs w:val="24"/>
          <w:lang w:eastAsia="ru-RU"/>
        </w:rPr>
        <w:t>этом значительное количество работников занято на работах с использованием оборудования, не отвечающего требованиям безопасности.</w:t>
      </w:r>
    </w:p>
    <w:p w:rsidR="002914EB" w:rsidRPr="00371C0B" w:rsidRDefault="002914EB" w:rsidP="00946FE0">
      <w:pPr>
        <w:spacing w:after="0" w:line="240" w:lineRule="auto"/>
        <w:ind w:firstLine="720"/>
        <w:jc w:val="both"/>
        <w:rPr>
          <w:rFonts w:ascii="Times New Roman" w:eastAsia="Times New Roman" w:hAnsi="Times New Roman" w:cs="Calibri"/>
          <w:sz w:val="24"/>
          <w:szCs w:val="24"/>
          <w:lang w:eastAsia="ru-RU"/>
        </w:rPr>
      </w:pPr>
      <w:r w:rsidRPr="00371C0B">
        <w:rPr>
          <w:rFonts w:ascii="Times New Roman" w:eastAsia="Times New Roman" w:hAnsi="Times New Roman" w:cs="Calibri"/>
          <w:sz w:val="24"/>
          <w:szCs w:val="24"/>
          <w:lang w:eastAsia="ru-RU"/>
        </w:rPr>
        <w:t>В 2020 году по г. Нефтеюганску, Нефтеюганскому район и г. Пыть-Ях отделом было проведено 1 контрольно-надзорное мероприяти</w:t>
      </w:r>
      <w:r>
        <w:rPr>
          <w:rFonts w:ascii="Times New Roman" w:eastAsia="Times New Roman" w:hAnsi="Times New Roman" w:cs="Calibri"/>
          <w:sz w:val="24"/>
          <w:szCs w:val="24"/>
          <w:lang w:eastAsia="ru-RU"/>
        </w:rPr>
        <w:t>е</w:t>
      </w:r>
      <w:r w:rsidRPr="00371C0B">
        <w:rPr>
          <w:rFonts w:ascii="Times New Roman" w:eastAsia="Times New Roman" w:hAnsi="Times New Roman" w:cs="Calibri"/>
          <w:sz w:val="24"/>
          <w:szCs w:val="24"/>
          <w:lang w:eastAsia="ru-RU"/>
        </w:rPr>
        <w:t>, 1 плановая проверка, в отношении ООО «РН-Юганскнефтегаз» .</w:t>
      </w:r>
      <w:r>
        <w:rPr>
          <w:rFonts w:ascii="Times New Roman" w:eastAsia="Times New Roman" w:hAnsi="Times New Roman" w:cs="Calibri"/>
          <w:sz w:val="24"/>
          <w:szCs w:val="24"/>
          <w:lang w:eastAsia="ru-RU"/>
        </w:rPr>
        <w:t xml:space="preserve"> </w:t>
      </w:r>
    </w:p>
    <w:p w:rsidR="002914EB" w:rsidRPr="00371C0B" w:rsidRDefault="002914EB" w:rsidP="002914EB">
      <w:pPr>
        <w:spacing w:after="0" w:line="240" w:lineRule="auto"/>
        <w:ind w:firstLine="284"/>
        <w:jc w:val="both"/>
        <w:rPr>
          <w:rFonts w:ascii="Times New Roman" w:eastAsia="Times New Roman" w:hAnsi="Times New Roman" w:cs="Calibri"/>
          <w:sz w:val="24"/>
          <w:szCs w:val="24"/>
          <w:lang w:eastAsia="ru-RU"/>
        </w:rPr>
      </w:pPr>
      <w:r w:rsidRPr="00371C0B">
        <w:rPr>
          <w:rFonts w:ascii="Times New Roman" w:eastAsia="Times New Roman" w:hAnsi="Times New Roman" w:cs="Calibri"/>
          <w:sz w:val="24"/>
          <w:szCs w:val="24"/>
          <w:lang w:eastAsia="ru-RU"/>
        </w:rPr>
        <w:t xml:space="preserve">  Основные нарушения при контрольно надзорных мероприятиях, выявляемые при плановых и внеплановых мероприятиях по контролю:  </w:t>
      </w:r>
    </w:p>
    <w:p w:rsidR="002914EB" w:rsidRPr="00371C0B" w:rsidRDefault="002914EB" w:rsidP="00946FE0">
      <w:pPr>
        <w:spacing w:after="0" w:line="240" w:lineRule="auto"/>
        <w:ind w:firstLine="567"/>
        <w:jc w:val="both"/>
        <w:rPr>
          <w:rFonts w:ascii="Times New Roman" w:eastAsia="Times New Roman" w:hAnsi="Times New Roman" w:cs="Calibri"/>
          <w:sz w:val="24"/>
          <w:szCs w:val="24"/>
          <w:lang w:eastAsia="ru-RU"/>
        </w:rPr>
      </w:pPr>
      <w:r w:rsidRPr="00371C0B">
        <w:rPr>
          <w:rFonts w:ascii="Times New Roman" w:eastAsia="Times New Roman" w:hAnsi="Times New Roman" w:cs="Calibri"/>
          <w:sz w:val="24"/>
          <w:szCs w:val="24"/>
          <w:lang w:eastAsia="ru-RU"/>
        </w:rPr>
        <w:t>1.</w:t>
      </w:r>
      <w:r w:rsidRPr="00371C0B">
        <w:rPr>
          <w:rFonts w:ascii="Times New Roman" w:eastAsia="Times New Roman" w:hAnsi="Times New Roman" w:cs="Calibri"/>
          <w:sz w:val="24"/>
          <w:szCs w:val="24"/>
          <w:lang w:eastAsia="ru-RU"/>
        </w:rPr>
        <w:tab/>
        <w:t>Не представлены санитарно – эпидемиологические заключения (СЭЗ)  «Проект организации санитарно-защитной зоны (СЗЗ)» на объектах и произв</w:t>
      </w:r>
      <w:r>
        <w:rPr>
          <w:rFonts w:ascii="Times New Roman" w:eastAsia="Times New Roman" w:hAnsi="Times New Roman" w:cs="Calibri"/>
          <w:sz w:val="24"/>
          <w:szCs w:val="24"/>
          <w:lang w:eastAsia="ru-RU"/>
        </w:rPr>
        <w:t>одства</w:t>
      </w:r>
      <w:r w:rsidRPr="00371C0B">
        <w:rPr>
          <w:rFonts w:ascii="Times New Roman" w:eastAsia="Times New Roman" w:hAnsi="Times New Roman" w:cs="Calibri"/>
          <w:sz w:val="24"/>
          <w:szCs w:val="24"/>
          <w:lang w:eastAsia="ru-RU"/>
        </w:rPr>
        <w:t xml:space="preserve">,  что не соответствует   п. 3.9. СП 2.2.1.1312-03 «Гигиенические требования к проектированию вновь строящихся и реконструируемых промышленных предприятий», п. 2.1. СанПиН 2.2.1/2.1.1.1200-03 «Санитарно-защитные зоны и санитарная классификация предприятий, сооружений и иных объектов». </w:t>
      </w:r>
      <w:r>
        <w:rPr>
          <w:rFonts w:ascii="Times New Roman" w:eastAsia="Times New Roman" w:hAnsi="Times New Roman" w:cs="Calibri"/>
          <w:sz w:val="24"/>
          <w:szCs w:val="24"/>
          <w:lang w:eastAsia="ru-RU"/>
        </w:rPr>
        <w:t>(ООО «РН-Юганскнфтегаз»).</w:t>
      </w:r>
    </w:p>
    <w:p w:rsidR="002914EB" w:rsidRPr="00371C0B" w:rsidRDefault="002914EB" w:rsidP="00946FE0">
      <w:pPr>
        <w:spacing w:after="0" w:line="240" w:lineRule="auto"/>
        <w:ind w:firstLine="567"/>
        <w:jc w:val="both"/>
        <w:rPr>
          <w:rFonts w:ascii="Times New Roman" w:eastAsia="Times New Roman" w:hAnsi="Times New Roman" w:cs="Calibri"/>
          <w:sz w:val="24"/>
          <w:szCs w:val="24"/>
          <w:lang w:eastAsia="ru-RU"/>
        </w:rPr>
      </w:pPr>
      <w:r w:rsidRPr="00371C0B">
        <w:rPr>
          <w:rFonts w:ascii="Times New Roman" w:eastAsia="Times New Roman" w:hAnsi="Times New Roman" w:cs="Calibri"/>
          <w:sz w:val="24"/>
          <w:szCs w:val="24"/>
          <w:lang w:eastAsia="ru-RU"/>
        </w:rPr>
        <w:t>2.</w:t>
      </w:r>
      <w:r w:rsidRPr="00371C0B">
        <w:rPr>
          <w:rFonts w:ascii="Times New Roman" w:eastAsia="Times New Roman" w:hAnsi="Times New Roman" w:cs="Calibri"/>
          <w:sz w:val="24"/>
          <w:szCs w:val="24"/>
          <w:lang w:eastAsia="ru-RU"/>
        </w:rPr>
        <w:tab/>
        <w:t>Процент охвата прививками против гриппа не соответствуют Гл.XI п.11.4. - СП 3.1.2.3117-13 "Профилактика гриппа и других острых респираторных вирусных инфекций", охват прививками против гриппа должен составлять не менее 25%. (Согласно сведений о вакцинопрофилактики инфекционных заболеваний от гриппа привито в ООО «РН-Юганскнефтегаз»: - за 2018 год привито 1431 человек; - за 2019 год 1171 человек; - за 2020 год по 03.11. 761 человека. Общая численность сотрудников составляет 17078 человек.).</w:t>
      </w:r>
    </w:p>
    <w:p w:rsidR="002914EB" w:rsidRPr="00371C0B" w:rsidRDefault="002914EB" w:rsidP="00946FE0">
      <w:pPr>
        <w:spacing w:after="0" w:line="240" w:lineRule="auto"/>
        <w:ind w:firstLine="567"/>
        <w:jc w:val="both"/>
        <w:rPr>
          <w:rFonts w:ascii="Times New Roman" w:eastAsia="Times New Roman" w:hAnsi="Times New Roman" w:cs="Calibri"/>
          <w:sz w:val="24"/>
          <w:szCs w:val="24"/>
          <w:lang w:eastAsia="ru-RU"/>
        </w:rPr>
      </w:pPr>
      <w:r w:rsidRPr="00371C0B">
        <w:rPr>
          <w:rFonts w:ascii="Times New Roman" w:eastAsia="Times New Roman" w:hAnsi="Times New Roman" w:cs="Calibri"/>
          <w:sz w:val="24"/>
          <w:szCs w:val="24"/>
          <w:lang w:eastAsia="ru-RU"/>
        </w:rPr>
        <w:t>3.</w:t>
      </w:r>
      <w:r w:rsidRPr="00371C0B">
        <w:rPr>
          <w:rFonts w:ascii="Times New Roman" w:eastAsia="Times New Roman" w:hAnsi="Times New Roman" w:cs="Calibri"/>
          <w:sz w:val="24"/>
          <w:szCs w:val="24"/>
          <w:lang w:eastAsia="ru-RU"/>
        </w:rPr>
        <w:tab/>
        <w:t xml:space="preserve"> Не организована вакцинация работников из группы риска против клещевого вирусного энцефалита по эпидпоказаниям, что является нарушением требований п. 6.3.1. </w:t>
      </w:r>
      <w:r w:rsidRPr="00371C0B">
        <w:rPr>
          <w:rFonts w:ascii="Times New Roman" w:eastAsia="Times New Roman" w:hAnsi="Times New Roman" w:cs="Calibri"/>
          <w:sz w:val="24"/>
          <w:szCs w:val="24"/>
          <w:lang w:eastAsia="ru-RU"/>
        </w:rPr>
        <w:lastRenderedPageBreak/>
        <w:t>СП 3.1.3.2352-08 "Профилактика клещевого вирусного энцефалита".</w:t>
      </w:r>
      <w:r>
        <w:rPr>
          <w:rFonts w:ascii="Times New Roman" w:eastAsia="Times New Roman" w:hAnsi="Times New Roman" w:cs="Calibri"/>
          <w:sz w:val="24"/>
          <w:szCs w:val="24"/>
          <w:lang w:eastAsia="ru-RU"/>
        </w:rPr>
        <w:t>(ООО «РН-Юганскнфтегаз»)</w:t>
      </w:r>
    </w:p>
    <w:p w:rsidR="002914EB" w:rsidRDefault="002914EB" w:rsidP="00946FE0">
      <w:pPr>
        <w:spacing w:after="0" w:line="240" w:lineRule="auto"/>
        <w:ind w:firstLine="567"/>
        <w:jc w:val="both"/>
        <w:rPr>
          <w:rFonts w:ascii="Times New Roman" w:eastAsia="Times New Roman" w:hAnsi="Times New Roman" w:cs="Calibri"/>
          <w:sz w:val="24"/>
          <w:szCs w:val="24"/>
          <w:lang w:eastAsia="ru-RU"/>
        </w:rPr>
      </w:pPr>
      <w:r w:rsidRPr="00371C0B">
        <w:rPr>
          <w:rFonts w:ascii="Times New Roman" w:eastAsia="Times New Roman" w:hAnsi="Times New Roman" w:cs="Calibri"/>
          <w:sz w:val="24"/>
          <w:szCs w:val="24"/>
          <w:lang w:eastAsia="ru-RU"/>
        </w:rPr>
        <w:t>4.</w:t>
      </w:r>
      <w:r w:rsidRPr="00371C0B">
        <w:rPr>
          <w:rFonts w:ascii="Times New Roman" w:eastAsia="Times New Roman" w:hAnsi="Times New Roman" w:cs="Calibri"/>
          <w:sz w:val="24"/>
          <w:szCs w:val="24"/>
          <w:lang w:eastAsia="ru-RU"/>
        </w:rPr>
        <w:tab/>
        <w:t xml:space="preserve">Предоставленная программа организации и проведения производственного контроля за соблюдением санитарных правил и выполнением санитарно-противоэпидемических </w:t>
      </w:r>
      <w:r>
        <w:rPr>
          <w:rFonts w:ascii="Times New Roman" w:eastAsia="Times New Roman" w:hAnsi="Times New Roman" w:cs="Calibri"/>
          <w:sz w:val="24"/>
          <w:szCs w:val="24"/>
          <w:lang w:eastAsia="ru-RU"/>
        </w:rPr>
        <w:t xml:space="preserve">(профилактических) мероприятий, </w:t>
      </w:r>
      <w:r w:rsidRPr="00371C0B">
        <w:rPr>
          <w:rFonts w:ascii="Times New Roman" w:eastAsia="Times New Roman" w:hAnsi="Times New Roman" w:cs="Calibri"/>
          <w:sz w:val="24"/>
          <w:szCs w:val="24"/>
          <w:lang w:eastAsia="ru-RU"/>
        </w:rPr>
        <w:t>в разделе лабораторных исследований не  соответствует требованиям СанПиН 2.2.4.3359-16, "Санитарно-эпидемиологические требования к физическим факторам на рабоч</w:t>
      </w:r>
      <w:r>
        <w:rPr>
          <w:rFonts w:ascii="Times New Roman" w:eastAsia="Times New Roman" w:hAnsi="Times New Roman" w:cs="Calibri"/>
          <w:sz w:val="24"/>
          <w:szCs w:val="24"/>
          <w:lang w:eastAsia="ru-RU"/>
        </w:rPr>
        <w:t>их места», СанПиН 2.1.4.1074-01</w:t>
      </w:r>
      <w:r w:rsidRPr="00371C0B">
        <w:rPr>
          <w:rFonts w:ascii="Times New Roman" w:eastAsia="Times New Roman" w:hAnsi="Times New Roman" w:cs="Calibri"/>
          <w:sz w:val="24"/>
          <w:szCs w:val="24"/>
          <w:lang w:eastAsia="ru-RU"/>
        </w:rPr>
        <w:t xml:space="preserve">.   </w:t>
      </w:r>
    </w:p>
    <w:p w:rsidR="002914EB" w:rsidRPr="00371C0B" w:rsidRDefault="002914EB" w:rsidP="002E57C5">
      <w:pPr>
        <w:spacing w:after="0" w:line="240" w:lineRule="auto"/>
        <w:ind w:firstLine="567"/>
        <w:jc w:val="both"/>
        <w:rPr>
          <w:rFonts w:ascii="Times New Roman" w:eastAsia="Times New Roman" w:hAnsi="Times New Roman" w:cs="Calibri"/>
          <w:sz w:val="24"/>
          <w:szCs w:val="24"/>
          <w:lang w:eastAsia="ru-RU"/>
        </w:rPr>
      </w:pPr>
      <w:r>
        <w:rPr>
          <w:rFonts w:ascii="Times New Roman" w:hAnsi="Times New Roman"/>
          <w:sz w:val="24"/>
          <w:szCs w:val="24"/>
        </w:rPr>
        <w:t xml:space="preserve">5.    </w:t>
      </w:r>
      <w:r w:rsidRPr="005952E1">
        <w:rPr>
          <w:rFonts w:ascii="Times New Roman" w:hAnsi="Times New Roman"/>
          <w:sz w:val="24"/>
          <w:szCs w:val="24"/>
        </w:rPr>
        <w:t>Лабораторные исслед</w:t>
      </w:r>
      <w:r w:rsidR="002E57C5">
        <w:rPr>
          <w:rFonts w:ascii="Times New Roman" w:hAnsi="Times New Roman"/>
          <w:sz w:val="24"/>
          <w:szCs w:val="24"/>
        </w:rPr>
        <w:t xml:space="preserve">ования в зоне влияния выбросов </w:t>
      </w:r>
      <w:r w:rsidRPr="005952E1">
        <w:rPr>
          <w:rFonts w:ascii="Times New Roman" w:hAnsi="Times New Roman"/>
          <w:sz w:val="24"/>
          <w:szCs w:val="24"/>
        </w:rPr>
        <w:t>не проводились, в нарушение п.5.1, 5.4 "Гигиенические      требования к обеспечению качества атмосферного воздуха  населенных       мест.  СанПиН 2.1.6.1032-01</w:t>
      </w:r>
    </w:p>
    <w:p w:rsidR="002E57C5" w:rsidRDefault="002914EB" w:rsidP="002E57C5">
      <w:pPr>
        <w:spacing w:after="0" w:line="240" w:lineRule="auto"/>
        <w:ind w:firstLine="567"/>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6</w:t>
      </w:r>
      <w:r w:rsidRPr="00371C0B">
        <w:rPr>
          <w:rFonts w:ascii="Times New Roman" w:eastAsia="Times New Roman" w:hAnsi="Times New Roman" w:cs="Calibri"/>
          <w:sz w:val="24"/>
          <w:szCs w:val="24"/>
          <w:lang w:eastAsia="ru-RU"/>
        </w:rPr>
        <w:t>.    Не предоставлены сведения об обучении сотрудников по обращению с отходами производства и потребления (I-V классов опасности)</w:t>
      </w:r>
      <w:r w:rsidR="002E57C5">
        <w:rPr>
          <w:rFonts w:ascii="Times New Roman" w:eastAsia="Times New Roman" w:hAnsi="Times New Roman" w:cs="Calibri"/>
          <w:sz w:val="24"/>
          <w:szCs w:val="24"/>
          <w:lang w:eastAsia="ru-RU"/>
        </w:rPr>
        <w:t>.</w:t>
      </w:r>
    </w:p>
    <w:p w:rsidR="002914EB" w:rsidRDefault="002914EB" w:rsidP="002914EB">
      <w:pPr>
        <w:spacing w:after="0" w:line="240" w:lineRule="auto"/>
        <w:jc w:val="center"/>
        <w:rPr>
          <w:rFonts w:ascii="Times New Roman" w:eastAsia="Times New Roman" w:hAnsi="Times New Roman"/>
          <w:sz w:val="24"/>
          <w:szCs w:val="24"/>
          <w:lang w:eastAsia="ru-RU"/>
        </w:rPr>
      </w:pPr>
      <w:r w:rsidRPr="000B6D74">
        <w:rPr>
          <w:rFonts w:ascii="Times New Roman" w:eastAsia="Times New Roman" w:hAnsi="Times New Roman"/>
          <w:sz w:val="24"/>
          <w:szCs w:val="28"/>
          <w:lang w:eastAsia="ru-RU"/>
        </w:rPr>
        <w:t xml:space="preserve">   </w:t>
      </w:r>
      <w:r w:rsidRPr="000B6D74">
        <w:rPr>
          <w:rFonts w:ascii="Times New Roman" w:eastAsia="Times New Roman" w:hAnsi="Times New Roman"/>
          <w:sz w:val="24"/>
          <w:szCs w:val="24"/>
          <w:lang w:eastAsia="ru-RU"/>
        </w:rPr>
        <w:t xml:space="preserve">    </w:t>
      </w:r>
    </w:p>
    <w:p w:rsidR="002914EB" w:rsidRDefault="002914EB" w:rsidP="002914EB">
      <w:pPr>
        <w:spacing w:after="0" w:line="240" w:lineRule="auto"/>
        <w:jc w:val="center"/>
        <w:rPr>
          <w:rFonts w:ascii="Times New Roman" w:eastAsia="Times New Roman" w:hAnsi="Times New Roman"/>
          <w:b/>
          <w:sz w:val="24"/>
          <w:szCs w:val="24"/>
          <w:lang w:eastAsia="ru-RU"/>
        </w:rPr>
      </w:pPr>
      <w:r w:rsidRPr="000B6D74">
        <w:rPr>
          <w:rFonts w:ascii="Times New Roman" w:eastAsia="Times New Roman" w:hAnsi="Times New Roman"/>
          <w:sz w:val="24"/>
          <w:szCs w:val="24"/>
          <w:lang w:eastAsia="ru-RU"/>
        </w:rPr>
        <w:t xml:space="preserve"> </w:t>
      </w:r>
      <w:r w:rsidRPr="00CD2655">
        <w:rPr>
          <w:rFonts w:ascii="Times New Roman" w:eastAsia="Times New Roman" w:hAnsi="Times New Roman"/>
          <w:b/>
          <w:sz w:val="24"/>
          <w:szCs w:val="24"/>
          <w:lang w:eastAsia="ru-RU"/>
        </w:rPr>
        <w:t>Медицинские осмотры работников промышленных предприятий</w:t>
      </w:r>
    </w:p>
    <w:p w:rsidR="002914EB" w:rsidRPr="00CD2655" w:rsidRDefault="002914EB" w:rsidP="002914EB">
      <w:pPr>
        <w:spacing w:after="0" w:line="240" w:lineRule="auto"/>
        <w:jc w:val="center"/>
        <w:rPr>
          <w:rFonts w:ascii="Times New Roman" w:eastAsia="Times New Roman" w:hAnsi="Times New Roman"/>
          <w:b/>
          <w:sz w:val="24"/>
          <w:szCs w:val="24"/>
          <w:lang w:eastAsia="ru-RU"/>
        </w:rPr>
      </w:pPr>
    </w:p>
    <w:p w:rsidR="002914EB" w:rsidRPr="00CD2655" w:rsidRDefault="002914EB" w:rsidP="002E57C5">
      <w:pPr>
        <w:suppressAutoHyphens/>
        <w:spacing w:after="0" w:line="240" w:lineRule="auto"/>
        <w:ind w:firstLine="567"/>
        <w:jc w:val="both"/>
        <w:rPr>
          <w:rFonts w:ascii="Times New Roman" w:eastAsia="Times New Roman" w:hAnsi="Times New Roman"/>
          <w:sz w:val="24"/>
          <w:szCs w:val="24"/>
          <w:lang w:eastAsia="ru-RU"/>
        </w:rPr>
      </w:pPr>
      <w:r w:rsidRPr="00CD2655">
        <w:rPr>
          <w:rFonts w:ascii="Times New Roman" w:eastAsia="Times New Roman" w:hAnsi="Times New Roman"/>
          <w:sz w:val="24"/>
          <w:szCs w:val="24"/>
          <w:lang w:eastAsia="ru-RU"/>
        </w:rPr>
        <w:t xml:space="preserve">     В соответствии с Приказом Министерства здравоохранения и социального развития Российской Федерации (Минздравсоцразвития России) от 12 апреля </w:t>
      </w:r>
      <w:smartTag w:uri="urn:schemas-microsoft-com:office:smarttags" w:element="metricconverter">
        <w:smartTagPr>
          <w:attr w:name="ProductID" w:val="2011 г"/>
        </w:smartTagPr>
        <w:r w:rsidRPr="00CD2655">
          <w:rPr>
            <w:rFonts w:ascii="Times New Roman" w:eastAsia="Times New Roman" w:hAnsi="Times New Roman"/>
            <w:sz w:val="24"/>
            <w:szCs w:val="24"/>
            <w:lang w:eastAsia="ru-RU"/>
          </w:rPr>
          <w:t>2011 г</w:t>
        </w:r>
      </w:smartTag>
      <w:r w:rsidRPr="00CD2655">
        <w:rPr>
          <w:rFonts w:ascii="Times New Roman" w:eastAsia="Times New Roman" w:hAnsi="Times New Roman"/>
          <w:sz w:val="24"/>
          <w:szCs w:val="24"/>
          <w:lang w:eastAsia="ru-RU"/>
        </w:rPr>
        <w:t xml:space="preserve">. N 302н г.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в отдел поступило заключительных актов по результатам </w:t>
      </w:r>
      <w:r w:rsidRPr="00BB303E">
        <w:rPr>
          <w:rFonts w:ascii="Times New Roman" w:eastAsia="Times New Roman" w:hAnsi="Times New Roman"/>
          <w:sz w:val="24"/>
          <w:szCs w:val="24"/>
          <w:lang w:eastAsia="ru-RU"/>
        </w:rPr>
        <w:t>ПМО 359, списков контингентов подлежащих периодическим медицинским осмотрам 311.</w:t>
      </w:r>
      <w:r w:rsidRPr="00CD2655">
        <w:rPr>
          <w:rFonts w:ascii="Times New Roman" w:eastAsia="Times New Roman" w:hAnsi="Times New Roman"/>
          <w:sz w:val="24"/>
          <w:szCs w:val="24"/>
          <w:lang w:eastAsia="ru-RU"/>
        </w:rPr>
        <w:t xml:space="preserve"> Списки и  заключительные акты поступают как из промпредприятий, так и из учреждений здравоохранения, образования, коммунальных объектов.</w:t>
      </w:r>
    </w:p>
    <w:p w:rsidR="002914EB" w:rsidRPr="007A3D79" w:rsidRDefault="002914EB" w:rsidP="002914EB">
      <w:pPr>
        <w:spacing w:after="0" w:line="240" w:lineRule="auto"/>
        <w:jc w:val="both"/>
        <w:rPr>
          <w:rFonts w:ascii="Times New Roman" w:eastAsia="Times New Roman" w:hAnsi="Times New Roman"/>
          <w:sz w:val="24"/>
          <w:szCs w:val="24"/>
          <w:lang w:eastAsia="ru-RU"/>
        </w:rPr>
      </w:pPr>
      <w:r w:rsidRPr="007A3D79">
        <w:rPr>
          <w:rFonts w:ascii="Times New Roman" w:eastAsia="Times New Roman" w:hAnsi="Times New Roman"/>
          <w:sz w:val="24"/>
          <w:szCs w:val="24"/>
          <w:lang w:eastAsia="ru-RU"/>
        </w:rPr>
        <w:t xml:space="preserve">         </w:t>
      </w:r>
      <w:r w:rsidR="002E57C5">
        <w:rPr>
          <w:rFonts w:ascii="Times New Roman" w:eastAsia="Times New Roman" w:hAnsi="Times New Roman"/>
          <w:sz w:val="24"/>
          <w:szCs w:val="24"/>
          <w:lang w:eastAsia="ru-RU"/>
        </w:rPr>
        <w:t xml:space="preserve">Медицинские осмотры </w:t>
      </w:r>
      <w:r w:rsidRPr="007A3D79">
        <w:rPr>
          <w:rFonts w:ascii="Times New Roman" w:eastAsia="Times New Roman" w:hAnsi="Times New Roman"/>
          <w:sz w:val="24"/>
          <w:szCs w:val="24"/>
          <w:lang w:eastAsia="ru-RU"/>
        </w:rPr>
        <w:t>лиц занятых на вредных и опасных производствах организованы на базе поликлиники №1 БУ ХМАО-Югры  «</w:t>
      </w:r>
      <w:r>
        <w:rPr>
          <w:rFonts w:ascii="Times New Roman" w:eastAsia="Times New Roman" w:hAnsi="Times New Roman"/>
          <w:sz w:val="24"/>
          <w:szCs w:val="24"/>
          <w:lang w:eastAsia="ru-RU"/>
        </w:rPr>
        <w:t>Пыть-Яхская</w:t>
      </w:r>
      <w:r w:rsidRPr="007A3D79">
        <w:rPr>
          <w:rFonts w:ascii="Times New Roman" w:eastAsia="Times New Roman" w:hAnsi="Times New Roman"/>
          <w:sz w:val="24"/>
          <w:szCs w:val="24"/>
          <w:lang w:eastAsia="ru-RU"/>
        </w:rPr>
        <w:t xml:space="preserve"> окружная клиническая больница</w:t>
      </w:r>
      <w:r>
        <w:rPr>
          <w:rFonts w:ascii="Times New Roman" w:eastAsia="Times New Roman" w:hAnsi="Times New Roman"/>
          <w:sz w:val="24"/>
          <w:szCs w:val="24"/>
          <w:lang w:eastAsia="ru-RU"/>
        </w:rPr>
        <w:t>»,  ООО ЛУ  «Витамин+».</w:t>
      </w:r>
    </w:p>
    <w:p w:rsidR="002914EB" w:rsidRPr="00A50E27" w:rsidRDefault="002914EB" w:rsidP="002914EB">
      <w:pPr>
        <w:suppressAutoHyphens/>
        <w:spacing w:after="0" w:line="240" w:lineRule="auto"/>
        <w:jc w:val="both"/>
        <w:rPr>
          <w:rFonts w:ascii="Times New Roman" w:eastAsia="Times New Roman" w:hAnsi="Times New Roman"/>
          <w:sz w:val="24"/>
          <w:szCs w:val="24"/>
          <w:lang w:eastAsia="ru-RU"/>
        </w:rPr>
      </w:pPr>
      <w:r w:rsidRPr="00A50E27">
        <w:rPr>
          <w:rFonts w:ascii="Times New Roman" w:eastAsia="Times New Roman" w:hAnsi="Times New Roman"/>
          <w:sz w:val="24"/>
          <w:szCs w:val="24"/>
          <w:lang w:eastAsia="ru-RU"/>
        </w:rPr>
        <w:t>Основные замечания при оформлении заключительных актов:</w:t>
      </w:r>
    </w:p>
    <w:p w:rsidR="002914EB" w:rsidRDefault="002914EB" w:rsidP="006A23B3">
      <w:pPr>
        <w:pStyle w:val="aff"/>
        <w:numPr>
          <w:ilvl w:val="0"/>
          <w:numId w:val="46"/>
        </w:numPr>
        <w:suppressAutoHyphens/>
        <w:spacing w:after="0" w:line="240" w:lineRule="auto"/>
        <w:ind w:left="0" w:firstLine="567"/>
        <w:jc w:val="both"/>
        <w:rPr>
          <w:rFonts w:ascii="Times New Roman" w:hAnsi="Times New Roman"/>
          <w:sz w:val="24"/>
          <w:szCs w:val="24"/>
        </w:rPr>
      </w:pPr>
      <w:r w:rsidRPr="002E57C5">
        <w:rPr>
          <w:rFonts w:ascii="Times New Roman" w:hAnsi="Times New Roman"/>
          <w:sz w:val="24"/>
          <w:szCs w:val="24"/>
        </w:rPr>
        <w:t>К заключительны</w:t>
      </w:r>
      <w:r w:rsidR="002E57C5">
        <w:rPr>
          <w:rFonts w:ascii="Times New Roman" w:hAnsi="Times New Roman"/>
          <w:sz w:val="24"/>
          <w:szCs w:val="24"/>
        </w:rPr>
        <w:t>м</w:t>
      </w:r>
      <w:r w:rsidRPr="002E57C5">
        <w:rPr>
          <w:rFonts w:ascii="Times New Roman" w:hAnsi="Times New Roman"/>
          <w:sz w:val="24"/>
          <w:szCs w:val="24"/>
        </w:rPr>
        <w:t xml:space="preserve"> актам не прикладываются списки лиц прошедших периодический медицинский осмотр, с указанием пола, даты рождения, структурного подразделения, заключения медицинской комиссии, в нарушение п.43 Приказа №302н.</w:t>
      </w:r>
    </w:p>
    <w:p w:rsidR="002914EB" w:rsidRDefault="002914EB" w:rsidP="006A23B3">
      <w:pPr>
        <w:pStyle w:val="aff"/>
        <w:numPr>
          <w:ilvl w:val="0"/>
          <w:numId w:val="46"/>
        </w:numPr>
        <w:suppressAutoHyphens/>
        <w:spacing w:after="0" w:line="240" w:lineRule="auto"/>
        <w:ind w:left="0" w:firstLine="567"/>
        <w:jc w:val="both"/>
        <w:rPr>
          <w:rFonts w:ascii="Times New Roman" w:hAnsi="Times New Roman"/>
          <w:sz w:val="24"/>
          <w:szCs w:val="24"/>
        </w:rPr>
      </w:pPr>
      <w:r w:rsidRPr="002E57C5">
        <w:rPr>
          <w:rFonts w:ascii="Times New Roman" w:hAnsi="Times New Roman"/>
          <w:sz w:val="24"/>
          <w:szCs w:val="24"/>
        </w:rPr>
        <w:t>В заключительных актах зачастую указывается не общая численность работников, занятых на тяжелых работах и на работах с вредными и (или) опасными условиями труда, а численность работников, занятых на тяжелых работах и на работах с вредными и (или) опасными условиями труда подлежащих осмотру в текущем году.</w:t>
      </w:r>
      <w:r w:rsidRPr="002E57C5">
        <w:rPr>
          <w:rFonts w:ascii="Arial" w:hAnsi="Arial" w:cs="Arial"/>
          <w:sz w:val="20"/>
          <w:szCs w:val="20"/>
        </w:rPr>
        <w:t xml:space="preserve"> </w:t>
      </w:r>
      <w:r w:rsidRPr="002E57C5">
        <w:rPr>
          <w:rFonts w:ascii="Times New Roman" w:hAnsi="Times New Roman"/>
          <w:sz w:val="24"/>
          <w:szCs w:val="24"/>
        </w:rPr>
        <w:t>Нарушение п.43 Приказа №302н.</w:t>
      </w:r>
    </w:p>
    <w:p w:rsidR="002914EB" w:rsidRDefault="002914EB" w:rsidP="006A23B3">
      <w:pPr>
        <w:pStyle w:val="aff"/>
        <w:numPr>
          <w:ilvl w:val="0"/>
          <w:numId w:val="46"/>
        </w:numPr>
        <w:suppressAutoHyphens/>
        <w:spacing w:after="0" w:line="240" w:lineRule="auto"/>
        <w:ind w:left="0" w:firstLine="567"/>
        <w:jc w:val="both"/>
        <w:rPr>
          <w:rFonts w:ascii="Times New Roman" w:hAnsi="Times New Roman"/>
          <w:sz w:val="24"/>
          <w:szCs w:val="24"/>
        </w:rPr>
      </w:pPr>
      <w:r w:rsidRPr="002E57C5">
        <w:rPr>
          <w:rFonts w:ascii="Times New Roman" w:hAnsi="Times New Roman"/>
          <w:sz w:val="24"/>
          <w:szCs w:val="24"/>
        </w:rPr>
        <w:t>К заключительному ату не прикладывается список работников, не завершивших периодический медицинский осмотр, не прошедших периодический медицинский осмотр в нарушение п.43 Приказа №302н.</w:t>
      </w:r>
    </w:p>
    <w:p w:rsidR="002914EB" w:rsidRDefault="002914EB" w:rsidP="006A23B3">
      <w:pPr>
        <w:pStyle w:val="aff"/>
        <w:numPr>
          <w:ilvl w:val="0"/>
          <w:numId w:val="46"/>
        </w:numPr>
        <w:suppressAutoHyphens/>
        <w:spacing w:after="0" w:line="240" w:lineRule="auto"/>
        <w:ind w:left="0" w:firstLine="567"/>
        <w:jc w:val="both"/>
        <w:rPr>
          <w:rFonts w:ascii="Times New Roman" w:hAnsi="Times New Roman"/>
          <w:sz w:val="24"/>
          <w:szCs w:val="24"/>
        </w:rPr>
      </w:pPr>
      <w:r w:rsidRPr="002E57C5">
        <w:rPr>
          <w:rFonts w:ascii="Times New Roman" w:hAnsi="Times New Roman"/>
          <w:sz w:val="24"/>
          <w:szCs w:val="24"/>
        </w:rPr>
        <w:t>К заключительному акту не прикладываются списки работников, нуждающихся в проведении дополнительного амбулаторного либо стационарного обследования (заключение не дано), лечения, в нарушение п.43 Приказа №302н.</w:t>
      </w:r>
    </w:p>
    <w:p w:rsidR="002914EB" w:rsidRDefault="002914EB" w:rsidP="006A23B3">
      <w:pPr>
        <w:pStyle w:val="aff"/>
        <w:numPr>
          <w:ilvl w:val="0"/>
          <w:numId w:val="46"/>
        </w:numPr>
        <w:suppressAutoHyphens/>
        <w:spacing w:after="0" w:line="240" w:lineRule="auto"/>
        <w:ind w:left="0" w:firstLine="567"/>
        <w:jc w:val="both"/>
        <w:rPr>
          <w:rFonts w:ascii="Times New Roman" w:hAnsi="Times New Roman"/>
          <w:sz w:val="24"/>
          <w:szCs w:val="24"/>
        </w:rPr>
      </w:pPr>
      <w:r w:rsidRPr="002E57C5">
        <w:rPr>
          <w:rFonts w:ascii="Times New Roman" w:hAnsi="Times New Roman"/>
          <w:sz w:val="24"/>
          <w:szCs w:val="24"/>
        </w:rPr>
        <w:t>К заключительному акту не прикладываются результаты выполнения рекомендаций предыдущего заключительного акта, в нарушение п.43 Приказа №302н.</w:t>
      </w:r>
    </w:p>
    <w:p w:rsidR="002914EB" w:rsidRDefault="002914EB" w:rsidP="006A23B3">
      <w:pPr>
        <w:pStyle w:val="aff"/>
        <w:numPr>
          <w:ilvl w:val="0"/>
          <w:numId w:val="46"/>
        </w:numPr>
        <w:suppressAutoHyphens/>
        <w:spacing w:after="0" w:line="240" w:lineRule="auto"/>
        <w:ind w:left="0" w:firstLine="567"/>
        <w:jc w:val="both"/>
        <w:rPr>
          <w:rFonts w:ascii="Times New Roman" w:hAnsi="Times New Roman"/>
          <w:sz w:val="24"/>
          <w:szCs w:val="24"/>
        </w:rPr>
      </w:pPr>
      <w:r w:rsidRPr="002E57C5">
        <w:rPr>
          <w:rFonts w:ascii="Times New Roman" w:hAnsi="Times New Roman"/>
          <w:sz w:val="24"/>
          <w:szCs w:val="24"/>
        </w:rPr>
        <w:t>К заключительному акту не прикладываются рекомендации работодателю по реализации комплекса оздоровительных мероприятий, включая профилактические и другие мероприятия</w:t>
      </w:r>
      <w:r>
        <w:t xml:space="preserve">, </w:t>
      </w:r>
      <w:r w:rsidRPr="002E57C5">
        <w:rPr>
          <w:rFonts w:ascii="Times New Roman" w:hAnsi="Times New Roman"/>
          <w:sz w:val="24"/>
          <w:szCs w:val="24"/>
        </w:rPr>
        <w:t>в нарушение п.43 Приказа №302н.</w:t>
      </w:r>
    </w:p>
    <w:p w:rsidR="002914EB" w:rsidRPr="002E57C5" w:rsidRDefault="002914EB" w:rsidP="006A23B3">
      <w:pPr>
        <w:pStyle w:val="aff"/>
        <w:numPr>
          <w:ilvl w:val="0"/>
          <w:numId w:val="46"/>
        </w:numPr>
        <w:suppressAutoHyphens/>
        <w:spacing w:after="0" w:line="240" w:lineRule="auto"/>
        <w:ind w:left="0" w:firstLine="567"/>
        <w:jc w:val="both"/>
        <w:rPr>
          <w:rFonts w:ascii="Times New Roman" w:hAnsi="Times New Roman"/>
          <w:sz w:val="24"/>
          <w:szCs w:val="24"/>
        </w:rPr>
      </w:pPr>
      <w:r w:rsidRPr="002E57C5">
        <w:rPr>
          <w:rFonts w:ascii="Times New Roman" w:hAnsi="Times New Roman"/>
          <w:sz w:val="24"/>
          <w:szCs w:val="24"/>
        </w:rPr>
        <w:t xml:space="preserve">Отсутствует схема информирования территориального отдела о лицах, прошедших периодические медицинские осмотры в центре профессиональной патологии. </w:t>
      </w:r>
    </w:p>
    <w:p w:rsidR="002914EB" w:rsidRPr="00A50E27" w:rsidRDefault="002914EB" w:rsidP="002914EB">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6166CD">
        <w:rPr>
          <w:rFonts w:ascii="Times New Roman" w:eastAsia="Times New Roman" w:hAnsi="Times New Roman"/>
          <w:sz w:val="24"/>
          <w:szCs w:val="24"/>
          <w:lang w:eastAsia="ru-RU"/>
        </w:rPr>
        <w:t>В 20</w:t>
      </w:r>
      <w:r>
        <w:rPr>
          <w:rFonts w:ascii="Times New Roman" w:eastAsia="Times New Roman" w:hAnsi="Times New Roman"/>
          <w:sz w:val="24"/>
          <w:szCs w:val="24"/>
          <w:lang w:eastAsia="ru-RU"/>
        </w:rPr>
        <w:t>20</w:t>
      </w:r>
      <w:r w:rsidRPr="006166CD">
        <w:rPr>
          <w:rFonts w:ascii="Times New Roman" w:eastAsia="Times New Roman" w:hAnsi="Times New Roman"/>
          <w:sz w:val="24"/>
          <w:szCs w:val="24"/>
          <w:lang w:eastAsia="ru-RU"/>
        </w:rPr>
        <w:t xml:space="preserve">г. в ходе периодических медицинских осмотров </w:t>
      </w:r>
      <w:r>
        <w:rPr>
          <w:rFonts w:ascii="Times New Roman" w:eastAsia="Times New Roman" w:hAnsi="Times New Roman"/>
          <w:sz w:val="24"/>
          <w:szCs w:val="24"/>
          <w:lang w:eastAsia="ru-RU"/>
        </w:rPr>
        <w:t>случаев</w:t>
      </w:r>
      <w:r w:rsidRPr="006166CD">
        <w:rPr>
          <w:rFonts w:ascii="Times New Roman" w:eastAsia="Times New Roman" w:hAnsi="Times New Roman"/>
          <w:sz w:val="24"/>
          <w:szCs w:val="24"/>
          <w:lang w:eastAsia="ru-RU"/>
        </w:rPr>
        <w:t xml:space="preserve"> профзаболевания</w:t>
      </w:r>
      <w:r>
        <w:rPr>
          <w:rFonts w:ascii="Times New Roman" w:eastAsia="Times New Roman" w:hAnsi="Times New Roman"/>
          <w:sz w:val="24"/>
          <w:szCs w:val="24"/>
          <w:lang w:eastAsia="ru-RU"/>
        </w:rPr>
        <w:t xml:space="preserve"> не выявлено</w:t>
      </w:r>
      <w:r w:rsidRPr="006166CD">
        <w:rPr>
          <w:rFonts w:ascii="Times New Roman" w:eastAsia="Times New Roman" w:hAnsi="Times New Roman"/>
          <w:sz w:val="24"/>
          <w:szCs w:val="24"/>
          <w:lang w:eastAsia="ru-RU"/>
        </w:rPr>
        <w:t xml:space="preserve">. ПМО работников транспорта (сухопутного), работников нефтедобывающей </w:t>
      </w:r>
      <w:r w:rsidRPr="006166CD">
        <w:rPr>
          <w:rFonts w:ascii="Times New Roman" w:eastAsia="Times New Roman" w:hAnsi="Times New Roman"/>
          <w:sz w:val="24"/>
          <w:szCs w:val="24"/>
          <w:lang w:eastAsia="ru-RU"/>
        </w:rPr>
        <w:lastRenderedPageBreak/>
        <w:t>отрасли не выполняют своей основной функции: выявление на ранней стадии признаков профессиональной патологии, вследствие чего имеет место несвоевременная диагностика начальных признаков профессиональных заболеваний, позднее выявление запущенных форм профпатологии, развитие профессиональной инвалидности.</w:t>
      </w:r>
      <w:r w:rsidRPr="00A50E27">
        <w:rPr>
          <w:rFonts w:ascii="Times New Roman" w:eastAsia="Times New Roman" w:hAnsi="Times New Roman"/>
          <w:sz w:val="24"/>
          <w:szCs w:val="24"/>
          <w:lang w:eastAsia="ru-RU"/>
        </w:rPr>
        <w:t xml:space="preserve">  </w:t>
      </w:r>
    </w:p>
    <w:p w:rsidR="002914EB" w:rsidRPr="00522E23" w:rsidRDefault="002914EB" w:rsidP="002914EB">
      <w:pPr>
        <w:spacing w:after="0" w:line="240" w:lineRule="auto"/>
        <w:jc w:val="both"/>
        <w:rPr>
          <w:rFonts w:ascii="Times New Roman" w:eastAsia="Times New Roman" w:hAnsi="Times New Roman"/>
          <w:noProof/>
          <w:sz w:val="24"/>
          <w:szCs w:val="24"/>
          <w:lang w:eastAsia="ru-RU"/>
        </w:rPr>
      </w:pPr>
    </w:p>
    <w:p w:rsidR="002914EB" w:rsidRPr="00E54083" w:rsidRDefault="002914EB" w:rsidP="002914EB">
      <w:pPr>
        <w:spacing w:after="0" w:line="240" w:lineRule="auto"/>
        <w:jc w:val="center"/>
        <w:rPr>
          <w:rFonts w:ascii="Times New Roman" w:eastAsia="Times New Roman" w:hAnsi="Times New Roman"/>
          <w:b/>
          <w:sz w:val="24"/>
          <w:szCs w:val="24"/>
          <w:lang w:eastAsia="ru-RU"/>
        </w:rPr>
      </w:pPr>
      <w:r w:rsidRPr="000B6D74">
        <w:rPr>
          <w:rFonts w:ascii="Times New Roman" w:eastAsia="Times New Roman" w:hAnsi="Times New Roman"/>
          <w:b/>
          <w:sz w:val="24"/>
          <w:szCs w:val="24"/>
          <w:lang w:eastAsia="ru-RU"/>
        </w:rPr>
        <w:t xml:space="preserve"> </w:t>
      </w:r>
      <w:r w:rsidRPr="00E54083">
        <w:rPr>
          <w:rFonts w:ascii="Times New Roman" w:eastAsia="Times New Roman" w:hAnsi="Times New Roman"/>
          <w:b/>
          <w:sz w:val="24"/>
          <w:szCs w:val="24"/>
          <w:lang w:eastAsia="ru-RU"/>
        </w:rPr>
        <w:t>Медицинские осмотры работников промышленных предприятий г.Пыть-Ях</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730"/>
        <w:gridCol w:w="2552"/>
        <w:gridCol w:w="2410"/>
      </w:tblGrid>
      <w:tr w:rsidR="002914EB" w:rsidRPr="00E54083" w:rsidTr="002914EB">
        <w:tc>
          <w:tcPr>
            <w:tcW w:w="1914" w:type="dxa"/>
          </w:tcPr>
          <w:p w:rsidR="002914EB" w:rsidRPr="00E54083" w:rsidRDefault="002914EB" w:rsidP="002914EB">
            <w:pPr>
              <w:suppressAutoHyphens/>
              <w:spacing w:after="0" w:line="240" w:lineRule="auto"/>
              <w:jc w:val="both"/>
              <w:rPr>
                <w:rFonts w:ascii="Times New Roman" w:eastAsia="Times New Roman" w:hAnsi="Times New Roman"/>
                <w:sz w:val="24"/>
                <w:szCs w:val="24"/>
                <w:lang w:eastAsia="ru-RU"/>
              </w:rPr>
            </w:pPr>
            <w:r w:rsidRPr="00E54083">
              <w:rPr>
                <w:rFonts w:ascii="Times New Roman" w:eastAsia="Times New Roman" w:hAnsi="Times New Roman"/>
                <w:sz w:val="24"/>
                <w:szCs w:val="24"/>
                <w:lang w:eastAsia="ru-RU"/>
              </w:rPr>
              <w:t>Год</w:t>
            </w:r>
          </w:p>
        </w:tc>
        <w:tc>
          <w:tcPr>
            <w:tcW w:w="2730" w:type="dxa"/>
          </w:tcPr>
          <w:p w:rsidR="002914EB" w:rsidRPr="00E54083" w:rsidRDefault="002914EB" w:rsidP="002914EB">
            <w:pPr>
              <w:suppressAutoHyphens/>
              <w:spacing w:after="0" w:line="240" w:lineRule="auto"/>
              <w:jc w:val="both"/>
              <w:rPr>
                <w:rFonts w:ascii="Times New Roman" w:eastAsia="Times New Roman" w:hAnsi="Times New Roman"/>
                <w:sz w:val="24"/>
                <w:szCs w:val="24"/>
                <w:lang w:eastAsia="ru-RU"/>
              </w:rPr>
            </w:pPr>
            <w:r w:rsidRPr="00E54083">
              <w:rPr>
                <w:rFonts w:ascii="Times New Roman" w:eastAsia="Times New Roman" w:hAnsi="Times New Roman"/>
                <w:sz w:val="24"/>
                <w:szCs w:val="24"/>
                <w:lang w:eastAsia="ru-RU"/>
              </w:rPr>
              <w:t>Подлежало ПМО</w:t>
            </w:r>
          </w:p>
        </w:tc>
        <w:tc>
          <w:tcPr>
            <w:tcW w:w="2552" w:type="dxa"/>
          </w:tcPr>
          <w:p w:rsidR="002914EB" w:rsidRPr="00E54083" w:rsidRDefault="002914EB" w:rsidP="002914EB">
            <w:pPr>
              <w:suppressAutoHyphens/>
              <w:spacing w:after="0" w:line="240" w:lineRule="auto"/>
              <w:jc w:val="both"/>
              <w:rPr>
                <w:rFonts w:ascii="Times New Roman" w:eastAsia="Times New Roman" w:hAnsi="Times New Roman"/>
                <w:sz w:val="24"/>
                <w:szCs w:val="24"/>
                <w:lang w:eastAsia="ru-RU"/>
              </w:rPr>
            </w:pPr>
            <w:r w:rsidRPr="00E54083">
              <w:rPr>
                <w:rFonts w:ascii="Times New Roman" w:eastAsia="Times New Roman" w:hAnsi="Times New Roman"/>
                <w:sz w:val="24"/>
                <w:szCs w:val="24"/>
                <w:lang w:eastAsia="ru-RU"/>
              </w:rPr>
              <w:t>Осмотрено</w:t>
            </w:r>
          </w:p>
        </w:tc>
        <w:tc>
          <w:tcPr>
            <w:tcW w:w="2410" w:type="dxa"/>
          </w:tcPr>
          <w:p w:rsidR="002914EB" w:rsidRPr="00E54083" w:rsidRDefault="002914EB" w:rsidP="002914EB">
            <w:pPr>
              <w:suppressAutoHyphens/>
              <w:spacing w:after="0" w:line="240" w:lineRule="auto"/>
              <w:jc w:val="both"/>
              <w:rPr>
                <w:rFonts w:ascii="Times New Roman" w:eastAsia="Times New Roman" w:hAnsi="Times New Roman"/>
                <w:sz w:val="24"/>
                <w:szCs w:val="24"/>
                <w:lang w:eastAsia="ru-RU"/>
              </w:rPr>
            </w:pPr>
            <w:r w:rsidRPr="00E54083">
              <w:rPr>
                <w:rFonts w:ascii="Times New Roman" w:eastAsia="Times New Roman" w:hAnsi="Times New Roman"/>
                <w:sz w:val="24"/>
                <w:szCs w:val="24"/>
                <w:lang w:eastAsia="ru-RU"/>
              </w:rPr>
              <w:t>Процент осмотра</w:t>
            </w:r>
          </w:p>
        </w:tc>
      </w:tr>
      <w:tr w:rsidR="002914EB" w:rsidRPr="00E54083" w:rsidTr="002914EB">
        <w:tc>
          <w:tcPr>
            <w:tcW w:w="1914" w:type="dxa"/>
          </w:tcPr>
          <w:p w:rsidR="002914EB" w:rsidRPr="00E54083" w:rsidRDefault="002914EB" w:rsidP="002914EB">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2018</w:t>
            </w:r>
          </w:p>
        </w:tc>
        <w:tc>
          <w:tcPr>
            <w:tcW w:w="2730" w:type="dxa"/>
            <w:vAlign w:val="center"/>
          </w:tcPr>
          <w:p w:rsidR="002914EB" w:rsidRPr="00E54083" w:rsidRDefault="002914EB" w:rsidP="002914E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10875</w:t>
            </w:r>
          </w:p>
        </w:tc>
        <w:tc>
          <w:tcPr>
            <w:tcW w:w="2552" w:type="dxa"/>
          </w:tcPr>
          <w:p w:rsidR="002914EB" w:rsidRPr="00E54083" w:rsidRDefault="002914EB" w:rsidP="002914EB">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610526</w:t>
            </w:r>
          </w:p>
        </w:tc>
        <w:tc>
          <w:tcPr>
            <w:tcW w:w="2410" w:type="dxa"/>
          </w:tcPr>
          <w:p w:rsidR="002914EB" w:rsidRPr="00E54083" w:rsidRDefault="002914EB" w:rsidP="002914EB">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p>
        </w:tc>
      </w:tr>
      <w:tr w:rsidR="002914EB" w:rsidRPr="00E54083" w:rsidTr="002914EB">
        <w:tc>
          <w:tcPr>
            <w:tcW w:w="1914" w:type="dxa"/>
          </w:tcPr>
          <w:p w:rsidR="002914EB" w:rsidRPr="00E54083" w:rsidRDefault="002914EB" w:rsidP="002914EB">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2019</w:t>
            </w:r>
          </w:p>
        </w:tc>
        <w:tc>
          <w:tcPr>
            <w:tcW w:w="2730" w:type="dxa"/>
            <w:vAlign w:val="center"/>
          </w:tcPr>
          <w:p w:rsidR="002914EB" w:rsidRPr="00E54083" w:rsidRDefault="002914EB" w:rsidP="002914E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7461</w:t>
            </w:r>
          </w:p>
        </w:tc>
        <w:tc>
          <w:tcPr>
            <w:tcW w:w="2552" w:type="dxa"/>
          </w:tcPr>
          <w:p w:rsidR="002914EB" w:rsidRPr="00E54083" w:rsidRDefault="002914EB" w:rsidP="002914EB">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7191</w:t>
            </w:r>
          </w:p>
        </w:tc>
        <w:tc>
          <w:tcPr>
            <w:tcW w:w="2410" w:type="dxa"/>
          </w:tcPr>
          <w:p w:rsidR="002914EB" w:rsidRPr="00E54083" w:rsidRDefault="002914EB" w:rsidP="002914EB">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p>
        </w:tc>
      </w:tr>
      <w:tr w:rsidR="002914EB" w:rsidRPr="00E54083" w:rsidTr="002914EB">
        <w:tc>
          <w:tcPr>
            <w:tcW w:w="1914" w:type="dxa"/>
          </w:tcPr>
          <w:p w:rsidR="002914EB" w:rsidRDefault="002914EB" w:rsidP="002914EB">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2730" w:type="dxa"/>
            <w:vAlign w:val="center"/>
          </w:tcPr>
          <w:p w:rsidR="002914EB" w:rsidRDefault="002914EB" w:rsidP="002914E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10067</w:t>
            </w:r>
          </w:p>
        </w:tc>
        <w:tc>
          <w:tcPr>
            <w:tcW w:w="2552" w:type="dxa"/>
          </w:tcPr>
          <w:p w:rsidR="002914EB" w:rsidRDefault="002914EB" w:rsidP="002914EB">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9745</w:t>
            </w:r>
          </w:p>
        </w:tc>
        <w:tc>
          <w:tcPr>
            <w:tcW w:w="2410" w:type="dxa"/>
          </w:tcPr>
          <w:p w:rsidR="002914EB" w:rsidRDefault="002914EB" w:rsidP="002914EB">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p>
        </w:tc>
      </w:tr>
    </w:tbl>
    <w:p w:rsidR="002914EB" w:rsidRPr="00E54083" w:rsidRDefault="002914EB" w:rsidP="002914EB">
      <w:pPr>
        <w:suppressAutoHyphens/>
        <w:spacing w:after="0" w:line="240" w:lineRule="auto"/>
        <w:rPr>
          <w:rFonts w:ascii="Times New Roman" w:eastAsia="Times New Roman" w:hAnsi="Times New Roman"/>
          <w:sz w:val="24"/>
          <w:szCs w:val="28"/>
          <w:lang w:eastAsia="ru-RU"/>
        </w:rPr>
      </w:pPr>
    </w:p>
    <w:p w:rsidR="002914EB" w:rsidRDefault="002914EB" w:rsidP="002914EB">
      <w:pPr>
        <w:spacing w:before="20" w:after="20" w:line="240" w:lineRule="auto"/>
        <w:jc w:val="both"/>
        <w:rPr>
          <w:rFonts w:ascii="Times New Roman" w:eastAsia="Times New Roman" w:hAnsi="Times New Roman"/>
          <w:b/>
          <w:sz w:val="24"/>
          <w:szCs w:val="24"/>
          <w:lang w:eastAsia="ru-RU"/>
        </w:rPr>
      </w:pPr>
      <w:r w:rsidRPr="000B6D74">
        <w:rPr>
          <w:rFonts w:ascii="Times New Roman" w:eastAsia="Times New Roman" w:hAnsi="Times New Roman"/>
          <w:b/>
          <w:sz w:val="24"/>
          <w:szCs w:val="24"/>
          <w:lang w:eastAsia="ru-RU"/>
        </w:rPr>
        <w:t xml:space="preserve">  Итоги по паспортизации канцерогеноопасных производств. </w:t>
      </w:r>
    </w:p>
    <w:p w:rsidR="002914EB" w:rsidRPr="000B6D74" w:rsidRDefault="002914EB" w:rsidP="002E57C5">
      <w:pPr>
        <w:spacing w:before="20" w:after="20" w:line="240" w:lineRule="auto"/>
        <w:ind w:firstLine="567"/>
        <w:jc w:val="both"/>
        <w:rPr>
          <w:rFonts w:ascii="Times New Roman" w:eastAsia="Times New Roman" w:hAnsi="Times New Roman"/>
          <w:i/>
          <w:sz w:val="24"/>
          <w:szCs w:val="24"/>
          <w:lang w:eastAsia="ru-RU"/>
        </w:rPr>
      </w:pPr>
      <w:r w:rsidRPr="000B6D74">
        <w:rPr>
          <w:rFonts w:ascii="Times New Roman" w:eastAsia="Times New Roman" w:hAnsi="Times New Roman"/>
          <w:sz w:val="24"/>
          <w:szCs w:val="24"/>
          <w:lang w:eastAsia="ru-RU"/>
        </w:rPr>
        <w:t xml:space="preserve"> </w:t>
      </w:r>
      <w:r w:rsidRPr="000B6D74">
        <w:rPr>
          <w:rFonts w:ascii="Times New Roman" w:eastAsia="Times New Roman" w:hAnsi="Times New Roman"/>
          <w:sz w:val="24"/>
          <w:szCs w:val="24"/>
          <w:lang w:eastAsia="ru-RU"/>
        </w:rPr>
        <w:tab/>
        <w:t>Территориальный отдел Управления Роспотребнадзора по ХМАО в г. Нефтеюганске, Нефтеюганском районе и г. Пыть-Яхе  сообщает:</w:t>
      </w:r>
    </w:p>
    <w:p w:rsidR="002914EB" w:rsidRPr="000B6D74" w:rsidRDefault="002914EB" w:rsidP="002E57C5">
      <w:pPr>
        <w:spacing w:before="20" w:after="20" w:line="240" w:lineRule="auto"/>
        <w:ind w:firstLine="567"/>
        <w:jc w:val="both"/>
        <w:rPr>
          <w:rFonts w:ascii="Times New Roman" w:eastAsia="Times New Roman" w:hAnsi="Times New Roman"/>
          <w:sz w:val="24"/>
          <w:szCs w:val="24"/>
          <w:lang w:eastAsia="ru-RU"/>
        </w:rPr>
      </w:pPr>
      <w:r w:rsidRPr="000B6D74">
        <w:rPr>
          <w:rFonts w:ascii="Times New Roman" w:eastAsia="Times New Roman" w:hAnsi="Times New Roman"/>
          <w:sz w:val="24"/>
          <w:szCs w:val="24"/>
          <w:lang w:eastAsia="ru-RU"/>
        </w:rPr>
        <w:tab/>
        <w:t xml:space="preserve">На территории </w:t>
      </w:r>
      <w:r>
        <w:rPr>
          <w:rFonts w:ascii="Times New Roman" w:eastAsia="Times New Roman" w:hAnsi="Times New Roman"/>
          <w:sz w:val="24"/>
          <w:szCs w:val="24"/>
          <w:lang w:eastAsia="ru-RU"/>
        </w:rPr>
        <w:t>г.Пыть-ях  зарегистрировано 7</w:t>
      </w:r>
      <w:r w:rsidRPr="000B6D74">
        <w:rPr>
          <w:rFonts w:ascii="Times New Roman" w:eastAsia="Times New Roman" w:hAnsi="Times New Roman"/>
          <w:sz w:val="24"/>
          <w:szCs w:val="24"/>
          <w:lang w:eastAsia="ru-RU"/>
        </w:rPr>
        <w:t xml:space="preserve"> предприятий использующих в своей деятельности  производственные процессы, связанные с канцерогенными веществами - это  транспортные предприятия,  предприятия, занимающиеся  изготовлением  и укладкой асфальтобетонной смеси,  сервисные предприятия  нефтедобывающий отрасли, предприятия тепловодоснабжающие.   На транспортных предприятиях канцерогенными веществами являются: бензол (выделяется в незначительных количествах при ремонте резиновых изделий), минеральные масла неочищенные и не полностью очищенные.  </w:t>
      </w:r>
    </w:p>
    <w:p w:rsidR="002914EB" w:rsidRPr="00BB5EAC" w:rsidRDefault="002914EB" w:rsidP="002E57C5">
      <w:pPr>
        <w:suppressAutoHyphens/>
        <w:spacing w:after="0" w:line="240" w:lineRule="auto"/>
        <w:ind w:firstLine="567"/>
        <w:jc w:val="both"/>
        <w:rPr>
          <w:rFonts w:ascii="Times New Roman" w:eastAsia="Times New Roman" w:hAnsi="Times New Roman"/>
          <w:sz w:val="24"/>
          <w:szCs w:val="24"/>
          <w:lang w:eastAsia="ru-RU"/>
        </w:rPr>
      </w:pPr>
      <w:r w:rsidRPr="00BB5EAC">
        <w:rPr>
          <w:rFonts w:ascii="Times New Roman" w:eastAsia="Times New Roman" w:hAnsi="Times New Roman"/>
          <w:sz w:val="24"/>
          <w:szCs w:val="24"/>
          <w:lang w:eastAsia="ru-RU"/>
        </w:rPr>
        <w:t>Группой риска на транспортных предприятиях являются автослесари и другие работники ремонтных зон автотранспортных предприятий, а также других производственных и складских помещений, в которых согласно принятой технологии отработавшие газы дизельных двигателей поступают в рабочую зону.</w:t>
      </w:r>
    </w:p>
    <w:p w:rsidR="002914EB" w:rsidRPr="00BB5EAC" w:rsidRDefault="002914EB" w:rsidP="002E57C5">
      <w:pPr>
        <w:suppressAutoHyphens/>
        <w:spacing w:after="0" w:line="240" w:lineRule="auto"/>
        <w:ind w:firstLine="567"/>
        <w:jc w:val="both"/>
        <w:rPr>
          <w:rFonts w:ascii="Times New Roman" w:eastAsia="Times New Roman" w:hAnsi="Times New Roman"/>
          <w:sz w:val="24"/>
          <w:szCs w:val="24"/>
          <w:lang w:eastAsia="ru-RU"/>
        </w:rPr>
      </w:pPr>
      <w:r w:rsidRPr="00BB5EAC">
        <w:rPr>
          <w:rFonts w:ascii="Times New Roman" w:eastAsia="Times New Roman" w:hAnsi="Times New Roman"/>
          <w:sz w:val="24"/>
          <w:szCs w:val="24"/>
          <w:lang w:eastAsia="ru-RU"/>
        </w:rPr>
        <w:t xml:space="preserve">       Практически на всех автотранспортных предприятиях организованы рабочие места, на которых работники могут подвергаться воздействию канцерогенных факторов: это все участки, на которых работники по технологическому регламенту контактируют с минеральными маслами.</w:t>
      </w:r>
    </w:p>
    <w:p w:rsidR="002914EB" w:rsidRPr="00BB5EAC" w:rsidRDefault="002914EB" w:rsidP="002E57C5">
      <w:pPr>
        <w:suppressAutoHyphens/>
        <w:spacing w:after="0" w:line="240" w:lineRule="auto"/>
        <w:ind w:firstLine="567"/>
        <w:jc w:val="both"/>
        <w:rPr>
          <w:rFonts w:ascii="Times New Roman" w:eastAsia="Times New Roman" w:hAnsi="Times New Roman"/>
          <w:sz w:val="24"/>
          <w:szCs w:val="24"/>
          <w:lang w:eastAsia="ru-RU"/>
        </w:rPr>
      </w:pPr>
      <w:r w:rsidRPr="00BB5EAC">
        <w:rPr>
          <w:rFonts w:ascii="Times New Roman" w:eastAsia="Times New Roman" w:hAnsi="Times New Roman"/>
          <w:sz w:val="24"/>
          <w:szCs w:val="24"/>
          <w:lang w:eastAsia="ru-RU"/>
        </w:rPr>
        <w:t xml:space="preserve">      Из паспортов канцерогеноопасных предприятий  в настоящее время исключены участки обточки тормозных колодок (пыль асбестеодержащих материалов); шиноремонтные участки (М-нитрозодиметйламин, М-нитрозодиэтиламин); участки ремонта, связанные с воздействием на работников абразивной пыли (кремний диоксид кристаллический), включая процессы обработки свечей зажигания; окраска кузовных деталей, с применением лакокрасочных материалов и растворителей, в которых могут содержаться эпоксидные соединения и в качестве примеси бензол; антикоррозионные работы с применени­ем материалов, содержащих полициклические ароматические углеводороды (бенз(а)пирен) и другие ПАУ. Это является следствием разукрупнение транспортных предприятий, которое повлекло за собой закрытие  вышеуказанных участков. Большая часть работ по ремонту автомобилей проводится  на небольших станциях технического обслуживания.</w:t>
      </w:r>
    </w:p>
    <w:p w:rsidR="002914EB" w:rsidRPr="00BB5EAC" w:rsidRDefault="002914EB" w:rsidP="002E57C5">
      <w:pPr>
        <w:suppressAutoHyphens/>
        <w:spacing w:after="0" w:line="240" w:lineRule="auto"/>
        <w:ind w:firstLine="567"/>
        <w:jc w:val="both"/>
        <w:rPr>
          <w:rFonts w:ascii="Times New Roman" w:eastAsia="Times New Roman" w:hAnsi="Times New Roman"/>
          <w:sz w:val="24"/>
          <w:szCs w:val="24"/>
          <w:lang w:eastAsia="ru-RU"/>
        </w:rPr>
      </w:pPr>
      <w:r w:rsidRPr="00BB5EAC">
        <w:rPr>
          <w:rFonts w:ascii="Times New Roman" w:eastAsia="Times New Roman" w:hAnsi="Times New Roman"/>
          <w:sz w:val="24"/>
          <w:szCs w:val="24"/>
          <w:lang w:eastAsia="ru-RU"/>
        </w:rPr>
        <w:t xml:space="preserve">        Все зарегистрированные предприятия  заключили договоры на проведение лабораторного контроля за  содержанием в воздухе рабочей зоны вредных химических веществ, а на  асфальтобетонных заводах  за состоянием атмосферного воздуха.   </w:t>
      </w:r>
    </w:p>
    <w:p w:rsidR="002914EB" w:rsidRPr="000B6D74" w:rsidRDefault="002914EB" w:rsidP="002E57C5">
      <w:pPr>
        <w:spacing w:before="20" w:after="20" w:line="240" w:lineRule="auto"/>
        <w:ind w:firstLine="567"/>
        <w:jc w:val="both"/>
        <w:rPr>
          <w:rFonts w:ascii="Times New Roman" w:eastAsia="Times New Roman" w:hAnsi="Times New Roman"/>
          <w:sz w:val="24"/>
          <w:szCs w:val="24"/>
          <w:lang w:eastAsia="ru-RU"/>
        </w:rPr>
      </w:pPr>
      <w:r w:rsidRPr="000B6D74">
        <w:rPr>
          <w:rFonts w:ascii="Times New Roman" w:eastAsia="Times New Roman" w:hAnsi="Times New Roman"/>
          <w:sz w:val="24"/>
          <w:szCs w:val="24"/>
          <w:lang w:eastAsia="ru-RU"/>
        </w:rPr>
        <w:t xml:space="preserve">  Список предприятий канцерогенно-опасных производств</w:t>
      </w:r>
      <w:r>
        <w:rPr>
          <w:rFonts w:ascii="Times New Roman" w:eastAsia="Times New Roman" w:hAnsi="Times New Roman"/>
          <w:sz w:val="24"/>
          <w:szCs w:val="24"/>
          <w:lang w:eastAsia="ru-RU"/>
        </w:rPr>
        <w:t xml:space="preserve"> паспортизированных в 2018г-2020</w:t>
      </w:r>
      <w:r w:rsidRPr="000B6D74">
        <w:rPr>
          <w:rFonts w:ascii="Times New Roman" w:eastAsia="Times New Roman" w:hAnsi="Times New Roman"/>
          <w:sz w:val="24"/>
          <w:szCs w:val="24"/>
          <w:lang w:eastAsia="ru-RU"/>
        </w:rPr>
        <w:t>г.</w:t>
      </w:r>
    </w:p>
    <w:p w:rsidR="002914EB" w:rsidRPr="00CA0346" w:rsidRDefault="002914EB" w:rsidP="006A23B3">
      <w:pPr>
        <w:numPr>
          <w:ilvl w:val="0"/>
          <w:numId w:val="19"/>
        </w:numPr>
        <w:spacing w:after="0" w:line="240" w:lineRule="auto"/>
        <w:ind w:left="720"/>
        <w:jc w:val="both"/>
        <w:rPr>
          <w:rFonts w:ascii="Times New Roman" w:eastAsia="Times New Roman" w:hAnsi="Times New Roman"/>
          <w:sz w:val="24"/>
          <w:szCs w:val="24"/>
          <w:lang w:eastAsia="ru-RU"/>
        </w:rPr>
      </w:pPr>
      <w:r w:rsidRPr="00CA0346">
        <w:rPr>
          <w:rFonts w:ascii="Times New Roman" w:eastAsia="Times New Roman" w:hAnsi="Times New Roman"/>
          <w:sz w:val="24"/>
          <w:szCs w:val="24"/>
          <w:lang w:eastAsia="ru-RU"/>
        </w:rPr>
        <w:t>ООО «НТС-Лидер»</w:t>
      </w:r>
    </w:p>
    <w:p w:rsidR="002914EB" w:rsidRPr="00CA0346" w:rsidRDefault="002914EB" w:rsidP="006A23B3">
      <w:pPr>
        <w:numPr>
          <w:ilvl w:val="0"/>
          <w:numId w:val="19"/>
        </w:numPr>
        <w:spacing w:after="0" w:line="240" w:lineRule="auto"/>
        <w:ind w:left="720"/>
        <w:jc w:val="both"/>
        <w:rPr>
          <w:rFonts w:ascii="Times New Roman" w:eastAsia="Times New Roman" w:hAnsi="Times New Roman"/>
          <w:sz w:val="24"/>
          <w:szCs w:val="24"/>
          <w:lang w:eastAsia="ru-RU"/>
        </w:rPr>
      </w:pPr>
      <w:r w:rsidRPr="00CA0346">
        <w:rPr>
          <w:rFonts w:ascii="Times New Roman" w:eastAsia="Times New Roman" w:hAnsi="Times New Roman"/>
          <w:sz w:val="24"/>
          <w:szCs w:val="24"/>
          <w:lang w:eastAsia="ru-RU"/>
        </w:rPr>
        <w:t>ООО «Борец-Сервис-Нефтеюганск»</w:t>
      </w:r>
    </w:p>
    <w:p w:rsidR="002914EB" w:rsidRPr="00CA0346" w:rsidRDefault="002914EB" w:rsidP="006A23B3">
      <w:pPr>
        <w:numPr>
          <w:ilvl w:val="0"/>
          <w:numId w:val="19"/>
        </w:numPr>
        <w:spacing w:after="0" w:line="240" w:lineRule="auto"/>
        <w:ind w:left="720"/>
        <w:jc w:val="both"/>
        <w:rPr>
          <w:rFonts w:ascii="Times New Roman" w:eastAsia="Times New Roman" w:hAnsi="Times New Roman"/>
          <w:sz w:val="24"/>
          <w:szCs w:val="24"/>
          <w:lang w:eastAsia="ru-RU"/>
        </w:rPr>
      </w:pPr>
      <w:r w:rsidRPr="00CA0346">
        <w:rPr>
          <w:rFonts w:ascii="Times New Roman" w:eastAsia="Times New Roman" w:hAnsi="Times New Roman"/>
          <w:sz w:val="24"/>
          <w:szCs w:val="24"/>
          <w:lang w:eastAsia="ru-RU"/>
        </w:rPr>
        <w:t>ОАО «СибурТранснефть» филиал  «Южно-Балыкский ГПК»</w:t>
      </w:r>
    </w:p>
    <w:p w:rsidR="002914EB" w:rsidRPr="00CA0346" w:rsidRDefault="002914EB" w:rsidP="006A23B3">
      <w:pPr>
        <w:numPr>
          <w:ilvl w:val="0"/>
          <w:numId w:val="19"/>
        </w:numPr>
        <w:spacing w:after="0" w:line="240" w:lineRule="auto"/>
        <w:ind w:left="720"/>
        <w:jc w:val="both"/>
        <w:rPr>
          <w:rFonts w:ascii="Times New Roman" w:eastAsia="Times New Roman" w:hAnsi="Times New Roman"/>
          <w:sz w:val="24"/>
          <w:szCs w:val="24"/>
          <w:lang w:eastAsia="ru-RU"/>
        </w:rPr>
      </w:pPr>
      <w:r w:rsidRPr="00CA0346">
        <w:rPr>
          <w:rFonts w:ascii="Times New Roman" w:eastAsia="Times New Roman" w:hAnsi="Times New Roman"/>
          <w:sz w:val="24"/>
          <w:szCs w:val="24"/>
          <w:lang w:eastAsia="ru-RU"/>
        </w:rPr>
        <w:t>ООО «ЭКОТОН»</w:t>
      </w:r>
    </w:p>
    <w:p w:rsidR="002914EB" w:rsidRPr="00CA0346" w:rsidRDefault="002914EB" w:rsidP="006A23B3">
      <w:pPr>
        <w:numPr>
          <w:ilvl w:val="0"/>
          <w:numId w:val="19"/>
        </w:numPr>
        <w:suppressAutoHyphens/>
        <w:spacing w:after="0" w:line="240" w:lineRule="auto"/>
        <w:ind w:left="720"/>
        <w:rPr>
          <w:rFonts w:ascii="Times New Roman" w:eastAsia="Times New Roman" w:hAnsi="Times New Roman"/>
          <w:sz w:val="24"/>
          <w:szCs w:val="24"/>
          <w:lang w:eastAsia="ru-RU"/>
        </w:rPr>
      </w:pPr>
      <w:r w:rsidRPr="00CA0346">
        <w:rPr>
          <w:rFonts w:ascii="Times New Roman" w:eastAsia="Times New Roman" w:hAnsi="Times New Roman"/>
          <w:sz w:val="24"/>
          <w:szCs w:val="24"/>
          <w:lang w:eastAsia="ru-RU"/>
        </w:rPr>
        <w:t>ООО «Шлюмберже Восток»</w:t>
      </w:r>
    </w:p>
    <w:p w:rsidR="002914EB" w:rsidRPr="00CA0346" w:rsidRDefault="002914EB" w:rsidP="006A23B3">
      <w:pPr>
        <w:numPr>
          <w:ilvl w:val="0"/>
          <w:numId w:val="19"/>
        </w:numPr>
        <w:suppressAutoHyphens/>
        <w:spacing w:after="0" w:line="240" w:lineRule="auto"/>
        <w:ind w:left="720"/>
        <w:rPr>
          <w:rFonts w:ascii="Times New Roman" w:eastAsia="Times New Roman" w:hAnsi="Times New Roman"/>
          <w:sz w:val="24"/>
          <w:szCs w:val="24"/>
          <w:lang w:eastAsia="ru-RU"/>
        </w:rPr>
      </w:pPr>
      <w:r w:rsidRPr="00CA0346">
        <w:rPr>
          <w:rFonts w:ascii="Times New Roman" w:eastAsia="Times New Roman" w:hAnsi="Times New Roman"/>
          <w:sz w:val="24"/>
          <w:szCs w:val="24"/>
          <w:lang w:eastAsia="ru-RU"/>
        </w:rPr>
        <w:t>НК «Шлюмберже Лоджелко Инк»</w:t>
      </w:r>
    </w:p>
    <w:p w:rsidR="002914EB" w:rsidRDefault="002914EB" w:rsidP="006A23B3">
      <w:pPr>
        <w:numPr>
          <w:ilvl w:val="0"/>
          <w:numId w:val="19"/>
        </w:numPr>
        <w:suppressAutoHyphens/>
        <w:spacing w:after="0" w:line="240" w:lineRule="auto"/>
        <w:ind w:hanging="7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A0346">
        <w:rPr>
          <w:rFonts w:ascii="Times New Roman" w:eastAsia="Times New Roman" w:hAnsi="Times New Roman"/>
          <w:sz w:val="24"/>
          <w:szCs w:val="24"/>
          <w:lang w:eastAsia="ru-RU"/>
        </w:rPr>
        <w:t>ООО «РН-Снабжение -Нефтеюганск»</w:t>
      </w:r>
    </w:p>
    <w:p w:rsidR="002914EB" w:rsidRDefault="002914EB" w:rsidP="002E57C5">
      <w:pPr>
        <w:spacing w:before="20" w:after="20" w:line="240" w:lineRule="auto"/>
        <w:ind w:firstLine="284"/>
        <w:jc w:val="both"/>
        <w:rPr>
          <w:rFonts w:ascii="Times New Roman" w:eastAsia="Times New Roman" w:hAnsi="Times New Roman"/>
          <w:sz w:val="24"/>
          <w:szCs w:val="24"/>
          <w:lang w:eastAsia="ru-RU"/>
        </w:rPr>
      </w:pPr>
      <w:r w:rsidRPr="000B6D74">
        <w:rPr>
          <w:rFonts w:ascii="Times New Roman" w:eastAsia="Times New Roman" w:hAnsi="Times New Roman"/>
          <w:sz w:val="24"/>
          <w:szCs w:val="24"/>
          <w:lang w:eastAsia="ru-RU"/>
        </w:rPr>
        <w:lastRenderedPageBreak/>
        <w:t xml:space="preserve">   В 20</w:t>
      </w:r>
      <w:r>
        <w:rPr>
          <w:rFonts w:ascii="Times New Roman" w:eastAsia="Times New Roman" w:hAnsi="Times New Roman"/>
          <w:sz w:val="24"/>
          <w:szCs w:val="24"/>
          <w:lang w:eastAsia="ru-RU"/>
        </w:rPr>
        <w:t>20</w:t>
      </w:r>
      <w:r w:rsidRPr="000B6D74">
        <w:rPr>
          <w:rFonts w:ascii="Times New Roman" w:eastAsia="Times New Roman" w:hAnsi="Times New Roman"/>
          <w:sz w:val="24"/>
          <w:szCs w:val="24"/>
          <w:lang w:eastAsia="ru-RU"/>
        </w:rPr>
        <w:t xml:space="preserve"> году продолжено  обновление гигиенических паспортов и ведется  надзор за условиями труда на предприятиях с канцерогеноопасными производствами   </w:t>
      </w:r>
      <w:r>
        <w:rPr>
          <w:rFonts w:ascii="Times New Roman" w:eastAsia="Times New Roman" w:hAnsi="Times New Roman"/>
          <w:sz w:val="24"/>
          <w:szCs w:val="24"/>
          <w:lang w:eastAsia="ru-RU"/>
        </w:rPr>
        <w:t>г. Пыть-Ях</w:t>
      </w:r>
      <w:r w:rsidRPr="000B6D74">
        <w:rPr>
          <w:rFonts w:ascii="Times New Roman" w:eastAsia="Times New Roman" w:hAnsi="Times New Roman"/>
          <w:sz w:val="24"/>
          <w:szCs w:val="24"/>
          <w:lang w:eastAsia="ru-RU"/>
        </w:rPr>
        <w:t>, продолжается работа по изучению и выявлению предприятий, использующих в своей деятельности канцергеноопасные технологии.</w:t>
      </w:r>
    </w:p>
    <w:p w:rsidR="002914EB" w:rsidRDefault="002914EB" w:rsidP="002914EB">
      <w:pPr>
        <w:spacing w:before="20" w:after="20" w:line="240" w:lineRule="auto"/>
        <w:jc w:val="both"/>
        <w:rPr>
          <w:rFonts w:ascii="Times New Roman" w:eastAsia="Times New Roman" w:hAnsi="Times New Roman"/>
          <w:sz w:val="24"/>
          <w:szCs w:val="24"/>
          <w:lang w:eastAsia="ru-RU"/>
        </w:rPr>
      </w:pPr>
    </w:p>
    <w:p w:rsidR="002914EB" w:rsidRPr="002E57C5" w:rsidRDefault="002914EB" w:rsidP="002E57C5">
      <w:pPr>
        <w:pStyle w:val="af6"/>
        <w:spacing w:before="240" w:line="240" w:lineRule="auto"/>
        <w:rPr>
          <w:sz w:val="24"/>
          <w:szCs w:val="24"/>
        </w:rPr>
      </w:pPr>
      <w:r w:rsidRPr="002E57C5">
        <w:rPr>
          <w:sz w:val="24"/>
          <w:szCs w:val="24"/>
        </w:rPr>
        <w:t>2.2.3. Результаты деятельности по безопасности условий воспитания и обучения детей и подростков по территории г. Пыть-Ях</w:t>
      </w:r>
    </w:p>
    <w:p w:rsidR="002914EB" w:rsidRPr="00537146" w:rsidRDefault="002914EB" w:rsidP="002E57C5">
      <w:pPr>
        <w:spacing w:after="0" w:line="240" w:lineRule="auto"/>
        <w:ind w:firstLine="708"/>
        <w:jc w:val="both"/>
        <w:rPr>
          <w:rFonts w:ascii="Times New Roman" w:hAnsi="Times New Roman" w:cs="Times New Roman"/>
          <w:sz w:val="24"/>
          <w:szCs w:val="24"/>
        </w:rPr>
      </w:pPr>
      <w:r w:rsidRPr="00537146">
        <w:rPr>
          <w:rFonts w:ascii="Times New Roman" w:hAnsi="Times New Roman" w:cs="Times New Roman"/>
          <w:sz w:val="24"/>
          <w:szCs w:val="24"/>
        </w:rPr>
        <w:t>Решение проблемы сохранения и укрепления здоровья детского населения имеет огромное государственное значение, так как подрастающее поколение является трудовым потенциалом Российской Федерации, и от него зависит будущее страны.</w:t>
      </w:r>
    </w:p>
    <w:p w:rsidR="002914EB" w:rsidRPr="00537146" w:rsidRDefault="002914EB" w:rsidP="002E57C5">
      <w:pPr>
        <w:spacing w:after="0" w:line="240" w:lineRule="auto"/>
        <w:ind w:firstLine="708"/>
        <w:jc w:val="both"/>
        <w:rPr>
          <w:rFonts w:ascii="Times New Roman" w:hAnsi="Times New Roman" w:cs="Times New Roman"/>
          <w:sz w:val="24"/>
          <w:szCs w:val="24"/>
        </w:rPr>
      </w:pPr>
      <w:r w:rsidRPr="00537146">
        <w:rPr>
          <w:rFonts w:ascii="Times New Roman" w:hAnsi="Times New Roman" w:cs="Times New Roman"/>
          <w:sz w:val="24"/>
          <w:szCs w:val="24"/>
        </w:rPr>
        <w:t>Защита прав и охрана здоровья детей является одним из стратегических направлений государственной политики России. Ведущим документом, определяющим благополучие, соблюдение прав и улучшение положения детей в Российской Федерации является Концепция охраны здоровья детей в Российской Федерации.</w:t>
      </w:r>
    </w:p>
    <w:p w:rsidR="002914EB" w:rsidRPr="00537146" w:rsidRDefault="002914EB" w:rsidP="002E57C5">
      <w:pPr>
        <w:spacing w:after="0" w:line="240" w:lineRule="auto"/>
        <w:ind w:firstLine="708"/>
        <w:jc w:val="both"/>
        <w:rPr>
          <w:rFonts w:ascii="Times New Roman" w:hAnsi="Times New Roman" w:cs="Times New Roman"/>
          <w:sz w:val="24"/>
          <w:szCs w:val="24"/>
        </w:rPr>
      </w:pPr>
      <w:r w:rsidRPr="00537146">
        <w:rPr>
          <w:rFonts w:ascii="Times New Roman" w:hAnsi="Times New Roman" w:cs="Times New Roman"/>
          <w:sz w:val="24"/>
          <w:szCs w:val="24"/>
        </w:rPr>
        <w:t>Государственный санитарно-эпидемиологический надзор за условиями воспитания и обучения детей в образовательных и других типах учреждений определен ст. 28 Федерального закона от 30 марта 1999г. № 52-ФЗ «О санитарно-эпидемиологическом благополучии населения».</w:t>
      </w:r>
    </w:p>
    <w:p w:rsidR="002914EB" w:rsidRPr="00537146" w:rsidRDefault="002914EB" w:rsidP="002E57C5">
      <w:pPr>
        <w:spacing w:after="0" w:line="240" w:lineRule="auto"/>
        <w:ind w:firstLine="708"/>
        <w:jc w:val="both"/>
        <w:rPr>
          <w:rFonts w:ascii="Times New Roman" w:hAnsi="Times New Roman" w:cs="Times New Roman"/>
          <w:sz w:val="24"/>
          <w:szCs w:val="24"/>
        </w:rPr>
      </w:pPr>
      <w:r w:rsidRPr="00537146">
        <w:rPr>
          <w:rFonts w:ascii="Times New Roman" w:hAnsi="Times New Roman" w:cs="Times New Roman"/>
          <w:sz w:val="24"/>
          <w:szCs w:val="24"/>
        </w:rPr>
        <w:t>В качестве приоритетных направлений государственной социальной политики по улучшению положения детей выделены: охрана здоровья и содействие здоровому образу жизни; обеспечение качественного образования и воспитания; улучшение экономических условий жизнедеятельности детей; повышение эффективности государственной системы поддержки детей, находящихся в особо сложных обстоятельствах.</w:t>
      </w:r>
    </w:p>
    <w:p w:rsidR="002914EB" w:rsidRPr="00537146" w:rsidRDefault="002914EB" w:rsidP="002E57C5">
      <w:pPr>
        <w:spacing w:after="0" w:line="240" w:lineRule="auto"/>
        <w:ind w:firstLine="708"/>
        <w:jc w:val="both"/>
        <w:rPr>
          <w:rFonts w:ascii="Times New Roman" w:hAnsi="Times New Roman" w:cs="Times New Roman"/>
          <w:sz w:val="24"/>
          <w:szCs w:val="24"/>
        </w:rPr>
      </w:pPr>
      <w:r w:rsidRPr="00537146">
        <w:rPr>
          <w:rFonts w:ascii="Times New Roman" w:hAnsi="Times New Roman" w:cs="Times New Roman"/>
          <w:sz w:val="24"/>
          <w:szCs w:val="24"/>
        </w:rPr>
        <w:t>Здоровье ребенка формируется под влиянием многих факторов, в том числе таких, как условия воспитания, обучения, отдыха в учреждениях детей и подростков, где дети проводят большую часть своей жизни.</w:t>
      </w:r>
    </w:p>
    <w:p w:rsidR="002914EB" w:rsidRPr="00537146" w:rsidRDefault="002914EB" w:rsidP="002E57C5">
      <w:pPr>
        <w:spacing w:after="0" w:line="240" w:lineRule="auto"/>
        <w:ind w:firstLine="708"/>
        <w:jc w:val="both"/>
        <w:rPr>
          <w:rFonts w:ascii="Times New Roman" w:hAnsi="Times New Roman" w:cs="Times New Roman"/>
          <w:sz w:val="24"/>
          <w:szCs w:val="24"/>
        </w:rPr>
      </w:pPr>
      <w:r w:rsidRPr="00537146">
        <w:rPr>
          <w:rFonts w:ascii="Times New Roman" w:hAnsi="Times New Roman" w:cs="Times New Roman"/>
          <w:sz w:val="24"/>
          <w:szCs w:val="24"/>
        </w:rPr>
        <w:t xml:space="preserve">Санитарно-эпидемиологический надзор за условиями обучения и воспитания детей направлен на предотвращение неблагоприятного воздействия на детский организм вредных факторов и условий, возникающих в </w:t>
      </w:r>
      <w:r>
        <w:rPr>
          <w:rFonts w:ascii="Times New Roman" w:hAnsi="Times New Roman" w:cs="Times New Roman"/>
          <w:sz w:val="24"/>
          <w:szCs w:val="24"/>
        </w:rPr>
        <w:t>процессе обучения и воспитания.</w:t>
      </w:r>
    </w:p>
    <w:p w:rsidR="002914EB" w:rsidRDefault="002914EB" w:rsidP="002E57C5">
      <w:pPr>
        <w:pStyle w:val="afc"/>
        <w:jc w:val="both"/>
        <w:rPr>
          <w:sz w:val="24"/>
          <w:szCs w:val="24"/>
        </w:rPr>
      </w:pPr>
      <w:r>
        <w:rPr>
          <w:sz w:val="24"/>
          <w:szCs w:val="24"/>
        </w:rPr>
        <w:t xml:space="preserve">     </w:t>
      </w:r>
      <w:r w:rsidRPr="005B28D6">
        <w:rPr>
          <w:sz w:val="24"/>
          <w:szCs w:val="24"/>
        </w:rPr>
        <w:t>В городе Пыть-Яхв 2020 год  функционировало2</w:t>
      </w:r>
      <w:r>
        <w:rPr>
          <w:sz w:val="24"/>
          <w:szCs w:val="24"/>
        </w:rPr>
        <w:t>4</w:t>
      </w:r>
      <w:r w:rsidRPr="005B28D6">
        <w:rPr>
          <w:sz w:val="24"/>
          <w:szCs w:val="24"/>
        </w:rPr>
        <w:t xml:space="preserve"> субъекта (37 объекта надзора)  детских образовательных, детских оздоровительных  и других типов детских учреждений, из них 7</w:t>
      </w:r>
      <w:r>
        <w:rPr>
          <w:sz w:val="24"/>
          <w:szCs w:val="24"/>
        </w:rPr>
        <w:t xml:space="preserve"> общеобразовательных школ (9</w:t>
      </w:r>
      <w:r w:rsidRPr="005B28D6">
        <w:rPr>
          <w:sz w:val="24"/>
          <w:szCs w:val="24"/>
        </w:rPr>
        <w:t xml:space="preserve"> объектов надзора). 7</w:t>
      </w:r>
      <w:r>
        <w:rPr>
          <w:sz w:val="24"/>
          <w:szCs w:val="24"/>
        </w:rPr>
        <w:t xml:space="preserve"> субъектов (10</w:t>
      </w:r>
      <w:r w:rsidRPr="005B28D6">
        <w:rPr>
          <w:sz w:val="24"/>
          <w:szCs w:val="24"/>
        </w:rPr>
        <w:t xml:space="preserve"> объектов надзора) дошкольных образовательных учреждения.  2 субъекта (8 объектов надзора)  организаций дополнительного образования, 2 организации для детей сирот оставшихся без попечения родителей, учреждения социальной реабилитации (приюты), 8 учреждений - другие типы детских учреждений (библиотеки, театр кукол, детские клубы, спортивные секции, театральные кружки и т.д.),  0- учреждений отдыха и оздоровления с дневным пребыванием детей в период каникул (2017 – 6, ЛОУ 2018г -9, 2019 - 10).</w:t>
      </w:r>
    </w:p>
    <w:p w:rsidR="002914EB" w:rsidRPr="003C311B" w:rsidRDefault="002914EB" w:rsidP="002E57C5">
      <w:pPr>
        <w:pStyle w:val="a5"/>
        <w:ind w:firstLine="709"/>
        <w:jc w:val="right"/>
        <w:outlineLvl w:val="0"/>
        <w:rPr>
          <w:bCs/>
          <w:sz w:val="22"/>
          <w:szCs w:val="22"/>
        </w:rPr>
      </w:pPr>
      <w:r w:rsidRPr="003C311B">
        <w:rPr>
          <w:bCs/>
          <w:sz w:val="22"/>
          <w:szCs w:val="22"/>
        </w:rPr>
        <w:t>Таблица № 1</w:t>
      </w:r>
    </w:p>
    <w:p w:rsidR="002E57C5" w:rsidRDefault="002914EB" w:rsidP="002E57C5">
      <w:pPr>
        <w:spacing w:after="0" w:line="240" w:lineRule="auto"/>
        <w:ind w:firstLine="708"/>
        <w:jc w:val="center"/>
        <w:rPr>
          <w:rFonts w:ascii="Times New Roman" w:hAnsi="Times New Roman" w:cs="Times New Roman"/>
          <w:b/>
          <w:sz w:val="24"/>
          <w:szCs w:val="24"/>
        </w:rPr>
      </w:pPr>
      <w:r w:rsidRPr="006D53B0">
        <w:rPr>
          <w:rFonts w:ascii="Times New Roman" w:hAnsi="Times New Roman" w:cs="Times New Roman"/>
          <w:b/>
          <w:sz w:val="24"/>
          <w:szCs w:val="24"/>
        </w:rPr>
        <w:t xml:space="preserve">Количество и типы детских и подростковых учреждений гПыть-Ях </w:t>
      </w:r>
    </w:p>
    <w:p w:rsidR="002914EB" w:rsidRPr="006D53B0" w:rsidRDefault="002914EB" w:rsidP="002E57C5">
      <w:pPr>
        <w:spacing w:after="0" w:line="240" w:lineRule="auto"/>
        <w:ind w:firstLine="708"/>
        <w:jc w:val="center"/>
        <w:rPr>
          <w:rFonts w:ascii="Times New Roman" w:hAnsi="Times New Roman" w:cs="Times New Roman"/>
          <w:b/>
          <w:sz w:val="24"/>
          <w:szCs w:val="24"/>
        </w:rPr>
      </w:pPr>
      <w:r w:rsidRPr="006D53B0">
        <w:rPr>
          <w:rFonts w:ascii="Times New Roman" w:hAnsi="Times New Roman" w:cs="Times New Roman"/>
          <w:b/>
          <w:sz w:val="24"/>
          <w:szCs w:val="24"/>
        </w:rPr>
        <w:t>(в динамике), абс. пок.</w:t>
      </w:r>
    </w:p>
    <w:tbl>
      <w:tblPr>
        <w:tblW w:w="9740" w:type="dxa"/>
        <w:tblInd w:w="-27" w:type="dxa"/>
        <w:tblLook w:val="04A0" w:firstRow="1" w:lastRow="0" w:firstColumn="1" w:lastColumn="0" w:noHBand="0" w:noVBand="1"/>
      </w:tblPr>
      <w:tblGrid>
        <w:gridCol w:w="3821"/>
        <w:gridCol w:w="1559"/>
        <w:gridCol w:w="1520"/>
        <w:gridCol w:w="855"/>
        <w:gridCol w:w="1985"/>
      </w:tblGrid>
      <w:tr w:rsidR="002914EB" w:rsidRPr="006D53B0" w:rsidTr="002914EB">
        <w:trPr>
          <w:trHeight w:val="450"/>
        </w:trPr>
        <w:tc>
          <w:tcPr>
            <w:tcW w:w="3821" w:type="dxa"/>
            <w:tcBorders>
              <w:top w:val="single" w:sz="4" w:space="0" w:color="auto"/>
              <w:left w:val="single" w:sz="4" w:space="0" w:color="auto"/>
              <w:bottom w:val="single" w:sz="4" w:space="0" w:color="auto"/>
              <w:right w:val="single" w:sz="4" w:space="0" w:color="auto"/>
            </w:tcBorders>
            <w:vAlign w:val="center"/>
            <w:hideMark/>
          </w:tcPr>
          <w:p w:rsidR="002914EB" w:rsidRPr="002E57C5" w:rsidRDefault="002914EB" w:rsidP="002E57C5">
            <w:pPr>
              <w:spacing w:after="0" w:line="240" w:lineRule="auto"/>
              <w:ind w:firstLineChars="100" w:firstLine="220"/>
              <w:rPr>
                <w:rFonts w:ascii="Times New Roman" w:hAnsi="Times New Roman" w:cs="Times New Roman"/>
              </w:rPr>
            </w:pPr>
            <w:r w:rsidRPr="002E57C5">
              <w:rPr>
                <w:rFonts w:ascii="Times New Roman" w:hAnsi="Times New Roman" w:cs="Times New Roman"/>
              </w:rPr>
              <w:t>Типы детских и подростковых учреждений</w:t>
            </w:r>
          </w:p>
        </w:tc>
        <w:tc>
          <w:tcPr>
            <w:tcW w:w="1559" w:type="dxa"/>
            <w:tcBorders>
              <w:top w:val="single" w:sz="4" w:space="0" w:color="auto"/>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2018г.</w:t>
            </w:r>
          </w:p>
        </w:tc>
        <w:tc>
          <w:tcPr>
            <w:tcW w:w="1520" w:type="dxa"/>
            <w:tcBorders>
              <w:top w:val="single" w:sz="4" w:space="0" w:color="auto"/>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2019г.</w:t>
            </w:r>
          </w:p>
        </w:tc>
        <w:tc>
          <w:tcPr>
            <w:tcW w:w="855" w:type="dxa"/>
            <w:tcBorders>
              <w:top w:val="single" w:sz="4" w:space="0" w:color="auto"/>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2020г.</w:t>
            </w:r>
          </w:p>
        </w:tc>
        <w:tc>
          <w:tcPr>
            <w:tcW w:w="1985" w:type="dxa"/>
            <w:tcBorders>
              <w:top w:val="single" w:sz="4" w:space="0" w:color="auto"/>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Тенденция (абс.)</w:t>
            </w:r>
          </w:p>
        </w:tc>
      </w:tr>
      <w:tr w:rsidR="002914EB" w:rsidRPr="006D53B0" w:rsidTr="002914EB">
        <w:trPr>
          <w:trHeight w:val="450"/>
        </w:trPr>
        <w:tc>
          <w:tcPr>
            <w:tcW w:w="3821" w:type="dxa"/>
            <w:tcBorders>
              <w:top w:val="single" w:sz="4" w:space="0" w:color="auto"/>
              <w:left w:val="single" w:sz="4" w:space="0" w:color="auto"/>
              <w:bottom w:val="single" w:sz="4" w:space="0" w:color="auto"/>
              <w:right w:val="single" w:sz="4" w:space="0" w:color="auto"/>
            </w:tcBorders>
            <w:vAlign w:val="center"/>
            <w:hideMark/>
          </w:tcPr>
          <w:p w:rsidR="002914EB" w:rsidRPr="002E57C5" w:rsidRDefault="002914EB" w:rsidP="002E57C5">
            <w:pPr>
              <w:spacing w:after="0" w:line="240" w:lineRule="auto"/>
              <w:ind w:firstLineChars="100" w:firstLine="220"/>
              <w:rPr>
                <w:rFonts w:ascii="Times New Roman" w:hAnsi="Times New Roman" w:cs="Times New Roman"/>
              </w:rPr>
            </w:pPr>
            <w:r w:rsidRPr="002E57C5">
              <w:rPr>
                <w:rFonts w:ascii="Times New Roman" w:hAnsi="Times New Roman" w:cs="Times New Roman"/>
              </w:rPr>
              <w:t xml:space="preserve">Детские и подростковые организации - всего </w:t>
            </w:r>
          </w:p>
        </w:tc>
        <w:tc>
          <w:tcPr>
            <w:tcW w:w="1559" w:type="dxa"/>
            <w:tcBorders>
              <w:top w:val="single" w:sz="4" w:space="0" w:color="auto"/>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highlight w:val="yellow"/>
              </w:rPr>
            </w:pPr>
            <w:r w:rsidRPr="002E57C5">
              <w:rPr>
                <w:rFonts w:ascii="Times New Roman" w:hAnsi="Times New Roman" w:cs="Times New Roman"/>
              </w:rPr>
              <w:t>33</w:t>
            </w:r>
          </w:p>
        </w:tc>
        <w:tc>
          <w:tcPr>
            <w:tcW w:w="1520" w:type="dxa"/>
            <w:tcBorders>
              <w:top w:val="single" w:sz="4" w:space="0" w:color="auto"/>
              <w:left w:val="nil"/>
              <w:bottom w:val="single" w:sz="4" w:space="0" w:color="auto"/>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highlight w:val="yellow"/>
                <w:lang w:val="en-US"/>
              </w:rPr>
            </w:pPr>
            <w:r w:rsidRPr="002E57C5">
              <w:rPr>
                <w:rFonts w:ascii="Times New Roman" w:hAnsi="Times New Roman" w:cs="Times New Roman"/>
              </w:rPr>
              <w:t>34</w:t>
            </w:r>
          </w:p>
        </w:tc>
        <w:tc>
          <w:tcPr>
            <w:tcW w:w="855" w:type="dxa"/>
            <w:tcBorders>
              <w:top w:val="single" w:sz="4" w:space="0" w:color="auto"/>
              <w:left w:val="nil"/>
              <w:bottom w:val="single" w:sz="4" w:space="0" w:color="auto"/>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highlight w:val="yellow"/>
                <w:lang w:val="en-US"/>
              </w:rPr>
            </w:pPr>
            <w:r w:rsidRPr="002E57C5">
              <w:rPr>
                <w:rFonts w:ascii="Times New Roman" w:hAnsi="Times New Roman" w:cs="Times New Roman"/>
              </w:rPr>
              <w:t>24</w:t>
            </w:r>
          </w:p>
        </w:tc>
        <w:tc>
          <w:tcPr>
            <w:tcW w:w="1985" w:type="dxa"/>
            <w:tcBorders>
              <w:top w:val="single" w:sz="4" w:space="0" w:color="auto"/>
              <w:left w:val="nil"/>
              <w:bottom w:val="single" w:sz="4" w:space="0" w:color="auto"/>
              <w:right w:val="single" w:sz="4" w:space="0" w:color="auto"/>
            </w:tcBorders>
            <w:noWrap/>
            <w:vAlign w:val="center"/>
            <w:hideMark/>
          </w:tcPr>
          <w:p w:rsidR="002914EB" w:rsidRPr="002E57C5" w:rsidRDefault="002914EB" w:rsidP="002E57C5">
            <w:pPr>
              <w:spacing w:after="0" w:line="240" w:lineRule="auto"/>
              <w:ind w:left="720"/>
              <w:rPr>
                <w:rFonts w:ascii="Times New Roman" w:hAnsi="Times New Roman" w:cs="Times New Roman"/>
              </w:rPr>
            </w:pPr>
          </w:p>
        </w:tc>
      </w:tr>
      <w:tr w:rsidR="002914EB" w:rsidRPr="006D53B0" w:rsidTr="002914EB">
        <w:trPr>
          <w:trHeight w:val="450"/>
        </w:trPr>
        <w:tc>
          <w:tcPr>
            <w:tcW w:w="3821" w:type="dxa"/>
            <w:tcBorders>
              <w:top w:val="single" w:sz="4" w:space="0" w:color="auto"/>
              <w:left w:val="single" w:sz="4" w:space="0" w:color="auto"/>
              <w:bottom w:val="single" w:sz="4" w:space="0" w:color="auto"/>
              <w:right w:val="single" w:sz="4" w:space="0" w:color="auto"/>
            </w:tcBorders>
            <w:vAlign w:val="center"/>
            <w:hideMark/>
          </w:tcPr>
          <w:p w:rsidR="002914EB" w:rsidRPr="002E57C5" w:rsidRDefault="002914EB" w:rsidP="002E57C5">
            <w:pPr>
              <w:spacing w:after="0" w:line="240" w:lineRule="auto"/>
              <w:ind w:firstLineChars="100" w:firstLine="220"/>
              <w:rPr>
                <w:rFonts w:ascii="Times New Roman" w:hAnsi="Times New Roman" w:cs="Times New Roman"/>
              </w:rPr>
            </w:pPr>
            <w:r w:rsidRPr="002E57C5">
              <w:rPr>
                <w:rFonts w:ascii="Times New Roman" w:hAnsi="Times New Roman" w:cs="Times New Roman"/>
              </w:rPr>
              <w:t>в том числе:</w:t>
            </w:r>
            <w:r w:rsidRPr="002E57C5">
              <w:rPr>
                <w:rFonts w:ascii="Times New Roman" w:hAnsi="Times New Roman" w:cs="Times New Roman"/>
              </w:rPr>
              <w:br/>
              <w:t xml:space="preserve">дошкольные образовательные организации </w:t>
            </w:r>
          </w:p>
        </w:tc>
        <w:tc>
          <w:tcPr>
            <w:tcW w:w="1559" w:type="dxa"/>
            <w:tcBorders>
              <w:top w:val="single" w:sz="4" w:space="0" w:color="auto"/>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7</w:t>
            </w:r>
          </w:p>
        </w:tc>
        <w:tc>
          <w:tcPr>
            <w:tcW w:w="1520" w:type="dxa"/>
            <w:tcBorders>
              <w:top w:val="single" w:sz="4" w:space="0" w:color="auto"/>
              <w:left w:val="nil"/>
              <w:bottom w:val="single" w:sz="4" w:space="0" w:color="auto"/>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7</w:t>
            </w:r>
          </w:p>
        </w:tc>
        <w:tc>
          <w:tcPr>
            <w:tcW w:w="855" w:type="dxa"/>
            <w:tcBorders>
              <w:top w:val="single" w:sz="4" w:space="0" w:color="auto"/>
              <w:left w:val="nil"/>
              <w:bottom w:val="single" w:sz="4" w:space="0" w:color="auto"/>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7</w:t>
            </w:r>
          </w:p>
        </w:tc>
        <w:tc>
          <w:tcPr>
            <w:tcW w:w="1985" w:type="dxa"/>
            <w:tcBorders>
              <w:top w:val="single" w:sz="4" w:space="0" w:color="auto"/>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0</w:t>
            </w:r>
          </w:p>
        </w:tc>
      </w:tr>
      <w:tr w:rsidR="002914EB" w:rsidRPr="006D53B0" w:rsidTr="002914EB">
        <w:trPr>
          <w:trHeight w:val="255"/>
        </w:trPr>
        <w:tc>
          <w:tcPr>
            <w:tcW w:w="3821" w:type="dxa"/>
            <w:tcBorders>
              <w:top w:val="nil"/>
              <w:left w:val="single" w:sz="4" w:space="0" w:color="auto"/>
              <w:bottom w:val="single" w:sz="4" w:space="0" w:color="auto"/>
              <w:right w:val="single" w:sz="4" w:space="0" w:color="auto"/>
            </w:tcBorders>
            <w:vAlign w:val="center"/>
            <w:hideMark/>
          </w:tcPr>
          <w:p w:rsidR="002914EB" w:rsidRPr="002E57C5" w:rsidRDefault="002914EB" w:rsidP="002E57C5">
            <w:pPr>
              <w:spacing w:after="0" w:line="240" w:lineRule="auto"/>
              <w:ind w:firstLineChars="200" w:firstLine="440"/>
              <w:rPr>
                <w:rFonts w:ascii="Times New Roman" w:hAnsi="Times New Roman" w:cs="Times New Roman"/>
              </w:rPr>
            </w:pPr>
            <w:r w:rsidRPr="002E57C5">
              <w:rPr>
                <w:rFonts w:ascii="Times New Roman" w:hAnsi="Times New Roman" w:cs="Times New Roman"/>
              </w:rPr>
              <w:t xml:space="preserve">из них специальные (коррекционные) дошкольные образовательные организации </w:t>
            </w:r>
          </w:p>
        </w:tc>
        <w:tc>
          <w:tcPr>
            <w:tcW w:w="1559" w:type="dxa"/>
            <w:tcBorders>
              <w:top w:val="nil"/>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 -</w:t>
            </w:r>
          </w:p>
        </w:tc>
        <w:tc>
          <w:tcPr>
            <w:tcW w:w="1520" w:type="dxa"/>
            <w:tcBorders>
              <w:top w:val="nil"/>
              <w:left w:val="nil"/>
              <w:bottom w:val="single" w:sz="4" w:space="0" w:color="auto"/>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 -</w:t>
            </w:r>
          </w:p>
        </w:tc>
        <w:tc>
          <w:tcPr>
            <w:tcW w:w="855" w:type="dxa"/>
            <w:tcBorders>
              <w:top w:val="nil"/>
              <w:left w:val="nil"/>
              <w:bottom w:val="single" w:sz="4" w:space="0" w:color="auto"/>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 -</w:t>
            </w:r>
          </w:p>
        </w:tc>
        <w:tc>
          <w:tcPr>
            <w:tcW w:w="1985" w:type="dxa"/>
            <w:tcBorders>
              <w:top w:val="nil"/>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lang w:val="en-US"/>
              </w:rPr>
            </w:pPr>
            <w:r w:rsidRPr="002E57C5">
              <w:rPr>
                <w:rFonts w:ascii="Times New Roman" w:hAnsi="Times New Roman" w:cs="Times New Roman"/>
                <w:lang w:val="en-US"/>
              </w:rPr>
              <w:t>0</w:t>
            </w:r>
          </w:p>
        </w:tc>
      </w:tr>
      <w:tr w:rsidR="002914EB" w:rsidRPr="006D53B0" w:rsidTr="002914EB">
        <w:trPr>
          <w:trHeight w:val="225"/>
        </w:trPr>
        <w:tc>
          <w:tcPr>
            <w:tcW w:w="3821" w:type="dxa"/>
            <w:tcBorders>
              <w:top w:val="nil"/>
              <w:left w:val="single" w:sz="4" w:space="0" w:color="auto"/>
              <w:bottom w:val="single" w:sz="4" w:space="0" w:color="auto"/>
              <w:right w:val="single" w:sz="4" w:space="0" w:color="auto"/>
            </w:tcBorders>
            <w:noWrap/>
            <w:vAlign w:val="center"/>
            <w:hideMark/>
          </w:tcPr>
          <w:p w:rsidR="002914EB" w:rsidRPr="002E57C5" w:rsidRDefault="002914EB" w:rsidP="002E57C5">
            <w:pPr>
              <w:spacing w:after="0" w:line="240" w:lineRule="auto"/>
              <w:ind w:firstLineChars="100" w:firstLine="220"/>
              <w:rPr>
                <w:rFonts w:ascii="Times New Roman" w:hAnsi="Times New Roman" w:cs="Times New Roman"/>
              </w:rPr>
            </w:pPr>
            <w:r w:rsidRPr="002E57C5">
              <w:rPr>
                <w:rFonts w:ascii="Times New Roman" w:hAnsi="Times New Roman" w:cs="Times New Roman"/>
              </w:rPr>
              <w:t>общеобразовательные учреждения</w:t>
            </w:r>
          </w:p>
        </w:tc>
        <w:tc>
          <w:tcPr>
            <w:tcW w:w="1559" w:type="dxa"/>
            <w:tcBorders>
              <w:top w:val="nil"/>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6</w:t>
            </w:r>
          </w:p>
        </w:tc>
        <w:tc>
          <w:tcPr>
            <w:tcW w:w="1520" w:type="dxa"/>
            <w:tcBorders>
              <w:top w:val="nil"/>
              <w:left w:val="nil"/>
              <w:bottom w:val="single" w:sz="4" w:space="0" w:color="auto"/>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6</w:t>
            </w:r>
          </w:p>
        </w:tc>
        <w:tc>
          <w:tcPr>
            <w:tcW w:w="855" w:type="dxa"/>
            <w:tcBorders>
              <w:top w:val="nil"/>
              <w:left w:val="nil"/>
              <w:bottom w:val="single" w:sz="4" w:space="0" w:color="auto"/>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7</w:t>
            </w:r>
          </w:p>
        </w:tc>
        <w:tc>
          <w:tcPr>
            <w:tcW w:w="1985" w:type="dxa"/>
            <w:tcBorders>
              <w:top w:val="nil"/>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lang w:val="en-US"/>
              </w:rPr>
            </w:pPr>
            <w:r w:rsidRPr="002E57C5">
              <w:rPr>
                <w:rFonts w:ascii="Times New Roman" w:hAnsi="Times New Roman" w:cs="Times New Roman"/>
                <w:lang w:val="en-US"/>
              </w:rPr>
              <w:t>0</w:t>
            </w:r>
          </w:p>
        </w:tc>
      </w:tr>
      <w:tr w:rsidR="002914EB" w:rsidRPr="006D53B0" w:rsidTr="002914EB">
        <w:trPr>
          <w:trHeight w:val="270"/>
        </w:trPr>
        <w:tc>
          <w:tcPr>
            <w:tcW w:w="3821" w:type="dxa"/>
            <w:tcBorders>
              <w:top w:val="nil"/>
              <w:left w:val="single" w:sz="4" w:space="0" w:color="auto"/>
              <w:bottom w:val="single" w:sz="4" w:space="0" w:color="auto"/>
              <w:right w:val="single" w:sz="4" w:space="0" w:color="auto"/>
            </w:tcBorders>
            <w:vAlign w:val="center"/>
            <w:hideMark/>
          </w:tcPr>
          <w:p w:rsidR="002914EB" w:rsidRPr="002E57C5" w:rsidRDefault="002914EB" w:rsidP="002E57C5">
            <w:pPr>
              <w:spacing w:after="0" w:line="240" w:lineRule="auto"/>
              <w:ind w:firstLineChars="200" w:firstLine="440"/>
              <w:rPr>
                <w:rFonts w:ascii="Times New Roman" w:hAnsi="Times New Roman" w:cs="Times New Roman"/>
              </w:rPr>
            </w:pPr>
            <w:r w:rsidRPr="002E57C5">
              <w:rPr>
                <w:rFonts w:ascii="Times New Roman" w:hAnsi="Times New Roman" w:cs="Times New Roman"/>
              </w:rPr>
              <w:lastRenderedPageBreak/>
              <w:t xml:space="preserve">из них школы-интернаты, специальные (коррекционные) общеобразовательные организации </w:t>
            </w:r>
          </w:p>
        </w:tc>
        <w:tc>
          <w:tcPr>
            <w:tcW w:w="1559" w:type="dxa"/>
            <w:tcBorders>
              <w:top w:val="nil"/>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 -</w:t>
            </w:r>
          </w:p>
        </w:tc>
        <w:tc>
          <w:tcPr>
            <w:tcW w:w="1520" w:type="dxa"/>
            <w:tcBorders>
              <w:top w:val="nil"/>
              <w:left w:val="nil"/>
              <w:bottom w:val="single" w:sz="4" w:space="0" w:color="auto"/>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 -</w:t>
            </w:r>
          </w:p>
        </w:tc>
        <w:tc>
          <w:tcPr>
            <w:tcW w:w="855" w:type="dxa"/>
            <w:tcBorders>
              <w:top w:val="nil"/>
              <w:left w:val="nil"/>
              <w:bottom w:val="single" w:sz="4" w:space="0" w:color="auto"/>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 -</w:t>
            </w:r>
          </w:p>
        </w:tc>
        <w:tc>
          <w:tcPr>
            <w:tcW w:w="1985" w:type="dxa"/>
            <w:tcBorders>
              <w:top w:val="nil"/>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lang w:val="en-US"/>
              </w:rPr>
            </w:pPr>
            <w:r w:rsidRPr="002E57C5">
              <w:rPr>
                <w:rFonts w:ascii="Times New Roman" w:hAnsi="Times New Roman" w:cs="Times New Roman"/>
                <w:lang w:val="en-US"/>
              </w:rPr>
              <w:t>0</w:t>
            </w:r>
          </w:p>
        </w:tc>
      </w:tr>
      <w:tr w:rsidR="002914EB" w:rsidRPr="006D53B0" w:rsidTr="002914EB">
        <w:trPr>
          <w:trHeight w:val="225"/>
        </w:trPr>
        <w:tc>
          <w:tcPr>
            <w:tcW w:w="3821" w:type="dxa"/>
            <w:tcBorders>
              <w:top w:val="nil"/>
              <w:left w:val="single" w:sz="4" w:space="0" w:color="auto"/>
              <w:bottom w:val="single" w:sz="4" w:space="0" w:color="auto"/>
              <w:right w:val="single" w:sz="4" w:space="0" w:color="auto"/>
            </w:tcBorders>
            <w:vAlign w:val="center"/>
            <w:hideMark/>
          </w:tcPr>
          <w:p w:rsidR="002914EB" w:rsidRPr="002E57C5" w:rsidRDefault="002914EB" w:rsidP="002E57C5">
            <w:pPr>
              <w:spacing w:after="0" w:line="240" w:lineRule="auto"/>
              <w:ind w:firstLineChars="100" w:firstLine="220"/>
              <w:rPr>
                <w:rFonts w:ascii="Times New Roman" w:hAnsi="Times New Roman" w:cs="Times New Roman"/>
              </w:rPr>
            </w:pPr>
            <w:r w:rsidRPr="002E57C5">
              <w:rPr>
                <w:rFonts w:ascii="Times New Roman" w:hAnsi="Times New Roman" w:cs="Times New Roman"/>
              </w:rPr>
              <w:t>из них образовательные организации, имеющие в своем составе дошкольные группы</w:t>
            </w:r>
          </w:p>
        </w:tc>
        <w:tc>
          <w:tcPr>
            <w:tcW w:w="1559" w:type="dxa"/>
            <w:tcBorders>
              <w:top w:val="nil"/>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w:t>
            </w:r>
          </w:p>
        </w:tc>
        <w:tc>
          <w:tcPr>
            <w:tcW w:w="1520" w:type="dxa"/>
            <w:tcBorders>
              <w:top w:val="nil"/>
              <w:left w:val="nil"/>
              <w:bottom w:val="single" w:sz="4" w:space="0" w:color="auto"/>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w:t>
            </w:r>
          </w:p>
        </w:tc>
        <w:tc>
          <w:tcPr>
            <w:tcW w:w="855" w:type="dxa"/>
            <w:tcBorders>
              <w:top w:val="nil"/>
              <w:left w:val="nil"/>
              <w:bottom w:val="single" w:sz="4" w:space="0" w:color="auto"/>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w:t>
            </w:r>
          </w:p>
        </w:tc>
        <w:tc>
          <w:tcPr>
            <w:tcW w:w="1985" w:type="dxa"/>
            <w:tcBorders>
              <w:top w:val="nil"/>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w:t>
            </w:r>
          </w:p>
        </w:tc>
      </w:tr>
      <w:tr w:rsidR="002914EB" w:rsidRPr="006D53B0" w:rsidTr="002914EB">
        <w:trPr>
          <w:trHeight w:val="225"/>
        </w:trPr>
        <w:tc>
          <w:tcPr>
            <w:tcW w:w="3821" w:type="dxa"/>
            <w:tcBorders>
              <w:top w:val="nil"/>
              <w:left w:val="single" w:sz="4" w:space="0" w:color="auto"/>
              <w:bottom w:val="single" w:sz="4" w:space="0" w:color="auto"/>
              <w:right w:val="single" w:sz="4" w:space="0" w:color="auto"/>
            </w:tcBorders>
            <w:noWrap/>
            <w:vAlign w:val="center"/>
            <w:hideMark/>
          </w:tcPr>
          <w:p w:rsidR="002914EB" w:rsidRPr="002E57C5" w:rsidRDefault="002914EB" w:rsidP="002E57C5">
            <w:pPr>
              <w:spacing w:after="0" w:line="240" w:lineRule="auto"/>
              <w:ind w:firstLineChars="100" w:firstLine="220"/>
              <w:rPr>
                <w:rFonts w:ascii="Times New Roman" w:hAnsi="Times New Roman" w:cs="Times New Roman"/>
              </w:rPr>
            </w:pPr>
            <w:r w:rsidRPr="002E57C5">
              <w:rPr>
                <w:rFonts w:ascii="Times New Roman" w:hAnsi="Times New Roman" w:cs="Times New Roman"/>
              </w:rPr>
              <w:t xml:space="preserve">организации дополнительного образования детей </w:t>
            </w:r>
          </w:p>
        </w:tc>
        <w:tc>
          <w:tcPr>
            <w:tcW w:w="1559" w:type="dxa"/>
            <w:tcBorders>
              <w:top w:val="nil"/>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2</w:t>
            </w:r>
          </w:p>
        </w:tc>
        <w:tc>
          <w:tcPr>
            <w:tcW w:w="1520" w:type="dxa"/>
            <w:tcBorders>
              <w:top w:val="nil"/>
              <w:left w:val="nil"/>
              <w:bottom w:val="single" w:sz="4" w:space="0" w:color="auto"/>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2</w:t>
            </w:r>
          </w:p>
        </w:tc>
        <w:tc>
          <w:tcPr>
            <w:tcW w:w="855" w:type="dxa"/>
            <w:tcBorders>
              <w:top w:val="nil"/>
              <w:left w:val="nil"/>
              <w:bottom w:val="single" w:sz="4" w:space="0" w:color="auto"/>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2</w:t>
            </w:r>
          </w:p>
        </w:tc>
        <w:tc>
          <w:tcPr>
            <w:tcW w:w="1985" w:type="dxa"/>
            <w:tcBorders>
              <w:top w:val="nil"/>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0</w:t>
            </w:r>
          </w:p>
        </w:tc>
      </w:tr>
      <w:tr w:rsidR="002914EB" w:rsidRPr="006D53B0" w:rsidTr="002914EB">
        <w:trPr>
          <w:trHeight w:val="270"/>
        </w:trPr>
        <w:tc>
          <w:tcPr>
            <w:tcW w:w="3821" w:type="dxa"/>
            <w:tcBorders>
              <w:top w:val="nil"/>
              <w:left w:val="single" w:sz="4" w:space="0" w:color="auto"/>
              <w:bottom w:val="single" w:sz="4" w:space="0" w:color="auto"/>
              <w:right w:val="single" w:sz="4" w:space="0" w:color="auto"/>
            </w:tcBorders>
            <w:vAlign w:val="center"/>
            <w:hideMark/>
          </w:tcPr>
          <w:p w:rsidR="002914EB" w:rsidRPr="002E57C5" w:rsidRDefault="002914EB" w:rsidP="002E57C5">
            <w:pPr>
              <w:spacing w:after="0" w:line="240" w:lineRule="auto"/>
              <w:ind w:firstLineChars="100" w:firstLine="220"/>
              <w:rPr>
                <w:rFonts w:ascii="Times New Roman" w:hAnsi="Times New Roman" w:cs="Times New Roman"/>
              </w:rPr>
            </w:pPr>
            <w:r w:rsidRPr="002E57C5">
              <w:rPr>
                <w:rFonts w:ascii="Times New Roman" w:hAnsi="Times New Roman" w:cs="Times New Roman"/>
              </w:rPr>
              <w:t xml:space="preserve">профессиональные образовательные организации (начальное и среднее образование) </w:t>
            </w:r>
          </w:p>
        </w:tc>
        <w:tc>
          <w:tcPr>
            <w:tcW w:w="1559" w:type="dxa"/>
            <w:tcBorders>
              <w:top w:val="nil"/>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 -</w:t>
            </w:r>
          </w:p>
        </w:tc>
        <w:tc>
          <w:tcPr>
            <w:tcW w:w="1520" w:type="dxa"/>
            <w:tcBorders>
              <w:top w:val="nil"/>
              <w:left w:val="nil"/>
              <w:bottom w:val="single" w:sz="4" w:space="0" w:color="auto"/>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 -</w:t>
            </w:r>
          </w:p>
        </w:tc>
        <w:tc>
          <w:tcPr>
            <w:tcW w:w="855" w:type="dxa"/>
            <w:tcBorders>
              <w:top w:val="nil"/>
              <w:left w:val="nil"/>
              <w:bottom w:val="single" w:sz="4" w:space="0" w:color="auto"/>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 -</w:t>
            </w:r>
          </w:p>
        </w:tc>
        <w:tc>
          <w:tcPr>
            <w:tcW w:w="1985" w:type="dxa"/>
            <w:tcBorders>
              <w:top w:val="nil"/>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lang w:val="en-US"/>
              </w:rPr>
            </w:pPr>
            <w:r w:rsidRPr="002E57C5">
              <w:rPr>
                <w:rFonts w:ascii="Times New Roman" w:hAnsi="Times New Roman" w:cs="Times New Roman"/>
                <w:lang w:val="en-US"/>
              </w:rPr>
              <w:t>0</w:t>
            </w:r>
          </w:p>
        </w:tc>
      </w:tr>
      <w:tr w:rsidR="002914EB" w:rsidRPr="006D53B0" w:rsidTr="002914EB">
        <w:trPr>
          <w:trHeight w:val="225"/>
        </w:trPr>
        <w:tc>
          <w:tcPr>
            <w:tcW w:w="3821" w:type="dxa"/>
            <w:tcBorders>
              <w:top w:val="nil"/>
              <w:left w:val="single" w:sz="4" w:space="0" w:color="auto"/>
              <w:bottom w:val="single" w:sz="4" w:space="0" w:color="auto"/>
              <w:right w:val="single" w:sz="4" w:space="0" w:color="auto"/>
            </w:tcBorders>
            <w:vAlign w:val="center"/>
            <w:hideMark/>
          </w:tcPr>
          <w:p w:rsidR="002914EB" w:rsidRPr="002E57C5" w:rsidRDefault="002914EB" w:rsidP="002E57C5">
            <w:pPr>
              <w:spacing w:after="0" w:line="240" w:lineRule="auto"/>
              <w:ind w:firstLineChars="100" w:firstLine="220"/>
              <w:rPr>
                <w:rFonts w:ascii="Times New Roman" w:hAnsi="Times New Roman" w:cs="Times New Roman"/>
              </w:rPr>
            </w:pPr>
            <w:r w:rsidRPr="002E57C5">
              <w:rPr>
                <w:rFonts w:ascii="Times New Roman" w:hAnsi="Times New Roman" w:cs="Times New Roman"/>
              </w:rPr>
              <w:t xml:space="preserve">организации для детей-сирот и детей, оставшихся без попечения родителей </w:t>
            </w:r>
          </w:p>
        </w:tc>
        <w:tc>
          <w:tcPr>
            <w:tcW w:w="1559" w:type="dxa"/>
            <w:tcBorders>
              <w:top w:val="nil"/>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2</w:t>
            </w:r>
          </w:p>
        </w:tc>
        <w:tc>
          <w:tcPr>
            <w:tcW w:w="1520" w:type="dxa"/>
            <w:tcBorders>
              <w:top w:val="nil"/>
              <w:left w:val="nil"/>
              <w:bottom w:val="single" w:sz="4" w:space="0" w:color="auto"/>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2</w:t>
            </w:r>
          </w:p>
        </w:tc>
        <w:tc>
          <w:tcPr>
            <w:tcW w:w="855" w:type="dxa"/>
            <w:tcBorders>
              <w:top w:val="nil"/>
              <w:left w:val="nil"/>
              <w:bottom w:val="single" w:sz="4" w:space="0" w:color="auto"/>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2</w:t>
            </w:r>
          </w:p>
        </w:tc>
        <w:tc>
          <w:tcPr>
            <w:tcW w:w="1985" w:type="dxa"/>
            <w:tcBorders>
              <w:top w:val="nil"/>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0</w:t>
            </w:r>
          </w:p>
        </w:tc>
      </w:tr>
      <w:tr w:rsidR="002914EB" w:rsidRPr="006D53B0" w:rsidTr="002914EB">
        <w:trPr>
          <w:trHeight w:val="225"/>
        </w:trPr>
        <w:tc>
          <w:tcPr>
            <w:tcW w:w="3821" w:type="dxa"/>
            <w:tcBorders>
              <w:top w:val="nil"/>
              <w:left w:val="single" w:sz="4" w:space="0" w:color="auto"/>
              <w:bottom w:val="single" w:sz="4" w:space="0" w:color="auto"/>
              <w:right w:val="single" w:sz="4" w:space="0" w:color="auto"/>
            </w:tcBorders>
            <w:noWrap/>
            <w:vAlign w:val="center"/>
            <w:hideMark/>
          </w:tcPr>
          <w:p w:rsidR="002914EB" w:rsidRPr="002E57C5" w:rsidRDefault="002914EB" w:rsidP="002E57C5">
            <w:pPr>
              <w:spacing w:after="0" w:line="240" w:lineRule="auto"/>
              <w:ind w:firstLineChars="100" w:firstLine="220"/>
              <w:rPr>
                <w:rFonts w:ascii="Times New Roman" w:hAnsi="Times New Roman" w:cs="Times New Roman"/>
              </w:rPr>
            </w:pPr>
            <w:r w:rsidRPr="002E57C5">
              <w:rPr>
                <w:rFonts w:ascii="Times New Roman" w:hAnsi="Times New Roman" w:cs="Times New Roman"/>
              </w:rPr>
              <w:t xml:space="preserve">детские санатории </w:t>
            </w:r>
          </w:p>
        </w:tc>
        <w:tc>
          <w:tcPr>
            <w:tcW w:w="1559" w:type="dxa"/>
            <w:tcBorders>
              <w:top w:val="nil"/>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 -</w:t>
            </w:r>
          </w:p>
        </w:tc>
        <w:tc>
          <w:tcPr>
            <w:tcW w:w="1520" w:type="dxa"/>
            <w:tcBorders>
              <w:top w:val="nil"/>
              <w:left w:val="nil"/>
              <w:bottom w:val="single" w:sz="4" w:space="0" w:color="auto"/>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 -</w:t>
            </w:r>
          </w:p>
        </w:tc>
        <w:tc>
          <w:tcPr>
            <w:tcW w:w="855" w:type="dxa"/>
            <w:tcBorders>
              <w:top w:val="nil"/>
              <w:left w:val="nil"/>
              <w:bottom w:val="single" w:sz="4" w:space="0" w:color="auto"/>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 -</w:t>
            </w:r>
          </w:p>
        </w:tc>
        <w:tc>
          <w:tcPr>
            <w:tcW w:w="1985" w:type="dxa"/>
            <w:tcBorders>
              <w:top w:val="nil"/>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lang w:val="en-US"/>
              </w:rPr>
            </w:pPr>
            <w:r w:rsidRPr="002E57C5">
              <w:rPr>
                <w:rFonts w:ascii="Times New Roman" w:hAnsi="Times New Roman" w:cs="Times New Roman"/>
                <w:lang w:val="en-US"/>
              </w:rPr>
              <w:t>0</w:t>
            </w:r>
          </w:p>
        </w:tc>
      </w:tr>
      <w:tr w:rsidR="002914EB" w:rsidRPr="006D53B0" w:rsidTr="002914EB">
        <w:trPr>
          <w:trHeight w:val="270"/>
        </w:trPr>
        <w:tc>
          <w:tcPr>
            <w:tcW w:w="3821" w:type="dxa"/>
            <w:tcBorders>
              <w:top w:val="nil"/>
              <w:left w:val="single" w:sz="4" w:space="0" w:color="auto"/>
              <w:bottom w:val="single" w:sz="4" w:space="0" w:color="auto"/>
              <w:right w:val="single" w:sz="4" w:space="0" w:color="auto"/>
            </w:tcBorders>
            <w:vAlign w:val="center"/>
            <w:hideMark/>
          </w:tcPr>
          <w:p w:rsidR="002914EB" w:rsidRPr="002E57C5" w:rsidRDefault="002914EB" w:rsidP="002E57C5">
            <w:pPr>
              <w:spacing w:after="0" w:line="240" w:lineRule="auto"/>
              <w:ind w:firstLineChars="100" w:firstLine="220"/>
              <w:rPr>
                <w:rFonts w:ascii="Times New Roman" w:hAnsi="Times New Roman" w:cs="Times New Roman"/>
              </w:rPr>
            </w:pPr>
            <w:r w:rsidRPr="002E57C5">
              <w:rPr>
                <w:rFonts w:ascii="Times New Roman" w:hAnsi="Times New Roman" w:cs="Times New Roman"/>
              </w:rPr>
              <w:t>организации отдыха детей и их оздоровления (55.23.1), в том числе с дневным пребыванием</w:t>
            </w:r>
          </w:p>
        </w:tc>
        <w:tc>
          <w:tcPr>
            <w:tcW w:w="1559" w:type="dxa"/>
            <w:tcBorders>
              <w:top w:val="nil"/>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9</w:t>
            </w:r>
          </w:p>
        </w:tc>
        <w:tc>
          <w:tcPr>
            <w:tcW w:w="1520" w:type="dxa"/>
            <w:tcBorders>
              <w:top w:val="nil"/>
              <w:left w:val="nil"/>
              <w:bottom w:val="single" w:sz="4" w:space="0" w:color="auto"/>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10</w:t>
            </w:r>
          </w:p>
        </w:tc>
        <w:tc>
          <w:tcPr>
            <w:tcW w:w="855" w:type="dxa"/>
            <w:tcBorders>
              <w:top w:val="nil"/>
              <w:left w:val="nil"/>
              <w:bottom w:val="single" w:sz="4" w:space="0" w:color="auto"/>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0</w:t>
            </w:r>
          </w:p>
        </w:tc>
        <w:tc>
          <w:tcPr>
            <w:tcW w:w="1985" w:type="dxa"/>
            <w:tcBorders>
              <w:top w:val="nil"/>
              <w:left w:val="nil"/>
              <w:bottom w:val="single" w:sz="4" w:space="0" w:color="auto"/>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lang w:val="en-US"/>
              </w:rPr>
            </w:pPr>
            <w:r w:rsidRPr="002E57C5">
              <w:rPr>
                <w:rFonts w:ascii="Times New Roman" w:hAnsi="Times New Roman" w:cs="Times New Roman"/>
                <w:lang w:val="en-US"/>
              </w:rPr>
              <w:t>0</w:t>
            </w:r>
          </w:p>
        </w:tc>
      </w:tr>
      <w:tr w:rsidR="002914EB" w:rsidRPr="006D53B0" w:rsidTr="002914EB">
        <w:trPr>
          <w:trHeight w:val="270"/>
        </w:trPr>
        <w:tc>
          <w:tcPr>
            <w:tcW w:w="3821" w:type="dxa"/>
            <w:tcBorders>
              <w:top w:val="nil"/>
              <w:left w:val="single" w:sz="4" w:space="0" w:color="auto"/>
              <w:bottom w:val="nil"/>
              <w:right w:val="single" w:sz="4" w:space="0" w:color="auto"/>
            </w:tcBorders>
            <w:vAlign w:val="center"/>
            <w:hideMark/>
          </w:tcPr>
          <w:p w:rsidR="002914EB" w:rsidRPr="002E57C5" w:rsidRDefault="002914EB" w:rsidP="002E57C5">
            <w:pPr>
              <w:spacing w:after="0" w:line="240" w:lineRule="auto"/>
              <w:ind w:firstLineChars="100" w:firstLine="220"/>
              <w:rPr>
                <w:rFonts w:ascii="Times New Roman" w:hAnsi="Times New Roman" w:cs="Times New Roman"/>
              </w:rPr>
            </w:pPr>
            <w:r w:rsidRPr="002E57C5">
              <w:rPr>
                <w:rFonts w:ascii="Times New Roman" w:hAnsi="Times New Roman" w:cs="Times New Roman"/>
              </w:rPr>
              <w:t>прочие типы организаций для детей и подростков (из строки 29)</w:t>
            </w:r>
          </w:p>
        </w:tc>
        <w:tc>
          <w:tcPr>
            <w:tcW w:w="1559" w:type="dxa"/>
            <w:tcBorders>
              <w:top w:val="nil"/>
              <w:left w:val="nil"/>
              <w:bottom w:val="nil"/>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8</w:t>
            </w:r>
          </w:p>
        </w:tc>
        <w:tc>
          <w:tcPr>
            <w:tcW w:w="1520" w:type="dxa"/>
            <w:tcBorders>
              <w:top w:val="nil"/>
              <w:left w:val="nil"/>
              <w:bottom w:val="nil"/>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8</w:t>
            </w:r>
          </w:p>
        </w:tc>
        <w:tc>
          <w:tcPr>
            <w:tcW w:w="855" w:type="dxa"/>
            <w:tcBorders>
              <w:top w:val="nil"/>
              <w:left w:val="nil"/>
              <w:bottom w:val="nil"/>
              <w:right w:val="single" w:sz="4" w:space="0" w:color="auto"/>
            </w:tcBorders>
            <w:noWrap/>
            <w:vAlign w:val="center"/>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8</w:t>
            </w:r>
          </w:p>
        </w:tc>
        <w:tc>
          <w:tcPr>
            <w:tcW w:w="1985" w:type="dxa"/>
            <w:tcBorders>
              <w:top w:val="nil"/>
              <w:left w:val="nil"/>
              <w:bottom w:val="nil"/>
              <w:right w:val="single" w:sz="4" w:space="0" w:color="auto"/>
            </w:tcBorders>
            <w:noWrap/>
            <w:vAlign w:val="center"/>
            <w:hideMark/>
          </w:tcPr>
          <w:p w:rsidR="002914EB" w:rsidRPr="002E57C5" w:rsidRDefault="002914EB" w:rsidP="002E57C5">
            <w:pPr>
              <w:spacing w:after="0" w:line="240" w:lineRule="auto"/>
              <w:jc w:val="center"/>
              <w:rPr>
                <w:rFonts w:ascii="Times New Roman" w:hAnsi="Times New Roman" w:cs="Times New Roman"/>
              </w:rPr>
            </w:pPr>
            <w:r w:rsidRPr="002E57C5">
              <w:rPr>
                <w:rFonts w:ascii="Times New Roman" w:hAnsi="Times New Roman" w:cs="Times New Roman"/>
              </w:rPr>
              <w:t>0</w:t>
            </w:r>
          </w:p>
        </w:tc>
      </w:tr>
      <w:tr w:rsidR="002914EB" w:rsidRPr="006D53B0" w:rsidTr="002914EB">
        <w:trPr>
          <w:trHeight w:val="86"/>
        </w:trPr>
        <w:tc>
          <w:tcPr>
            <w:tcW w:w="3821" w:type="dxa"/>
            <w:tcBorders>
              <w:top w:val="nil"/>
              <w:left w:val="single" w:sz="4" w:space="0" w:color="auto"/>
              <w:bottom w:val="single" w:sz="4" w:space="0" w:color="auto"/>
              <w:right w:val="single" w:sz="4" w:space="0" w:color="auto"/>
            </w:tcBorders>
            <w:vAlign w:val="center"/>
          </w:tcPr>
          <w:p w:rsidR="002914EB" w:rsidRPr="006D53B0" w:rsidRDefault="002914EB" w:rsidP="002E57C5">
            <w:pPr>
              <w:spacing w:after="0" w:line="240" w:lineRule="auto"/>
              <w:rPr>
                <w:rFonts w:ascii="Times New Roman" w:hAnsi="Times New Roman" w:cs="Times New Roman"/>
                <w:sz w:val="24"/>
                <w:szCs w:val="24"/>
              </w:rPr>
            </w:pPr>
          </w:p>
        </w:tc>
        <w:tc>
          <w:tcPr>
            <w:tcW w:w="1559" w:type="dxa"/>
            <w:tcBorders>
              <w:top w:val="nil"/>
              <w:left w:val="nil"/>
              <w:bottom w:val="single" w:sz="4" w:space="0" w:color="auto"/>
              <w:right w:val="single" w:sz="4" w:space="0" w:color="auto"/>
            </w:tcBorders>
            <w:noWrap/>
            <w:vAlign w:val="center"/>
          </w:tcPr>
          <w:p w:rsidR="002914EB" w:rsidRPr="006D53B0" w:rsidRDefault="002914EB" w:rsidP="002E57C5">
            <w:pPr>
              <w:spacing w:after="0" w:line="240" w:lineRule="auto"/>
              <w:jc w:val="center"/>
              <w:rPr>
                <w:rFonts w:ascii="Times New Roman" w:hAnsi="Times New Roman" w:cs="Times New Roman"/>
                <w:sz w:val="24"/>
                <w:szCs w:val="24"/>
                <w:highlight w:val="yellow"/>
                <w:lang w:val="en-US"/>
              </w:rPr>
            </w:pPr>
          </w:p>
        </w:tc>
        <w:tc>
          <w:tcPr>
            <w:tcW w:w="1520" w:type="dxa"/>
            <w:tcBorders>
              <w:top w:val="nil"/>
              <w:left w:val="nil"/>
              <w:bottom w:val="single" w:sz="4" w:space="0" w:color="auto"/>
              <w:right w:val="single" w:sz="4" w:space="0" w:color="auto"/>
            </w:tcBorders>
            <w:noWrap/>
            <w:vAlign w:val="center"/>
          </w:tcPr>
          <w:p w:rsidR="002914EB" w:rsidRPr="006D53B0" w:rsidRDefault="002914EB" w:rsidP="002E57C5">
            <w:pPr>
              <w:spacing w:after="0" w:line="240" w:lineRule="auto"/>
              <w:rPr>
                <w:rFonts w:ascii="Times New Roman" w:hAnsi="Times New Roman" w:cs="Times New Roman"/>
                <w:sz w:val="24"/>
                <w:szCs w:val="24"/>
                <w:highlight w:val="yellow"/>
                <w:lang w:val="en-US"/>
              </w:rPr>
            </w:pPr>
          </w:p>
        </w:tc>
        <w:tc>
          <w:tcPr>
            <w:tcW w:w="855" w:type="dxa"/>
            <w:tcBorders>
              <w:top w:val="nil"/>
              <w:left w:val="nil"/>
              <w:bottom w:val="single" w:sz="4" w:space="0" w:color="auto"/>
              <w:right w:val="single" w:sz="4" w:space="0" w:color="auto"/>
            </w:tcBorders>
            <w:noWrap/>
            <w:vAlign w:val="center"/>
          </w:tcPr>
          <w:p w:rsidR="002914EB" w:rsidRPr="006D53B0" w:rsidRDefault="002914EB" w:rsidP="002E57C5">
            <w:pPr>
              <w:spacing w:after="0" w:line="240" w:lineRule="auto"/>
              <w:jc w:val="center"/>
              <w:rPr>
                <w:rFonts w:ascii="Times New Roman" w:hAnsi="Times New Roman" w:cs="Times New Roman"/>
                <w:sz w:val="24"/>
                <w:szCs w:val="24"/>
                <w:highlight w:val="yellow"/>
                <w:lang w:val="en-US"/>
              </w:rPr>
            </w:pPr>
          </w:p>
        </w:tc>
        <w:tc>
          <w:tcPr>
            <w:tcW w:w="1985" w:type="dxa"/>
            <w:tcBorders>
              <w:top w:val="nil"/>
              <w:left w:val="nil"/>
              <w:bottom w:val="single" w:sz="4" w:space="0" w:color="auto"/>
              <w:right w:val="single" w:sz="4" w:space="0" w:color="auto"/>
            </w:tcBorders>
            <w:noWrap/>
            <w:vAlign w:val="center"/>
          </w:tcPr>
          <w:p w:rsidR="002914EB" w:rsidRPr="006D53B0" w:rsidRDefault="002914EB" w:rsidP="002E57C5">
            <w:pPr>
              <w:spacing w:after="0" w:line="240" w:lineRule="auto"/>
              <w:jc w:val="center"/>
              <w:rPr>
                <w:rFonts w:ascii="Times New Roman" w:hAnsi="Times New Roman" w:cs="Times New Roman"/>
                <w:sz w:val="24"/>
                <w:szCs w:val="24"/>
              </w:rPr>
            </w:pPr>
          </w:p>
        </w:tc>
      </w:tr>
    </w:tbl>
    <w:p w:rsidR="002914EB" w:rsidRPr="006D53B0" w:rsidRDefault="002914EB" w:rsidP="002E57C5">
      <w:pPr>
        <w:spacing w:after="0" w:line="240" w:lineRule="auto"/>
        <w:rPr>
          <w:rFonts w:ascii="Times New Roman" w:hAnsi="Times New Roman" w:cs="Times New Roman"/>
          <w:sz w:val="24"/>
          <w:szCs w:val="24"/>
          <w:highlight w:val="darkMagenta"/>
        </w:rPr>
      </w:pPr>
    </w:p>
    <w:p w:rsidR="002914EB" w:rsidRPr="002E57C5" w:rsidRDefault="002914EB" w:rsidP="002E57C5">
      <w:pPr>
        <w:spacing w:after="0" w:line="240" w:lineRule="auto"/>
        <w:ind w:firstLine="708"/>
        <w:jc w:val="both"/>
        <w:rPr>
          <w:rFonts w:ascii="Times New Roman" w:hAnsi="Times New Roman" w:cs="Times New Roman"/>
          <w:sz w:val="24"/>
          <w:szCs w:val="24"/>
        </w:rPr>
      </w:pPr>
      <w:r w:rsidRPr="002E57C5">
        <w:rPr>
          <w:rFonts w:ascii="Times New Roman" w:hAnsi="Times New Roman" w:cs="Times New Roman"/>
          <w:sz w:val="24"/>
          <w:szCs w:val="24"/>
        </w:rPr>
        <w:t>Из наглядного изображения структуры детских и подростковых учреждений г Пыть-Ях видно, что в 2020 году в сравнении с 2019г количественная ситуация субъектов детских и подростковых учреждений остается стабильной, уменьшилось за счёт не функционирования ЛОУ .</w:t>
      </w:r>
    </w:p>
    <w:p w:rsidR="002914EB" w:rsidRPr="002E57C5" w:rsidRDefault="002914EB" w:rsidP="002E57C5">
      <w:pPr>
        <w:spacing w:after="0" w:line="240" w:lineRule="auto"/>
        <w:ind w:firstLine="708"/>
        <w:jc w:val="both"/>
        <w:rPr>
          <w:rFonts w:ascii="Times New Roman" w:hAnsi="Times New Roman" w:cs="Times New Roman"/>
          <w:color w:val="000000"/>
          <w:spacing w:val="3"/>
          <w:sz w:val="24"/>
          <w:szCs w:val="24"/>
          <w:shd w:val="clear" w:color="auto" w:fill="FFFFFF"/>
        </w:rPr>
      </w:pPr>
      <w:r w:rsidRPr="002E57C5">
        <w:rPr>
          <w:rFonts w:ascii="Times New Roman" w:hAnsi="Times New Roman" w:cs="Times New Roman"/>
          <w:color w:val="000000"/>
          <w:spacing w:val="3"/>
          <w:sz w:val="24"/>
          <w:szCs w:val="24"/>
          <w:shd w:val="clear" w:color="auto" w:fill="FFFFFF"/>
        </w:rPr>
        <w:t>В рамках государственной программы ХМАО - Югры «Развитие образования вХанты-Мансийском автономном округе - Югре на 2014 - 2020 годы» ведется проектирование,</w:t>
      </w:r>
      <w:r w:rsidR="004F742E">
        <w:rPr>
          <w:rFonts w:ascii="Times New Roman" w:hAnsi="Times New Roman" w:cs="Times New Roman"/>
          <w:color w:val="000000"/>
          <w:spacing w:val="3"/>
          <w:sz w:val="24"/>
          <w:szCs w:val="24"/>
          <w:shd w:val="clear" w:color="auto" w:fill="FFFFFF"/>
        </w:rPr>
        <w:t xml:space="preserve"> строительство и реконструкция </w:t>
      </w:r>
      <w:r w:rsidRPr="002E57C5">
        <w:rPr>
          <w:rFonts w:ascii="Times New Roman" w:hAnsi="Times New Roman" w:cs="Times New Roman"/>
          <w:color w:val="000000"/>
          <w:spacing w:val="3"/>
          <w:sz w:val="24"/>
          <w:szCs w:val="24"/>
          <w:shd w:val="clear" w:color="auto" w:fill="FFFFFF"/>
        </w:rPr>
        <w:t>зданий школ и дополнительных образовательных учреждений, дошкольных образовательных организаций.</w:t>
      </w:r>
    </w:p>
    <w:p w:rsidR="002914EB" w:rsidRPr="002E57C5" w:rsidRDefault="002914EB" w:rsidP="002E57C5">
      <w:pPr>
        <w:pStyle w:val="a5"/>
        <w:ind w:firstLine="426"/>
        <w:jc w:val="both"/>
        <w:rPr>
          <w:bCs/>
          <w:sz w:val="24"/>
          <w:szCs w:val="24"/>
        </w:rPr>
      </w:pPr>
      <w:r w:rsidRPr="002E57C5">
        <w:rPr>
          <w:bCs/>
          <w:sz w:val="24"/>
          <w:szCs w:val="24"/>
        </w:rPr>
        <w:t>В 2020 году в детских и подростковых организациях города</w:t>
      </w:r>
      <w:r w:rsidR="002E57C5">
        <w:rPr>
          <w:bCs/>
          <w:sz w:val="24"/>
          <w:szCs w:val="24"/>
          <w:lang w:val="ru-RU"/>
        </w:rPr>
        <w:t xml:space="preserve"> </w:t>
      </w:r>
      <w:r w:rsidRPr="002E57C5">
        <w:rPr>
          <w:bCs/>
          <w:sz w:val="24"/>
          <w:szCs w:val="24"/>
        </w:rPr>
        <w:t>Пыть-Ях</w:t>
      </w:r>
      <w:r w:rsidR="002E57C5">
        <w:rPr>
          <w:bCs/>
          <w:sz w:val="24"/>
          <w:szCs w:val="24"/>
          <w:lang w:val="ru-RU"/>
        </w:rPr>
        <w:t>а</w:t>
      </w:r>
      <w:r w:rsidRPr="002E57C5">
        <w:rPr>
          <w:bCs/>
          <w:sz w:val="24"/>
          <w:szCs w:val="24"/>
        </w:rPr>
        <w:t xml:space="preserve"> пищевых отравлений не зарегистрировано.</w:t>
      </w:r>
    </w:p>
    <w:p w:rsidR="002914EB" w:rsidRPr="002E57C5" w:rsidRDefault="002914EB" w:rsidP="002E57C5">
      <w:pPr>
        <w:tabs>
          <w:tab w:val="left" w:pos="3990"/>
          <w:tab w:val="right" w:pos="9070"/>
        </w:tabs>
        <w:spacing w:after="0" w:line="240" w:lineRule="auto"/>
        <w:jc w:val="both"/>
        <w:rPr>
          <w:rFonts w:ascii="Times New Roman" w:eastAsia="Times New Roman" w:hAnsi="Times New Roman" w:cs="Times New Roman"/>
          <w:sz w:val="24"/>
          <w:szCs w:val="24"/>
        </w:rPr>
      </w:pPr>
      <w:r w:rsidRPr="002E57C5">
        <w:rPr>
          <w:rFonts w:ascii="Times New Roman" w:eastAsia="Times New Roman" w:hAnsi="Times New Roman" w:cs="Times New Roman"/>
          <w:sz w:val="24"/>
          <w:szCs w:val="24"/>
        </w:rPr>
        <w:t>Всего 2020г зарегистрировано 4 очага групповой заболеваемости ветряной оспой по ДОУ, с общим количеством заболевших - 136 чел., в том числе детей до 17 лет -136 человек. Групповой заболеваемости новой коронавирусной инфекцией в  ДОУ и школах города в 2020г не зарегистрировано.</w:t>
      </w:r>
    </w:p>
    <w:p w:rsidR="002914EB" w:rsidRPr="002E57C5" w:rsidRDefault="002914EB" w:rsidP="002E57C5">
      <w:pPr>
        <w:tabs>
          <w:tab w:val="left" w:pos="3990"/>
          <w:tab w:val="right" w:pos="9070"/>
        </w:tabs>
        <w:spacing w:after="0" w:line="240" w:lineRule="auto"/>
        <w:ind w:firstLine="708"/>
        <w:jc w:val="both"/>
        <w:rPr>
          <w:rFonts w:ascii="Times New Roman" w:eastAsia="Times New Roman" w:hAnsi="Times New Roman" w:cs="Times New Roman"/>
          <w:sz w:val="24"/>
          <w:szCs w:val="24"/>
        </w:rPr>
      </w:pPr>
      <w:r w:rsidRPr="002E57C5">
        <w:rPr>
          <w:rFonts w:ascii="Times New Roman" w:eastAsia="Times New Roman" w:hAnsi="Times New Roman" w:cs="Times New Roman"/>
          <w:sz w:val="24"/>
          <w:szCs w:val="24"/>
        </w:rPr>
        <w:t xml:space="preserve">В 2019 г. </w:t>
      </w:r>
      <w:bookmarkStart w:id="60" w:name="_Hlk62734837"/>
      <w:r w:rsidRPr="002E57C5">
        <w:rPr>
          <w:rFonts w:ascii="Times New Roman" w:eastAsia="Times New Roman" w:hAnsi="Times New Roman" w:cs="Times New Roman"/>
          <w:sz w:val="24"/>
          <w:szCs w:val="24"/>
        </w:rPr>
        <w:t xml:space="preserve">зарегистрировано 5 очагов групповой заболеваемости ветряной оспой по ДОУ, с общим количеством заболевших - 71 чел., в том числе детей до 17 лет -71 человек. </w:t>
      </w:r>
    </w:p>
    <w:bookmarkEnd w:id="60"/>
    <w:p w:rsidR="002914EB" w:rsidRPr="002E57C5" w:rsidRDefault="002914EB" w:rsidP="002E57C5">
      <w:pPr>
        <w:spacing w:after="0" w:line="240" w:lineRule="auto"/>
        <w:jc w:val="both"/>
        <w:rPr>
          <w:rFonts w:ascii="Times New Roman" w:hAnsi="Times New Roman" w:cs="Times New Roman"/>
          <w:sz w:val="24"/>
          <w:szCs w:val="24"/>
        </w:rPr>
      </w:pPr>
      <w:r w:rsidRPr="002E57C5">
        <w:rPr>
          <w:rFonts w:ascii="Times New Roman" w:hAnsi="Times New Roman" w:cs="Times New Roman"/>
          <w:sz w:val="24"/>
          <w:szCs w:val="24"/>
        </w:rPr>
        <w:t>В 2018 году в г. Пыть-Ях зарегистрировано 2 вспышки  инфекционной заболеваемости среди детей и подростков с общим количеством заболевших -13 чел:  МБОУ СОШ № 1 с углубленным изучением отдельных предметов- 8 случаев ветряной оспы и -. МДОАУ ЦРР-д/с «Фантазия»  -5 случаев ротавирусной инфекции.</w:t>
      </w:r>
    </w:p>
    <w:p w:rsidR="002914EB" w:rsidRPr="002E57C5" w:rsidRDefault="002914EB" w:rsidP="002E57C5">
      <w:pPr>
        <w:pStyle w:val="a5"/>
        <w:ind w:firstLine="426"/>
        <w:jc w:val="both"/>
        <w:rPr>
          <w:bCs/>
          <w:sz w:val="24"/>
          <w:szCs w:val="24"/>
        </w:rPr>
      </w:pPr>
      <w:r w:rsidRPr="002E57C5">
        <w:rPr>
          <w:bCs/>
          <w:sz w:val="24"/>
          <w:szCs w:val="24"/>
        </w:rPr>
        <w:t>Филиалом ФБУЗ проводились лабораторные исследования в детских и подростковых организациях городаПыть-Ях, в том числе  на пищеблоках школ и ДДУ, классах и других помещениях школ.</w:t>
      </w:r>
    </w:p>
    <w:p w:rsidR="002914EB" w:rsidRPr="003C311B" w:rsidRDefault="002914EB" w:rsidP="002914EB">
      <w:pPr>
        <w:pStyle w:val="a5"/>
        <w:ind w:firstLine="709"/>
        <w:jc w:val="right"/>
        <w:outlineLvl w:val="0"/>
        <w:rPr>
          <w:bCs/>
          <w:sz w:val="22"/>
          <w:szCs w:val="22"/>
        </w:rPr>
      </w:pPr>
      <w:r w:rsidRPr="003C311B">
        <w:rPr>
          <w:bCs/>
          <w:sz w:val="22"/>
          <w:szCs w:val="22"/>
        </w:rPr>
        <w:t xml:space="preserve">Таблица № </w:t>
      </w:r>
      <w:r>
        <w:rPr>
          <w:bCs/>
          <w:sz w:val="22"/>
          <w:szCs w:val="22"/>
        </w:rPr>
        <w:t>2</w:t>
      </w:r>
    </w:p>
    <w:p w:rsidR="002914EB" w:rsidRPr="003C311B" w:rsidRDefault="002914EB" w:rsidP="002914EB">
      <w:pPr>
        <w:pStyle w:val="a5"/>
        <w:ind w:firstLine="709"/>
        <w:outlineLvl w:val="0"/>
        <w:rPr>
          <w:b/>
          <w:bCs/>
          <w:sz w:val="22"/>
          <w:szCs w:val="22"/>
        </w:rPr>
      </w:pPr>
      <w:r w:rsidRPr="003C311B">
        <w:rPr>
          <w:b/>
          <w:bCs/>
          <w:sz w:val="22"/>
          <w:szCs w:val="22"/>
        </w:rPr>
        <w:t>Динамика исследованных проб по микробиологическим показателям</w:t>
      </w:r>
    </w:p>
    <w:p w:rsidR="002914EB" w:rsidRPr="00BD65C5" w:rsidRDefault="002914EB" w:rsidP="002914EB">
      <w:pPr>
        <w:pStyle w:val="a5"/>
        <w:ind w:firstLine="709"/>
        <w:jc w:val="right"/>
        <w:rPr>
          <w:b/>
          <w:bCs/>
          <w:sz w:val="24"/>
          <w:szCs w:val="24"/>
          <w:highlight w:val="yellow"/>
        </w:rPr>
      </w:pPr>
    </w:p>
    <w:tbl>
      <w:tblPr>
        <w:tblW w:w="9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76"/>
        <w:gridCol w:w="1134"/>
        <w:gridCol w:w="1488"/>
        <w:gridCol w:w="1324"/>
        <w:gridCol w:w="1157"/>
        <w:gridCol w:w="1164"/>
      </w:tblGrid>
      <w:tr w:rsidR="002914EB" w:rsidRPr="00BD65C5" w:rsidTr="002914EB">
        <w:trPr>
          <w:cantSplit/>
          <w:trHeight w:val="254"/>
        </w:trPr>
        <w:tc>
          <w:tcPr>
            <w:tcW w:w="1701" w:type="dxa"/>
            <w:vMerge w:val="restart"/>
          </w:tcPr>
          <w:p w:rsidR="002914EB" w:rsidRPr="00BD65C5" w:rsidRDefault="002914EB" w:rsidP="002914EB">
            <w:pPr>
              <w:spacing w:before="20" w:after="20"/>
              <w:jc w:val="right"/>
              <w:rPr>
                <w:rFonts w:ascii="Times New Roman" w:hAnsi="Times New Roman"/>
              </w:rPr>
            </w:pPr>
            <w:r w:rsidRPr="00BD65C5">
              <w:rPr>
                <w:rFonts w:ascii="Times New Roman" w:hAnsi="Times New Roman"/>
              </w:rPr>
              <w:t xml:space="preserve">Виды исследований </w:t>
            </w:r>
          </w:p>
        </w:tc>
        <w:tc>
          <w:tcPr>
            <w:tcW w:w="7543" w:type="dxa"/>
            <w:gridSpan w:val="6"/>
          </w:tcPr>
          <w:p w:rsidR="002914EB" w:rsidRPr="00BD65C5" w:rsidRDefault="002914EB" w:rsidP="002914EB">
            <w:pPr>
              <w:rPr>
                <w:rFonts w:ascii="Times New Roman" w:hAnsi="Times New Roman"/>
              </w:rPr>
            </w:pPr>
            <w:r w:rsidRPr="00BD65C5">
              <w:rPr>
                <w:rFonts w:ascii="Times New Roman" w:hAnsi="Times New Roman"/>
              </w:rPr>
              <w:t>Количество исследованных проб</w:t>
            </w:r>
          </w:p>
        </w:tc>
      </w:tr>
      <w:tr w:rsidR="002914EB" w:rsidRPr="00BD65C5" w:rsidTr="002914EB">
        <w:trPr>
          <w:cantSplit/>
          <w:trHeight w:val="261"/>
        </w:trPr>
        <w:tc>
          <w:tcPr>
            <w:tcW w:w="1701" w:type="dxa"/>
            <w:vMerge/>
          </w:tcPr>
          <w:p w:rsidR="002914EB" w:rsidRPr="00BD65C5" w:rsidRDefault="002914EB" w:rsidP="002914EB">
            <w:pPr>
              <w:spacing w:before="20" w:after="20"/>
              <w:rPr>
                <w:rFonts w:ascii="Times New Roman" w:hAnsi="Times New Roman"/>
              </w:rPr>
            </w:pPr>
          </w:p>
        </w:tc>
        <w:tc>
          <w:tcPr>
            <w:tcW w:w="2410" w:type="dxa"/>
            <w:gridSpan w:val="2"/>
          </w:tcPr>
          <w:p w:rsidR="002914EB" w:rsidRPr="00BD65C5" w:rsidRDefault="002914EB" w:rsidP="002914EB">
            <w:pPr>
              <w:spacing w:before="20" w:after="20"/>
              <w:rPr>
                <w:rFonts w:ascii="Times New Roman" w:hAnsi="Times New Roman"/>
              </w:rPr>
            </w:pPr>
            <w:r w:rsidRPr="00BD65C5">
              <w:rPr>
                <w:rFonts w:ascii="Times New Roman" w:hAnsi="Times New Roman"/>
              </w:rPr>
              <w:t>2018г.</w:t>
            </w:r>
          </w:p>
        </w:tc>
        <w:tc>
          <w:tcPr>
            <w:tcW w:w="2812" w:type="dxa"/>
            <w:gridSpan w:val="2"/>
          </w:tcPr>
          <w:p w:rsidR="002914EB" w:rsidRPr="00BD65C5" w:rsidRDefault="002914EB" w:rsidP="002914EB">
            <w:pPr>
              <w:spacing w:before="20" w:after="20"/>
              <w:rPr>
                <w:rFonts w:ascii="Times New Roman" w:hAnsi="Times New Roman"/>
              </w:rPr>
            </w:pPr>
            <w:r w:rsidRPr="00BD65C5">
              <w:rPr>
                <w:rFonts w:ascii="Times New Roman" w:hAnsi="Times New Roman"/>
              </w:rPr>
              <w:t>2019г</w:t>
            </w:r>
          </w:p>
        </w:tc>
        <w:tc>
          <w:tcPr>
            <w:tcW w:w="2321" w:type="dxa"/>
            <w:gridSpan w:val="2"/>
          </w:tcPr>
          <w:p w:rsidR="002914EB" w:rsidRPr="00BD65C5" w:rsidRDefault="002914EB" w:rsidP="002914EB">
            <w:pPr>
              <w:spacing w:before="20" w:after="20"/>
              <w:rPr>
                <w:rFonts w:ascii="Times New Roman" w:hAnsi="Times New Roman"/>
              </w:rPr>
            </w:pPr>
            <w:r w:rsidRPr="00BD65C5">
              <w:rPr>
                <w:rFonts w:ascii="Times New Roman" w:hAnsi="Times New Roman"/>
              </w:rPr>
              <w:t>2020г</w:t>
            </w:r>
          </w:p>
        </w:tc>
      </w:tr>
      <w:tr w:rsidR="002914EB" w:rsidRPr="00BD65C5" w:rsidTr="002914EB">
        <w:trPr>
          <w:trHeight w:val="1126"/>
        </w:trPr>
        <w:tc>
          <w:tcPr>
            <w:tcW w:w="1701" w:type="dxa"/>
            <w:vMerge/>
          </w:tcPr>
          <w:p w:rsidR="002914EB" w:rsidRPr="00BD65C5" w:rsidRDefault="002914EB" w:rsidP="002914EB">
            <w:pPr>
              <w:pStyle w:val="5"/>
              <w:spacing w:before="20" w:after="20"/>
              <w:jc w:val="left"/>
              <w:rPr>
                <w:rFonts w:ascii="Times New Roman" w:hAnsi="Times New Roman"/>
                <w:b w:val="0"/>
                <w:bCs w:val="0"/>
                <w:i w:val="0"/>
                <w:iCs w:val="0"/>
                <w:sz w:val="22"/>
                <w:szCs w:val="22"/>
              </w:rPr>
            </w:pPr>
          </w:p>
        </w:tc>
        <w:tc>
          <w:tcPr>
            <w:tcW w:w="1276" w:type="dxa"/>
          </w:tcPr>
          <w:p w:rsidR="002914EB" w:rsidRPr="00BD65C5" w:rsidRDefault="002914EB" w:rsidP="002914EB">
            <w:pPr>
              <w:spacing w:before="20" w:after="20"/>
              <w:rPr>
                <w:rFonts w:ascii="Times New Roman" w:hAnsi="Times New Roman"/>
              </w:rPr>
            </w:pPr>
            <w:r w:rsidRPr="00BD65C5">
              <w:rPr>
                <w:rFonts w:ascii="Times New Roman" w:hAnsi="Times New Roman"/>
              </w:rPr>
              <w:t>Кол-во/</w:t>
            </w:r>
          </w:p>
          <w:p w:rsidR="002914EB" w:rsidRPr="00BD65C5" w:rsidRDefault="002914EB" w:rsidP="002914EB">
            <w:pPr>
              <w:spacing w:before="20" w:after="20"/>
              <w:rPr>
                <w:rFonts w:ascii="Times New Roman" w:hAnsi="Times New Roman"/>
              </w:rPr>
            </w:pPr>
            <w:r w:rsidRPr="00BD65C5">
              <w:rPr>
                <w:rFonts w:ascii="Times New Roman" w:hAnsi="Times New Roman"/>
              </w:rPr>
              <w:t>несоот-ветствую-щих</w:t>
            </w:r>
          </w:p>
        </w:tc>
        <w:tc>
          <w:tcPr>
            <w:tcW w:w="1134" w:type="dxa"/>
          </w:tcPr>
          <w:p w:rsidR="002914EB" w:rsidRPr="00BD65C5" w:rsidRDefault="002914EB" w:rsidP="002914EB">
            <w:pPr>
              <w:spacing w:before="20" w:after="20"/>
              <w:rPr>
                <w:rFonts w:ascii="Times New Roman" w:hAnsi="Times New Roman"/>
              </w:rPr>
            </w:pPr>
            <w:r w:rsidRPr="00BD65C5">
              <w:rPr>
                <w:rFonts w:ascii="Times New Roman" w:hAnsi="Times New Roman"/>
              </w:rPr>
              <w:t>% несоот-ветвующих</w:t>
            </w:r>
          </w:p>
        </w:tc>
        <w:tc>
          <w:tcPr>
            <w:tcW w:w="1488" w:type="dxa"/>
          </w:tcPr>
          <w:p w:rsidR="002914EB" w:rsidRPr="00BD65C5" w:rsidRDefault="002914EB" w:rsidP="002914EB">
            <w:pPr>
              <w:spacing w:before="20" w:after="20"/>
              <w:rPr>
                <w:rFonts w:ascii="Times New Roman" w:hAnsi="Times New Roman"/>
              </w:rPr>
            </w:pPr>
            <w:r w:rsidRPr="00BD65C5">
              <w:rPr>
                <w:rFonts w:ascii="Times New Roman" w:hAnsi="Times New Roman"/>
              </w:rPr>
              <w:t>Кол-во/</w:t>
            </w:r>
          </w:p>
          <w:p w:rsidR="002914EB" w:rsidRPr="00BD65C5" w:rsidRDefault="002914EB" w:rsidP="002914EB">
            <w:pPr>
              <w:spacing w:before="20" w:after="20"/>
              <w:rPr>
                <w:rFonts w:ascii="Times New Roman" w:hAnsi="Times New Roman"/>
              </w:rPr>
            </w:pPr>
            <w:r w:rsidRPr="00BD65C5">
              <w:rPr>
                <w:rFonts w:ascii="Times New Roman" w:hAnsi="Times New Roman"/>
              </w:rPr>
              <w:t>несоответствующих</w:t>
            </w:r>
          </w:p>
        </w:tc>
        <w:tc>
          <w:tcPr>
            <w:tcW w:w="1324" w:type="dxa"/>
          </w:tcPr>
          <w:p w:rsidR="002914EB" w:rsidRPr="00BD65C5" w:rsidRDefault="002914EB" w:rsidP="002914EB">
            <w:pPr>
              <w:spacing w:before="20" w:after="20"/>
              <w:rPr>
                <w:rFonts w:ascii="Times New Roman" w:hAnsi="Times New Roman"/>
              </w:rPr>
            </w:pPr>
            <w:r w:rsidRPr="00BD65C5">
              <w:rPr>
                <w:rFonts w:ascii="Times New Roman" w:hAnsi="Times New Roman"/>
              </w:rPr>
              <w:t>% несоот-ветствующих</w:t>
            </w:r>
          </w:p>
        </w:tc>
        <w:tc>
          <w:tcPr>
            <w:tcW w:w="1157" w:type="dxa"/>
          </w:tcPr>
          <w:p w:rsidR="002914EB" w:rsidRPr="00BD65C5" w:rsidRDefault="002914EB" w:rsidP="002914EB">
            <w:pPr>
              <w:spacing w:before="20" w:after="20"/>
              <w:rPr>
                <w:rFonts w:ascii="Times New Roman" w:hAnsi="Times New Roman"/>
              </w:rPr>
            </w:pPr>
            <w:r w:rsidRPr="00BD65C5">
              <w:rPr>
                <w:rFonts w:ascii="Times New Roman" w:hAnsi="Times New Roman"/>
              </w:rPr>
              <w:t>Кол-во/</w:t>
            </w:r>
          </w:p>
          <w:p w:rsidR="002914EB" w:rsidRPr="00BD65C5" w:rsidRDefault="002914EB" w:rsidP="002914EB">
            <w:pPr>
              <w:spacing w:before="20" w:after="20"/>
              <w:rPr>
                <w:rFonts w:ascii="Times New Roman" w:hAnsi="Times New Roman"/>
              </w:rPr>
            </w:pPr>
            <w:r w:rsidRPr="00BD65C5">
              <w:rPr>
                <w:rFonts w:ascii="Times New Roman" w:hAnsi="Times New Roman"/>
              </w:rPr>
              <w:t>Несоответствую-щих</w:t>
            </w:r>
          </w:p>
        </w:tc>
        <w:tc>
          <w:tcPr>
            <w:tcW w:w="1164" w:type="dxa"/>
          </w:tcPr>
          <w:p w:rsidR="002914EB" w:rsidRPr="00BD65C5" w:rsidRDefault="002914EB" w:rsidP="002914EB">
            <w:pPr>
              <w:spacing w:before="20" w:after="20"/>
              <w:rPr>
                <w:rFonts w:ascii="Times New Roman" w:hAnsi="Times New Roman"/>
              </w:rPr>
            </w:pPr>
            <w:r w:rsidRPr="00BD65C5">
              <w:rPr>
                <w:rFonts w:ascii="Times New Roman" w:hAnsi="Times New Roman"/>
              </w:rPr>
              <w:t>% несоот-ветвую-щих</w:t>
            </w:r>
          </w:p>
        </w:tc>
      </w:tr>
      <w:tr w:rsidR="002914EB" w:rsidRPr="00BD65C5" w:rsidTr="002914EB">
        <w:trPr>
          <w:trHeight w:val="308"/>
        </w:trPr>
        <w:tc>
          <w:tcPr>
            <w:tcW w:w="1701" w:type="dxa"/>
            <w:shd w:val="clear" w:color="auto" w:fill="auto"/>
          </w:tcPr>
          <w:p w:rsidR="002914EB" w:rsidRPr="00A71BB3" w:rsidRDefault="002914EB" w:rsidP="002914EB">
            <w:pPr>
              <w:pStyle w:val="5"/>
              <w:spacing w:before="20" w:after="20"/>
              <w:jc w:val="left"/>
              <w:rPr>
                <w:rFonts w:ascii="Times New Roman" w:hAnsi="Times New Roman"/>
                <w:b w:val="0"/>
                <w:bCs w:val="0"/>
                <w:i w:val="0"/>
                <w:iCs w:val="0"/>
                <w:sz w:val="22"/>
                <w:szCs w:val="22"/>
              </w:rPr>
            </w:pPr>
            <w:r w:rsidRPr="00A71BB3">
              <w:rPr>
                <w:rFonts w:ascii="Times New Roman" w:hAnsi="Times New Roman"/>
                <w:b w:val="0"/>
                <w:bCs w:val="0"/>
                <w:i w:val="0"/>
                <w:iCs w:val="0"/>
                <w:sz w:val="22"/>
                <w:szCs w:val="22"/>
              </w:rPr>
              <w:t>Смывы всего</w:t>
            </w:r>
          </w:p>
        </w:tc>
        <w:tc>
          <w:tcPr>
            <w:tcW w:w="1276" w:type="dxa"/>
            <w:shd w:val="clear" w:color="auto" w:fill="auto"/>
          </w:tcPr>
          <w:p w:rsidR="002914EB" w:rsidRPr="00A71BB3" w:rsidRDefault="002914EB" w:rsidP="002914EB">
            <w:pPr>
              <w:spacing w:before="20" w:after="20"/>
              <w:rPr>
                <w:rFonts w:ascii="Times New Roman" w:hAnsi="Times New Roman"/>
              </w:rPr>
            </w:pPr>
            <w:r w:rsidRPr="00A71BB3">
              <w:rPr>
                <w:rFonts w:ascii="Times New Roman" w:hAnsi="Times New Roman"/>
              </w:rPr>
              <w:t>1079/8</w:t>
            </w:r>
          </w:p>
        </w:tc>
        <w:tc>
          <w:tcPr>
            <w:tcW w:w="1134" w:type="dxa"/>
            <w:shd w:val="clear" w:color="auto" w:fill="auto"/>
          </w:tcPr>
          <w:p w:rsidR="002914EB" w:rsidRPr="00A71BB3" w:rsidRDefault="002914EB" w:rsidP="002914EB">
            <w:pPr>
              <w:spacing w:before="20" w:after="20"/>
              <w:rPr>
                <w:rFonts w:ascii="Times New Roman" w:hAnsi="Times New Roman"/>
              </w:rPr>
            </w:pPr>
            <w:r w:rsidRPr="00A71BB3">
              <w:rPr>
                <w:rFonts w:ascii="Times New Roman" w:hAnsi="Times New Roman"/>
              </w:rPr>
              <w:t>0,74</w:t>
            </w:r>
          </w:p>
        </w:tc>
        <w:tc>
          <w:tcPr>
            <w:tcW w:w="1488" w:type="dxa"/>
            <w:shd w:val="clear" w:color="auto" w:fill="auto"/>
          </w:tcPr>
          <w:p w:rsidR="002914EB" w:rsidRPr="00A71BB3" w:rsidRDefault="002914EB" w:rsidP="002914EB">
            <w:pPr>
              <w:spacing w:before="20" w:after="20"/>
              <w:rPr>
                <w:rFonts w:ascii="Times New Roman" w:hAnsi="Times New Roman"/>
              </w:rPr>
            </w:pPr>
            <w:r w:rsidRPr="00A71BB3">
              <w:rPr>
                <w:rFonts w:ascii="Times New Roman" w:hAnsi="Times New Roman"/>
              </w:rPr>
              <w:t>1275/11</w:t>
            </w:r>
          </w:p>
        </w:tc>
        <w:tc>
          <w:tcPr>
            <w:tcW w:w="1324" w:type="dxa"/>
            <w:shd w:val="clear" w:color="auto" w:fill="auto"/>
          </w:tcPr>
          <w:p w:rsidR="002914EB" w:rsidRPr="00A71BB3" w:rsidRDefault="002914EB" w:rsidP="002914EB">
            <w:pPr>
              <w:spacing w:before="20" w:after="20"/>
              <w:rPr>
                <w:rFonts w:ascii="Times New Roman" w:hAnsi="Times New Roman"/>
              </w:rPr>
            </w:pPr>
            <w:r w:rsidRPr="00A71BB3">
              <w:rPr>
                <w:rFonts w:ascii="Times New Roman" w:hAnsi="Times New Roman"/>
              </w:rPr>
              <w:t>0,9</w:t>
            </w:r>
          </w:p>
        </w:tc>
        <w:tc>
          <w:tcPr>
            <w:tcW w:w="1157" w:type="dxa"/>
            <w:shd w:val="clear" w:color="auto" w:fill="auto"/>
          </w:tcPr>
          <w:p w:rsidR="002914EB" w:rsidRPr="00A71BB3" w:rsidRDefault="002914EB" w:rsidP="002914EB">
            <w:pPr>
              <w:spacing w:before="20" w:after="20"/>
              <w:rPr>
                <w:rFonts w:ascii="Times New Roman" w:hAnsi="Times New Roman"/>
              </w:rPr>
            </w:pPr>
            <w:r w:rsidRPr="00A71BB3">
              <w:rPr>
                <w:rFonts w:ascii="Times New Roman" w:hAnsi="Times New Roman"/>
              </w:rPr>
              <w:t>1138/1</w:t>
            </w:r>
          </w:p>
        </w:tc>
        <w:tc>
          <w:tcPr>
            <w:tcW w:w="1164" w:type="dxa"/>
            <w:shd w:val="clear" w:color="auto" w:fill="auto"/>
          </w:tcPr>
          <w:p w:rsidR="002914EB" w:rsidRPr="00A71BB3" w:rsidRDefault="002914EB" w:rsidP="002914EB">
            <w:pPr>
              <w:spacing w:before="20" w:after="20"/>
              <w:rPr>
                <w:rFonts w:ascii="Times New Roman" w:hAnsi="Times New Roman"/>
              </w:rPr>
            </w:pPr>
            <w:r w:rsidRPr="00A71BB3">
              <w:rPr>
                <w:rFonts w:ascii="Times New Roman" w:hAnsi="Times New Roman"/>
              </w:rPr>
              <w:t>0,08</w:t>
            </w:r>
          </w:p>
        </w:tc>
      </w:tr>
      <w:tr w:rsidR="002914EB" w:rsidRPr="00BD65C5" w:rsidTr="002914EB">
        <w:trPr>
          <w:trHeight w:val="295"/>
        </w:trPr>
        <w:tc>
          <w:tcPr>
            <w:tcW w:w="1701" w:type="dxa"/>
            <w:shd w:val="clear" w:color="auto" w:fill="auto"/>
          </w:tcPr>
          <w:p w:rsidR="002914EB" w:rsidRPr="00A71BB3" w:rsidRDefault="002914EB" w:rsidP="002914EB">
            <w:pPr>
              <w:pStyle w:val="5"/>
              <w:spacing w:before="20" w:after="20"/>
              <w:jc w:val="left"/>
              <w:rPr>
                <w:rFonts w:ascii="Times New Roman" w:hAnsi="Times New Roman"/>
                <w:b w:val="0"/>
                <w:bCs w:val="0"/>
                <w:i w:val="0"/>
                <w:iCs w:val="0"/>
                <w:sz w:val="22"/>
                <w:szCs w:val="22"/>
              </w:rPr>
            </w:pPr>
            <w:r w:rsidRPr="00A71BB3">
              <w:rPr>
                <w:rFonts w:ascii="Times New Roman" w:hAnsi="Times New Roman"/>
                <w:b w:val="0"/>
                <w:bCs w:val="0"/>
                <w:i w:val="0"/>
                <w:iCs w:val="0"/>
                <w:sz w:val="22"/>
                <w:szCs w:val="22"/>
              </w:rPr>
              <w:t>Смывы на БГКП</w:t>
            </w:r>
          </w:p>
        </w:tc>
        <w:tc>
          <w:tcPr>
            <w:tcW w:w="1276" w:type="dxa"/>
            <w:shd w:val="clear" w:color="auto" w:fill="auto"/>
          </w:tcPr>
          <w:p w:rsidR="002914EB" w:rsidRPr="00A71BB3" w:rsidRDefault="002914EB" w:rsidP="002914EB">
            <w:pPr>
              <w:spacing w:before="20" w:after="20"/>
              <w:rPr>
                <w:rFonts w:ascii="Times New Roman" w:hAnsi="Times New Roman"/>
              </w:rPr>
            </w:pPr>
            <w:r w:rsidRPr="00A71BB3">
              <w:rPr>
                <w:rFonts w:ascii="Times New Roman" w:hAnsi="Times New Roman"/>
              </w:rPr>
              <w:t>879/8</w:t>
            </w:r>
          </w:p>
        </w:tc>
        <w:tc>
          <w:tcPr>
            <w:tcW w:w="1134" w:type="dxa"/>
            <w:shd w:val="clear" w:color="auto" w:fill="auto"/>
          </w:tcPr>
          <w:p w:rsidR="002914EB" w:rsidRPr="00A71BB3" w:rsidRDefault="002914EB" w:rsidP="002914EB">
            <w:pPr>
              <w:spacing w:before="20" w:after="20"/>
              <w:rPr>
                <w:rFonts w:ascii="Times New Roman" w:hAnsi="Times New Roman"/>
              </w:rPr>
            </w:pPr>
            <w:r w:rsidRPr="00A71BB3">
              <w:rPr>
                <w:rFonts w:ascii="Times New Roman" w:hAnsi="Times New Roman"/>
              </w:rPr>
              <w:t>0,91</w:t>
            </w:r>
          </w:p>
        </w:tc>
        <w:tc>
          <w:tcPr>
            <w:tcW w:w="1488" w:type="dxa"/>
            <w:shd w:val="clear" w:color="auto" w:fill="auto"/>
          </w:tcPr>
          <w:p w:rsidR="002914EB" w:rsidRPr="00A71BB3" w:rsidRDefault="002914EB" w:rsidP="002914EB">
            <w:pPr>
              <w:spacing w:before="20" w:after="20"/>
              <w:rPr>
                <w:rFonts w:ascii="Times New Roman" w:hAnsi="Times New Roman"/>
              </w:rPr>
            </w:pPr>
            <w:r w:rsidRPr="00A71BB3">
              <w:rPr>
                <w:rFonts w:ascii="Times New Roman" w:hAnsi="Times New Roman"/>
              </w:rPr>
              <w:t>775/11</w:t>
            </w:r>
          </w:p>
        </w:tc>
        <w:tc>
          <w:tcPr>
            <w:tcW w:w="1324" w:type="dxa"/>
            <w:shd w:val="clear" w:color="auto" w:fill="auto"/>
          </w:tcPr>
          <w:p w:rsidR="002914EB" w:rsidRPr="00A71BB3" w:rsidRDefault="002914EB" w:rsidP="002914EB">
            <w:pPr>
              <w:spacing w:before="20" w:after="20"/>
              <w:rPr>
                <w:rFonts w:ascii="Times New Roman" w:hAnsi="Times New Roman"/>
              </w:rPr>
            </w:pPr>
            <w:r w:rsidRPr="00A71BB3">
              <w:rPr>
                <w:rFonts w:ascii="Times New Roman" w:hAnsi="Times New Roman"/>
              </w:rPr>
              <w:t>1,4</w:t>
            </w:r>
          </w:p>
        </w:tc>
        <w:tc>
          <w:tcPr>
            <w:tcW w:w="1157" w:type="dxa"/>
            <w:shd w:val="clear" w:color="auto" w:fill="auto"/>
          </w:tcPr>
          <w:p w:rsidR="002914EB" w:rsidRPr="00A71BB3" w:rsidRDefault="002914EB" w:rsidP="002914EB">
            <w:pPr>
              <w:spacing w:before="20" w:after="20"/>
              <w:rPr>
                <w:rFonts w:ascii="Times New Roman" w:hAnsi="Times New Roman"/>
              </w:rPr>
            </w:pPr>
            <w:r w:rsidRPr="00A71BB3">
              <w:rPr>
                <w:rFonts w:ascii="Times New Roman" w:hAnsi="Times New Roman"/>
              </w:rPr>
              <w:t>400/1</w:t>
            </w:r>
          </w:p>
        </w:tc>
        <w:tc>
          <w:tcPr>
            <w:tcW w:w="1164" w:type="dxa"/>
            <w:shd w:val="clear" w:color="auto" w:fill="auto"/>
          </w:tcPr>
          <w:p w:rsidR="002914EB" w:rsidRPr="00A71BB3" w:rsidRDefault="002914EB" w:rsidP="002914EB">
            <w:pPr>
              <w:spacing w:before="20" w:after="20"/>
              <w:rPr>
                <w:rFonts w:ascii="Times New Roman" w:hAnsi="Times New Roman"/>
              </w:rPr>
            </w:pPr>
            <w:r w:rsidRPr="00A71BB3">
              <w:rPr>
                <w:rFonts w:ascii="Times New Roman" w:hAnsi="Times New Roman"/>
              </w:rPr>
              <w:t>0,25</w:t>
            </w:r>
          </w:p>
        </w:tc>
      </w:tr>
      <w:tr w:rsidR="002914EB" w:rsidRPr="00BD65C5" w:rsidTr="002914EB">
        <w:trPr>
          <w:trHeight w:val="251"/>
        </w:trPr>
        <w:tc>
          <w:tcPr>
            <w:tcW w:w="1701" w:type="dxa"/>
          </w:tcPr>
          <w:p w:rsidR="002914EB" w:rsidRPr="00BD65C5" w:rsidRDefault="002914EB" w:rsidP="002914EB">
            <w:pPr>
              <w:spacing w:before="20" w:after="20"/>
              <w:rPr>
                <w:rFonts w:ascii="Times New Roman" w:hAnsi="Times New Roman"/>
              </w:rPr>
            </w:pPr>
            <w:r w:rsidRPr="00BD65C5">
              <w:rPr>
                <w:rFonts w:ascii="Times New Roman" w:hAnsi="Times New Roman"/>
              </w:rPr>
              <w:t>Готовые блюда</w:t>
            </w:r>
          </w:p>
        </w:tc>
        <w:tc>
          <w:tcPr>
            <w:tcW w:w="1276" w:type="dxa"/>
          </w:tcPr>
          <w:p w:rsidR="002914EB" w:rsidRPr="00BD65C5" w:rsidRDefault="002914EB" w:rsidP="002914EB">
            <w:pPr>
              <w:spacing w:before="20" w:after="20"/>
              <w:rPr>
                <w:rFonts w:ascii="Times New Roman" w:hAnsi="Times New Roman"/>
              </w:rPr>
            </w:pPr>
            <w:r w:rsidRPr="00BD65C5">
              <w:rPr>
                <w:rFonts w:ascii="Times New Roman" w:hAnsi="Times New Roman"/>
              </w:rPr>
              <w:t>106/1</w:t>
            </w:r>
          </w:p>
        </w:tc>
        <w:tc>
          <w:tcPr>
            <w:tcW w:w="1134" w:type="dxa"/>
          </w:tcPr>
          <w:p w:rsidR="002914EB" w:rsidRPr="00BD65C5" w:rsidRDefault="002914EB" w:rsidP="002914EB">
            <w:pPr>
              <w:spacing w:before="20" w:after="20"/>
              <w:rPr>
                <w:rFonts w:ascii="Times New Roman" w:hAnsi="Times New Roman"/>
              </w:rPr>
            </w:pPr>
            <w:r w:rsidRPr="00BD65C5">
              <w:rPr>
                <w:rFonts w:ascii="Times New Roman" w:hAnsi="Times New Roman"/>
              </w:rPr>
              <w:t>0,9</w:t>
            </w:r>
          </w:p>
        </w:tc>
        <w:tc>
          <w:tcPr>
            <w:tcW w:w="1488" w:type="dxa"/>
          </w:tcPr>
          <w:p w:rsidR="002914EB" w:rsidRPr="00BD65C5" w:rsidRDefault="002914EB" w:rsidP="002914EB">
            <w:pPr>
              <w:spacing w:before="20" w:after="20"/>
              <w:rPr>
                <w:rFonts w:ascii="Times New Roman" w:hAnsi="Times New Roman"/>
              </w:rPr>
            </w:pPr>
            <w:r w:rsidRPr="00BD65C5">
              <w:rPr>
                <w:rFonts w:ascii="Times New Roman" w:hAnsi="Times New Roman"/>
              </w:rPr>
              <w:t>118</w:t>
            </w:r>
          </w:p>
        </w:tc>
        <w:tc>
          <w:tcPr>
            <w:tcW w:w="1324" w:type="dxa"/>
          </w:tcPr>
          <w:p w:rsidR="002914EB" w:rsidRPr="00BD65C5" w:rsidRDefault="002914EB" w:rsidP="002914EB">
            <w:pPr>
              <w:spacing w:before="20" w:after="20"/>
              <w:rPr>
                <w:rFonts w:ascii="Times New Roman" w:hAnsi="Times New Roman"/>
              </w:rPr>
            </w:pPr>
            <w:r w:rsidRPr="00BD65C5">
              <w:rPr>
                <w:rFonts w:ascii="Times New Roman" w:hAnsi="Times New Roman"/>
              </w:rPr>
              <w:t>0</w:t>
            </w:r>
          </w:p>
        </w:tc>
        <w:tc>
          <w:tcPr>
            <w:tcW w:w="1157" w:type="dxa"/>
          </w:tcPr>
          <w:p w:rsidR="002914EB" w:rsidRPr="00BD65C5" w:rsidRDefault="002914EB" w:rsidP="002914EB">
            <w:pPr>
              <w:spacing w:before="20" w:after="20"/>
              <w:rPr>
                <w:rFonts w:ascii="Times New Roman" w:hAnsi="Times New Roman"/>
              </w:rPr>
            </w:pPr>
            <w:r>
              <w:rPr>
                <w:rFonts w:ascii="Times New Roman" w:hAnsi="Times New Roman"/>
              </w:rPr>
              <w:t>72</w:t>
            </w:r>
          </w:p>
        </w:tc>
        <w:tc>
          <w:tcPr>
            <w:tcW w:w="1164" w:type="dxa"/>
          </w:tcPr>
          <w:p w:rsidR="002914EB" w:rsidRPr="00BD65C5" w:rsidRDefault="002914EB" w:rsidP="002914EB">
            <w:pPr>
              <w:spacing w:before="20" w:after="20"/>
              <w:rPr>
                <w:rFonts w:ascii="Times New Roman" w:hAnsi="Times New Roman"/>
              </w:rPr>
            </w:pPr>
            <w:r>
              <w:rPr>
                <w:rFonts w:ascii="Times New Roman" w:hAnsi="Times New Roman"/>
              </w:rPr>
              <w:t>0</w:t>
            </w:r>
          </w:p>
        </w:tc>
      </w:tr>
    </w:tbl>
    <w:p w:rsidR="002914EB" w:rsidRPr="003C311B" w:rsidRDefault="002914EB" w:rsidP="002914EB">
      <w:pPr>
        <w:pStyle w:val="a5"/>
        <w:ind w:firstLine="426"/>
        <w:jc w:val="both"/>
        <w:rPr>
          <w:bCs/>
          <w:sz w:val="24"/>
          <w:szCs w:val="24"/>
        </w:rPr>
      </w:pPr>
      <w:r w:rsidRPr="003C311B">
        <w:rPr>
          <w:bCs/>
          <w:sz w:val="24"/>
          <w:szCs w:val="24"/>
        </w:rPr>
        <w:t xml:space="preserve">В 2020году  снизилось , количество исследованных проб в связи с приостановлением  работ по контрольно-надзорным мероприятиям: по микробиологическим  и паразитологическим показателям: </w:t>
      </w:r>
    </w:p>
    <w:p w:rsidR="002914EB" w:rsidRPr="003C311B" w:rsidRDefault="002914EB" w:rsidP="002914EB">
      <w:pPr>
        <w:pStyle w:val="a5"/>
        <w:ind w:firstLine="426"/>
        <w:jc w:val="both"/>
        <w:rPr>
          <w:bCs/>
          <w:sz w:val="24"/>
          <w:szCs w:val="24"/>
        </w:rPr>
      </w:pPr>
      <w:r w:rsidRPr="003C311B">
        <w:rPr>
          <w:bCs/>
          <w:sz w:val="24"/>
          <w:szCs w:val="24"/>
        </w:rPr>
        <w:t xml:space="preserve">-смывов  всего ( за счет смывов по паразитологическим показателям)- на </w:t>
      </w:r>
      <w:r>
        <w:rPr>
          <w:bCs/>
          <w:sz w:val="24"/>
          <w:szCs w:val="24"/>
        </w:rPr>
        <w:t>9,2</w:t>
      </w:r>
      <w:r w:rsidRPr="003C311B">
        <w:rPr>
          <w:bCs/>
          <w:sz w:val="24"/>
          <w:szCs w:val="24"/>
        </w:rPr>
        <w:t>% по сравнению с 2019г</w:t>
      </w:r>
      <w:r>
        <w:rPr>
          <w:bCs/>
          <w:sz w:val="24"/>
          <w:szCs w:val="24"/>
        </w:rPr>
        <w:t>но на 7,3% больше</w:t>
      </w:r>
      <w:r w:rsidRPr="003C311B">
        <w:rPr>
          <w:bCs/>
          <w:sz w:val="24"/>
          <w:szCs w:val="24"/>
        </w:rPr>
        <w:t xml:space="preserve"> по сравнению с 2018г:( табл № 1);</w:t>
      </w:r>
    </w:p>
    <w:p w:rsidR="002914EB" w:rsidRPr="003C311B" w:rsidRDefault="002914EB" w:rsidP="002914EB">
      <w:pPr>
        <w:pStyle w:val="a5"/>
        <w:ind w:firstLine="426"/>
        <w:jc w:val="both"/>
        <w:rPr>
          <w:bCs/>
          <w:sz w:val="24"/>
          <w:szCs w:val="24"/>
        </w:rPr>
      </w:pPr>
      <w:r w:rsidRPr="003C311B">
        <w:rPr>
          <w:bCs/>
          <w:sz w:val="24"/>
          <w:szCs w:val="24"/>
        </w:rPr>
        <w:t>-смывов БГКП-на 48,4% по сравнению с 2019г и  54,5%  по сравнению с 2018г:( табл № 1);</w:t>
      </w:r>
    </w:p>
    <w:p w:rsidR="002914EB" w:rsidRPr="003C311B" w:rsidRDefault="002914EB" w:rsidP="002914EB">
      <w:pPr>
        <w:pStyle w:val="a5"/>
        <w:ind w:firstLine="426"/>
        <w:jc w:val="both"/>
        <w:rPr>
          <w:bCs/>
          <w:sz w:val="24"/>
          <w:szCs w:val="24"/>
        </w:rPr>
      </w:pPr>
      <w:r w:rsidRPr="003C311B">
        <w:rPr>
          <w:bCs/>
          <w:sz w:val="24"/>
          <w:szCs w:val="24"/>
        </w:rPr>
        <w:t xml:space="preserve">-готовых блюд – </w:t>
      </w:r>
      <w:r>
        <w:rPr>
          <w:bCs/>
          <w:sz w:val="24"/>
          <w:szCs w:val="24"/>
        </w:rPr>
        <w:t>на 38,9%% по сравнению с 2020</w:t>
      </w:r>
      <w:r w:rsidRPr="003C311B">
        <w:rPr>
          <w:bCs/>
          <w:sz w:val="24"/>
          <w:szCs w:val="24"/>
        </w:rPr>
        <w:t>г и  32,1%  по сравнению с 2018г:(табл № 1);</w:t>
      </w:r>
    </w:p>
    <w:p w:rsidR="002914EB" w:rsidRPr="004B7A08" w:rsidRDefault="002914EB" w:rsidP="002914EB">
      <w:pPr>
        <w:pStyle w:val="a5"/>
        <w:ind w:firstLine="426"/>
        <w:jc w:val="both"/>
        <w:rPr>
          <w:bCs/>
          <w:sz w:val="24"/>
          <w:szCs w:val="24"/>
        </w:rPr>
      </w:pPr>
      <w:r w:rsidRPr="004C1C7D">
        <w:rPr>
          <w:bCs/>
          <w:sz w:val="24"/>
          <w:szCs w:val="24"/>
        </w:rPr>
        <w:t xml:space="preserve">Филиалом ФБУЗ в 2020г исследовано всего смывов 922 из них не соответствует 1 , </w:t>
      </w:r>
      <w:r w:rsidRPr="004B7A08">
        <w:rPr>
          <w:bCs/>
          <w:sz w:val="24"/>
          <w:szCs w:val="24"/>
        </w:rPr>
        <w:t>доля несоответствующих составила 0,1%,2019 году исследовано всего смывов 1275 из них не соответствует 11,что составило 0,9%. Доля смывов  БГКП, не соответствующих требованиям в 2020г., по сравнению с 2019г. снизилась 1.15% с 1,4 % в 2019г до 0,25%  (табл № 1), что является неблагоприятным признаком и свидетельствует о снижении  качества проводимой текущей дезинфекции персоналом детских учреждений .</w:t>
      </w:r>
    </w:p>
    <w:p w:rsidR="002914EB" w:rsidRDefault="002914EB" w:rsidP="002914EB">
      <w:pPr>
        <w:pStyle w:val="a5"/>
        <w:ind w:firstLine="426"/>
        <w:jc w:val="both"/>
        <w:rPr>
          <w:bCs/>
          <w:sz w:val="24"/>
          <w:szCs w:val="24"/>
        </w:rPr>
      </w:pPr>
      <w:r w:rsidRPr="004B7A08">
        <w:rPr>
          <w:bCs/>
          <w:sz w:val="24"/>
          <w:szCs w:val="24"/>
        </w:rPr>
        <w:t>В 2020г регистрируется снижение  количества проб готовой продукции, по сравнению с 2019г на 39% , несоответствующих требованиям проб не выявлено</w:t>
      </w:r>
      <w:r w:rsidRPr="006065C9">
        <w:rPr>
          <w:bCs/>
          <w:sz w:val="24"/>
          <w:szCs w:val="24"/>
        </w:rPr>
        <w:t>.что является благоприятным признаком в профилактике  инфекционной заболеваемости.В 2019  регистрировалось снижение доли  проб готовой продукции, не соответствующей требованиям по микробиологическим показателям :в 2018г-0,9%, (табл № 1).</w:t>
      </w:r>
    </w:p>
    <w:p w:rsidR="002914EB" w:rsidRDefault="002914EB" w:rsidP="002914EB">
      <w:pPr>
        <w:pStyle w:val="a5"/>
        <w:ind w:firstLine="426"/>
        <w:jc w:val="both"/>
        <w:rPr>
          <w:bCs/>
          <w:sz w:val="24"/>
          <w:szCs w:val="24"/>
        </w:rPr>
      </w:pPr>
    </w:p>
    <w:p w:rsidR="002914EB" w:rsidRPr="006065C9" w:rsidRDefault="002914EB" w:rsidP="002914EB">
      <w:pPr>
        <w:pStyle w:val="a5"/>
        <w:ind w:firstLine="426"/>
        <w:jc w:val="both"/>
        <w:rPr>
          <w:bCs/>
          <w:sz w:val="24"/>
          <w:szCs w:val="24"/>
        </w:rPr>
      </w:pPr>
    </w:p>
    <w:p w:rsidR="002914EB" w:rsidRPr="006C2061" w:rsidRDefault="002914EB" w:rsidP="002914EB">
      <w:pPr>
        <w:pStyle w:val="a5"/>
        <w:jc w:val="both"/>
        <w:rPr>
          <w:b/>
          <w:sz w:val="22"/>
          <w:szCs w:val="22"/>
        </w:rPr>
      </w:pPr>
      <w:r w:rsidRPr="006C2061">
        <w:rPr>
          <w:noProof/>
          <w:lang w:val="ru-RU" w:eastAsia="ru-RU"/>
        </w:rPr>
        <w:drawing>
          <wp:inline distT="0" distB="0" distL="0" distR="0" wp14:anchorId="47A6CB54" wp14:editId="64D33845">
            <wp:extent cx="5833872" cy="2679728"/>
            <wp:effectExtent l="0" t="0" r="0" b="0"/>
            <wp:docPr id="37"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2914EB" w:rsidRPr="006C2061" w:rsidRDefault="002914EB" w:rsidP="002914EB">
      <w:pPr>
        <w:pStyle w:val="a5"/>
        <w:jc w:val="both"/>
        <w:rPr>
          <w:b/>
          <w:sz w:val="22"/>
          <w:szCs w:val="22"/>
        </w:rPr>
      </w:pPr>
    </w:p>
    <w:p w:rsidR="002914EB" w:rsidRPr="004B7A08" w:rsidRDefault="002914EB" w:rsidP="002914EB">
      <w:pPr>
        <w:pStyle w:val="a5"/>
        <w:jc w:val="both"/>
        <w:rPr>
          <w:bCs/>
          <w:sz w:val="22"/>
          <w:szCs w:val="22"/>
        </w:rPr>
      </w:pPr>
      <w:r w:rsidRPr="006C2061">
        <w:rPr>
          <w:b/>
          <w:sz w:val="22"/>
          <w:szCs w:val="22"/>
        </w:rPr>
        <w:t xml:space="preserve">Рис. №1. </w:t>
      </w:r>
      <w:r w:rsidRPr="006C2061">
        <w:rPr>
          <w:sz w:val="22"/>
          <w:szCs w:val="22"/>
        </w:rPr>
        <w:t xml:space="preserve">Динамика </w:t>
      </w:r>
      <w:r w:rsidRPr="006C2061">
        <w:rPr>
          <w:bCs/>
          <w:sz w:val="22"/>
          <w:szCs w:val="22"/>
        </w:rPr>
        <w:t>исследованных проб по микробиологическим показателям в  детских и подростковых организациях города за2018-2020гг.</w:t>
      </w:r>
    </w:p>
    <w:p w:rsidR="002914EB" w:rsidRPr="00BD65C5" w:rsidRDefault="002914EB" w:rsidP="002914EB">
      <w:pPr>
        <w:pStyle w:val="a5"/>
        <w:ind w:firstLine="720"/>
        <w:jc w:val="both"/>
        <w:rPr>
          <w:bCs/>
          <w:sz w:val="24"/>
          <w:szCs w:val="24"/>
          <w:highlight w:val="yellow"/>
        </w:rPr>
      </w:pPr>
    </w:p>
    <w:p w:rsidR="002914EB" w:rsidRPr="004B7A08" w:rsidRDefault="002914EB" w:rsidP="002914EB">
      <w:pPr>
        <w:pStyle w:val="a5"/>
        <w:ind w:firstLine="709"/>
        <w:jc w:val="right"/>
        <w:outlineLvl w:val="0"/>
        <w:rPr>
          <w:bCs/>
          <w:sz w:val="22"/>
          <w:szCs w:val="22"/>
        </w:rPr>
      </w:pPr>
      <w:r w:rsidRPr="004B7A08">
        <w:rPr>
          <w:bCs/>
          <w:sz w:val="22"/>
          <w:szCs w:val="22"/>
        </w:rPr>
        <w:t>Таблица № 2</w:t>
      </w:r>
    </w:p>
    <w:p w:rsidR="002914EB" w:rsidRPr="004B7A08" w:rsidRDefault="002914EB" w:rsidP="002914EB">
      <w:pPr>
        <w:pStyle w:val="a5"/>
        <w:ind w:firstLine="709"/>
        <w:outlineLvl w:val="0"/>
        <w:rPr>
          <w:b/>
          <w:bCs/>
          <w:sz w:val="24"/>
          <w:szCs w:val="24"/>
        </w:rPr>
      </w:pPr>
      <w:r w:rsidRPr="004B7A08">
        <w:rPr>
          <w:b/>
          <w:bCs/>
          <w:sz w:val="24"/>
          <w:szCs w:val="24"/>
        </w:rPr>
        <w:t>Динамика исследованных проб по  санитарно-химическим  показателям</w:t>
      </w: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9"/>
        <w:gridCol w:w="1229"/>
        <w:gridCol w:w="1021"/>
        <w:gridCol w:w="1097"/>
        <w:gridCol w:w="1249"/>
        <w:gridCol w:w="927"/>
        <w:gridCol w:w="1265"/>
      </w:tblGrid>
      <w:tr w:rsidR="002914EB" w:rsidRPr="004B7A08" w:rsidTr="002914EB">
        <w:trPr>
          <w:cantSplit/>
          <w:trHeight w:val="245"/>
        </w:trPr>
        <w:tc>
          <w:tcPr>
            <w:tcW w:w="2659" w:type="dxa"/>
            <w:vMerge w:val="restart"/>
          </w:tcPr>
          <w:p w:rsidR="002914EB" w:rsidRPr="004B7A08" w:rsidRDefault="002914EB" w:rsidP="002914EB">
            <w:pPr>
              <w:spacing w:before="20" w:after="20"/>
              <w:jc w:val="right"/>
              <w:rPr>
                <w:rFonts w:ascii="Times New Roman" w:hAnsi="Times New Roman" w:cs="Times New Roman"/>
              </w:rPr>
            </w:pPr>
            <w:r w:rsidRPr="004B7A08">
              <w:rPr>
                <w:rFonts w:ascii="Times New Roman" w:hAnsi="Times New Roman" w:cs="Times New Roman"/>
              </w:rPr>
              <w:t xml:space="preserve">Виды исследований </w:t>
            </w:r>
          </w:p>
        </w:tc>
        <w:tc>
          <w:tcPr>
            <w:tcW w:w="6788" w:type="dxa"/>
            <w:gridSpan w:val="6"/>
          </w:tcPr>
          <w:p w:rsidR="002914EB" w:rsidRPr="004B7A08" w:rsidRDefault="002914EB" w:rsidP="002914EB">
            <w:pPr>
              <w:rPr>
                <w:rFonts w:ascii="Times New Roman" w:hAnsi="Times New Roman" w:cs="Times New Roman"/>
              </w:rPr>
            </w:pPr>
            <w:r w:rsidRPr="004B7A08">
              <w:rPr>
                <w:rFonts w:ascii="Times New Roman" w:hAnsi="Times New Roman" w:cs="Times New Roman"/>
              </w:rPr>
              <w:t>Количество исследованных проб</w:t>
            </w:r>
          </w:p>
        </w:tc>
      </w:tr>
      <w:tr w:rsidR="002914EB" w:rsidRPr="004B7A08" w:rsidTr="002914EB">
        <w:trPr>
          <w:cantSplit/>
          <w:trHeight w:val="285"/>
        </w:trPr>
        <w:tc>
          <w:tcPr>
            <w:tcW w:w="2659" w:type="dxa"/>
            <w:vMerge/>
          </w:tcPr>
          <w:p w:rsidR="002914EB" w:rsidRPr="004B7A08" w:rsidRDefault="002914EB" w:rsidP="002914EB">
            <w:pPr>
              <w:spacing w:before="20" w:after="20"/>
              <w:rPr>
                <w:rFonts w:ascii="Times New Roman" w:hAnsi="Times New Roman" w:cs="Times New Roman"/>
              </w:rPr>
            </w:pPr>
          </w:p>
        </w:tc>
        <w:tc>
          <w:tcPr>
            <w:tcW w:w="2250" w:type="dxa"/>
            <w:gridSpan w:val="2"/>
          </w:tcPr>
          <w:p w:rsidR="002914EB" w:rsidRPr="004B7A08" w:rsidRDefault="002914EB" w:rsidP="002914EB">
            <w:pPr>
              <w:spacing w:before="20" w:after="20"/>
              <w:rPr>
                <w:rFonts w:ascii="Times New Roman" w:hAnsi="Times New Roman" w:cs="Times New Roman"/>
              </w:rPr>
            </w:pPr>
            <w:r w:rsidRPr="004B7A08">
              <w:rPr>
                <w:rFonts w:ascii="Times New Roman" w:hAnsi="Times New Roman" w:cs="Times New Roman"/>
              </w:rPr>
              <w:t>2018г</w:t>
            </w:r>
          </w:p>
        </w:tc>
        <w:tc>
          <w:tcPr>
            <w:tcW w:w="2346" w:type="dxa"/>
            <w:gridSpan w:val="2"/>
          </w:tcPr>
          <w:p w:rsidR="002914EB" w:rsidRPr="004B7A08" w:rsidRDefault="002914EB" w:rsidP="002914EB">
            <w:pPr>
              <w:spacing w:before="20" w:after="20"/>
              <w:rPr>
                <w:rFonts w:ascii="Times New Roman" w:hAnsi="Times New Roman" w:cs="Times New Roman"/>
              </w:rPr>
            </w:pPr>
            <w:r w:rsidRPr="004B7A08">
              <w:rPr>
                <w:rFonts w:ascii="Times New Roman" w:hAnsi="Times New Roman" w:cs="Times New Roman"/>
              </w:rPr>
              <w:t>2019г</w:t>
            </w:r>
          </w:p>
        </w:tc>
        <w:tc>
          <w:tcPr>
            <w:tcW w:w="2192" w:type="dxa"/>
            <w:gridSpan w:val="2"/>
          </w:tcPr>
          <w:p w:rsidR="002914EB" w:rsidRPr="004B7A08" w:rsidRDefault="002914EB" w:rsidP="002914EB">
            <w:pPr>
              <w:spacing w:before="20" w:after="20"/>
              <w:rPr>
                <w:rFonts w:ascii="Times New Roman" w:hAnsi="Times New Roman" w:cs="Times New Roman"/>
              </w:rPr>
            </w:pPr>
            <w:r w:rsidRPr="004B7A08">
              <w:rPr>
                <w:rFonts w:ascii="Times New Roman" w:hAnsi="Times New Roman" w:cs="Times New Roman"/>
              </w:rPr>
              <w:t>20</w:t>
            </w:r>
            <w:r>
              <w:rPr>
                <w:rFonts w:ascii="Times New Roman" w:hAnsi="Times New Roman" w:cs="Times New Roman"/>
              </w:rPr>
              <w:t>20</w:t>
            </w:r>
            <w:r w:rsidRPr="004B7A08">
              <w:rPr>
                <w:rFonts w:ascii="Times New Roman" w:hAnsi="Times New Roman" w:cs="Times New Roman"/>
              </w:rPr>
              <w:t>г</w:t>
            </w:r>
          </w:p>
        </w:tc>
      </w:tr>
      <w:tr w:rsidR="002914EB" w:rsidRPr="004B7A08" w:rsidTr="002914EB">
        <w:trPr>
          <w:trHeight w:val="146"/>
        </w:trPr>
        <w:tc>
          <w:tcPr>
            <w:tcW w:w="2659" w:type="dxa"/>
            <w:vMerge/>
          </w:tcPr>
          <w:p w:rsidR="002914EB" w:rsidRPr="004B7A08" w:rsidRDefault="002914EB" w:rsidP="002914EB">
            <w:pPr>
              <w:pStyle w:val="5"/>
              <w:spacing w:before="20" w:after="20"/>
              <w:jc w:val="left"/>
              <w:rPr>
                <w:rFonts w:ascii="Times New Roman" w:hAnsi="Times New Roman"/>
                <w:b w:val="0"/>
                <w:bCs w:val="0"/>
                <w:i w:val="0"/>
                <w:iCs w:val="0"/>
                <w:sz w:val="22"/>
                <w:szCs w:val="22"/>
              </w:rPr>
            </w:pPr>
          </w:p>
        </w:tc>
        <w:tc>
          <w:tcPr>
            <w:tcW w:w="1229" w:type="dxa"/>
          </w:tcPr>
          <w:p w:rsidR="002914EB" w:rsidRPr="004B7A08" w:rsidRDefault="002914EB" w:rsidP="002914EB">
            <w:pPr>
              <w:spacing w:before="20" w:after="20"/>
              <w:rPr>
                <w:rFonts w:ascii="Times New Roman" w:hAnsi="Times New Roman" w:cs="Times New Roman"/>
              </w:rPr>
            </w:pPr>
            <w:r w:rsidRPr="004B7A08">
              <w:rPr>
                <w:rFonts w:ascii="Times New Roman" w:hAnsi="Times New Roman" w:cs="Times New Roman"/>
              </w:rPr>
              <w:t>Кол-во/несоответствующих</w:t>
            </w:r>
          </w:p>
        </w:tc>
        <w:tc>
          <w:tcPr>
            <w:tcW w:w="1021" w:type="dxa"/>
          </w:tcPr>
          <w:p w:rsidR="002914EB" w:rsidRPr="004B7A08" w:rsidRDefault="002914EB" w:rsidP="002914EB">
            <w:pPr>
              <w:spacing w:before="20" w:after="20"/>
              <w:rPr>
                <w:rFonts w:ascii="Times New Roman" w:hAnsi="Times New Roman" w:cs="Times New Roman"/>
              </w:rPr>
            </w:pPr>
            <w:r w:rsidRPr="004B7A08">
              <w:rPr>
                <w:rFonts w:ascii="Times New Roman" w:hAnsi="Times New Roman" w:cs="Times New Roman"/>
              </w:rPr>
              <w:t>Кол-во/несоответствующих</w:t>
            </w:r>
          </w:p>
        </w:tc>
        <w:tc>
          <w:tcPr>
            <w:tcW w:w="1097" w:type="dxa"/>
          </w:tcPr>
          <w:p w:rsidR="002914EB" w:rsidRPr="004B7A08" w:rsidRDefault="002914EB" w:rsidP="002914EB">
            <w:pPr>
              <w:spacing w:before="20" w:after="20"/>
              <w:rPr>
                <w:rFonts w:ascii="Times New Roman" w:hAnsi="Times New Roman" w:cs="Times New Roman"/>
              </w:rPr>
            </w:pPr>
            <w:r w:rsidRPr="004B7A08">
              <w:rPr>
                <w:rFonts w:ascii="Times New Roman" w:hAnsi="Times New Roman" w:cs="Times New Roman"/>
              </w:rPr>
              <w:t>Кол-во/несоответствующих</w:t>
            </w:r>
          </w:p>
        </w:tc>
        <w:tc>
          <w:tcPr>
            <w:tcW w:w="1249" w:type="dxa"/>
          </w:tcPr>
          <w:p w:rsidR="002914EB" w:rsidRPr="004B7A08" w:rsidRDefault="002914EB" w:rsidP="002914EB">
            <w:pPr>
              <w:spacing w:before="20" w:after="20"/>
              <w:rPr>
                <w:rFonts w:ascii="Times New Roman" w:hAnsi="Times New Roman" w:cs="Times New Roman"/>
              </w:rPr>
            </w:pPr>
            <w:r w:rsidRPr="004B7A08">
              <w:rPr>
                <w:rFonts w:ascii="Times New Roman" w:hAnsi="Times New Roman" w:cs="Times New Roman"/>
              </w:rPr>
              <w:t>Кол-во/несоответствующих</w:t>
            </w:r>
          </w:p>
        </w:tc>
        <w:tc>
          <w:tcPr>
            <w:tcW w:w="927" w:type="dxa"/>
          </w:tcPr>
          <w:p w:rsidR="002914EB" w:rsidRPr="004B7A08" w:rsidRDefault="002914EB" w:rsidP="002914EB">
            <w:pPr>
              <w:spacing w:before="20" w:after="20"/>
              <w:rPr>
                <w:rFonts w:ascii="Times New Roman" w:hAnsi="Times New Roman" w:cs="Times New Roman"/>
              </w:rPr>
            </w:pPr>
            <w:r w:rsidRPr="004B7A08">
              <w:rPr>
                <w:rFonts w:ascii="Times New Roman" w:hAnsi="Times New Roman" w:cs="Times New Roman"/>
              </w:rPr>
              <w:t>Кол-во/несоответствующих</w:t>
            </w:r>
          </w:p>
        </w:tc>
        <w:tc>
          <w:tcPr>
            <w:tcW w:w="1265" w:type="dxa"/>
          </w:tcPr>
          <w:p w:rsidR="002914EB" w:rsidRPr="004B7A08" w:rsidRDefault="002914EB" w:rsidP="002914EB">
            <w:pPr>
              <w:spacing w:before="20" w:after="20"/>
              <w:rPr>
                <w:rFonts w:ascii="Times New Roman" w:hAnsi="Times New Roman" w:cs="Times New Roman"/>
              </w:rPr>
            </w:pPr>
            <w:r w:rsidRPr="004B7A08">
              <w:rPr>
                <w:rFonts w:ascii="Times New Roman" w:hAnsi="Times New Roman" w:cs="Times New Roman"/>
              </w:rPr>
              <w:t>% несоответвующих</w:t>
            </w:r>
          </w:p>
        </w:tc>
      </w:tr>
      <w:tr w:rsidR="002914EB" w:rsidRPr="004B7A08" w:rsidTr="002914EB">
        <w:trPr>
          <w:trHeight w:val="625"/>
        </w:trPr>
        <w:tc>
          <w:tcPr>
            <w:tcW w:w="2659" w:type="dxa"/>
          </w:tcPr>
          <w:p w:rsidR="002914EB" w:rsidRPr="004B7A08" w:rsidRDefault="002914EB" w:rsidP="002914EB">
            <w:pPr>
              <w:spacing w:before="20" w:after="20"/>
              <w:rPr>
                <w:rFonts w:ascii="Times New Roman" w:hAnsi="Times New Roman" w:cs="Times New Roman"/>
              </w:rPr>
            </w:pPr>
            <w:r w:rsidRPr="004B7A08">
              <w:rPr>
                <w:rFonts w:ascii="Times New Roman" w:hAnsi="Times New Roman" w:cs="Times New Roman"/>
              </w:rPr>
              <w:t xml:space="preserve">Калорийность и полнота вложения </w:t>
            </w:r>
          </w:p>
        </w:tc>
        <w:tc>
          <w:tcPr>
            <w:tcW w:w="1229" w:type="dxa"/>
          </w:tcPr>
          <w:p w:rsidR="002914EB" w:rsidRPr="0092312D" w:rsidRDefault="002914EB" w:rsidP="002914EB">
            <w:r w:rsidRPr="0092312D">
              <w:t>189/2</w:t>
            </w:r>
          </w:p>
        </w:tc>
        <w:tc>
          <w:tcPr>
            <w:tcW w:w="1021" w:type="dxa"/>
          </w:tcPr>
          <w:p w:rsidR="002914EB" w:rsidRPr="0092312D" w:rsidRDefault="002914EB" w:rsidP="002914EB">
            <w:r w:rsidRPr="0092312D">
              <w:t>1,1</w:t>
            </w:r>
          </w:p>
        </w:tc>
        <w:tc>
          <w:tcPr>
            <w:tcW w:w="1097" w:type="dxa"/>
          </w:tcPr>
          <w:p w:rsidR="002914EB" w:rsidRPr="004B7A08" w:rsidRDefault="002914EB" w:rsidP="002914EB">
            <w:pPr>
              <w:spacing w:before="20" w:after="20"/>
              <w:rPr>
                <w:rFonts w:ascii="Times New Roman" w:hAnsi="Times New Roman" w:cs="Times New Roman"/>
              </w:rPr>
            </w:pPr>
            <w:r w:rsidRPr="004B7A08">
              <w:rPr>
                <w:rFonts w:ascii="Times New Roman" w:hAnsi="Times New Roman" w:cs="Times New Roman"/>
              </w:rPr>
              <w:t>246/4</w:t>
            </w:r>
          </w:p>
        </w:tc>
        <w:tc>
          <w:tcPr>
            <w:tcW w:w="1249" w:type="dxa"/>
          </w:tcPr>
          <w:p w:rsidR="002914EB" w:rsidRPr="004B7A08" w:rsidRDefault="002914EB" w:rsidP="002914EB">
            <w:pPr>
              <w:spacing w:before="20" w:after="20"/>
              <w:rPr>
                <w:rFonts w:ascii="Times New Roman" w:hAnsi="Times New Roman" w:cs="Times New Roman"/>
              </w:rPr>
            </w:pPr>
            <w:r w:rsidRPr="004B7A08">
              <w:rPr>
                <w:rFonts w:ascii="Times New Roman" w:hAnsi="Times New Roman" w:cs="Times New Roman"/>
              </w:rPr>
              <w:t>1,7</w:t>
            </w:r>
          </w:p>
        </w:tc>
        <w:tc>
          <w:tcPr>
            <w:tcW w:w="927" w:type="dxa"/>
          </w:tcPr>
          <w:p w:rsidR="002914EB" w:rsidRPr="004B7A08" w:rsidRDefault="002914EB" w:rsidP="002914EB">
            <w:pPr>
              <w:spacing w:before="20" w:after="20"/>
              <w:rPr>
                <w:rFonts w:ascii="Times New Roman" w:hAnsi="Times New Roman" w:cs="Times New Roman"/>
              </w:rPr>
            </w:pPr>
            <w:r>
              <w:rPr>
                <w:rFonts w:ascii="Times New Roman" w:hAnsi="Times New Roman" w:cs="Times New Roman"/>
              </w:rPr>
              <w:t>147/0</w:t>
            </w:r>
          </w:p>
        </w:tc>
        <w:tc>
          <w:tcPr>
            <w:tcW w:w="1265" w:type="dxa"/>
          </w:tcPr>
          <w:p w:rsidR="002914EB" w:rsidRPr="004B7A08" w:rsidRDefault="002914EB" w:rsidP="002914EB">
            <w:pPr>
              <w:spacing w:before="20" w:after="20"/>
              <w:rPr>
                <w:rFonts w:ascii="Times New Roman" w:hAnsi="Times New Roman" w:cs="Times New Roman"/>
              </w:rPr>
            </w:pPr>
            <w:r>
              <w:rPr>
                <w:rFonts w:ascii="Times New Roman" w:hAnsi="Times New Roman" w:cs="Times New Roman"/>
              </w:rPr>
              <w:t>0</w:t>
            </w:r>
          </w:p>
        </w:tc>
      </w:tr>
      <w:tr w:rsidR="002914EB" w:rsidRPr="004B7A08" w:rsidTr="002914EB">
        <w:trPr>
          <w:trHeight w:val="625"/>
        </w:trPr>
        <w:tc>
          <w:tcPr>
            <w:tcW w:w="2659" w:type="dxa"/>
          </w:tcPr>
          <w:p w:rsidR="002914EB" w:rsidRPr="004B7A08" w:rsidRDefault="002914EB" w:rsidP="002914EB">
            <w:pPr>
              <w:spacing w:before="20" w:after="20"/>
              <w:rPr>
                <w:rFonts w:ascii="Times New Roman" w:hAnsi="Times New Roman" w:cs="Times New Roman"/>
              </w:rPr>
            </w:pPr>
            <w:r w:rsidRPr="004B7A08">
              <w:rPr>
                <w:rFonts w:ascii="Times New Roman" w:hAnsi="Times New Roman" w:cs="Times New Roman"/>
              </w:rPr>
              <w:t>Витаминизированные блюда</w:t>
            </w:r>
          </w:p>
        </w:tc>
        <w:tc>
          <w:tcPr>
            <w:tcW w:w="1229" w:type="dxa"/>
          </w:tcPr>
          <w:p w:rsidR="002914EB" w:rsidRPr="0092312D" w:rsidRDefault="002914EB" w:rsidP="002914EB">
            <w:r w:rsidRPr="0092312D">
              <w:t>37/2</w:t>
            </w:r>
          </w:p>
        </w:tc>
        <w:tc>
          <w:tcPr>
            <w:tcW w:w="1021" w:type="dxa"/>
          </w:tcPr>
          <w:p w:rsidR="002914EB" w:rsidRPr="0092312D" w:rsidRDefault="002914EB" w:rsidP="002914EB">
            <w:r w:rsidRPr="0092312D">
              <w:t>5,4</w:t>
            </w:r>
          </w:p>
        </w:tc>
        <w:tc>
          <w:tcPr>
            <w:tcW w:w="1097" w:type="dxa"/>
          </w:tcPr>
          <w:p w:rsidR="002914EB" w:rsidRPr="004B7A08" w:rsidRDefault="002914EB" w:rsidP="002914EB">
            <w:pPr>
              <w:spacing w:before="20" w:after="20"/>
              <w:rPr>
                <w:rFonts w:ascii="Times New Roman" w:hAnsi="Times New Roman" w:cs="Times New Roman"/>
              </w:rPr>
            </w:pPr>
            <w:r w:rsidRPr="004B7A08">
              <w:rPr>
                <w:rFonts w:ascii="Times New Roman" w:hAnsi="Times New Roman" w:cs="Times New Roman"/>
              </w:rPr>
              <w:t>42/1</w:t>
            </w:r>
          </w:p>
        </w:tc>
        <w:tc>
          <w:tcPr>
            <w:tcW w:w="1249" w:type="dxa"/>
          </w:tcPr>
          <w:p w:rsidR="002914EB" w:rsidRPr="004B7A08" w:rsidRDefault="002914EB" w:rsidP="002914EB">
            <w:pPr>
              <w:spacing w:before="20" w:after="20"/>
              <w:rPr>
                <w:rFonts w:ascii="Times New Roman" w:hAnsi="Times New Roman" w:cs="Times New Roman"/>
              </w:rPr>
            </w:pPr>
            <w:r w:rsidRPr="004B7A08">
              <w:rPr>
                <w:rFonts w:ascii="Times New Roman" w:hAnsi="Times New Roman" w:cs="Times New Roman"/>
              </w:rPr>
              <w:t>2,4</w:t>
            </w:r>
          </w:p>
        </w:tc>
        <w:tc>
          <w:tcPr>
            <w:tcW w:w="927" w:type="dxa"/>
          </w:tcPr>
          <w:p w:rsidR="002914EB" w:rsidRPr="004B7A08" w:rsidRDefault="002914EB" w:rsidP="002914EB">
            <w:pPr>
              <w:spacing w:before="20" w:after="20"/>
              <w:rPr>
                <w:rFonts w:ascii="Times New Roman" w:hAnsi="Times New Roman" w:cs="Times New Roman"/>
              </w:rPr>
            </w:pPr>
            <w:r>
              <w:rPr>
                <w:rFonts w:ascii="Times New Roman" w:hAnsi="Times New Roman" w:cs="Times New Roman"/>
              </w:rPr>
              <w:t>25/4</w:t>
            </w:r>
          </w:p>
        </w:tc>
        <w:tc>
          <w:tcPr>
            <w:tcW w:w="1265" w:type="dxa"/>
          </w:tcPr>
          <w:p w:rsidR="002914EB" w:rsidRPr="004B7A08" w:rsidRDefault="002914EB" w:rsidP="002914EB">
            <w:pPr>
              <w:spacing w:before="20" w:after="20"/>
              <w:rPr>
                <w:rFonts w:ascii="Times New Roman" w:hAnsi="Times New Roman" w:cs="Times New Roman"/>
              </w:rPr>
            </w:pPr>
            <w:r>
              <w:rPr>
                <w:rFonts w:ascii="Times New Roman" w:hAnsi="Times New Roman" w:cs="Times New Roman"/>
              </w:rPr>
              <w:t>16</w:t>
            </w:r>
          </w:p>
        </w:tc>
      </w:tr>
      <w:tr w:rsidR="002914EB" w:rsidRPr="004B7A08" w:rsidTr="002914EB">
        <w:trPr>
          <w:trHeight w:val="645"/>
        </w:trPr>
        <w:tc>
          <w:tcPr>
            <w:tcW w:w="2659" w:type="dxa"/>
          </w:tcPr>
          <w:p w:rsidR="002914EB" w:rsidRPr="004B7A08" w:rsidRDefault="002914EB" w:rsidP="002914EB">
            <w:pPr>
              <w:spacing w:before="20" w:after="20"/>
              <w:rPr>
                <w:rFonts w:ascii="Times New Roman" w:hAnsi="Times New Roman" w:cs="Times New Roman"/>
              </w:rPr>
            </w:pPr>
            <w:r w:rsidRPr="004B7A08">
              <w:rPr>
                <w:rFonts w:ascii="Times New Roman" w:hAnsi="Times New Roman" w:cs="Times New Roman"/>
              </w:rPr>
              <w:t>Продукция на качество термической обработки</w:t>
            </w:r>
          </w:p>
        </w:tc>
        <w:tc>
          <w:tcPr>
            <w:tcW w:w="1229" w:type="dxa"/>
          </w:tcPr>
          <w:p w:rsidR="002914EB" w:rsidRPr="0092312D" w:rsidRDefault="002914EB" w:rsidP="002914EB">
            <w:r w:rsidRPr="0092312D">
              <w:t>15/0</w:t>
            </w:r>
          </w:p>
        </w:tc>
        <w:tc>
          <w:tcPr>
            <w:tcW w:w="1021" w:type="dxa"/>
          </w:tcPr>
          <w:p w:rsidR="002914EB" w:rsidRDefault="002914EB" w:rsidP="002914EB">
            <w:r w:rsidRPr="0092312D">
              <w:t>0</w:t>
            </w:r>
          </w:p>
        </w:tc>
        <w:tc>
          <w:tcPr>
            <w:tcW w:w="1097" w:type="dxa"/>
          </w:tcPr>
          <w:p w:rsidR="002914EB" w:rsidRPr="004B7A08" w:rsidRDefault="002914EB" w:rsidP="002914EB">
            <w:pPr>
              <w:spacing w:before="20" w:after="20"/>
              <w:rPr>
                <w:rFonts w:ascii="Times New Roman" w:hAnsi="Times New Roman" w:cs="Times New Roman"/>
              </w:rPr>
            </w:pPr>
            <w:r w:rsidRPr="004B7A08">
              <w:rPr>
                <w:rFonts w:ascii="Times New Roman" w:hAnsi="Times New Roman" w:cs="Times New Roman"/>
              </w:rPr>
              <w:t>15/0</w:t>
            </w:r>
          </w:p>
        </w:tc>
        <w:tc>
          <w:tcPr>
            <w:tcW w:w="1249" w:type="dxa"/>
          </w:tcPr>
          <w:p w:rsidR="002914EB" w:rsidRPr="004B7A08" w:rsidRDefault="002914EB" w:rsidP="002914EB">
            <w:pPr>
              <w:spacing w:before="20" w:after="20"/>
              <w:rPr>
                <w:rFonts w:ascii="Times New Roman" w:hAnsi="Times New Roman" w:cs="Times New Roman"/>
              </w:rPr>
            </w:pPr>
            <w:r w:rsidRPr="004B7A08">
              <w:rPr>
                <w:rFonts w:ascii="Times New Roman" w:hAnsi="Times New Roman" w:cs="Times New Roman"/>
              </w:rPr>
              <w:t>0</w:t>
            </w:r>
          </w:p>
        </w:tc>
        <w:tc>
          <w:tcPr>
            <w:tcW w:w="927" w:type="dxa"/>
          </w:tcPr>
          <w:p w:rsidR="002914EB" w:rsidRPr="004B7A08" w:rsidRDefault="002914EB" w:rsidP="002914EB">
            <w:pPr>
              <w:spacing w:before="20" w:after="20"/>
              <w:rPr>
                <w:rFonts w:ascii="Times New Roman" w:hAnsi="Times New Roman" w:cs="Times New Roman"/>
              </w:rPr>
            </w:pPr>
            <w:r>
              <w:rPr>
                <w:rFonts w:ascii="Times New Roman" w:hAnsi="Times New Roman" w:cs="Times New Roman"/>
              </w:rPr>
              <w:t>6/0</w:t>
            </w:r>
          </w:p>
        </w:tc>
        <w:tc>
          <w:tcPr>
            <w:tcW w:w="1265" w:type="dxa"/>
          </w:tcPr>
          <w:p w:rsidR="002914EB" w:rsidRPr="004B7A08" w:rsidRDefault="002914EB" w:rsidP="002914EB">
            <w:pPr>
              <w:spacing w:before="20" w:after="20"/>
              <w:rPr>
                <w:rFonts w:ascii="Times New Roman" w:hAnsi="Times New Roman" w:cs="Times New Roman"/>
              </w:rPr>
            </w:pPr>
            <w:r>
              <w:rPr>
                <w:rFonts w:ascii="Times New Roman" w:hAnsi="Times New Roman" w:cs="Times New Roman"/>
              </w:rPr>
              <w:t>0</w:t>
            </w:r>
          </w:p>
        </w:tc>
      </w:tr>
    </w:tbl>
    <w:p w:rsidR="002914EB" w:rsidRDefault="002914EB" w:rsidP="002914EB">
      <w:pPr>
        <w:ind w:right="282"/>
        <w:jc w:val="both"/>
        <w:rPr>
          <w:rFonts w:ascii="Times New Roman" w:hAnsi="Times New Roman"/>
          <w:sz w:val="24"/>
          <w:szCs w:val="24"/>
          <w:highlight w:val="yellow"/>
        </w:rPr>
      </w:pPr>
    </w:p>
    <w:p w:rsidR="002914EB" w:rsidRPr="000A11EE" w:rsidRDefault="002914EB" w:rsidP="002E57C5">
      <w:pPr>
        <w:spacing w:after="0"/>
        <w:ind w:right="282" w:firstLine="708"/>
        <w:jc w:val="both"/>
        <w:rPr>
          <w:rFonts w:ascii="Times New Roman" w:hAnsi="Times New Roman"/>
          <w:sz w:val="24"/>
          <w:szCs w:val="24"/>
        </w:rPr>
      </w:pPr>
      <w:r w:rsidRPr="000A11EE">
        <w:rPr>
          <w:rFonts w:ascii="Times New Roman" w:hAnsi="Times New Roman"/>
          <w:sz w:val="24"/>
          <w:szCs w:val="24"/>
        </w:rPr>
        <w:t xml:space="preserve">В 2020году на пищеблоках школ обнаружено 2 пробы не соответствующие  по физико-химическим показателям, по показателям фальсификации., что  на 50% больше, чем в 2019году. В 2019 году  на пищеблоке МБОУ СОШ № 5 обнаружена не соответствующая проба </w:t>
      </w:r>
      <w:bookmarkStart w:id="61" w:name="_Hlk62756548"/>
      <w:r w:rsidRPr="000A11EE">
        <w:rPr>
          <w:rFonts w:ascii="Times New Roman" w:hAnsi="Times New Roman"/>
          <w:sz w:val="24"/>
          <w:szCs w:val="24"/>
        </w:rPr>
        <w:t>по физико-химическим показателям, по показателям фальсификации.</w:t>
      </w:r>
    </w:p>
    <w:bookmarkEnd w:id="61"/>
    <w:p w:rsidR="002914EB" w:rsidRPr="004F7D6C" w:rsidRDefault="002914EB" w:rsidP="002914EB">
      <w:pPr>
        <w:pStyle w:val="a5"/>
        <w:jc w:val="both"/>
        <w:rPr>
          <w:bCs/>
          <w:sz w:val="24"/>
          <w:szCs w:val="24"/>
        </w:rPr>
      </w:pPr>
      <w:r w:rsidRPr="004F7D6C">
        <w:rPr>
          <w:bCs/>
          <w:sz w:val="24"/>
          <w:szCs w:val="24"/>
        </w:rPr>
        <w:t>В динамике в 2020 г. прослеживается снижение исследований :</w:t>
      </w:r>
    </w:p>
    <w:p w:rsidR="002914EB" w:rsidRPr="004F7D6C" w:rsidRDefault="002914EB" w:rsidP="002914EB">
      <w:pPr>
        <w:pStyle w:val="a5"/>
        <w:jc w:val="both"/>
        <w:rPr>
          <w:bCs/>
          <w:sz w:val="24"/>
          <w:szCs w:val="24"/>
        </w:rPr>
      </w:pPr>
      <w:r w:rsidRPr="004F7D6C">
        <w:rPr>
          <w:bCs/>
          <w:sz w:val="24"/>
          <w:szCs w:val="24"/>
        </w:rPr>
        <w:t>-Калорийность - на 40,2%</w:t>
      </w:r>
      <w:bookmarkStart w:id="62" w:name="_Hlk62739372"/>
      <w:r w:rsidRPr="004F7D6C">
        <w:rPr>
          <w:bCs/>
          <w:sz w:val="24"/>
          <w:szCs w:val="24"/>
        </w:rPr>
        <w:t>по сравнению с 2019г   и на 22,2% по сравнению с 2018г. ;</w:t>
      </w:r>
    </w:p>
    <w:bookmarkEnd w:id="62"/>
    <w:p w:rsidR="002914EB" w:rsidRPr="004F7D6C" w:rsidRDefault="002914EB" w:rsidP="002914EB">
      <w:pPr>
        <w:pStyle w:val="a5"/>
        <w:jc w:val="both"/>
        <w:rPr>
          <w:bCs/>
          <w:sz w:val="24"/>
          <w:szCs w:val="24"/>
        </w:rPr>
      </w:pPr>
      <w:r w:rsidRPr="004F7D6C">
        <w:rPr>
          <w:bCs/>
          <w:sz w:val="24"/>
          <w:szCs w:val="24"/>
        </w:rPr>
        <w:t>-содержание витамина «С» -на 40,5%по сравнению с 2019г   и на 32,4% по сравнению с 2018г. ;</w:t>
      </w:r>
    </w:p>
    <w:p w:rsidR="002914EB" w:rsidRPr="004F7D6C" w:rsidRDefault="002914EB" w:rsidP="002914EB">
      <w:pPr>
        <w:pStyle w:val="a5"/>
        <w:jc w:val="both"/>
        <w:rPr>
          <w:bCs/>
          <w:sz w:val="24"/>
          <w:szCs w:val="24"/>
        </w:rPr>
      </w:pPr>
      <w:r w:rsidRPr="004F7D6C">
        <w:rPr>
          <w:bCs/>
          <w:sz w:val="24"/>
          <w:szCs w:val="24"/>
        </w:rPr>
        <w:t>-готовой продукции на качество термической обработки - на 150% по сравнению с 2018,2019гг..(табл № 2)</w:t>
      </w:r>
    </w:p>
    <w:p w:rsidR="002914EB" w:rsidRDefault="002914EB" w:rsidP="002914EB">
      <w:pPr>
        <w:pStyle w:val="a5"/>
        <w:ind w:firstLine="709"/>
        <w:jc w:val="both"/>
        <w:rPr>
          <w:bCs/>
          <w:sz w:val="24"/>
          <w:szCs w:val="24"/>
        </w:rPr>
      </w:pPr>
      <w:r w:rsidRPr="003D6592">
        <w:rPr>
          <w:bCs/>
          <w:sz w:val="24"/>
          <w:szCs w:val="24"/>
        </w:rPr>
        <w:t xml:space="preserve">В 2020г  не зарегистрировано не соответствующих проб </w:t>
      </w:r>
      <w:r>
        <w:rPr>
          <w:bCs/>
          <w:sz w:val="24"/>
          <w:szCs w:val="24"/>
        </w:rPr>
        <w:t>п</w:t>
      </w:r>
      <w:r w:rsidRPr="003D6592">
        <w:rPr>
          <w:bCs/>
          <w:sz w:val="24"/>
          <w:szCs w:val="24"/>
        </w:rPr>
        <w:t>о калорийности и полноту вложения. В 2019году зарегистрировано 4 несоответствующих пробына калорийность  и полноту вложения ,что составило 1,7 % и по сравнению с 2018годом  отмечается увеличение на 0,6% ( в 2018г.-1,1%),</w:t>
      </w:r>
    </w:p>
    <w:p w:rsidR="002914EB" w:rsidRPr="003D6592" w:rsidRDefault="002914EB" w:rsidP="002914EB">
      <w:pPr>
        <w:pStyle w:val="a5"/>
        <w:ind w:firstLine="709"/>
        <w:jc w:val="both"/>
        <w:rPr>
          <w:bCs/>
          <w:sz w:val="24"/>
          <w:szCs w:val="24"/>
        </w:rPr>
      </w:pPr>
      <w:r>
        <w:rPr>
          <w:bCs/>
          <w:sz w:val="24"/>
          <w:szCs w:val="24"/>
        </w:rPr>
        <w:t>В 2020г доля проб, не соответствующих требованиям на полноту содержания массовой доли витамина С составила 16%, что на 13,6 % больше чем  в 2019году и на 10,6% больше чем в 2018г.</w:t>
      </w:r>
    </w:p>
    <w:p w:rsidR="002914EB" w:rsidRPr="004F7D6C" w:rsidRDefault="002914EB" w:rsidP="002914EB">
      <w:pPr>
        <w:pStyle w:val="a5"/>
        <w:ind w:firstLine="709"/>
        <w:jc w:val="both"/>
        <w:rPr>
          <w:bCs/>
          <w:sz w:val="24"/>
          <w:szCs w:val="24"/>
        </w:rPr>
      </w:pPr>
      <w:r w:rsidRPr="004F7D6C">
        <w:rPr>
          <w:bCs/>
          <w:sz w:val="24"/>
          <w:szCs w:val="24"/>
        </w:rPr>
        <w:t>В 2018-2020гг по пищеблокам школ, детских садов и организация  обслуживающих детей и подростков  несоответствующих требованиям  проб по санитарно-химическим показателям на качество термообработки не выявлено.</w:t>
      </w:r>
    </w:p>
    <w:p w:rsidR="002914EB" w:rsidRPr="004F7D6C" w:rsidRDefault="002914EB" w:rsidP="002914EB">
      <w:pPr>
        <w:pStyle w:val="a5"/>
        <w:jc w:val="both"/>
        <w:rPr>
          <w:bCs/>
          <w:sz w:val="24"/>
          <w:szCs w:val="24"/>
        </w:rPr>
      </w:pPr>
      <w:r w:rsidRPr="004F7D6C">
        <w:rPr>
          <w:bCs/>
          <w:sz w:val="24"/>
          <w:szCs w:val="24"/>
        </w:rPr>
        <w:t>ИЛЦ филиала ФБУЗ «Центр гигиены и эпидемиологии в ХМАО-Югре в г. Нефтеюганске, Нефтеюганском районе и г. Пыть-Яхе» проводятся исследования   воды бассейнов в ДОУ города.</w:t>
      </w:r>
    </w:p>
    <w:p w:rsidR="002914EB" w:rsidRPr="00956829" w:rsidRDefault="002914EB" w:rsidP="002914EB">
      <w:pPr>
        <w:pStyle w:val="a5"/>
        <w:jc w:val="both"/>
        <w:rPr>
          <w:bCs/>
          <w:sz w:val="24"/>
          <w:szCs w:val="24"/>
        </w:rPr>
      </w:pPr>
      <w:r w:rsidRPr="00956829">
        <w:rPr>
          <w:bCs/>
          <w:sz w:val="24"/>
          <w:szCs w:val="24"/>
        </w:rPr>
        <w:t xml:space="preserve">         В 2020 году проведено исследований:</w:t>
      </w:r>
    </w:p>
    <w:p w:rsidR="002914EB" w:rsidRPr="00956829" w:rsidRDefault="002914EB" w:rsidP="002E57C5">
      <w:pPr>
        <w:pStyle w:val="a5"/>
        <w:ind w:firstLine="567"/>
        <w:jc w:val="both"/>
        <w:rPr>
          <w:bCs/>
          <w:sz w:val="24"/>
          <w:szCs w:val="24"/>
        </w:rPr>
      </w:pPr>
      <w:r w:rsidRPr="00956829">
        <w:rPr>
          <w:bCs/>
          <w:sz w:val="24"/>
          <w:szCs w:val="24"/>
        </w:rPr>
        <w:t>-по микробиологическим  показателям-9, несоответствующих-2, что составляет 22.2%;</w:t>
      </w:r>
    </w:p>
    <w:p w:rsidR="002914EB" w:rsidRPr="00956829" w:rsidRDefault="002914EB" w:rsidP="002E57C5">
      <w:pPr>
        <w:pStyle w:val="a5"/>
        <w:ind w:firstLine="567"/>
        <w:jc w:val="both"/>
        <w:rPr>
          <w:bCs/>
          <w:sz w:val="24"/>
          <w:szCs w:val="24"/>
        </w:rPr>
      </w:pPr>
      <w:r w:rsidRPr="00956829">
        <w:rPr>
          <w:bCs/>
          <w:sz w:val="24"/>
          <w:szCs w:val="24"/>
        </w:rPr>
        <w:t>-паразитологическим показателям -11, несоответствующих-0</w:t>
      </w:r>
    </w:p>
    <w:p w:rsidR="002914EB" w:rsidRPr="00956829" w:rsidRDefault="002914EB" w:rsidP="002E57C5">
      <w:pPr>
        <w:pStyle w:val="a5"/>
        <w:ind w:firstLine="567"/>
        <w:jc w:val="both"/>
        <w:rPr>
          <w:bCs/>
          <w:sz w:val="24"/>
          <w:szCs w:val="24"/>
        </w:rPr>
      </w:pPr>
      <w:r w:rsidRPr="00956829">
        <w:rPr>
          <w:bCs/>
          <w:sz w:val="24"/>
          <w:szCs w:val="24"/>
        </w:rPr>
        <w:t xml:space="preserve"> В 2019 году проведено исследований:</w:t>
      </w:r>
    </w:p>
    <w:p w:rsidR="002914EB" w:rsidRPr="00956829" w:rsidRDefault="002914EB" w:rsidP="002E57C5">
      <w:pPr>
        <w:pStyle w:val="a5"/>
        <w:ind w:firstLine="567"/>
        <w:jc w:val="both"/>
        <w:rPr>
          <w:bCs/>
          <w:sz w:val="24"/>
          <w:szCs w:val="24"/>
        </w:rPr>
      </w:pPr>
      <w:r w:rsidRPr="00956829">
        <w:rPr>
          <w:bCs/>
          <w:sz w:val="24"/>
          <w:szCs w:val="24"/>
        </w:rPr>
        <w:t>-по микробиологическим  показателям-9, несоответствующих-0;</w:t>
      </w:r>
    </w:p>
    <w:p w:rsidR="002914EB" w:rsidRPr="00956829" w:rsidRDefault="002914EB" w:rsidP="002E57C5">
      <w:pPr>
        <w:pStyle w:val="a5"/>
        <w:ind w:firstLine="567"/>
        <w:jc w:val="both"/>
        <w:rPr>
          <w:bCs/>
          <w:sz w:val="24"/>
          <w:szCs w:val="24"/>
        </w:rPr>
      </w:pPr>
      <w:r w:rsidRPr="00956829">
        <w:rPr>
          <w:bCs/>
          <w:sz w:val="24"/>
          <w:szCs w:val="24"/>
        </w:rPr>
        <w:t>-паразитологическим показателям -7, несоответствующих-0</w:t>
      </w:r>
    </w:p>
    <w:p w:rsidR="002914EB" w:rsidRPr="00956829" w:rsidRDefault="002914EB" w:rsidP="002E57C5">
      <w:pPr>
        <w:pStyle w:val="a5"/>
        <w:ind w:firstLine="567"/>
        <w:jc w:val="both"/>
        <w:rPr>
          <w:bCs/>
          <w:sz w:val="24"/>
          <w:szCs w:val="24"/>
        </w:rPr>
      </w:pPr>
      <w:r w:rsidRPr="00956829">
        <w:rPr>
          <w:bCs/>
          <w:sz w:val="24"/>
          <w:szCs w:val="24"/>
        </w:rPr>
        <w:t>В 2018году проведено  исследований проб:</w:t>
      </w:r>
    </w:p>
    <w:p w:rsidR="002914EB" w:rsidRPr="00956829" w:rsidRDefault="002914EB" w:rsidP="002E57C5">
      <w:pPr>
        <w:pStyle w:val="a5"/>
        <w:ind w:firstLine="567"/>
        <w:jc w:val="both"/>
        <w:rPr>
          <w:bCs/>
          <w:sz w:val="24"/>
          <w:szCs w:val="24"/>
        </w:rPr>
      </w:pPr>
      <w:r w:rsidRPr="00956829">
        <w:rPr>
          <w:bCs/>
          <w:sz w:val="24"/>
          <w:szCs w:val="24"/>
        </w:rPr>
        <w:t xml:space="preserve">-по микробиологическим  показателям-4, несоответствующих-1- 25% </w:t>
      </w:r>
    </w:p>
    <w:p w:rsidR="002914EB" w:rsidRPr="00956829" w:rsidRDefault="002914EB" w:rsidP="002E57C5">
      <w:pPr>
        <w:pStyle w:val="a5"/>
        <w:ind w:firstLine="567"/>
        <w:jc w:val="both"/>
        <w:rPr>
          <w:bCs/>
          <w:sz w:val="24"/>
          <w:szCs w:val="24"/>
        </w:rPr>
      </w:pPr>
      <w:r w:rsidRPr="00956829">
        <w:rPr>
          <w:bCs/>
          <w:sz w:val="24"/>
          <w:szCs w:val="24"/>
        </w:rPr>
        <w:t>-паразитологическим показателям -5, несоответствующих-0-</w:t>
      </w:r>
    </w:p>
    <w:p w:rsidR="002914EB" w:rsidRPr="00956829" w:rsidRDefault="002914EB" w:rsidP="002E57C5">
      <w:pPr>
        <w:pStyle w:val="a5"/>
        <w:ind w:firstLine="567"/>
        <w:jc w:val="both"/>
        <w:rPr>
          <w:bCs/>
          <w:sz w:val="24"/>
          <w:szCs w:val="24"/>
        </w:rPr>
      </w:pPr>
      <w:r w:rsidRPr="00956829">
        <w:rPr>
          <w:bCs/>
          <w:sz w:val="24"/>
          <w:szCs w:val="24"/>
        </w:rPr>
        <w:t>ИЛЦ филиала ФБУЗ «Центр гигиены и эпидемиологии в ХМАО-Югре в г. Нефтеюганске, Нефтеюганском районе и г. Пыть-Яхе» проводятся лабораторные измерения  показателей микроклимата, освещения в помещениях, рабочих местах, а также исследования уровней шума, рабочих мест с ПЭВМ.</w:t>
      </w:r>
    </w:p>
    <w:p w:rsidR="002914EB" w:rsidRPr="006065C9" w:rsidRDefault="002914EB" w:rsidP="002E57C5">
      <w:pPr>
        <w:pStyle w:val="a5"/>
        <w:ind w:firstLine="567"/>
        <w:jc w:val="both"/>
        <w:rPr>
          <w:bCs/>
          <w:sz w:val="24"/>
          <w:szCs w:val="24"/>
        </w:rPr>
      </w:pPr>
      <w:r w:rsidRPr="006065C9">
        <w:rPr>
          <w:bCs/>
          <w:sz w:val="24"/>
          <w:szCs w:val="24"/>
        </w:rPr>
        <w:t>В динамике за 3 года прослеживается уменьшение  количества  проведенных измерений по показателям:</w:t>
      </w:r>
    </w:p>
    <w:p w:rsidR="002914EB" w:rsidRPr="006065C9" w:rsidRDefault="002914EB" w:rsidP="002914EB">
      <w:pPr>
        <w:pStyle w:val="a5"/>
        <w:jc w:val="both"/>
        <w:rPr>
          <w:bCs/>
          <w:sz w:val="24"/>
          <w:szCs w:val="24"/>
        </w:rPr>
      </w:pPr>
      <w:r w:rsidRPr="006065C9">
        <w:rPr>
          <w:bCs/>
          <w:sz w:val="24"/>
          <w:szCs w:val="24"/>
        </w:rPr>
        <w:lastRenderedPageBreak/>
        <w:t>-освещение – на175 % по сравнению с 2019г,  на 192 %, по сравнению с 2018г.;</w:t>
      </w:r>
    </w:p>
    <w:p w:rsidR="002914EB" w:rsidRPr="006065C9" w:rsidRDefault="002914EB" w:rsidP="002914EB">
      <w:pPr>
        <w:pStyle w:val="a5"/>
        <w:jc w:val="both"/>
        <w:rPr>
          <w:bCs/>
          <w:sz w:val="24"/>
          <w:szCs w:val="24"/>
        </w:rPr>
      </w:pPr>
      <w:r w:rsidRPr="006065C9">
        <w:rPr>
          <w:bCs/>
          <w:sz w:val="24"/>
          <w:szCs w:val="24"/>
        </w:rPr>
        <w:t>-ЭМИ от ПЭВМ – на 166,6% по сравнению с 2019г , на 593%, по сравнению с 2018г.;</w:t>
      </w:r>
    </w:p>
    <w:p w:rsidR="002914EB" w:rsidRPr="006065C9" w:rsidRDefault="002914EB" w:rsidP="002914EB">
      <w:pPr>
        <w:pStyle w:val="a5"/>
        <w:jc w:val="both"/>
        <w:rPr>
          <w:bCs/>
          <w:sz w:val="24"/>
          <w:szCs w:val="24"/>
        </w:rPr>
      </w:pPr>
      <w:r w:rsidRPr="006065C9">
        <w:rPr>
          <w:bCs/>
          <w:sz w:val="24"/>
          <w:szCs w:val="24"/>
        </w:rPr>
        <w:t xml:space="preserve">-шума – на 50%, по сравнению  с 2019 годом </w:t>
      </w:r>
    </w:p>
    <w:p w:rsidR="002914EB" w:rsidRPr="006065C9" w:rsidRDefault="002914EB" w:rsidP="002914EB">
      <w:pPr>
        <w:pStyle w:val="a5"/>
        <w:jc w:val="both"/>
        <w:rPr>
          <w:bCs/>
          <w:sz w:val="24"/>
          <w:szCs w:val="24"/>
        </w:rPr>
      </w:pPr>
      <w:r w:rsidRPr="006065C9">
        <w:rPr>
          <w:bCs/>
          <w:sz w:val="24"/>
          <w:szCs w:val="24"/>
        </w:rPr>
        <w:t>- микроклимата – на 115% по сравнению с 2019г, и на  113% по сравнению с 20187г. (табл № 3).</w:t>
      </w:r>
    </w:p>
    <w:p w:rsidR="002914EB" w:rsidRPr="000A7935" w:rsidRDefault="002914EB" w:rsidP="002914EB">
      <w:pPr>
        <w:pStyle w:val="a5"/>
        <w:ind w:firstLine="709"/>
        <w:jc w:val="both"/>
        <w:rPr>
          <w:bCs/>
          <w:sz w:val="24"/>
          <w:szCs w:val="24"/>
        </w:rPr>
      </w:pPr>
      <w:r w:rsidRPr="000A7935">
        <w:rPr>
          <w:bCs/>
          <w:sz w:val="24"/>
          <w:szCs w:val="24"/>
        </w:rPr>
        <w:t>Доля всех  измерений, не соответствующих нормам в 2020  году составила 33,3 %от общего количества измерений  (в 2019году-38,3% . в  2018 году- 16,8%).</w:t>
      </w:r>
    </w:p>
    <w:p w:rsidR="002914EB" w:rsidRPr="000A7935" w:rsidRDefault="002914EB" w:rsidP="002914EB">
      <w:pPr>
        <w:pStyle w:val="a5"/>
        <w:ind w:firstLine="709"/>
        <w:jc w:val="both"/>
        <w:rPr>
          <w:bCs/>
          <w:sz w:val="24"/>
          <w:szCs w:val="24"/>
        </w:rPr>
      </w:pPr>
      <w:r w:rsidRPr="000A7935">
        <w:rPr>
          <w:bCs/>
          <w:sz w:val="24"/>
          <w:szCs w:val="24"/>
        </w:rPr>
        <w:t>Основной вкл</w:t>
      </w:r>
      <w:r w:rsidR="002E57C5">
        <w:rPr>
          <w:bCs/>
          <w:sz w:val="24"/>
          <w:szCs w:val="24"/>
        </w:rPr>
        <w:t>ад  в 2020г как и в 2018и 2019</w:t>
      </w:r>
      <w:r w:rsidRPr="000A7935">
        <w:rPr>
          <w:bCs/>
          <w:sz w:val="24"/>
          <w:szCs w:val="24"/>
        </w:rPr>
        <w:t xml:space="preserve">году в количество  измерений,  не соответствующих требованиям  принадлежит  параметрам микроклимата  и составило 2020г-57,7%. 2018г-22,4% ,2019г-70,4%( в основном по относительной влажности воздуха). </w:t>
      </w:r>
    </w:p>
    <w:p w:rsidR="002914EB" w:rsidRPr="000A7935" w:rsidRDefault="002914EB" w:rsidP="002914EB">
      <w:pPr>
        <w:pStyle w:val="a5"/>
        <w:ind w:firstLine="709"/>
        <w:jc w:val="both"/>
        <w:rPr>
          <w:bCs/>
          <w:sz w:val="24"/>
          <w:szCs w:val="24"/>
        </w:rPr>
      </w:pPr>
      <w:r w:rsidRPr="000A7935">
        <w:rPr>
          <w:bCs/>
          <w:sz w:val="24"/>
          <w:szCs w:val="24"/>
        </w:rPr>
        <w:t>По показателям освещения в 2020г не соответствующих требованиям измерений не зарегистрировано доля  измерений, не соответствующих нормам в 2019 году составила 3,5 % от общего количества измерений, в  2018г-17,1 % ,  т.е .отмечается снижениеудельного веса не соответствующихрезультатов измерения по  сравнению с2018 и 2019 годами ..</w:t>
      </w:r>
    </w:p>
    <w:p w:rsidR="002914EB" w:rsidRPr="000A7935" w:rsidRDefault="002914EB" w:rsidP="002914EB">
      <w:pPr>
        <w:pStyle w:val="a5"/>
        <w:ind w:firstLine="709"/>
        <w:jc w:val="both"/>
        <w:rPr>
          <w:bCs/>
          <w:sz w:val="24"/>
          <w:szCs w:val="24"/>
        </w:rPr>
      </w:pPr>
      <w:r w:rsidRPr="000A7935">
        <w:rPr>
          <w:bCs/>
          <w:sz w:val="24"/>
          <w:szCs w:val="24"/>
        </w:rPr>
        <w:t>В 2019 году проведено измерений рабочих мест 2 не соответствующих 1 ,что составляет 50%,в 2018 и 2020годах превышений нормируемых параметров по шуму не</w:t>
      </w:r>
      <w:r>
        <w:rPr>
          <w:bCs/>
          <w:sz w:val="24"/>
          <w:szCs w:val="24"/>
        </w:rPr>
        <w:t>зарегистрировано</w:t>
      </w:r>
      <w:r w:rsidRPr="000A7935">
        <w:rPr>
          <w:bCs/>
          <w:sz w:val="24"/>
          <w:szCs w:val="24"/>
        </w:rPr>
        <w:t>.</w:t>
      </w:r>
    </w:p>
    <w:p w:rsidR="002914EB" w:rsidRPr="000A7935" w:rsidRDefault="002914EB" w:rsidP="002914EB">
      <w:pPr>
        <w:pStyle w:val="a5"/>
        <w:ind w:firstLine="709"/>
        <w:jc w:val="both"/>
      </w:pPr>
    </w:p>
    <w:p w:rsidR="002914EB" w:rsidRPr="00956829" w:rsidRDefault="002914EB" w:rsidP="002914EB">
      <w:pPr>
        <w:jc w:val="right"/>
        <w:outlineLvl w:val="0"/>
        <w:rPr>
          <w:rFonts w:ascii="Times New Roman" w:hAnsi="Times New Roman" w:cs="Times New Roman"/>
        </w:rPr>
      </w:pPr>
      <w:r w:rsidRPr="00956829">
        <w:rPr>
          <w:rFonts w:ascii="Times New Roman" w:hAnsi="Times New Roman" w:cs="Times New Roman"/>
        </w:rPr>
        <w:t>Таблица №3</w:t>
      </w:r>
    </w:p>
    <w:p w:rsidR="002914EB" w:rsidRPr="00956829" w:rsidRDefault="002914EB" w:rsidP="002914EB">
      <w:pPr>
        <w:jc w:val="center"/>
        <w:outlineLvl w:val="0"/>
        <w:rPr>
          <w:rFonts w:ascii="Times New Roman" w:hAnsi="Times New Roman" w:cs="Times New Roman"/>
          <w:b/>
          <w:bCs/>
        </w:rPr>
      </w:pPr>
      <w:r w:rsidRPr="00956829">
        <w:rPr>
          <w:rFonts w:ascii="Times New Roman" w:hAnsi="Times New Roman" w:cs="Times New Roman"/>
          <w:b/>
          <w:bCs/>
        </w:rPr>
        <w:t>Исследование неионизирующих физических факторов</w:t>
      </w:r>
    </w:p>
    <w:tbl>
      <w:tblPr>
        <w:tblW w:w="95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1089"/>
        <w:gridCol w:w="959"/>
        <w:gridCol w:w="858"/>
        <w:gridCol w:w="907"/>
        <w:gridCol w:w="686"/>
        <w:gridCol w:w="827"/>
        <w:gridCol w:w="710"/>
        <w:gridCol w:w="819"/>
        <w:gridCol w:w="700"/>
      </w:tblGrid>
      <w:tr w:rsidR="002914EB" w:rsidRPr="00956829" w:rsidTr="002914EB">
        <w:trPr>
          <w:cantSplit/>
          <w:trHeight w:val="253"/>
          <w:tblHeader/>
        </w:trPr>
        <w:tc>
          <w:tcPr>
            <w:tcW w:w="1976" w:type="dxa"/>
            <w:vMerge w:val="restart"/>
            <w:vAlign w:val="center"/>
          </w:tcPr>
          <w:p w:rsidR="002914EB" w:rsidRPr="00956829" w:rsidRDefault="002914EB" w:rsidP="002914EB">
            <w:pPr>
              <w:spacing w:before="20" w:after="20"/>
              <w:jc w:val="center"/>
              <w:rPr>
                <w:rFonts w:ascii="Times New Roman" w:hAnsi="Times New Roman" w:cs="Times New Roman"/>
              </w:rPr>
            </w:pPr>
            <w:r w:rsidRPr="00956829">
              <w:rPr>
                <w:rFonts w:ascii="Times New Roman" w:hAnsi="Times New Roman" w:cs="Times New Roman"/>
              </w:rPr>
              <w:t>Показатель</w:t>
            </w:r>
          </w:p>
        </w:tc>
        <w:tc>
          <w:tcPr>
            <w:tcW w:w="2906" w:type="dxa"/>
            <w:gridSpan w:val="3"/>
            <w:tcBorders>
              <w:left w:val="nil"/>
            </w:tcBorders>
          </w:tcPr>
          <w:p w:rsidR="002914EB" w:rsidRPr="00956829" w:rsidRDefault="002914EB" w:rsidP="002914EB">
            <w:pPr>
              <w:spacing w:before="20" w:after="20"/>
              <w:jc w:val="center"/>
              <w:rPr>
                <w:rFonts w:ascii="Times New Roman" w:hAnsi="Times New Roman" w:cs="Times New Roman"/>
              </w:rPr>
            </w:pPr>
            <w:r w:rsidRPr="00956829">
              <w:rPr>
                <w:rFonts w:ascii="Times New Roman" w:hAnsi="Times New Roman" w:cs="Times New Roman"/>
              </w:rPr>
              <w:t>2018г.</w:t>
            </w:r>
          </w:p>
        </w:tc>
        <w:tc>
          <w:tcPr>
            <w:tcW w:w="2420" w:type="dxa"/>
            <w:gridSpan w:val="3"/>
            <w:tcBorders>
              <w:left w:val="nil"/>
            </w:tcBorders>
          </w:tcPr>
          <w:p w:rsidR="002914EB" w:rsidRPr="00956829" w:rsidRDefault="002914EB" w:rsidP="002914EB">
            <w:pPr>
              <w:spacing w:before="20" w:after="20"/>
              <w:jc w:val="center"/>
              <w:rPr>
                <w:rFonts w:ascii="Times New Roman" w:hAnsi="Times New Roman" w:cs="Times New Roman"/>
              </w:rPr>
            </w:pPr>
            <w:r w:rsidRPr="00956829">
              <w:rPr>
                <w:rFonts w:ascii="Times New Roman" w:hAnsi="Times New Roman" w:cs="Times New Roman"/>
              </w:rPr>
              <w:t>2019 г.</w:t>
            </w:r>
          </w:p>
        </w:tc>
        <w:tc>
          <w:tcPr>
            <w:tcW w:w="2229" w:type="dxa"/>
            <w:gridSpan w:val="3"/>
            <w:tcBorders>
              <w:left w:val="nil"/>
            </w:tcBorders>
          </w:tcPr>
          <w:p w:rsidR="002914EB" w:rsidRPr="00956829" w:rsidRDefault="002914EB" w:rsidP="002914EB">
            <w:pPr>
              <w:spacing w:before="20" w:after="20"/>
              <w:jc w:val="center"/>
              <w:rPr>
                <w:rFonts w:ascii="Times New Roman" w:hAnsi="Times New Roman" w:cs="Times New Roman"/>
              </w:rPr>
            </w:pPr>
            <w:r w:rsidRPr="00956829">
              <w:rPr>
                <w:rFonts w:ascii="Times New Roman" w:hAnsi="Times New Roman" w:cs="Times New Roman"/>
              </w:rPr>
              <w:t>2020 г.</w:t>
            </w:r>
          </w:p>
        </w:tc>
      </w:tr>
      <w:tr w:rsidR="002914EB" w:rsidRPr="00956829" w:rsidTr="002914EB">
        <w:trPr>
          <w:cantSplit/>
          <w:trHeight w:val="1848"/>
          <w:tblHeader/>
        </w:trPr>
        <w:tc>
          <w:tcPr>
            <w:tcW w:w="1976" w:type="dxa"/>
            <w:vMerge/>
            <w:vAlign w:val="center"/>
          </w:tcPr>
          <w:p w:rsidR="002914EB" w:rsidRPr="00956829" w:rsidRDefault="002914EB" w:rsidP="002914EB">
            <w:pPr>
              <w:spacing w:before="20" w:after="20"/>
              <w:jc w:val="center"/>
              <w:rPr>
                <w:rFonts w:ascii="Times New Roman" w:hAnsi="Times New Roman" w:cs="Times New Roman"/>
              </w:rPr>
            </w:pPr>
          </w:p>
        </w:tc>
        <w:tc>
          <w:tcPr>
            <w:tcW w:w="1089" w:type="dxa"/>
            <w:tcBorders>
              <w:left w:val="nil"/>
            </w:tcBorders>
            <w:textDirection w:val="btLr"/>
            <w:vAlign w:val="center"/>
          </w:tcPr>
          <w:p w:rsidR="002914EB" w:rsidRPr="00956829" w:rsidRDefault="002914EB" w:rsidP="002914EB">
            <w:pPr>
              <w:ind w:left="113" w:right="113"/>
              <w:jc w:val="center"/>
              <w:rPr>
                <w:rFonts w:ascii="Times New Roman" w:hAnsi="Times New Roman" w:cs="Times New Roman"/>
              </w:rPr>
            </w:pPr>
            <w:r w:rsidRPr="00956829">
              <w:rPr>
                <w:rFonts w:ascii="Times New Roman" w:hAnsi="Times New Roman" w:cs="Times New Roman"/>
              </w:rPr>
              <w:t xml:space="preserve">количество измерений </w:t>
            </w:r>
          </w:p>
        </w:tc>
        <w:tc>
          <w:tcPr>
            <w:tcW w:w="959" w:type="dxa"/>
            <w:textDirection w:val="btLr"/>
            <w:vAlign w:val="center"/>
          </w:tcPr>
          <w:p w:rsidR="002914EB" w:rsidRPr="00956829" w:rsidRDefault="002914EB" w:rsidP="002914EB">
            <w:pPr>
              <w:pStyle w:val="31"/>
              <w:ind w:left="113" w:right="113"/>
              <w:rPr>
                <w:sz w:val="22"/>
                <w:szCs w:val="22"/>
              </w:rPr>
            </w:pPr>
            <w:r w:rsidRPr="00956829">
              <w:rPr>
                <w:sz w:val="22"/>
                <w:szCs w:val="22"/>
              </w:rPr>
              <w:t>Из них не соответствуют. нормам</w:t>
            </w:r>
          </w:p>
        </w:tc>
        <w:tc>
          <w:tcPr>
            <w:tcW w:w="858" w:type="dxa"/>
            <w:textDirection w:val="btLr"/>
            <w:vAlign w:val="center"/>
          </w:tcPr>
          <w:p w:rsidR="002914EB" w:rsidRPr="00956829" w:rsidRDefault="002914EB" w:rsidP="002914EB">
            <w:pPr>
              <w:ind w:left="113" w:right="113"/>
              <w:jc w:val="center"/>
              <w:rPr>
                <w:rFonts w:ascii="Times New Roman" w:hAnsi="Times New Roman" w:cs="Times New Roman"/>
              </w:rPr>
            </w:pPr>
            <w:r w:rsidRPr="00956829">
              <w:rPr>
                <w:rFonts w:ascii="Times New Roman" w:hAnsi="Times New Roman" w:cs="Times New Roman"/>
              </w:rPr>
              <w:t>% несоответству-щих</w:t>
            </w:r>
          </w:p>
        </w:tc>
        <w:tc>
          <w:tcPr>
            <w:tcW w:w="907" w:type="dxa"/>
            <w:tcBorders>
              <w:left w:val="nil"/>
            </w:tcBorders>
            <w:textDirection w:val="btLr"/>
            <w:vAlign w:val="center"/>
          </w:tcPr>
          <w:p w:rsidR="002914EB" w:rsidRPr="00956829" w:rsidRDefault="002914EB" w:rsidP="002914EB">
            <w:pPr>
              <w:pStyle w:val="31"/>
              <w:ind w:left="113" w:right="113"/>
              <w:jc w:val="left"/>
              <w:rPr>
                <w:sz w:val="22"/>
                <w:szCs w:val="22"/>
              </w:rPr>
            </w:pPr>
            <w:r w:rsidRPr="00956829">
              <w:rPr>
                <w:sz w:val="22"/>
                <w:szCs w:val="22"/>
              </w:rPr>
              <w:t xml:space="preserve">Количество измерений  </w:t>
            </w:r>
          </w:p>
        </w:tc>
        <w:tc>
          <w:tcPr>
            <w:tcW w:w="686" w:type="dxa"/>
            <w:textDirection w:val="btLr"/>
            <w:vAlign w:val="center"/>
          </w:tcPr>
          <w:p w:rsidR="002914EB" w:rsidRPr="00956829" w:rsidRDefault="002914EB" w:rsidP="002914EB">
            <w:pPr>
              <w:pStyle w:val="31"/>
              <w:ind w:left="113" w:right="113"/>
              <w:rPr>
                <w:sz w:val="22"/>
                <w:szCs w:val="22"/>
              </w:rPr>
            </w:pPr>
            <w:r w:rsidRPr="00956829">
              <w:rPr>
                <w:sz w:val="22"/>
                <w:szCs w:val="22"/>
              </w:rPr>
              <w:t>Из них не соответствуют. нормам</w:t>
            </w:r>
          </w:p>
        </w:tc>
        <w:tc>
          <w:tcPr>
            <w:tcW w:w="827" w:type="dxa"/>
            <w:textDirection w:val="btLr"/>
            <w:vAlign w:val="center"/>
          </w:tcPr>
          <w:p w:rsidR="002914EB" w:rsidRPr="00956829" w:rsidRDefault="002914EB" w:rsidP="002914EB">
            <w:pPr>
              <w:pStyle w:val="31"/>
              <w:ind w:left="113" w:right="113"/>
              <w:rPr>
                <w:sz w:val="22"/>
                <w:szCs w:val="22"/>
              </w:rPr>
            </w:pPr>
            <w:r w:rsidRPr="00956829">
              <w:rPr>
                <w:sz w:val="22"/>
                <w:szCs w:val="22"/>
              </w:rPr>
              <w:t>% несоответствую-щих</w:t>
            </w:r>
          </w:p>
        </w:tc>
        <w:tc>
          <w:tcPr>
            <w:tcW w:w="710" w:type="dxa"/>
            <w:textDirection w:val="btLr"/>
            <w:vAlign w:val="center"/>
          </w:tcPr>
          <w:p w:rsidR="002914EB" w:rsidRPr="00956829" w:rsidRDefault="002914EB" w:rsidP="002914EB">
            <w:pPr>
              <w:ind w:left="113" w:right="113"/>
              <w:jc w:val="center"/>
              <w:rPr>
                <w:rFonts w:ascii="Times New Roman" w:hAnsi="Times New Roman" w:cs="Times New Roman"/>
              </w:rPr>
            </w:pPr>
            <w:r w:rsidRPr="00956829">
              <w:rPr>
                <w:rFonts w:ascii="Times New Roman" w:hAnsi="Times New Roman" w:cs="Times New Roman"/>
              </w:rPr>
              <w:t xml:space="preserve">количество измерений </w:t>
            </w:r>
          </w:p>
        </w:tc>
        <w:tc>
          <w:tcPr>
            <w:tcW w:w="819" w:type="dxa"/>
            <w:textDirection w:val="btLr"/>
            <w:vAlign w:val="center"/>
          </w:tcPr>
          <w:p w:rsidR="002914EB" w:rsidRPr="00956829" w:rsidRDefault="002914EB" w:rsidP="002914EB">
            <w:pPr>
              <w:pStyle w:val="31"/>
              <w:ind w:left="113" w:right="113"/>
              <w:rPr>
                <w:sz w:val="22"/>
                <w:szCs w:val="22"/>
              </w:rPr>
            </w:pPr>
            <w:r w:rsidRPr="00956829">
              <w:rPr>
                <w:sz w:val="22"/>
                <w:szCs w:val="22"/>
              </w:rPr>
              <w:t>Из них не соответствуют. нормам</w:t>
            </w:r>
          </w:p>
        </w:tc>
        <w:tc>
          <w:tcPr>
            <w:tcW w:w="700" w:type="dxa"/>
            <w:textDirection w:val="btLr"/>
            <w:vAlign w:val="center"/>
          </w:tcPr>
          <w:p w:rsidR="002914EB" w:rsidRPr="00956829" w:rsidRDefault="002914EB" w:rsidP="002914EB">
            <w:pPr>
              <w:pStyle w:val="31"/>
              <w:ind w:left="113" w:right="113"/>
              <w:rPr>
                <w:sz w:val="22"/>
                <w:szCs w:val="22"/>
              </w:rPr>
            </w:pPr>
            <w:r w:rsidRPr="00956829">
              <w:rPr>
                <w:sz w:val="22"/>
                <w:szCs w:val="22"/>
              </w:rPr>
              <w:t>% несоответствую-щих</w:t>
            </w:r>
          </w:p>
        </w:tc>
      </w:tr>
      <w:tr w:rsidR="002914EB" w:rsidRPr="00956829" w:rsidTr="002914EB">
        <w:trPr>
          <w:trHeight w:val="327"/>
        </w:trPr>
        <w:tc>
          <w:tcPr>
            <w:tcW w:w="1976" w:type="dxa"/>
            <w:vAlign w:val="center"/>
          </w:tcPr>
          <w:p w:rsidR="002914EB" w:rsidRPr="00956829" w:rsidRDefault="002914EB" w:rsidP="002914EB">
            <w:pPr>
              <w:spacing w:before="20" w:after="20"/>
              <w:jc w:val="center"/>
              <w:rPr>
                <w:rFonts w:ascii="Times New Roman" w:hAnsi="Times New Roman" w:cs="Times New Roman"/>
              </w:rPr>
            </w:pPr>
            <w:r w:rsidRPr="00956829">
              <w:rPr>
                <w:rFonts w:ascii="Times New Roman" w:hAnsi="Times New Roman" w:cs="Times New Roman"/>
              </w:rPr>
              <w:t xml:space="preserve"> Шум</w:t>
            </w:r>
          </w:p>
        </w:tc>
        <w:tc>
          <w:tcPr>
            <w:tcW w:w="1089" w:type="dxa"/>
            <w:tcBorders>
              <w:left w:val="nil"/>
            </w:tcBorders>
          </w:tcPr>
          <w:p w:rsidR="002914EB" w:rsidRPr="00956829" w:rsidRDefault="002914EB" w:rsidP="002914EB">
            <w:pPr>
              <w:rPr>
                <w:rFonts w:ascii="Times New Roman" w:hAnsi="Times New Roman" w:cs="Times New Roman"/>
              </w:rPr>
            </w:pPr>
            <w:r w:rsidRPr="00956829">
              <w:rPr>
                <w:rFonts w:ascii="Times New Roman" w:hAnsi="Times New Roman" w:cs="Times New Roman"/>
              </w:rPr>
              <w:t>17</w:t>
            </w:r>
          </w:p>
        </w:tc>
        <w:tc>
          <w:tcPr>
            <w:tcW w:w="959" w:type="dxa"/>
          </w:tcPr>
          <w:p w:rsidR="002914EB" w:rsidRPr="00956829" w:rsidRDefault="002914EB" w:rsidP="002914EB">
            <w:pPr>
              <w:rPr>
                <w:rFonts w:ascii="Times New Roman" w:hAnsi="Times New Roman" w:cs="Times New Roman"/>
              </w:rPr>
            </w:pPr>
            <w:r w:rsidRPr="00956829">
              <w:rPr>
                <w:rFonts w:ascii="Times New Roman" w:hAnsi="Times New Roman" w:cs="Times New Roman"/>
              </w:rPr>
              <w:t>0</w:t>
            </w:r>
          </w:p>
        </w:tc>
        <w:tc>
          <w:tcPr>
            <w:tcW w:w="858" w:type="dxa"/>
          </w:tcPr>
          <w:p w:rsidR="002914EB" w:rsidRPr="00956829" w:rsidRDefault="002914EB" w:rsidP="002914EB">
            <w:pPr>
              <w:rPr>
                <w:rFonts w:ascii="Times New Roman" w:hAnsi="Times New Roman" w:cs="Times New Roman"/>
              </w:rPr>
            </w:pPr>
            <w:r w:rsidRPr="00956829">
              <w:rPr>
                <w:rFonts w:ascii="Times New Roman" w:hAnsi="Times New Roman" w:cs="Times New Roman"/>
              </w:rPr>
              <w:t>0</w:t>
            </w:r>
          </w:p>
        </w:tc>
        <w:tc>
          <w:tcPr>
            <w:tcW w:w="907" w:type="dxa"/>
            <w:tcBorders>
              <w:left w:val="nil"/>
            </w:tcBorders>
          </w:tcPr>
          <w:p w:rsidR="002914EB" w:rsidRPr="00956829" w:rsidRDefault="002914EB" w:rsidP="002914EB">
            <w:pPr>
              <w:rPr>
                <w:rFonts w:ascii="Times New Roman" w:hAnsi="Times New Roman" w:cs="Times New Roman"/>
              </w:rPr>
            </w:pPr>
            <w:r w:rsidRPr="00956829">
              <w:rPr>
                <w:rFonts w:ascii="Times New Roman" w:hAnsi="Times New Roman" w:cs="Times New Roman"/>
              </w:rPr>
              <w:t>2</w:t>
            </w:r>
          </w:p>
        </w:tc>
        <w:tc>
          <w:tcPr>
            <w:tcW w:w="686" w:type="dxa"/>
          </w:tcPr>
          <w:p w:rsidR="002914EB" w:rsidRPr="00956829" w:rsidRDefault="002914EB" w:rsidP="002914EB">
            <w:pPr>
              <w:rPr>
                <w:rFonts w:ascii="Times New Roman" w:hAnsi="Times New Roman" w:cs="Times New Roman"/>
              </w:rPr>
            </w:pPr>
            <w:r w:rsidRPr="00956829">
              <w:rPr>
                <w:rFonts w:ascii="Times New Roman" w:hAnsi="Times New Roman" w:cs="Times New Roman"/>
              </w:rPr>
              <w:t>1</w:t>
            </w:r>
          </w:p>
        </w:tc>
        <w:tc>
          <w:tcPr>
            <w:tcW w:w="827" w:type="dxa"/>
          </w:tcPr>
          <w:p w:rsidR="002914EB" w:rsidRPr="00956829" w:rsidRDefault="002914EB" w:rsidP="002914EB">
            <w:pPr>
              <w:rPr>
                <w:rFonts w:ascii="Times New Roman" w:hAnsi="Times New Roman" w:cs="Times New Roman"/>
              </w:rPr>
            </w:pPr>
            <w:r w:rsidRPr="00956829">
              <w:rPr>
                <w:rFonts w:ascii="Times New Roman" w:hAnsi="Times New Roman" w:cs="Times New Roman"/>
              </w:rPr>
              <w:t>50</w:t>
            </w:r>
          </w:p>
        </w:tc>
        <w:tc>
          <w:tcPr>
            <w:tcW w:w="710" w:type="dxa"/>
          </w:tcPr>
          <w:p w:rsidR="002914EB" w:rsidRPr="00956829" w:rsidRDefault="002914EB" w:rsidP="002914EB">
            <w:pPr>
              <w:jc w:val="center"/>
              <w:rPr>
                <w:rFonts w:ascii="Times New Roman" w:hAnsi="Times New Roman" w:cs="Times New Roman"/>
              </w:rPr>
            </w:pPr>
            <w:r>
              <w:rPr>
                <w:rFonts w:ascii="Times New Roman" w:hAnsi="Times New Roman" w:cs="Times New Roman"/>
              </w:rPr>
              <w:t>1</w:t>
            </w:r>
          </w:p>
        </w:tc>
        <w:tc>
          <w:tcPr>
            <w:tcW w:w="819" w:type="dxa"/>
          </w:tcPr>
          <w:p w:rsidR="002914EB" w:rsidRPr="00956829" w:rsidRDefault="002914EB" w:rsidP="002914EB">
            <w:pPr>
              <w:jc w:val="center"/>
              <w:rPr>
                <w:rFonts w:ascii="Times New Roman" w:hAnsi="Times New Roman" w:cs="Times New Roman"/>
              </w:rPr>
            </w:pPr>
            <w:r>
              <w:rPr>
                <w:rFonts w:ascii="Times New Roman" w:hAnsi="Times New Roman" w:cs="Times New Roman"/>
              </w:rPr>
              <w:t>0</w:t>
            </w:r>
          </w:p>
        </w:tc>
        <w:tc>
          <w:tcPr>
            <w:tcW w:w="700" w:type="dxa"/>
          </w:tcPr>
          <w:p w:rsidR="002914EB" w:rsidRPr="00956829" w:rsidRDefault="002914EB" w:rsidP="002914EB">
            <w:pPr>
              <w:jc w:val="center"/>
              <w:rPr>
                <w:rFonts w:ascii="Times New Roman" w:hAnsi="Times New Roman" w:cs="Times New Roman"/>
                <w:color w:val="000000"/>
              </w:rPr>
            </w:pPr>
            <w:r>
              <w:rPr>
                <w:rFonts w:ascii="Times New Roman" w:hAnsi="Times New Roman" w:cs="Times New Roman"/>
                <w:color w:val="000000"/>
              </w:rPr>
              <w:t>0</w:t>
            </w:r>
          </w:p>
        </w:tc>
      </w:tr>
      <w:tr w:rsidR="002914EB" w:rsidRPr="00956829" w:rsidTr="002914EB">
        <w:trPr>
          <w:trHeight w:val="391"/>
        </w:trPr>
        <w:tc>
          <w:tcPr>
            <w:tcW w:w="1976" w:type="dxa"/>
            <w:vAlign w:val="center"/>
          </w:tcPr>
          <w:p w:rsidR="002914EB" w:rsidRPr="00956829" w:rsidRDefault="002914EB" w:rsidP="002914EB">
            <w:pPr>
              <w:spacing w:before="20" w:after="20"/>
              <w:jc w:val="center"/>
              <w:rPr>
                <w:rFonts w:ascii="Times New Roman" w:hAnsi="Times New Roman" w:cs="Times New Roman"/>
              </w:rPr>
            </w:pPr>
            <w:r w:rsidRPr="00956829">
              <w:rPr>
                <w:rFonts w:ascii="Times New Roman" w:hAnsi="Times New Roman" w:cs="Times New Roman"/>
              </w:rPr>
              <w:t xml:space="preserve"> Микроклимат</w:t>
            </w:r>
          </w:p>
        </w:tc>
        <w:tc>
          <w:tcPr>
            <w:tcW w:w="1089" w:type="dxa"/>
            <w:tcBorders>
              <w:left w:val="nil"/>
            </w:tcBorders>
          </w:tcPr>
          <w:p w:rsidR="002914EB" w:rsidRPr="00956829" w:rsidRDefault="002914EB" w:rsidP="002914EB">
            <w:pPr>
              <w:rPr>
                <w:rFonts w:ascii="Times New Roman" w:hAnsi="Times New Roman" w:cs="Times New Roman"/>
              </w:rPr>
            </w:pPr>
            <w:r w:rsidRPr="00956829">
              <w:rPr>
                <w:rFonts w:ascii="Times New Roman" w:hAnsi="Times New Roman" w:cs="Times New Roman"/>
              </w:rPr>
              <w:t>424</w:t>
            </w:r>
          </w:p>
        </w:tc>
        <w:tc>
          <w:tcPr>
            <w:tcW w:w="959" w:type="dxa"/>
          </w:tcPr>
          <w:p w:rsidR="002914EB" w:rsidRPr="00956829" w:rsidRDefault="002914EB" w:rsidP="002914EB">
            <w:pPr>
              <w:rPr>
                <w:rFonts w:ascii="Times New Roman" w:hAnsi="Times New Roman" w:cs="Times New Roman"/>
              </w:rPr>
            </w:pPr>
            <w:r w:rsidRPr="00956829">
              <w:rPr>
                <w:rFonts w:ascii="Times New Roman" w:hAnsi="Times New Roman" w:cs="Times New Roman"/>
              </w:rPr>
              <w:t>95</w:t>
            </w:r>
          </w:p>
        </w:tc>
        <w:tc>
          <w:tcPr>
            <w:tcW w:w="858" w:type="dxa"/>
          </w:tcPr>
          <w:p w:rsidR="002914EB" w:rsidRPr="00956829" w:rsidRDefault="002914EB" w:rsidP="002914EB">
            <w:pPr>
              <w:rPr>
                <w:rFonts w:ascii="Times New Roman" w:hAnsi="Times New Roman" w:cs="Times New Roman"/>
              </w:rPr>
            </w:pPr>
            <w:r w:rsidRPr="00956829">
              <w:rPr>
                <w:rFonts w:ascii="Times New Roman" w:hAnsi="Times New Roman" w:cs="Times New Roman"/>
              </w:rPr>
              <w:t>22,4</w:t>
            </w:r>
          </w:p>
        </w:tc>
        <w:tc>
          <w:tcPr>
            <w:tcW w:w="907" w:type="dxa"/>
            <w:tcBorders>
              <w:left w:val="nil"/>
            </w:tcBorders>
          </w:tcPr>
          <w:p w:rsidR="002914EB" w:rsidRPr="00956829" w:rsidRDefault="002914EB" w:rsidP="002914EB">
            <w:pPr>
              <w:rPr>
                <w:rFonts w:ascii="Times New Roman" w:hAnsi="Times New Roman" w:cs="Times New Roman"/>
              </w:rPr>
            </w:pPr>
            <w:r w:rsidRPr="00956829">
              <w:rPr>
                <w:rFonts w:ascii="Times New Roman" w:hAnsi="Times New Roman" w:cs="Times New Roman"/>
              </w:rPr>
              <w:t>429</w:t>
            </w:r>
          </w:p>
        </w:tc>
        <w:tc>
          <w:tcPr>
            <w:tcW w:w="686" w:type="dxa"/>
          </w:tcPr>
          <w:p w:rsidR="002914EB" w:rsidRPr="00956829" w:rsidRDefault="002914EB" w:rsidP="002914EB">
            <w:pPr>
              <w:rPr>
                <w:rFonts w:ascii="Times New Roman" w:hAnsi="Times New Roman" w:cs="Times New Roman"/>
              </w:rPr>
            </w:pPr>
            <w:r w:rsidRPr="00956829">
              <w:rPr>
                <w:rFonts w:ascii="Times New Roman" w:hAnsi="Times New Roman" w:cs="Times New Roman"/>
              </w:rPr>
              <w:t>302</w:t>
            </w:r>
          </w:p>
        </w:tc>
        <w:tc>
          <w:tcPr>
            <w:tcW w:w="827" w:type="dxa"/>
          </w:tcPr>
          <w:p w:rsidR="002914EB" w:rsidRPr="00956829" w:rsidRDefault="002914EB" w:rsidP="002914EB">
            <w:pPr>
              <w:rPr>
                <w:rFonts w:ascii="Times New Roman" w:hAnsi="Times New Roman" w:cs="Times New Roman"/>
              </w:rPr>
            </w:pPr>
            <w:r w:rsidRPr="00956829">
              <w:rPr>
                <w:rFonts w:ascii="Times New Roman" w:hAnsi="Times New Roman" w:cs="Times New Roman"/>
              </w:rPr>
              <w:t>70,4</w:t>
            </w:r>
          </w:p>
        </w:tc>
        <w:tc>
          <w:tcPr>
            <w:tcW w:w="710" w:type="dxa"/>
          </w:tcPr>
          <w:p w:rsidR="002914EB" w:rsidRPr="00956829" w:rsidRDefault="002914EB" w:rsidP="002914EB">
            <w:pPr>
              <w:jc w:val="center"/>
              <w:rPr>
                <w:rFonts w:ascii="Times New Roman" w:hAnsi="Times New Roman" w:cs="Times New Roman"/>
              </w:rPr>
            </w:pPr>
            <w:r>
              <w:rPr>
                <w:rFonts w:ascii="Times New Roman" w:hAnsi="Times New Roman" w:cs="Times New Roman"/>
              </w:rPr>
              <w:t>199</w:t>
            </w:r>
          </w:p>
        </w:tc>
        <w:tc>
          <w:tcPr>
            <w:tcW w:w="819" w:type="dxa"/>
          </w:tcPr>
          <w:p w:rsidR="002914EB" w:rsidRPr="00956829" w:rsidRDefault="002914EB" w:rsidP="002914EB">
            <w:pPr>
              <w:jc w:val="center"/>
              <w:rPr>
                <w:rFonts w:ascii="Times New Roman" w:hAnsi="Times New Roman" w:cs="Times New Roman"/>
              </w:rPr>
            </w:pPr>
            <w:r>
              <w:rPr>
                <w:rFonts w:ascii="Times New Roman" w:hAnsi="Times New Roman" w:cs="Times New Roman"/>
              </w:rPr>
              <w:t>115</w:t>
            </w:r>
          </w:p>
        </w:tc>
        <w:tc>
          <w:tcPr>
            <w:tcW w:w="700" w:type="dxa"/>
          </w:tcPr>
          <w:p w:rsidR="002914EB" w:rsidRPr="00956829" w:rsidRDefault="002914EB" w:rsidP="002914EB">
            <w:pPr>
              <w:jc w:val="center"/>
              <w:rPr>
                <w:rFonts w:ascii="Times New Roman" w:hAnsi="Times New Roman" w:cs="Times New Roman"/>
                <w:color w:val="000000"/>
              </w:rPr>
            </w:pPr>
            <w:r>
              <w:rPr>
                <w:rFonts w:ascii="Times New Roman" w:hAnsi="Times New Roman" w:cs="Times New Roman"/>
                <w:color w:val="000000"/>
              </w:rPr>
              <w:t>57,7</w:t>
            </w:r>
          </w:p>
        </w:tc>
      </w:tr>
      <w:tr w:rsidR="002914EB" w:rsidRPr="00956829" w:rsidTr="002914EB">
        <w:trPr>
          <w:trHeight w:val="313"/>
        </w:trPr>
        <w:tc>
          <w:tcPr>
            <w:tcW w:w="1976" w:type="dxa"/>
            <w:vAlign w:val="center"/>
          </w:tcPr>
          <w:p w:rsidR="002914EB" w:rsidRPr="00956829" w:rsidRDefault="002914EB" w:rsidP="002914EB">
            <w:pPr>
              <w:spacing w:before="20" w:after="20"/>
              <w:jc w:val="center"/>
              <w:rPr>
                <w:rFonts w:ascii="Times New Roman" w:hAnsi="Times New Roman" w:cs="Times New Roman"/>
              </w:rPr>
            </w:pPr>
            <w:r w:rsidRPr="00956829">
              <w:rPr>
                <w:rFonts w:ascii="Times New Roman" w:hAnsi="Times New Roman" w:cs="Times New Roman"/>
              </w:rPr>
              <w:t xml:space="preserve"> Освещение</w:t>
            </w:r>
          </w:p>
        </w:tc>
        <w:tc>
          <w:tcPr>
            <w:tcW w:w="1089" w:type="dxa"/>
            <w:tcBorders>
              <w:left w:val="nil"/>
            </w:tcBorders>
          </w:tcPr>
          <w:p w:rsidR="002914EB" w:rsidRPr="00956829" w:rsidRDefault="002914EB" w:rsidP="002914EB">
            <w:pPr>
              <w:rPr>
                <w:rFonts w:ascii="Times New Roman" w:hAnsi="Times New Roman" w:cs="Times New Roman"/>
              </w:rPr>
            </w:pPr>
            <w:r w:rsidRPr="00956829">
              <w:rPr>
                <w:rFonts w:ascii="Times New Roman" w:hAnsi="Times New Roman" w:cs="Times New Roman"/>
              </w:rPr>
              <w:t>304</w:t>
            </w:r>
          </w:p>
        </w:tc>
        <w:tc>
          <w:tcPr>
            <w:tcW w:w="959" w:type="dxa"/>
          </w:tcPr>
          <w:p w:rsidR="002914EB" w:rsidRPr="00956829" w:rsidRDefault="002914EB" w:rsidP="002914EB">
            <w:pPr>
              <w:rPr>
                <w:rFonts w:ascii="Times New Roman" w:hAnsi="Times New Roman" w:cs="Times New Roman"/>
              </w:rPr>
            </w:pPr>
            <w:r w:rsidRPr="00956829">
              <w:rPr>
                <w:rFonts w:ascii="Times New Roman" w:hAnsi="Times New Roman" w:cs="Times New Roman"/>
              </w:rPr>
              <w:t>52</w:t>
            </w:r>
          </w:p>
        </w:tc>
        <w:tc>
          <w:tcPr>
            <w:tcW w:w="858" w:type="dxa"/>
          </w:tcPr>
          <w:p w:rsidR="002914EB" w:rsidRPr="00956829" w:rsidRDefault="002914EB" w:rsidP="002914EB">
            <w:pPr>
              <w:rPr>
                <w:rFonts w:ascii="Times New Roman" w:hAnsi="Times New Roman" w:cs="Times New Roman"/>
              </w:rPr>
            </w:pPr>
            <w:r w:rsidRPr="00956829">
              <w:rPr>
                <w:rFonts w:ascii="Times New Roman" w:hAnsi="Times New Roman" w:cs="Times New Roman"/>
              </w:rPr>
              <w:t>17,1</w:t>
            </w:r>
          </w:p>
        </w:tc>
        <w:tc>
          <w:tcPr>
            <w:tcW w:w="907" w:type="dxa"/>
            <w:tcBorders>
              <w:left w:val="nil"/>
            </w:tcBorders>
          </w:tcPr>
          <w:p w:rsidR="002914EB" w:rsidRPr="00956829" w:rsidRDefault="002914EB" w:rsidP="002914EB">
            <w:pPr>
              <w:rPr>
                <w:rFonts w:ascii="Times New Roman" w:hAnsi="Times New Roman" w:cs="Times New Roman"/>
              </w:rPr>
            </w:pPr>
            <w:r w:rsidRPr="00956829">
              <w:rPr>
                <w:rFonts w:ascii="Times New Roman" w:hAnsi="Times New Roman" w:cs="Times New Roman"/>
              </w:rPr>
              <w:t>286</w:t>
            </w:r>
          </w:p>
        </w:tc>
        <w:tc>
          <w:tcPr>
            <w:tcW w:w="686" w:type="dxa"/>
          </w:tcPr>
          <w:p w:rsidR="002914EB" w:rsidRPr="00956829" w:rsidRDefault="002914EB" w:rsidP="002914EB">
            <w:pPr>
              <w:rPr>
                <w:rFonts w:ascii="Times New Roman" w:hAnsi="Times New Roman" w:cs="Times New Roman"/>
              </w:rPr>
            </w:pPr>
            <w:r w:rsidRPr="00956829">
              <w:rPr>
                <w:rFonts w:ascii="Times New Roman" w:hAnsi="Times New Roman" w:cs="Times New Roman"/>
              </w:rPr>
              <w:t>10</w:t>
            </w:r>
          </w:p>
        </w:tc>
        <w:tc>
          <w:tcPr>
            <w:tcW w:w="827" w:type="dxa"/>
          </w:tcPr>
          <w:p w:rsidR="002914EB" w:rsidRPr="00956829" w:rsidRDefault="002914EB" w:rsidP="002914EB">
            <w:pPr>
              <w:rPr>
                <w:rFonts w:ascii="Times New Roman" w:hAnsi="Times New Roman" w:cs="Times New Roman"/>
              </w:rPr>
            </w:pPr>
            <w:r w:rsidRPr="00956829">
              <w:rPr>
                <w:rFonts w:ascii="Times New Roman" w:hAnsi="Times New Roman" w:cs="Times New Roman"/>
              </w:rPr>
              <w:t>3,5</w:t>
            </w:r>
          </w:p>
        </w:tc>
        <w:tc>
          <w:tcPr>
            <w:tcW w:w="710" w:type="dxa"/>
          </w:tcPr>
          <w:p w:rsidR="002914EB" w:rsidRPr="00956829" w:rsidRDefault="002914EB" w:rsidP="002914EB">
            <w:pPr>
              <w:jc w:val="center"/>
              <w:rPr>
                <w:rFonts w:ascii="Times New Roman" w:hAnsi="Times New Roman" w:cs="Times New Roman"/>
              </w:rPr>
            </w:pPr>
            <w:r>
              <w:rPr>
                <w:rFonts w:ascii="Times New Roman" w:hAnsi="Times New Roman" w:cs="Times New Roman"/>
              </w:rPr>
              <w:t>104</w:t>
            </w:r>
          </w:p>
        </w:tc>
        <w:tc>
          <w:tcPr>
            <w:tcW w:w="819" w:type="dxa"/>
          </w:tcPr>
          <w:p w:rsidR="002914EB" w:rsidRPr="00956829" w:rsidRDefault="002914EB" w:rsidP="002914EB">
            <w:pPr>
              <w:jc w:val="center"/>
              <w:rPr>
                <w:rFonts w:ascii="Times New Roman" w:hAnsi="Times New Roman" w:cs="Times New Roman"/>
              </w:rPr>
            </w:pPr>
            <w:r>
              <w:rPr>
                <w:rFonts w:ascii="Times New Roman" w:hAnsi="Times New Roman" w:cs="Times New Roman"/>
              </w:rPr>
              <w:t>0</w:t>
            </w:r>
          </w:p>
        </w:tc>
        <w:tc>
          <w:tcPr>
            <w:tcW w:w="700" w:type="dxa"/>
          </w:tcPr>
          <w:p w:rsidR="002914EB" w:rsidRPr="00956829" w:rsidRDefault="002914EB" w:rsidP="002914EB">
            <w:pPr>
              <w:jc w:val="center"/>
              <w:rPr>
                <w:rFonts w:ascii="Times New Roman" w:hAnsi="Times New Roman" w:cs="Times New Roman"/>
                <w:color w:val="000000"/>
              </w:rPr>
            </w:pPr>
            <w:r>
              <w:rPr>
                <w:rFonts w:ascii="Times New Roman" w:hAnsi="Times New Roman" w:cs="Times New Roman"/>
                <w:color w:val="000000"/>
              </w:rPr>
              <w:t>0</w:t>
            </w:r>
          </w:p>
        </w:tc>
      </w:tr>
      <w:tr w:rsidR="002914EB" w:rsidRPr="00956829" w:rsidTr="002914EB">
        <w:trPr>
          <w:trHeight w:val="284"/>
        </w:trPr>
        <w:tc>
          <w:tcPr>
            <w:tcW w:w="1976" w:type="dxa"/>
            <w:vAlign w:val="center"/>
          </w:tcPr>
          <w:p w:rsidR="002914EB" w:rsidRPr="00956829" w:rsidRDefault="002914EB" w:rsidP="002914EB">
            <w:pPr>
              <w:spacing w:before="20" w:after="20"/>
              <w:jc w:val="center"/>
              <w:rPr>
                <w:rFonts w:ascii="Times New Roman" w:hAnsi="Times New Roman" w:cs="Times New Roman"/>
              </w:rPr>
            </w:pPr>
            <w:r w:rsidRPr="00956829">
              <w:rPr>
                <w:rFonts w:ascii="Times New Roman" w:hAnsi="Times New Roman" w:cs="Times New Roman"/>
              </w:rPr>
              <w:t>Электромагнитное излучение</w:t>
            </w:r>
          </w:p>
        </w:tc>
        <w:tc>
          <w:tcPr>
            <w:tcW w:w="1089" w:type="dxa"/>
            <w:tcBorders>
              <w:left w:val="nil"/>
            </w:tcBorders>
          </w:tcPr>
          <w:p w:rsidR="002914EB" w:rsidRPr="00956829" w:rsidRDefault="002914EB" w:rsidP="002914EB">
            <w:pPr>
              <w:rPr>
                <w:rFonts w:ascii="Times New Roman" w:hAnsi="Times New Roman" w:cs="Times New Roman"/>
              </w:rPr>
            </w:pPr>
            <w:r w:rsidRPr="00956829">
              <w:rPr>
                <w:rFonts w:ascii="Times New Roman" w:hAnsi="Times New Roman" w:cs="Times New Roman"/>
              </w:rPr>
              <w:t>312</w:t>
            </w:r>
          </w:p>
        </w:tc>
        <w:tc>
          <w:tcPr>
            <w:tcW w:w="959" w:type="dxa"/>
          </w:tcPr>
          <w:p w:rsidR="002914EB" w:rsidRPr="00956829" w:rsidRDefault="002914EB" w:rsidP="002914EB">
            <w:pPr>
              <w:rPr>
                <w:rFonts w:ascii="Times New Roman" w:hAnsi="Times New Roman" w:cs="Times New Roman"/>
              </w:rPr>
            </w:pPr>
            <w:r w:rsidRPr="00956829">
              <w:rPr>
                <w:rFonts w:ascii="Times New Roman" w:hAnsi="Times New Roman" w:cs="Times New Roman"/>
              </w:rPr>
              <w:t>31</w:t>
            </w:r>
          </w:p>
        </w:tc>
        <w:tc>
          <w:tcPr>
            <w:tcW w:w="858" w:type="dxa"/>
          </w:tcPr>
          <w:p w:rsidR="002914EB" w:rsidRPr="00956829" w:rsidRDefault="002914EB" w:rsidP="002914EB">
            <w:pPr>
              <w:rPr>
                <w:rFonts w:ascii="Times New Roman" w:hAnsi="Times New Roman" w:cs="Times New Roman"/>
              </w:rPr>
            </w:pPr>
            <w:r w:rsidRPr="00956829">
              <w:rPr>
                <w:rFonts w:ascii="Times New Roman" w:hAnsi="Times New Roman" w:cs="Times New Roman"/>
              </w:rPr>
              <w:t>9,9</w:t>
            </w:r>
          </w:p>
        </w:tc>
        <w:tc>
          <w:tcPr>
            <w:tcW w:w="907" w:type="dxa"/>
            <w:tcBorders>
              <w:top w:val="nil"/>
              <w:left w:val="nil"/>
            </w:tcBorders>
          </w:tcPr>
          <w:p w:rsidR="002914EB" w:rsidRPr="00956829" w:rsidRDefault="002914EB" w:rsidP="002914EB">
            <w:pPr>
              <w:rPr>
                <w:rFonts w:ascii="Times New Roman" w:hAnsi="Times New Roman" w:cs="Times New Roman"/>
              </w:rPr>
            </w:pPr>
            <w:r w:rsidRPr="00956829">
              <w:rPr>
                <w:rFonts w:ascii="Times New Roman" w:hAnsi="Times New Roman" w:cs="Times New Roman"/>
              </w:rPr>
              <w:t>120</w:t>
            </w:r>
          </w:p>
        </w:tc>
        <w:tc>
          <w:tcPr>
            <w:tcW w:w="686" w:type="dxa"/>
            <w:tcBorders>
              <w:top w:val="nil"/>
            </w:tcBorders>
          </w:tcPr>
          <w:p w:rsidR="002914EB" w:rsidRPr="00956829" w:rsidRDefault="002914EB" w:rsidP="002914EB">
            <w:pPr>
              <w:rPr>
                <w:rFonts w:ascii="Times New Roman" w:hAnsi="Times New Roman" w:cs="Times New Roman"/>
              </w:rPr>
            </w:pPr>
            <w:r w:rsidRPr="00956829">
              <w:rPr>
                <w:rFonts w:ascii="Times New Roman" w:hAnsi="Times New Roman" w:cs="Times New Roman"/>
              </w:rPr>
              <w:t>8</w:t>
            </w:r>
          </w:p>
        </w:tc>
        <w:tc>
          <w:tcPr>
            <w:tcW w:w="827" w:type="dxa"/>
            <w:tcBorders>
              <w:top w:val="nil"/>
            </w:tcBorders>
          </w:tcPr>
          <w:p w:rsidR="002914EB" w:rsidRPr="00956829" w:rsidRDefault="002914EB" w:rsidP="002914EB">
            <w:pPr>
              <w:rPr>
                <w:rFonts w:ascii="Times New Roman" w:hAnsi="Times New Roman" w:cs="Times New Roman"/>
              </w:rPr>
            </w:pPr>
            <w:r w:rsidRPr="00956829">
              <w:rPr>
                <w:rFonts w:ascii="Times New Roman" w:hAnsi="Times New Roman" w:cs="Times New Roman"/>
              </w:rPr>
              <w:t>6,7</w:t>
            </w:r>
          </w:p>
        </w:tc>
        <w:tc>
          <w:tcPr>
            <w:tcW w:w="710" w:type="dxa"/>
            <w:tcBorders>
              <w:top w:val="nil"/>
            </w:tcBorders>
          </w:tcPr>
          <w:p w:rsidR="002914EB" w:rsidRPr="00956829" w:rsidRDefault="002914EB" w:rsidP="002914EB">
            <w:pPr>
              <w:jc w:val="center"/>
              <w:rPr>
                <w:rFonts w:ascii="Times New Roman" w:hAnsi="Times New Roman" w:cs="Times New Roman"/>
              </w:rPr>
            </w:pPr>
            <w:r>
              <w:rPr>
                <w:rFonts w:ascii="Times New Roman" w:hAnsi="Times New Roman" w:cs="Times New Roman"/>
              </w:rPr>
              <w:t>45</w:t>
            </w:r>
          </w:p>
        </w:tc>
        <w:tc>
          <w:tcPr>
            <w:tcW w:w="819" w:type="dxa"/>
            <w:tcBorders>
              <w:top w:val="nil"/>
            </w:tcBorders>
          </w:tcPr>
          <w:p w:rsidR="002914EB" w:rsidRPr="00956829" w:rsidRDefault="002914EB" w:rsidP="002914EB">
            <w:pPr>
              <w:jc w:val="center"/>
              <w:rPr>
                <w:rFonts w:ascii="Times New Roman" w:hAnsi="Times New Roman" w:cs="Times New Roman"/>
              </w:rPr>
            </w:pPr>
            <w:r>
              <w:rPr>
                <w:rFonts w:ascii="Times New Roman" w:hAnsi="Times New Roman" w:cs="Times New Roman"/>
              </w:rPr>
              <w:t>1</w:t>
            </w:r>
          </w:p>
        </w:tc>
        <w:tc>
          <w:tcPr>
            <w:tcW w:w="700" w:type="dxa"/>
            <w:tcBorders>
              <w:top w:val="nil"/>
            </w:tcBorders>
          </w:tcPr>
          <w:p w:rsidR="002914EB" w:rsidRPr="00956829" w:rsidRDefault="002914EB" w:rsidP="002914EB">
            <w:pPr>
              <w:jc w:val="center"/>
              <w:rPr>
                <w:rFonts w:ascii="Times New Roman" w:hAnsi="Times New Roman" w:cs="Times New Roman"/>
                <w:color w:val="000000"/>
              </w:rPr>
            </w:pPr>
            <w:r>
              <w:rPr>
                <w:rFonts w:ascii="Times New Roman" w:hAnsi="Times New Roman" w:cs="Times New Roman"/>
                <w:color w:val="000000"/>
              </w:rPr>
              <w:t>2,22</w:t>
            </w:r>
          </w:p>
        </w:tc>
      </w:tr>
      <w:tr w:rsidR="002914EB" w:rsidRPr="00956829" w:rsidTr="002914EB">
        <w:trPr>
          <w:trHeight w:val="349"/>
        </w:trPr>
        <w:tc>
          <w:tcPr>
            <w:tcW w:w="1976" w:type="dxa"/>
            <w:vAlign w:val="center"/>
          </w:tcPr>
          <w:p w:rsidR="002914EB" w:rsidRPr="00956829" w:rsidRDefault="002914EB" w:rsidP="002914EB">
            <w:pPr>
              <w:spacing w:before="20" w:after="20"/>
              <w:jc w:val="center"/>
              <w:rPr>
                <w:rFonts w:ascii="Times New Roman" w:hAnsi="Times New Roman" w:cs="Times New Roman"/>
              </w:rPr>
            </w:pPr>
            <w:r w:rsidRPr="00956829">
              <w:rPr>
                <w:rFonts w:ascii="Times New Roman" w:hAnsi="Times New Roman" w:cs="Times New Roman"/>
              </w:rPr>
              <w:t>ВСЕГО</w:t>
            </w:r>
          </w:p>
        </w:tc>
        <w:tc>
          <w:tcPr>
            <w:tcW w:w="1089" w:type="dxa"/>
            <w:tcBorders>
              <w:left w:val="nil"/>
            </w:tcBorders>
          </w:tcPr>
          <w:p w:rsidR="002914EB" w:rsidRPr="00956829" w:rsidRDefault="002914EB" w:rsidP="002914EB">
            <w:pPr>
              <w:rPr>
                <w:rFonts w:ascii="Times New Roman" w:hAnsi="Times New Roman" w:cs="Times New Roman"/>
              </w:rPr>
            </w:pPr>
            <w:r w:rsidRPr="00956829">
              <w:rPr>
                <w:rFonts w:ascii="Times New Roman" w:hAnsi="Times New Roman" w:cs="Times New Roman"/>
              </w:rPr>
              <w:t>1057</w:t>
            </w:r>
          </w:p>
        </w:tc>
        <w:tc>
          <w:tcPr>
            <w:tcW w:w="959" w:type="dxa"/>
          </w:tcPr>
          <w:p w:rsidR="002914EB" w:rsidRPr="00956829" w:rsidRDefault="002914EB" w:rsidP="002914EB">
            <w:pPr>
              <w:rPr>
                <w:rFonts w:ascii="Times New Roman" w:hAnsi="Times New Roman" w:cs="Times New Roman"/>
              </w:rPr>
            </w:pPr>
            <w:r w:rsidRPr="00956829">
              <w:rPr>
                <w:rFonts w:ascii="Times New Roman" w:hAnsi="Times New Roman" w:cs="Times New Roman"/>
              </w:rPr>
              <w:t>178</w:t>
            </w:r>
          </w:p>
        </w:tc>
        <w:tc>
          <w:tcPr>
            <w:tcW w:w="858" w:type="dxa"/>
          </w:tcPr>
          <w:p w:rsidR="002914EB" w:rsidRPr="00956829" w:rsidRDefault="002914EB" w:rsidP="002914EB">
            <w:pPr>
              <w:rPr>
                <w:rFonts w:ascii="Times New Roman" w:hAnsi="Times New Roman" w:cs="Times New Roman"/>
              </w:rPr>
            </w:pPr>
            <w:r w:rsidRPr="00956829">
              <w:rPr>
                <w:rFonts w:ascii="Times New Roman" w:hAnsi="Times New Roman" w:cs="Times New Roman"/>
              </w:rPr>
              <w:t>16,8</w:t>
            </w:r>
          </w:p>
        </w:tc>
        <w:tc>
          <w:tcPr>
            <w:tcW w:w="907" w:type="dxa"/>
            <w:tcBorders>
              <w:left w:val="nil"/>
            </w:tcBorders>
          </w:tcPr>
          <w:p w:rsidR="002914EB" w:rsidRPr="00956829" w:rsidRDefault="002914EB" w:rsidP="002914EB">
            <w:pPr>
              <w:rPr>
                <w:rFonts w:ascii="Times New Roman" w:hAnsi="Times New Roman" w:cs="Times New Roman"/>
              </w:rPr>
            </w:pPr>
            <w:r w:rsidRPr="00956829">
              <w:rPr>
                <w:rFonts w:ascii="Times New Roman" w:hAnsi="Times New Roman" w:cs="Times New Roman"/>
              </w:rPr>
              <w:t>837</w:t>
            </w:r>
          </w:p>
        </w:tc>
        <w:tc>
          <w:tcPr>
            <w:tcW w:w="686" w:type="dxa"/>
          </w:tcPr>
          <w:p w:rsidR="002914EB" w:rsidRPr="00956829" w:rsidRDefault="002914EB" w:rsidP="002914EB">
            <w:pPr>
              <w:rPr>
                <w:rFonts w:ascii="Times New Roman" w:hAnsi="Times New Roman" w:cs="Times New Roman"/>
              </w:rPr>
            </w:pPr>
            <w:r w:rsidRPr="00956829">
              <w:rPr>
                <w:rFonts w:ascii="Times New Roman" w:hAnsi="Times New Roman" w:cs="Times New Roman"/>
              </w:rPr>
              <w:t>321</w:t>
            </w:r>
          </w:p>
        </w:tc>
        <w:tc>
          <w:tcPr>
            <w:tcW w:w="827" w:type="dxa"/>
          </w:tcPr>
          <w:p w:rsidR="002914EB" w:rsidRPr="00956829" w:rsidRDefault="002914EB" w:rsidP="002914EB">
            <w:pPr>
              <w:rPr>
                <w:rFonts w:ascii="Times New Roman" w:hAnsi="Times New Roman" w:cs="Times New Roman"/>
              </w:rPr>
            </w:pPr>
            <w:r w:rsidRPr="00956829">
              <w:rPr>
                <w:rFonts w:ascii="Times New Roman" w:hAnsi="Times New Roman" w:cs="Times New Roman"/>
              </w:rPr>
              <w:t>38,3</w:t>
            </w:r>
          </w:p>
        </w:tc>
        <w:tc>
          <w:tcPr>
            <w:tcW w:w="710" w:type="dxa"/>
            <w:vAlign w:val="bottom"/>
          </w:tcPr>
          <w:p w:rsidR="002914EB" w:rsidRPr="00956829" w:rsidRDefault="002914EB" w:rsidP="002914EB">
            <w:pPr>
              <w:jc w:val="center"/>
              <w:rPr>
                <w:rFonts w:ascii="Times New Roman" w:hAnsi="Times New Roman" w:cs="Times New Roman"/>
                <w:color w:val="000000"/>
              </w:rPr>
            </w:pPr>
            <w:r>
              <w:rPr>
                <w:rFonts w:ascii="Times New Roman" w:hAnsi="Times New Roman" w:cs="Times New Roman"/>
                <w:color w:val="000000"/>
              </w:rPr>
              <w:t>348</w:t>
            </w:r>
          </w:p>
        </w:tc>
        <w:tc>
          <w:tcPr>
            <w:tcW w:w="819" w:type="dxa"/>
            <w:vAlign w:val="bottom"/>
          </w:tcPr>
          <w:p w:rsidR="002914EB" w:rsidRPr="00956829" w:rsidRDefault="002914EB" w:rsidP="002914EB">
            <w:pPr>
              <w:rPr>
                <w:rFonts w:ascii="Times New Roman" w:hAnsi="Times New Roman" w:cs="Times New Roman"/>
                <w:color w:val="000000"/>
              </w:rPr>
            </w:pPr>
            <w:r>
              <w:rPr>
                <w:rFonts w:ascii="Times New Roman" w:hAnsi="Times New Roman" w:cs="Times New Roman"/>
                <w:color w:val="000000"/>
              </w:rPr>
              <w:t>116</w:t>
            </w:r>
          </w:p>
        </w:tc>
        <w:tc>
          <w:tcPr>
            <w:tcW w:w="700" w:type="dxa"/>
            <w:vAlign w:val="bottom"/>
          </w:tcPr>
          <w:p w:rsidR="002914EB" w:rsidRPr="00956829" w:rsidRDefault="002914EB" w:rsidP="002914EB">
            <w:pPr>
              <w:jc w:val="right"/>
              <w:rPr>
                <w:rFonts w:ascii="Times New Roman" w:hAnsi="Times New Roman" w:cs="Times New Roman"/>
                <w:color w:val="000000"/>
              </w:rPr>
            </w:pPr>
            <w:r>
              <w:rPr>
                <w:rFonts w:ascii="Times New Roman" w:hAnsi="Times New Roman" w:cs="Times New Roman"/>
                <w:color w:val="000000"/>
              </w:rPr>
              <w:t>33,3</w:t>
            </w:r>
          </w:p>
        </w:tc>
      </w:tr>
    </w:tbl>
    <w:p w:rsidR="002914EB" w:rsidRPr="00BD65C5" w:rsidRDefault="002914EB" w:rsidP="002914EB">
      <w:pPr>
        <w:pStyle w:val="a5"/>
        <w:ind w:firstLine="709"/>
        <w:jc w:val="both"/>
        <w:rPr>
          <w:bCs/>
          <w:sz w:val="24"/>
          <w:szCs w:val="24"/>
          <w:highlight w:val="yellow"/>
        </w:rPr>
      </w:pPr>
    </w:p>
    <w:p w:rsidR="002914EB" w:rsidRPr="000A7935" w:rsidRDefault="002914EB" w:rsidP="002914EB">
      <w:pPr>
        <w:pStyle w:val="a5"/>
        <w:ind w:firstLine="709"/>
        <w:jc w:val="both"/>
        <w:rPr>
          <w:bCs/>
          <w:sz w:val="24"/>
          <w:szCs w:val="24"/>
        </w:rPr>
      </w:pPr>
      <w:r w:rsidRPr="000A7935">
        <w:rPr>
          <w:bCs/>
          <w:sz w:val="24"/>
          <w:szCs w:val="24"/>
        </w:rPr>
        <w:t>Снизилась в 2020г  доля измерений ПЭВМ, не соответствующая требованиям и составила 2,22%, в 2019г-6,7%, в 2018году -9,9% ( табл3).</w:t>
      </w:r>
    </w:p>
    <w:p w:rsidR="002914EB" w:rsidRPr="00BD65C5" w:rsidRDefault="002914EB" w:rsidP="002914EB">
      <w:pPr>
        <w:pStyle w:val="a5"/>
        <w:ind w:firstLine="709"/>
        <w:jc w:val="both"/>
        <w:rPr>
          <w:bCs/>
          <w:sz w:val="24"/>
          <w:szCs w:val="24"/>
          <w:highlight w:val="yellow"/>
        </w:rPr>
      </w:pPr>
    </w:p>
    <w:p w:rsidR="002914EB" w:rsidRPr="000A7935" w:rsidRDefault="002914EB" w:rsidP="002914EB">
      <w:pPr>
        <w:spacing w:after="0" w:line="240" w:lineRule="auto"/>
        <w:ind w:firstLine="708"/>
        <w:jc w:val="both"/>
        <w:rPr>
          <w:rFonts w:ascii="Times New Roman" w:hAnsi="Times New Roman" w:cs="Times New Roman"/>
          <w:bCs/>
          <w:iCs/>
          <w:sz w:val="24"/>
          <w:szCs w:val="24"/>
        </w:rPr>
      </w:pPr>
      <w:r w:rsidRPr="000A7935">
        <w:rPr>
          <w:rFonts w:ascii="Times New Roman" w:hAnsi="Times New Roman" w:cs="Times New Roman"/>
          <w:bCs/>
          <w:iCs/>
          <w:sz w:val="24"/>
          <w:szCs w:val="24"/>
        </w:rPr>
        <w:t>В 2019 году проведены исследован</w:t>
      </w:r>
      <w:r w:rsidR="002E57C5">
        <w:rPr>
          <w:rFonts w:ascii="Times New Roman" w:hAnsi="Times New Roman" w:cs="Times New Roman"/>
          <w:bCs/>
          <w:iCs/>
          <w:sz w:val="24"/>
          <w:szCs w:val="24"/>
        </w:rPr>
        <w:t xml:space="preserve">ия воздуха замкнутых помещений </w:t>
      </w:r>
      <w:r w:rsidRPr="000A7935">
        <w:rPr>
          <w:rFonts w:ascii="Times New Roman" w:hAnsi="Times New Roman" w:cs="Times New Roman"/>
          <w:bCs/>
          <w:iCs/>
          <w:sz w:val="24"/>
          <w:szCs w:val="24"/>
        </w:rPr>
        <w:t xml:space="preserve">детских и подростковых  организаций на  пары и газы,исследовано 42 проб, несоответствующих -0. </w:t>
      </w:r>
    </w:p>
    <w:p w:rsidR="002914EB" w:rsidRPr="000A7935" w:rsidRDefault="002914EB" w:rsidP="002914EB">
      <w:pPr>
        <w:spacing w:after="0" w:line="240" w:lineRule="auto"/>
        <w:jc w:val="both"/>
        <w:rPr>
          <w:rFonts w:ascii="Times New Roman" w:hAnsi="Times New Roman" w:cs="Times New Roman"/>
          <w:bCs/>
          <w:iCs/>
          <w:sz w:val="24"/>
          <w:szCs w:val="24"/>
        </w:rPr>
      </w:pPr>
      <w:r w:rsidRPr="000A7935">
        <w:rPr>
          <w:rFonts w:ascii="Times New Roman" w:hAnsi="Times New Roman" w:cs="Times New Roman"/>
          <w:bCs/>
          <w:sz w:val="24"/>
          <w:szCs w:val="24"/>
        </w:rPr>
        <w:tab/>
      </w:r>
      <w:r w:rsidRPr="000A7935">
        <w:rPr>
          <w:rFonts w:ascii="Times New Roman" w:hAnsi="Times New Roman" w:cs="Times New Roman"/>
          <w:bCs/>
          <w:iCs/>
          <w:sz w:val="24"/>
          <w:szCs w:val="24"/>
        </w:rPr>
        <w:t xml:space="preserve"> </w:t>
      </w:r>
      <w:r w:rsidR="002E57C5">
        <w:rPr>
          <w:rFonts w:ascii="Times New Roman" w:hAnsi="Times New Roman" w:cs="Times New Roman"/>
          <w:bCs/>
          <w:iCs/>
          <w:sz w:val="24"/>
          <w:szCs w:val="24"/>
        </w:rPr>
        <w:t xml:space="preserve">В 2018г </w:t>
      </w:r>
      <w:r w:rsidRPr="000A7935">
        <w:rPr>
          <w:rFonts w:ascii="Times New Roman" w:hAnsi="Times New Roman" w:cs="Times New Roman"/>
          <w:bCs/>
          <w:iCs/>
          <w:sz w:val="24"/>
          <w:szCs w:val="24"/>
        </w:rPr>
        <w:t>проводились исследования воздуха замкнутых помещений в   детских, подростковых  учреждениях, исследовано 30 проб,несоответствующих-3, что составило 10%, и свидетельствует о  низком контроле  руководителей  учреждений за проводимым текущим ремонтов помещений. В 2020году исследования не проводились, в связи с приостановлением контрольно-надзорных мероприятий</w:t>
      </w:r>
    </w:p>
    <w:p w:rsidR="002914EB" w:rsidRPr="006C2061" w:rsidRDefault="002914EB" w:rsidP="002914EB">
      <w:pPr>
        <w:spacing w:after="0" w:line="240" w:lineRule="auto"/>
        <w:jc w:val="both"/>
        <w:rPr>
          <w:rFonts w:ascii="Times New Roman" w:hAnsi="Times New Roman" w:cs="Times New Roman"/>
          <w:bCs/>
          <w:iCs/>
          <w:sz w:val="24"/>
          <w:szCs w:val="24"/>
        </w:rPr>
      </w:pPr>
    </w:p>
    <w:p w:rsidR="002914EB" w:rsidRPr="006C2061" w:rsidRDefault="002914EB" w:rsidP="002914EB">
      <w:pPr>
        <w:pStyle w:val="a5"/>
        <w:ind w:firstLine="709"/>
        <w:jc w:val="both"/>
        <w:rPr>
          <w:b/>
          <w:bCs/>
          <w:sz w:val="24"/>
          <w:szCs w:val="24"/>
        </w:rPr>
      </w:pPr>
    </w:p>
    <w:p w:rsidR="002914EB" w:rsidRPr="006C2061" w:rsidRDefault="002914EB" w:rsidP="002914EB">
      <w:pPr>
        <w:pStyle w:val="a5"/>
        <w:ind w:firstLine="709"/>
        <w:jc w:val="both"/>
        <w:rPr>
          <w:b/>
          <w:sz w:val="22"/>
          <w:szCs w:val="22"/>
        </w:rPr>
      </w:pPr>
      <w:r w:rsidRPr="006C2061">
        <w:rPr>
          <w:noProof/>
          <w:lang w:val="ru-RU" w:eastAsia="ru-RU"/>
        </w:rPr>
        <w:lastRenderedPageBreak/>
        <w:drawing>
          <wp:inline distT="0" distB="0" distL="0" distR="0" wp14:anchorId="16229858" wp14:editId="483B2350">
            <wp:extent cx="5600700" cy="2095500"/>
            <wp:effectExtent l="0" t="0" r="0" b="0"/>
            <wp:docPr id="38"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2914EB" w:rsidRPr="006C2061" w:rsidRDefault="002914EB" w:rsidP="002914EB">
      <w:pPr>
        <w:pStyle w:val="a5"/>
        <w:ind w:firstLine="709"/>
        <w:jc w:val="both"/>
        <w:rPr>
          <w:bCs/>
          <w:sz w:val="22"/>
          <w:szCs w:val="22"/>
        </w:rPr>
      </w:pPr>
      <w:r w:rsidRPr="006C2061">
        <w:rPr>
          <w:b/>
          <w:sz w:val="22"/>
          <w:szCs w:val="22"/>
        </w:rPr>
        <w:t xml:space="preserve">Рис 2. </w:t>
      </w:r>
      <w:r w:rsidRPr="006C2061">
        <w:rPr>
          <w:sz w:val="22"/>
          <w:szCs w:val="22"/>
        </w:rPr>
        <w:t xml:space="preserve">Динамика проведенных измерений физических факторов </w:t>
      </w:r>
      <w:r w:rsidRPr="006C2061">
        <w:rPr>
          <w:bCs/>
          <w:sz w:val="24"/>
          <w:szCs w:val="24"/>
        </w:rPr>
        <w:t>по детским и подростковым организациям города Пыть-Ях</w:t>
      </w:r>
    </w:p>
    <w:p w:rsidR="002914EB" w:rsidRPr="006C2061" w:rsidRDefault="002914EB" w:rsidP="002914EB">
      <w:pPr>
        <w:pStyle w:val="a5"/>
        <w:ind w:left="708" w:firstLine="1"/>
        <w:jc w:val="both"/>
        <w:rPr>
          <w:b/>
          <w:bCs/>
          <w:sz w:val="24"/>
          <w:szCs w:val="24"/>
        </w:rPr>
      </w:pPr>
    </w:p>
    <w:p w:rsidR="002914EB" w:rsidRDefault="002914EB" w:rsidP="002914EB">
      <w:pPr>
        <w:spacing w:after="0" w:line="240" w:lineRule="auto"/>
        <w:jc w:val="both"/>
        <w:rPr>
          <w:rFonts w:ascii="Times New Roman" w:hAnsi="Times New Roman" w:cs="Times New Roman"/>
          <w:bCs/>
          <w:iCs/>
          <w:sz w:val="24"/>
          <w:szCs w:val="24"/>
        </w:rPr>
      </w:pPr>
      <w:r w:rsidRPr="000A7935">
        <w:rPr>
          <w:rFonts w:ascii="Times New Roman" w:hAnsi="Times New Roman" w:cs="Times New Roman"/>
          <w:bCs/>
          <w:sz w:val="24"/>
          <w:szCs w:val="24"/>
        </w:rPr>
        <w:t xml:space="preserve">    ИЛЦ филиала ФБУЗ «Центр гигиены и эпидемиологии в ХМАО-Югре в г. Нефтеюганске, Нефтеюганском районе и г. Пыть-Яхе»  проводятся исследования питьевой воды </w:t>
      </w:r>
      <w:r w:rsidRPr="000A7935">
        <w:rPr>
          <w:rFonts w:ascii="Times New Roman" w:hAnsi="Times New Roman" w:cs="Times New Roman"/>
          <w:bCs/>
          <w:iCs/>
          <w:sz w:val="24"/>
          <w:szCs w:val="24"/>
        </w:rPr>
        <w:t>исследования питьевой воды в о</w:t>
      </w:r>
      <w:r>
        <w:rPr>
          <w:rFonts w:ascii="Times New Roman" w:hAnsi="Times New Roman" w:cs="Times New Roman"/>
          <w:bCs/>
          <w:iCs/>
          <w:sz w:val="24"/>
          <w:szCs w:val="24"/>
        </w:rPr>
        <w:t>рг</w:t>
      </w:r>
      <w:r w:rsidRPr="000A7935">
        <w:rPr>
          <w:rFonts w:ascii="Times New Roman" w:hAnsi="Times New Roman" w:cs="Times New Roman"/>
          <w:bCs/>
          <w:iCs/>
          <w:sz w:val="24"/>
          <w:szCs w:val="24"/>
        </w:rPr>
        <w:t>анизациях детей и подростков города Пыть-Ях:</w:t>
      </w:r>
    </w:p>
    <w:p w:rsidR="002914EB" w:rsidRPr="00012653" w:rsidRDefault="002914EB" w:rsidP="002E57C5">
      <w:pPr>
        <w:spacing w:after="0" w:line="240" w:lineRule="auto"/>
        <w:ind w:firstLine="708"/>
        <w:jc w:val="both"/>
        <w:rPr>
          <w:rFonts w:ascii="Times New Roman" w:hAnsi="Times New Roman" w:cs="Times New Roman"/>
          <w:bCs/>
          <w:iCs/>
          <w:sz w:val="24"/>
          <w:szCs w:val="24"/>
        </w:rPr>
      </w:pPr>
      <w:r w:rsidRPr="00012653">
        <w:rPr>
          <w:rFonts w:ascii="Times New Roman" w:hAnsi="Times New Roman" w:cs="Times New Roman"/>
          <w:bCs/>
          <w:iCs/>
          <w:sz w:val="24"/>
          <w:szCs w:val="24"/>
        </w:rPr>
        <w:t>В 2020г. исследовано проб питьевой воды по микробиологическим показателям-51, из них не соответствует- 0,   по санитарно-химическим показателям -38 проб ,  из них не соответствуют 20 проб, процент несоответствующих-52,6%.;</w:t>
      </w:r>
    </w:p>
    <w:p w:rsidR="002914EB" w:rsidRPr="000A7935" w:rsidRDefault="002914EB" w:rsidP="002E57C5">
      <w:pPr>
        <w:spacing w:after="0" w:line="240" w:lineRule="auto"/>
        <w:ind w:firstLine="708"/>
        <w:jc w:val="both"/>
        <w:rPr>
          <w:rFonts w:ascii="Times New Roman" w:hAnsi="Times New Roman" w:cs="Times New Roman"/>
          <w:bCs/>
          <w:iCs/>
          <w:sz w:val="24"/>
          <w:szCs w:val="24"/>
        </w:rPr>
      </w:pPr>
      <w:r w:rsidRPr="000A7935">
        <w:rPr>
          <w:rFonts w:ascii="Times New Roman" w:hAnsi="Times New Roman" w:cs="Times New Roman"/>
          <w:bCs/>
          <w:iCs/>
          <w:sz w:val="24"/>
          <w:szCs w:val="24"/>
        </w:rPr>
        <w:t>В 2019г. исследовано проб питьевой воды по микробиологическим показателям-80, из них не соответствует- 1 проба,  процент несоответствующих-1,2 %  , по санитарно-химическим показателям -67 пробы ,  из них не соответствуют 25 проб, процент несоответствующих-37,3%;</w:t>
      </w:r>
    </w:p>
    <w:p w:rsidR="002914EB" w:rsidRPr="000A7935" w:rsidRDefault="002914EB" w:rsidP="002E57C5">
      <w:pPr>
        <w:spacing w:after="0" w:line="240" w:lineRule="auto"/>
        <w:ind w:firstLine="708"/>
        <w:jc w:val="both"/>
        <w:rPr>
          <w:rFonts w:ascii="Times New Roman" w:hAnsi="Times New Roman" w:cs="Times New Roman"/>
          <w:bCs/>
          <w:iCs/>
          <w:sz w:val="24"/>
          <w:szCs w:val="24"/>
        </w:rPr>
      </w:pPr>
      <w:r w:rsidRPr="000A7935">
        <w:rPr>
          <w:rFonts w:ascii="Times New Roman" w:hAnsi="Times New Roman" w:cs="Times New Roman"/>
          <w:bCs/>
          <w:iCs/>
          <w:sz w:val="24"/>
          <w:szCs w:val="24"/>
        </w:rPr>
        <w:t>В 2018г. исследовано проб питьевой воды по микробиологическим показателям-66, из них не соответствует- 0 пробы  , по санитарно-химическим показателям -51 пробы ,  из них не соответствуют 21 проб, процент несоответствующих-41,2%;</w:t>
      </w:r>
    </w:p>
    <w:p w:rsidR="002914EB" w:rsidRPr="00BD65C5" w:rsidRDefault="002914EB" w:rsidP="002914EB">
      <w:pPr>
        <w:spacing w:after="0" w:line="240" w:lineRule="auto"/>
        <w:jc w:val="both"/>
        <w:rPr>
          <w:rFonts w:ascii="Times New Roman" w:hAnsi="Times New Roman" w:cs="Times New Roman"/>
          <w:bCs/>
          <w:iCs/>
          <w:sz w:val="24"/>
          <w:szCs w:val="24"/>
          <w:highlight w:val="yellow"/>
        </w:rPr>
      </w:pPr>
    </w:p>
    <w:p w:rsidR="002914EB" w:rsidRPr="000A7935" w:rsidRDefault="002914EB" w:rsidP="002914EB">
      <w:pPr>
        <w:pStyle w:val="a5"/>
        <w:rPr>
          <w:b/>
          <w:bCs/>
          <w:sz w:val="24"/>
          <w:szCs w:val="24"/>
        </w:rPr>
      </w:pPr>
      <w:r w:rsidRPr="000A7935">
        <w:rPr>
          <w:b/>
          <w:bCs/>
          <w:sz w:val="24"/>
          <w:szCs w:val="24"/>
        </w:rPr>
        <w:t>Табл  № 4  Динамика исследований  проб  питьевой воды  в  детских и подростковых организациях города за2018-2020гг.</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1423"/>
        <w:gridCol w:w="2263"/>
        <w:gridCol w:w="1706"/>
        <w:gridCol w:w="2393"/>
        <w:gridCol w:w="1013"/>
      </w:tblGrid>
      <w:tr w:rsidR="002914EB" w:rsidRPr="000A7935" w:rsidTr="002914EB">
        <w:trPr>
          <w:trHeight w:val="672"/>
          <w:jc w:val="center"/>
        </w:trPr>
        <w:tc>
          <w:tcPr>
            <w:tcW w:w="1423" w:type="dxa"/>
            <w:vMerge w:val="restart"/>
          </w:tcPr>
          <w:p w:rsidR="002914EB" w:rsidRPr="000A7935" w:rsidRDefault="002914EB" w:rsidP="002914EB">
            <w:pPr>
              <w:spacing w:before="20" w:after="20"/>
              <w:jc w:val="center"/>
              <w:rPr>
                <w:rFonts w:ascii="Times New Roman" w:hAnsi="Times New Roman" w:cs="Times New Roman"/>
              </w:rPr>
            </w:pPr>
            <w:r w:rsidRPr="000A7935">
              <w:rPr>
                <w:rFonts w:ascii="Times New Roman" w:hAnsi="Times New Roman" w:cs="Times New Roman"/>
              </w:rPr>
              <w:t>Год</w:t>
            </w:r>
          </w:p>
        </w:tc>
        <w:tc>
          <w:tcPr>
            <w:tcW w:w="3969" w:type="dxa"/>
            <w:gridSpan w:val="2"/>
          </w:tcPr>
          <w:p w:rsidR="002914EB" w:rsidRPr="000A7935" w:rsidRDefault="002914EB" w:rsidP="002914EB">
            <w:pPr>
              <w:tabs>
                <w:tab w:val="left" w:pos="279"/>
              </w:tabs>
              <w:spacing w:before="20" w:after="20"/>
              <w:jc w:val="center"/>
              <w:rPr>
                <w:rFonts w:ascii="Times New Roman" w:hAnsi="Times New Roman" w:cs="Times New Roman"/>
              </w:rPr>
            </w:pPr>
            <w:r w:rsidRPr="000A7935">
              <w:rPr>
                <w:rFonts w:ascii="Times New Roman" w:hAnsi="Times New Roman" w:cs="Times New Roman"/>
              </w:rPr>
              <w:t>Микробиологические</w:t>
            </w:r>
          </w:p>
          <w:p w:rsidR="002914EB" w:rsidRPr="000A7935" w:rsidRDefault="002914EB" w:rsidP="002914EB">
            <w:pPr>
              <w:tabs>
                <w:tab w:val="left" w:pos="279"/>
              </w:tabs>
              <w:spacing w:before="20" w:after="20"/>
              <w:jc w:val="center"/>
              <w:rPr>
                <w:rFonts w:ascii="Times New Roman" w:hAnsi="Times New Roman" w:cs="Times New Roman"/>
              </w:rPr>
            </w:pPr>
            <w:r w:rsidRPr="000A7935">
              <w:rPr>
                <w:rFonts w:ascii="Times New Roman" w:hAnsi="Times New Roman" w:cs="Times New Roman"/>
              </w:rPr>
              <w:t>показатели</w:t>
            </w:r>
          </w:p>
        </w:tc>
        <w:tc>
          <w:tcPr>
            <w:tcW w:w="3406" w:type="dxa"/>
            <w:gridSpan w:val="2"/>
          </w:tcPr>
          <w:p w:rsidR="002914EB" w:rsidRPr="000A7935" w:rsidRDefault="002914EB" w:rsidP="002914EB">
            <w:pPr>
              <w:spacing w:before="20" w:after="20"/>
              <w:jc w:val="center"/>
              <w:rPr>
                <w:rFonts w:ascii="Times New Roman" w:hAnsi="Times New Roman" w:cs="Times New Roman"/>
              </w:rPr>
            </w:pPr>
            <w:r w:rsidRPr="000A7935">
              <w:rPr>
                <w:rFonts w:ascii="Times New Roman" w:hAnsi="Times New Roman" w:cs="Times New Roman"/>
              </w:rPr>
              <w:t>Санитарно-химические показатели</w:t>
            </w:r>
          </w:p>
        </w:tc>
      </w:tr>
      <w:tr w:rsidR="002914EB" w:rsidRPr="000A7935" w:rsidTr="002914EB">
        <w:trPr>
          <w:jc w:val="center"/>
        </w:trPr>
        <w:tc>
          <w:tcPr>
            <w:tcW w:w="1423" w:type="dxa"/>
            <w:vMerge/>
          </w:tcPr>
          <w:p w:rsidR="002914EB" w:rsidRPr="000A7935" w:rsidRDefault="002914EB" w:rsidP="002914EB">
            <w:pPr>
              <w:spacing w:before="20" w:after="20"/>
              <w:jc w:val="center"/>
              <w:rPr>
                <w:rFonts w:ascii="Times New Roman" w:hAnsi="Times New Roman" w:cs="Times New Roman"/>
              </w:rPr>
            </w:pPr>
          </w:p>
        </w:tc>
        <w:tc>
          <w:tcPr>
            <w:tcW w:w="2263" w:type="dxa"/>
          </w:tcPr>
          <w:p w:rsidR="002914EB" w:rsidRPr="000A7935" w:rsidRDefault="002914EB" w:rsidP="002914EB">
            <w:pPr>
              <w:spacing w:before="20" w:after="20"/>
              <w:jc w:val="center"/>
              <w:rPr>
                <w:rFonts w:ascii="Times New Roman" w:hAnsi="Times New Roman" w:cs="Times New Roman"/>
              </w:rPr>
            </w:pPr>
            <w:r w:rsidRPr="000A7935">
              <w:rPr>
                <w:rFonts w:ascii="Times New Roman" w:hAnsi="Times New Roman" w:cs="Times New Roman"/>
              </w:rPr>
              <w:t>Кол-во проб/не соотв.</w:t>
            </w:r>
          </w:p>
        </w:tc>
        <w:tc>
          <w:tcPr>
            <w:tcW w:w="1706" w:type="dxa"/>
          </w:tcPr>
          <w:p w:rsidR="002914EB" w:rsidRPr="000A7935" w:rsidRDefault="002914EB" w:rsidP="002914EB">
            <w:pPr>
              <w:spacing w:before="20" w:after="20"/>
              <w:jc w:val="center"/>
              <w:rPr>
                <w:rFonts w:ascii="Times New Roman" w:hAnsi="Times New Roman" w:cs="Times New Roman"/>
              </w:rPr>
            </w:pPr>
            <w:r w:rsidRPr="000A7935">
              <w:rPr>
                <w:rFonts w:ascii="Times New Roman" w:hAnsi="Times New Roman" w:cs="Times New Roman"/>
              </w:rPr>
              <w:t>%</w:t>
            </w:r>
          </w:p>
        </w:tc>
        <w:tc>
          <w:tcPr>
            <w:tcW w:w="2393" w:type="dxa"/>
          </w:tcPr>
          <w:p w:rsidR="002914EB" w:rsidRPr="000A7935" w:rsidRDefault="002914EB" w:rsidP="002914EB">
            <w:pPr>
              <w:spacing w:before="20" w:after="20"/>
              <w:jc w:val="center"/>
              <w:rPr>
                <w:rFonts w:ascii="Times New Roman" w:hAnsi="Times New Roman" w:cs="Times New Roman"/>
              </w:rPr>
            </w:pPr>
            <w:r w:rsidRPr="000A7935">
              <w:rPr>
                <w:rFonts w:ascii="Times New Roman" w:hAnsi="Times New Roman" w:cs="Times New Roman"/>
              </w:rPr>
              <w:t>Кол-во проб/не соотв.</w:t>
            </w:r>
          </w:p>
        </w:tc>
        <w:tc>
          <w:tcPr>
            <w:tcW w:w="1013" w:type="dxa"/>
          </w:tcPr>
          <w:p w:rsidR="002914EB" w:rsidRPr="000A7935" w:rsidRDefault="002914EB" w:rsidP="002914EB">
            <w:pPr>
              <w:spacing w:before="20" w:after="20"/>
              <w:jc w:val="center"/>
              <w:rPr>
                <w:rFonts w:ascii="Times New Roman" w:hAnsi="Times New Roman" w:cs="Times New Roman"/>
              </w:rPr>
            </w:pPr>
            <w:r w:rsidRPr="000A7935">
              <w:rPr>
                <w:rFonts w:ascii="Times New Roman" w:hAnsi="Times New Roman" w:cs="Times New Roman"/>
              </w:rPr>
              <w:t>%</w:t>
            </w:r>
          </w:p>
        </w:tc>
      </w:tr>
      <w:tr w:rsidR="002914EB" w:rsidRPr="000A7935" w:rsidTr="002914EB">
        <w:trPr>
          <w:jc w:val="center"/>
        </w:trPr>
        <w:tc>
          <w:tcPr>
            <w:tcW w:w="1423" w:type="dxa"/>
          </w:tcPr>
          <w:p w:rsidR="002914EB" w:rsidRPr="000A7935" w:rsidRDefault="002914EB" w:rsidP="002914EB">
            <w:pPr>
              <w:spacing w:before="20" w:after="20"/>
              <w:jc w:val="center"/>
              <w:rPr>
                <w:rFonts w:ascii="Times New Roman" w:hAnsi="Times New Roman" w:cs="Times New Roman"/>
              </w:rPr>
            </w:pPr>
            <w:r w:rsidRPr="000A7935">
              <w:rPr>
                <w:rFonts w:ascii="Times New Roman" w:hAnsi="Times New Roman" w:cs="Times New Roman"/>
              </w:rPr>
              <w:t>2018</w:t>
            </w:r>
          </w:p>
        </w:tc>
        <w:tc>
          <w:tcPr>
            <w:tcW w:w="2263" w:type="dxa"/>
          </w:tcPr>
          <w:p w:rsidR="002914EB" w:rsidRPr="000A7935" w:rsidRDefault="002914EB" w:rsidP="002914EB">
            <w:pPr>
              <w:spacing w:before="20" w:after="20"/>
              <w:jc w:val="center"/>
              <w:rPr>
                <w:rFonts w:ascii="Times New Roman" w:hAnsi="Times New Roman" w:cs="Times New Roman"/>
              </w:rPr>
            </w:pPr>
            <w:r w:rsidRPr="000A7935">
              <w:rPr>
                <w:rFonts w:ascii="Times New Roman" w:hAnsi="Times New Roman" w:cs="Times New Roman"/>
              </w:rPr>
              <w:t>66/0</w:t>
            </w:r>
          </w:p>
        </w:tc>
        <w:tc>
          <w:tcPr>
            <w:tcW w:w="1706" w:type="dxa"/>
          </w:tcPr>
          <w:p w:rsidR="002914EB" w:rsidRPr="000A7935" w:rsidRDefault="002914EB" w:rsidP="002914EB">
            <w:pPr>
              <w:spacing w:before="20" w:after="20"/>
              <w:jc w:val="center"/>
              <w:rPr>
                <w:rFonts w:ascii="Times New Roman" w:hAnsi="Times New Roman" w:cs="Times New Roman"/>
              </w:rPr>
            </w:pPr>
            <w:r w:rsidRPr="000A7935">
              <w:rPr>
                <w:rFonts w:ascii="Times New Roman" w:hAnsi="Times New Roman" w:cs="Times New Roman"/>
              </w:rPr>
              <w:t>0</w:t>
            </w:r>
          </w:p>
        </w:tc>
        <w:tc>
          <w:tcPr>
            <w:tcW w:w="2393" w:type="dxa"/>
          </w:tcPr>
          <w:p w:rsidR="002914EB" w:rsidRPr="000A7935" w:rsidRDefault="002914EB" w:rsidP="002914EB">
            <w:pPr>
              <w:spacing w:before="20" w:after="20"/>
              <w:jc w:val="center"/>
              <w:rPr>
                <w:rFonts w:ascii="Times New Roman" w:hAnsi="Times New Roman" w:cs="Times New Roman"/>
              </w:rPr>
            </w:pPr>
            <w:r w:rsidRPr="000A7935">
              <w:rPr>
                <w:rFonts w:ascii="Times New Roman" w:hAnsi="Times New Roman" w:cs="Times New Roman"/>
              </w:rPr>
              <w:t>51/21</w:t>
            </w:r>
          </w:p>
        </w:tc>
        <w:tc>
          <w:tcPr>
            <w:tcW w:w="1013" w:type="dxa"/>
          </w:tcPr>
          <w:p w:rsidR="002914EB" w:rsidRPr="000A7935" w:rsidRDefault="002914EB" w:rsidP="002914EB">
            <w:pPr>
              <w:spacing w:before="20" w:after="20"/>
              <w:jc w:val="center"/>
              <w:rPr>
                <w:rFonts w:ascii="Times New Roman" w:hAnsi="Times New Roman" w:cs="Times New Roman"/>
              </w:rPr>
            </w:pPr>
            <w:r w:rsidRPr="000A7935">
              <w:rPr>
                <w:rFonts w:ascii="Times New Roman" w:hAnsi="Times New Roman" w:cs="Times New Roman"/>
              </w:rPr>
              <w:t>41,2</w:t>
            </w:r>
          </w:p>
        </w:tc>
      </w:tr>
      <w:tr w:rsidR="002914EB" w:rsidRPr="000A7935" w:rsidTr="002914EB">
        <w:trPr>
          <w:jc w:val="center"/>
        </w:trPr>
        <w:tc>
          <w:tcPr>
            <w:tcW w:w="1423" w:type="dxa"/>
          </w:tcPr>
          <w:p w:rsidR="002914EB" w:rsidRPr="000A7935" w:rsidRDefault="002914EB" w:rsidP="002914EB">
            <w:pPr>
              <w:spacing w:before="20" w:after="20"/>
              <w:jc w:val="center"/>
              <w:rPr>
                <w:rFonts w:ascii="Times New Roman" w:hAnsi="Times New Roman" w:cs="Times New Roman"/>
              </w:rPr>
            </w:pPr>
            <w:r w:rsidRPr="000A7935">
              <w:rPr>
                <w:rFonts w:ascii="Times New Roman" w:hAnsi="Times New Roman" w:cs="Times New Roman"/>
              </w:rPr>
              <w:t>2019</w:t>
            </w:r>
          </w:p>
        </w:tc>
        <w:tc>
          <w:tcPr>
            <w:tcW w:w="2263" w:type="dxa"/>
          </w:tcPr>
          <w:p w:rsidR="002914EB" w:rsidRPr="000A7935" w:rsidRDefault="002914EB" w:rsidP="002914EB">
            <w:pPr>
              <w:spacing w:before="20" w:after="20"/>
              <w:jc w:val="center"/>
              <w:rPr>
                <w:rFonts w:ascii="Times New Roman" w:hAnsi="Times New Roman" w:cs="Times New Roman"/>
              </w:rPr>
            </w:pPr>
            <w:r w:rsidRPr="000A7935">
              <w:rPr>
                <w:rFonts w:ascii="Times New Roman" w:hAnsi="Times New Roman" w:cs="Times New Roman"/>
              </w:rPr>
              <w:t>80/1</w:t>
            </w:r>
          </w:p>
        </w:tc>
        <w:tc>
          <w:tcPr>
            <w:tcW w:w="1706" w:type="dxa"/>
          </w:tcPr>
          <w:p w:rsidR="002914EB" w:rsidRPr="000A7935" w:rsidRDefault="002914EB" w:rsidP="002914EB">
            <w:pPr>
              <w:spacing w:before="20" w:after="20"/>
              <w:jc w:val="center"/>
              <w:rPr>
                <w:rFonts w:ascii="Times New Roman" w:hAnsi="Times New Roman" w:cs="Times New Roman"/>
              </w:rPr>
            </w:pPr>
            <w:r w:rsidRPr="000A7935">
              <w:rPr>
                <w:rFonts w:ascii="Times New Roman" w:hAnsi="Times New Roman" w:cs="Times New Roman"/>
              </w:rPr>
              <w:t>1,2</w:t>
            </w:r>
          </w:p>
        </w:tc>
        <w:tc>
          <w:tcPr>
            <w:tcW w:w="2393" w:type="dxa"/>
          </w:tcPr>
          <w:p w:rsidR="002914EB" w:rsidRPr="000A7935" w:rsidRDefault="002914EB" w:rsidP="002914EB">
            <w:pPr>
              <w:spacing w:before="20" w:after="20"/>
              <w:jc w:val="center"/>
              <w:rPr>
                <w:rFonts w:ascii="Times New Roman" w:hAnsi="Times New Roman" w:cs="Times New Roman"/>
              </w:rPr>
            </w:pPr>
            <w:r w:rsidRPr="000A7935">
              <w:rPr>
                <w:rFonts w:ascii="Times New Roman" w:hAnsi="Times New Roman" w:cs="Times New Roman"/>
              </w:rPr>
              <w:t>67/25</w:t>
            </w:r>
          </w:p>
        </w:tc>
        <w:tc>
          <w:tcPr>
            <w:tcW w:w="1013" w:type="dxa"/>
          </w:tcPr>
          <w:p w:rsidR="002914EB" w:rsidRPr="000A7935" w:rsidRDefault="002914EB" w:rsidP="002914EB">
            <w:pPr>
              <w:spacing w:before="20" w:after="20"/>
              <w:jc w:val="center"/>
              <w:rPr>
                <w:rFonts w:ascii="Times New Roman" w:hAnsi="Times New Roman" w:cs="Times New Roman"/>
              </w:rPr>
            </w:pPr>
            <w:r w:rsidRPr="000A7935">
              <w:rPr>
                <w:rFonts w:ascii="Times New Roman" w:hAnsi="Times New Roman" w:cs="Times New Roman"/>
              </w:rPr>
              <w:t>37,3</w:t>
            </w:r>
          </w:p>
        </w:tc>
      </w:tr>
      <w:tr w:rsidR="002914EB" w:rsidRPr="000A7935" w:rsidTr="002914EB">
        <w:trPr>
          <w:jc w:val="center"/>
        </w:trPr>
        <w:tc>
          <w:tcPr>
            <w:tcW w:w="1423" w:type="dxa"/>
          </w:tcPr>
          <w:p w:rsidR="002914EB" w:rsidRPr="000A7935" w:rsidRDefault="002914EB" w:rsidP="002914EB">
            <w:pPr>
              <w:spacing w:before="20" w:after="20"/>
              <w:jc w:val="center"/>
              <w:rPr>
                <w:rFonts w:ascii="Times New Roman" w:hAnsi="Times New Roman" w:cs="Times New Roman"/>
              </w:rPr>
            </w:pPr>
            <w:r w:rsidRPr="000A7935">
              <w:rPr>
                <w:rFonts w:ascii="Times New Roman" w:hAnsi="Times New Roman" w:cs="Times New Roman"/>
              </w:rPr>
              <w:t>2020</w:t>
            </w:r>
          </w:p>
        </w:tc>
        <w:tc>
          <w:tcPr>
            <w:tcW w:w="2263" w:type="dxa"/>
          </w:tcPr>
          <w:p w:rsidR="002914EB" w:rsidRPr="000A7935" w:rsidRDefault="002914EB" w:rsidP="002914EB">
            <w:pPr>
              <w:spacing w:before="20" w:after="20"/>
              <w:jc w:val="center"/>
              <w:rPr>
                <w:rFonts w:ascii="Times New Roman" w:hAnsi="Times New Roman" w:cs="Times New Roman"/>
              </w:rPr>
            </w:pPr>
            <w:r>
              <w:rPr>
                <w:rFonts w:ascii="Times New Roman" w:hAnsi="Times New Roman" w:cs="Times New Roman"/>
              </w:rPr>
              <w:t>51/0</w:t>
            </w:r>
          </w:p>
        </w:tc>
        <w:tc>
          <w:tcPr>
            <w:tcW w:w="1706" w:type="dxa"/>
          </w:tcPr>
          <w:p w:rsidR="002914EB" w:rsidRPr="000A7935" w:rsidRDefault="002914EB" w:rsidP="002914EB">
            <w:pPr>
              <w:spacing w:before="20" w:after="20"/>
              <w:jc w:val="center"/>
              <w:rPr>
                <w:rFonts w:ascii="Times New Roman" w:hAnsi="Times New Roman" w:cs="Times New Roman"/>
              </w:rPr>
            </w:pPr>
            <w:r>
              <w:rPr>
                <w:rFonts w:ascii="Times New Roman" w:hAnsi="Times New Roman" w:cs="Times New Roman"/>
              </w:rPr>
              <w:t>0</w:t>
            </w:r>
          </w:p>
        </w:tc>
        <w:tc>
          <w:tcPr>
            <w:tcW w:w="2393" w:type="dxa"/>
          </w:tcPr>
          <w:p w:rsidR="002914EB" w:rsidRPr="000A7935" w:rsidRDefault="002914EB" w:rsidP="002914EB">
            <w:pPr>
              <w:spacing w:before="20" w:after="20"/>
              <w:jc w:val="center"/>
              <w:rPr>
                <w:rFonts w:ascii="Times New Roman" w:hAnsi="Times New Roman" w:cs="Times New Roman"/>
              </w:rPr>
            </w:pPr>
            <w:r>
              <w:rPr>
                <w:rFonts w:ascii="Times New Roman" w:hAnsi="Times New Roman" w:cs="Times New Roman"/>
              </w:rPr>
              <w:t>38/20</w:t>
            </w:r>
          </w:p>
        </w:tc>
        <w:tc>
          <w:tcPr>
            <w:tcW w:w="1013" w:type="dxa"/>
          </w:tcPr>
          <w:p w:rsidR="002914EB" w:rsidRPr="000A7935" w:rsidRDefault="002914EB" w:rsidP="002914EB">
            <w:pPr>
              <w:spacing w:before="20" w:after="20"/>
              <w:jc w:val="center"/>
              <w:rPr>
                <w:rFonts w:ascii="Times New Roman" w:hAnsi="Times New Roman" w:cs="Times New Roman"/>
              </w:rPr>
            </w:pPr>
            <w:r>
              <w:rPr>
                <w:rFonts w:ascii="Times New Roman" w:hAnsi="Times New Roman" w:cs="Times New Roman"/>
              </w:rPr>
              <w:t>52,6</w:t>
            </w:r>
          </w:p>
        </w:tc>
      </w:tr>
    </w:tbl>
    <w:p w:rsidR="002914EB" w:rsidRPr="00BD65C5" w:rsidRDefault="002914EB" w:rsidP="002914EB">
      <w:pPr>
        <w:spacing w:after="120"/>
        <w:jc w:val="both"/>
        <w:rPr>
          <w:rFonts w:ascii="Times New Roman" w:hAnsi="Times New Roman" w:cs="Times New Roman"/>
          <w:bCs/>
          <w:iCs/>
          <w:sz w:val="24"/>
          <w:szCs w:val="24"/>
          <w:highlight w:val="yellow"/>
        </w:rPr>
      </w:pPr>
    </w:p>
    <w:p w:rsidR="002914EB" w:rsidRPr="00012653" w:rsidRDefault="002914EB" w:rsidP="002E57C5">
      <w:pPr>
        <w:spacing w:after="0" w:line="240" w:lineRule="auto"/>
        <w:ind w:firstLine="708"/>
        <w:jc w:val="both"/>
        <w:rPr>
          <w:rFonts w:ascii="Times New Roman" w:hAnsi="Times New Roman" w:cs="Times New Roman"/>
          <w:bCs/>
          <w:sz w:val="24"/>
          <w:szCs w:val="24"/>
        </w:rPr>
      </w:pPr>
      <w:r w:rsidRPr="00012653">
        <w:rPr>
          <w:rFonts w:ascii="Times New Roman" w:hAnsi="Times New Roman" w:cs="Times New Roman"/>
          <w:bCs/>
          <w:iCs/>
          <w:sz w:val="24"/>
          <w:szCs w:val="24"/>
        </w:rPr>
        <w:t xml:space="preserve">В 2020г процент несоответствующих проб  питьевой воды по санитарно-химическим показателям увеличился с 41.2 % в 2018г, 37,3% в 2019г до 52,6%в 2020году, что свидетельствует обухудшениипроводимой работы по обеспеченности </w:t>
      </w:r>
      <w:r w:rsidRPr="00012653">
        <w:rPr>
          <w:rFonts w:ascii="Times New Roman" w:hAnsi="Times New Roman" w:cs="Times New Roman"/>
          <w:bCs/>
          <w:sz w:val="24"/>
          <w:szCs w:val="24"/>
        </w:rPr>
        <w:t>детских и подростковых организациях города  питьевой водой.  низкой эффективностью    систем водоочистки ( табл № 4).</w:t>
      </w:r>
    </w:p>
    <w:p w:rsidR="002914EB" w:rsidRPr="00012653" w:rsidRDefault="002914EB" w:rsidP="002E57C5">
      <w:pPr>
        <w:spacing w:after="0" w:line="240" w:lineRule="auto"/>
        <w:ind w:firstLine="708"/>
        <w:jc w:val="both"/>
        <w:rPr>
          <w:rFonts w:ascii="Times New Roman" w:hAnsi="Times New Roman" w:cs="Times New Roman"/>
          <w:bCs/>
          <w:sz w:val="24"/>
          <w:szCs w:val="24"/>
        </w:rPr>
      </w:pPr>
      <w:r w:rsidRPr="00012653">
        <w:rPr>
          <w:rFonts w:ascii="Times New Roman" w:hAnsi="Times New Roman" w:cs="Times New Roman"/>
          <w:bCs/>
          <w:iCs/>
          <w:sz w:val="24"/>
          <w:szCs w:val="24"/>
        </w:rPr>
        <w:t>В 2019г. процент несоответствующих проб составляет 1,2%,  2018г.,2020годунесоответствующих проб  питьевой воды по микробиологическим показателям не зарегистрировано</w:t>
      </w:r>
      <w:r w:rsidRPr="00012653">
        <w:rPr>
          <w:rFonts w:ascii="Times New Roman" w:hAnsi="Times New Roman" w:cs="Times New Roman"/>
          <w:bCs/>
          <w:sz w:val="24"/>
          <w:szCs w:val="24"/>
        </w:rPr>
        <w:t>.</w:t>
      </w:r>
    </w:p>
    <w:p w:rsidR="002914EB" w:rsidRPr="00012653" w:rsidRDefault="002914EB" w:rsidP="002914EB">
      <w:pPr>
        <w:spacing w:after="120"/>
        <w:jc w:val="both"/>
        <w:rPr>
          <w:rFonts w:ascii="Times New Roman" w:hAnsi="Times New Roman" w:cs="Times New Roman"/>
          <w:sz w:val="24"/>
          <w:szCs w:val="24"/>
        </w:rPr>
      </w:pPr>
      <w:r w:rsidRPr="00012653">
        <w:rPr>
          <w:rFonts w:ascii="Times New Roman" w:hAnsi="Times New Roman" w:cs="Times New Roman"/>
          <w:sz w:val="24"/>
          <w:szCs w:val="24"/>
        </w:rPr>
        <w:t>В</w:t>
      </w:r>
      <w:r w:rsidR="002E57C5">
        <w:rPr>
          <w:rFonts w:ascii="Times New Roman" w:hAnsi="Times New Roman" w:cs="Times New Roman"/>
          <w:sz w:val="24"/>
          <w:szCs w:val="24"/>
        </w:rPr>
        <w:tab/>
      </w:r>
      <w:r w:rsidRPr="00012653">
        <w:rPr>
          <w:rFonts w:ascii="Times New Roman" w:hAnsi="Times New Roman" w:cs="Times New Roman"/>
          <w:sz w:val="24"/>
          <w:szCs w:val="24"/>
        </w:rPr>
        <w:t xml:space="preserve"> 201</w:t>
      </w:r>
      <w:r>
        <w:rPr>
          <w:rFonts w:ascii="Times New Roman" w:hAnsi="Times New Roman" w:cs="Times New Roman"/>
          <w:sz w:val="24"/>
          <w:szCs w:val="24"/>
        </w:rPr>
        <w:t>8</w:t>
      </w:r>
      <w:r w:rsidRPr="00012653">
        <w:rPr>
          <w:rFonts w:ascii="Times New Roman" w:hAnsi="Times New Roman" w:cs="Times New Roman"/>
          <w:sz w:val="24"/>
          <w:szCs w:val="24"/>
        </w:rPr>
        <w:t>-20</w:t>
      </w:r>
      <w:r>
        <w:rPr>
          <w:rFonts w:ascii="Times New Roman" w:hAnsi="Times New Roman" w:cs="Times New Roman"/>
          <w:sz w:val="24"/>
          <w:szCs w:val="24"/>
        </w:rPr>
        <w:t>20</w:t>
      </w:r>
      <w:r w:rsidRPr="00012653">
        <w:rPr>
          <w:rFonts w:ascii="Times New Roman" w:hAnsi="Times New Roman" w:cs="Times New Roman"/>
          <w:sz w:val="24"/>
          <w:szCs w:val="24"/>
        </w:rPr>
        <w:t>годах ИЛЦ ФФБУЗ проводились исследования проб почвы  на территориях детских подростковых организаций  по микробиологическим и паразитологическим показателям.</w:t>
      </w:r>
    </w:p>
    <w:p w:rsidR="002914EB" w:rsidRPr="00825088" w:rsidRDefault="002914EB" w:rsidP="002914EB">
      <w:pPr>
        <w:ind w:left="6480" w:firstLine="708"/>
        <w:jc w:val="both"/>
        <w:rPr>
          <w:rFonts w:ascii="Times New Roman" w:hAnsi="Times New Roman" w:cs="Times New Roman"/>
        </w:rPr>
      </w:pPr>
      <w:r w:rsidRPr="00825088">
        <w:rPr>
          <w:rFonts w:ascii="Times New Roman" w:hAnsi="Times New Roman" w:cs="Times New Roman"/>
        </w:rPr>
        <w:t>Таблица № 5</w:t>
      </w:r>
    </w:p>
    <w:p w:rsidR="002914EB" w:rsidRPr="00825088" w:rsidRDefault="002914EB" w:rsidP="002914EB">
      <w:pPr>
        <w:jc w:val="center"/>
        <w:rPr>
          <w:rFonts w:ascii="Times New Roman" w:hAnsi="Times New Roman" w:cs="Times New Roman"/>
          <w:b/>
          <w:bCs/>
        </w:rPr>
      </w:pPr>
      <w:r w:rsidRPr="00825088">
        <w:rPr>
          <w:rFonts w:ascii="Times New Roman" w:hAnsi="Times New Roman" w:cs="Times New Roman"/>
          <w:b/>
          <w:bCs/>
        </w:rPr>
        <w:t>Динамика исследований почвы за 2018-2020г.г.</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1200"/>
        <w:gridCol w:w="1019"/>
        <w:gridCol w:w="1020"/>
        <w:gridCol w:w="1020"/>
        <w:gridCol w:w="1020"/>
        <w:gridCol w:w="1019"/>
        <w:gridCol w:w="1020"/>
        <w:gridCol w:w="1020"/>
        <w:gridCol w:w="1020"/>
      </w:tblGrid>
      <w:tr w:rsidR="002914EB" w:rsidRPr="00BD65C5" w:rsidTr="002914EB">
        <w:trPr>
          <w:trHeight w:val="672"/>
          <w:jc w:val="center"/>
        </w:trPr>
        <w:tc>
          <w:tcPr>
            <w:tcW w:w="1200" w:type="dxa"/>
            <w:vMerge w:val="restart"/>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lastRenderedPageBreak/>
              <w:t>Год</w:t>
            </w:r>
          </w:p>
        </w:tc>
        <w:tc>
          <w:tcPr>
            <w:tcW w:w="2039" w:type="dxa"/>
            <w:gridSpan w:val="2"/>
          </w:tcPr>
          <w:p w:rsidR="002914EB" w:rsidRPr="00825088" w:rsidRDefault="002914EB" w:rsidP="002914EB">
            <w:pPr>
              <w:tabs>
                <w:tab w:val="left" w:pos="279"/>
              </w:tabs>
              <w:spacing w:before="20" w:after="20"/>
              <w:jc w:val="center"/>
              <w:rPr>
                <w:rFonts w:ascii="Times New Roman" w:hAnsi="Times New Roman" w:cs="Times New Roman"/>
              </w:rPr>
            </w:pPr>
            <w:r w:rsidRPr="00825088">
              <w:rPr>
                <w:rFonts w:ascii="Times New Roman" w:hAnsi="Times New Roman" w:cs="Times New Roman"/>
              </w:rPr>
              <w:t>Микробиологи-ческие</w:t>
            </w:r>
          </w:p>
          <w:p w:rsidR="002914EB" w:rsidRPr="00825088" w:rsidRDefault="002914EB" w:rsidP="002914EB">
            <w:pPr>
              <w:tabs>
                <w:tab w:val="left" w:pos="279"/>
              </w:tabs>
              <w:spacing w:before="20" w:after="20"/>
              <w:jc w:val="center"/>
              <w:rPr>
                <w:rFonts w:ascii="Times New Roman" w:hAnsi="Times New Roman" w:cs="Times New Roman"/>
              </w:rPr>
            </w:pPr>
            <w:r w:rsidRPr="00825088">
              <w:rPr>
                <w:rFonts w:ascii="Times New Roman" w:hAnsi="Times New Roman" w:cs="Times New Roman"/>
              </w:rPr>
              <w:t>исследования</w:t>
            </w:r>
          </w:p>
        </w:tc>
        <w:tc>
          <w:tcPr>
            <w:tcW w:w="2040" w:type="dxa"/>
            <w:gridSpan w:val="2"/>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Паразитологи-ческие исследования</w:t>
            </w:r>
          </w:p>
        </w:tc>
        <w:tc>
          <w:tcPr>
            <w:tcW w:w="2039" w:type="dxa"/>
            <w:gridSpan w:val="2"/>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Санитарно-химические исследования</w:t>
            </w:r>
          </w:p>
        </w:tc>
        <w:tc>
          <w:tcPr>
            <w:tcW w:w="2040" w:type="dxa"/>
            <w:gridSpan w:val="2"/>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Радиологические исследования</w:t>
            </w:r>
          </w:p>
        </w:tc>
      </w:tr>
      <w:tr w:rsidR="002914EB" w:rsidRPr="00BD65C5" w:rsidTr="002914EB">
        <w:trPr>
          <w:jc w:val="center"/>
        </w:trPr>
        <w:tc>
          <w:tcPr>
            <w:tcW w:w="1200" w:type="dxa"/>
            <w:vMerge/>
          </w:tcPr>
          <w:p w:rsidR="002914EB" w:rsidRPr="00825088" w:rsidRDefault="002914EB" w:rsidP="002914EB">
            <w:pPr>
              <w:spacing w:before="20" w:after="20"/>
              <w:jc w:val="center"/>
              <w:rPr>
                <w:rFonts w:ascii="Times New Roman" w:hAnsi="Times New Roman" w:cs="Times New Roman"/>
              </w:rPr>
            </w:pPr>
          </w:p>
        </w:tc>
        <w:tc>
          <w:tcPr>
            <w:tcW w:w="1019"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Кол-во проб/не соотв.</w:t>
            </w:r>
          </w:p>
        </w:tc>
        <w:tc>
          <w:tcPr>
            <w:tcW w:w="1020"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w:t>
            </w:r>
          </w:p>
        </w:tc>
        <w:tc>
          <w:tcPr>
            <w:tcW w:w="1020"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Кол-во проб/не соотв.</w:t>
            </w:r>
          </w:p>
        </w:tc>
        <w:tc>
          <w:tcPr>
            <w:tcW w:w="1020"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w:t>
            </w:r>
          </w:p>
        </w:tc>
        <w:tc>
          <w:tcPr>
            <w:tcW w:w="1019"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Кол-во проб/не соотв.</w:t>
            </w:r>
          </w:p>
        </w:tc>
        <w:tc>
          <w:tcPr>
            <w:tcW w:w="1020"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w:t>
            </w:r>
          </w:p>
        </w:tc>
        <w:tc>
          <w:tcPr>
            <w:tcW w:w="1020"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Кол-во проб/не соотв.</w:t>
            </w:r>
          </w:p>
        </w:tc>
        <w:tc>
          <w:tcPr>
            <w:tcW w:w="1020"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w:t>
            </w:r>
          </w:p>
        </w:tc>
      </w:tr>
      <w:tr w:rsidR="002914EB" w:rsidRPr="00BD65C5" w:rsidTr="002914EB">
        <w:trPr>
          <w:jc w:val="center"/>
        </w:trPr>
        <w:tc>
          <w:tcPr>
            <w:tcW w:w="1200"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2018г</w:t>
            </w:r>
          </w:p>
        </w:tc>
        <w:tc>
          <w:tcPr>
            <w:tcW w:w="1019"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9/0</w:t>
            </w:r>
          </w:p>
        </w:tc>
        <w:tc>
          <w:tcPr>
            <w:tcW w:w="1020"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0</w:t>
            </w:r>
          </w:p>
        </w:tc>
        <w:tc>
          <w:tcPr>
            <w:tcW w:w="1020"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25/0</w:t>
            </w:r>
          </w:p>
        </w:tc>
        <w:tc>
          <w:tcPr>
            <w:tcW w:w="1020"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0</w:t>
            </w:r>
          </w:p>
        </w:tc>
        <w:tc>
          <w:tcPr>
            <w:tcW w:w="1019"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7/0</w:t>
            </w:r>
          </w:p>
        </w:tc>
        <w:tc>
          <w:tcPr>
            <w:tcW w:w="1020"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0</w:t>
            </w:r>
          </w:p>
        </w:tc>
        <w:tc>
          <w:tcPr>
            <w:tcW w:w="1020"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1/0</w:t>
            </w:r>
          </w:p>
        </w:tc>
        <w:tc>
          <w:tcPr>
            <w:tcW w:w="1020"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0</w:t>
            </w:r>
          </w:p>
        </w:tc>
      </w:tr>
      <w:tr w:rsidR="002914EB" w:rsidRPr="00BD65C5" w:rsidTr="002914EB">
        <w:trPr>
          <w:jc w:val="center"/>
        </w:trPr>
        <w:tc>
          <w:tcPr>
            <w:tcW w:w="1200"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2019г</w:t>
            </w:r>
          </w:p>
        </w:tc>
        <w:tc>
          <w:tcPr>
            <w:tcW w:w="1019"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4/0</w:t>
            </w:r>
          </w:p>
        </w:tc>
        <w:tc>
          <w:tcPr>
            <w:tcW w:w="1020"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0</w:t>
            </w:r>
          </w:p>
        </w:tc>
        <w:tc>
          <w:tcPr>
            <w:tcW w:w="1020"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24/0</w:t>
            </w:r>
          </w:p>
        </w:tc>
        <w:tc>
          <w:tcPr>
            <w:tcW w:w="1020"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0</w:t>
            </w:r>
          </w:p>
        </w:tc>
        <w:tc>
          <w:tcPr>
            <w:tcW w:w="1019"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4/0</w:t>
            </w:r>
          </w:p>
        </w:tc>
        <w:tc>
          <w:tcPr>
            <w:tcW w:w="1020"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0</w:t>
            </w:r>
          </w:p>
        </w:tc>
        <w:tc>
          <w:tcPr>
            <w:tcW w:w="1020"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1/0</w:t>
            </w:r>
          </w:p>
        </w:tc>
        <w:tc>
          <w:tcPr>
            <w:tcW w:w="1020" w:type="dxa"/>
          </w:tcPr>
          <w:p w:rsidR="002914EB" w:rsidRPr="00825088" w:rsidRDefault="002914EB" w:rsidP="002914EB">
            <w:pPr>
              <w:spacing w:before="20" w:after="20"/>
              <w:jc w:val="center"/>
              <w:rPr>
                <w:rFonts w:ascii="Times New Roman" w:hAnsi="Times New Roman" w:cs="Times New Roman"/>
              </w:rPr>
            </w:pPr>
            <w:r w:rsidRPr="00825088">
              <w:rPr>
                <w:rFonts w:ascii="Times New Roman" w:hAnsi="Times New Roman" w:cs="Times New Roman"/>
              </w:rPr>
              <w:t>0</w:t>
            </w:r>
          </w:p>
        </w:tc>
      </w:tr>
      <w:tr w:rsidR="002914EB" w:rsidRPr="00BD65C5" w:rsidTr="002914EB">
        <w:trPr>
          <w:jc w:val="center"/>
        </w:trPr>
        <w:tc>
          <w:tcPr>
            <w:tcW w:w="1200" w:type="dxa"/>
          </w:tcPr>
          <w:p w:rsidR="002914EB" w:rsidRPr="00825088" w:rsidRDefault="002914EB" w:rsidP="002914EB">
            <w:pPr>
              <w:spacing w:before="20" w:after="20"/>
              <w:jc w:val="center"/>
              <w:rPr>
                <w:rFonts w:ascii="Times New Roman" w:hAnsi="Times New Roman" w:cs="Times New Roman"/>
              </w:rPr>
            </w:pPr>
            <w:r>
              <w:rPr>
                <w:rFonts w:ascii="Times New Roman" w:hAnsi="Times New Roman" w:cs="Times New Roman"/>
              </w:rPr>
              <w:t>2020</w:t>
            </w:r>
          </w:p>
        </w:tc>
        <w:tc>
          <w:tcPr>
            <w:tcW w:w="1019" w:type="dxa"/>
          </w:tcPr>
          <w:p w:rsidR="002914EB" w:rsidRPr="00825088" w:rsidRDefault="002914EB" w:rsidP="002914EB">
            <w:pPr>
              <w:spacing w:before="20" w:after="20"/>
              <w:jc w:val="center"/>
              <w:rPr>
                <w:rFonts w:ascii="Times New Roman" w:hAnsi="Times New Roman" w:cs="Times New Roman"/>
              </w:rPr>
            </w:pPr>
            <w:r>
              <w:rPr>
                <w:rFonts w:ascii="Times New Roman" w:hAnsi="Times New Roman" w:cs="Times New Roman"/>
              </w:rPr>
              <w:t>5/0</w:t>
            </w:r>
          </w:p>
        </w:tc>
        <w:tc>
          <w:tcPr>
            <w:tcW w:w="1020" w:type="dxa"/>
          </w:tcPr>
          <w:p w:rsidR="002914EB" w:rsidRPr="00825088" w:rsidRDefault="002914EB" w:rsidP="002914EB">
            <w:pPr>
              <w:spacing w:before="20" w:after="20"/>
              <w:jc w:val="center"/>
              <w:rPr>
                <w:rFonts w:ascii="Times New Roman" w:hAnsi="Times New Roman" w:cs="Times New Roman"/>
              </w:rPr>
            </w:pPr>
            <w:r>
              <w:rPr>
                <w:rFonts w:ascii="Times New Roman" w:hAnsi="Times New Roman" w:cs="Times New Roman"/>
              </w:rPr>
              <w:t>0</w:t>
            </w:r>
          </w:p>
        </w:tc>
        <w:tc>
          <w:tcPr>
            <w:tcW w:w="1020" w:type="dxa"/>
          </w:tcPr>
          <w:p w:rsidR="002914EB" w:rsidRPr="00825088" w:rsidRDefault="002914EB" w:rsidP="002914EB">
            <w:pPr>
              <w:spacing w:before="20" w:after="20"/>
              <w:jc w:val="center"/>
              <w:rPr>
                <w:rFonts w:ascii="Times New Roman" w:hAnsi="Times New Roman" w:cs="Times New Roman"/>
              </w:rPr>
            </w:pPr>
            <w:r>
              <w:rPr>
                <w:rFonts w:ascii="Times New Roman" w:hAnsi="Times New Roman" w:cs="Times New Roman"/>
              </w:rPr>
              <w:t>41/0</w:t>
            </w:r>
          </w:p>
        </w:tc>
        <w:tc>
          <w:tcPr>
            <w:tcW w:w="1020" w:type="dxa"/>
          </w:tcPr>
          <w:p w:rsidR="002914EB" w:rsidRPr="00825088" w:rsidRDefault="002914EB" w:rsidP="002914EB">
            <w:pPr>
              <w:spacing w:before="20" w:after="20"/>
              <w:jc w:val="center"/>
              <w:rPr>
                <w:rFonts w:ascii="Times New Roman" w:hAnsi="Times New Roman" w:cs="Times New Roman"/>
              </w:rPr>
            </w:pPr>
            <w:r>
              <w:rPr>
                <w:rFonts w:ascii="Times New Roman" w:hAnsi="Times New Roman" w:cs="Times New Roman"/>
              </w:rPr>
              <w:t>0</w:t>
            </w:r>
          </w:p>
        </w:tc>
        <w:tc>
          <w:tcPr>
            <w:tcW w:w="1019" w:type="dxa"/>
          </w:tcPr>
          <w:p w:rsidR="002914EB" w:rsidRPr="00825088" w:rsidRDefault="002914EB" w:rsidP="002914EB">
            <w:pPr>
              <w:spacing w:before="20" w:after="20"/>
              <w:jc w:val="center"/>
              <w:rPr>
                <w:rFonts w:ascii="Times New Roman" w:hAnsi="Times New Roman" w:cs="Times New Roman"/>
              </w:rPr>
            </w:pPr>
            <w:r>
              <w:rPr>
                <w:rFonts w:ascii="Times New Roman" w:hAnsi="Times New Roman" w:cs="Times New Roman"/>
              </w:rPr>
              <w:t>4</w:t>
            </w:r>
          </w:p>
        </w:tc>
        <w:tc>
          <w:tcPr>
            <w:tcW w:w="1020" w:type="dxa"/>
          </w:tcPr>
          <w:p w:rsidR="002914EB" w:rsidRPr="00825088" w:rsidRDefault="002914EB" w:rsidP="002914EB">
            <w:pPr>
              <w:spacing w:before="20" w:after="20"/>
              <w:jc w:val="center"/>
              <w:rPr>
                <w:rFonts w:ascii="Times New Roman" w:hAnsi="Times New Roman" w:cs="Times New Roman"/>
              </w:rPr>
            </w:pPr>
            <w:r>
              <w:rPr>
                <w:rFonts w:ascii="Times New Roman" w:hAnsi="Times New Roman" w:cs="Times New Roman"/>
              </w:rPr>
              <w:t>0</w:t>
            </w:r>
          </w:p>
        </w:tc>
        <w:tc>
          <w:tcPr>
            <w:tcW w:w="1020" w:type="dxa"/>
          </w:tcPr>
          <w:p w:rsidR="002914EB" w:rsidRPr="00825088" w:rsidRDefault="002914EB" w:rsidP="002914EB">
            <w:pPr>
              <w:spacing w:before="20" w:after="20"/>
              <w:jc w:val="center"/>
              <w:rPr>
                <w:rFonts w:ascii="Times New Roman" w:hAnsi="Times New Roman" w:cs="Times New Roman"/>
              </w:rPr>
            </w:pPr>
            <w:r>
              <w:rPr>
                <w:rFonts w:ascii="Times New Roman" w:hAnsi="Times New Roman" w:cs="Times New Roman"/>
              </w:rPr>
              <w:t>1/0</w:t>
            </w:r>
          </w:p>
        </w:tc>
        <w:tc>
          <w:tcPr>
            <w:tcW w:w="1020" w:type="dxa"/>
          </w:tcPr>
          <w:p w:rsidR="002914EB" w:rsidRPr="00825088" w:rsidRDefault="002914EB" w:rsidP="002914EB">
            <w:pPr>
              <w:spacing w:before="20" w:after="20"/>
              <w:jc w:val="center"/>
              <w:rPr>
                <w:rFonts w:ascii="Times New Roman" w:hAnsi="Times New Roman" w:cs="Times New Roman"/>
              </w:rPr>
            </w:pPr>
            <w:r>
              <w:rPr>
                <w:rFonts w:ascii="Times New Roman" w:hAnsi="Times New Roman" w:cs="Times New Roman"/>
              </w:rPr>
              <w:t>0</w:t>
            </w:r>
          </w:p>
        </w:tc>
      </w:tr>
    </w:tbl>
    <w:p w:rsidR="002914EB" w:rsidRPr="00825088" w:rsidRDefault="002914EB" w:rsidP="002E57C5">
      <w:pPr>
        <w:spacing w:after="0" w:line="240" w:lineRule="auto"/>
        <w:ind w:firstLine="567"/>
        <w:jc w:val="both"/>
        <w:rPr>
          <w:rFonts w:ascii="Times New Roman" w:hAnsi="Times New Roman" w:cs="Times New Roman"/>
          <w:sz w:val="24"/>
          <w:szCs w:val="24"/>
        </w:rPr>
      </w:pPr>
      <w:r w:rsidRPr="00825088">
        <w:rPr>
          <w:rFonts w:ascii="Times New Roman" w:hAnsi="Times New Roman" w:cs="Times New Roman"/>
          <w:sz w:val="24"/>
          <w:szCs w:val="24"/>
        </w:rPr>
        <w:t xml:space="preserve">В </w:t>
      </w:r>
      <w:r>
        <w:rPr>
          <w:rFonts w:ascii="Times New Roman" w:hAnsi="Times New Roman" w:cs="Times New Roman"/>
          <w:sz w:val="24"/>
          <w:szCs w:val="24"/>
        </w:rPr>
        <w:t xml:space="preserve">2020г регистрируется  увеличение количества исследований почвы </w:t>
      </w:r>
      <w:r w:rsidRPr="00825088">
        <w:rPr>
          <w:rFonts w:ascii="Times New Roman" w:hAnsi="Times New Roman" w:cs="Times New Roman"/>
          <w:sz w:val="24"/>
          <w:szCs w:val="24"/>
        </w:rPr>
        <w:t xml:space="preserve"> по:</w:t>
      </w:r>
    </w:p>
    <w:p w:rsidR="002914EB" w:rsidRPr="00825088" w:rsidRDefault="002914EB" w:rsidP="002E57C5">
      <w:pPr>
        <w:spacing w:after="0" w:line="240" w:lineRule="auto"/>
        <w:ind w:firstLine="567"/>
        <w:jc w:val="both"/>
        <w:rPr>
          <w:rFonts w:ascii="Times New Roman" w:hAnsi="Times New Roman" w:cs="Times New Roman"/>
          <w:sz w:val="24"/>
          <w:szCs w:val="24"/>
        </w:rPr>
      </w:pPr>
      <w:r w:rsidRPr="00825088">
        <w:rPr>
          <w:rFonts w:ascii="Times New Roman" w:hAnsi="Times New Roman" w:cs="Times New Roman"/>
          <w:sz w:val="24"/>
          <w:szCs w:val="24"/>
        </w:rPr>
        <w:t xml:space="preserve">-микробиологическим показателям- на </w:t>
      </w:r>
      <w:r>
        <w:rPr>
          <w:rFonts w:ascii="Times New Roman" w:hAnsi="Times New Roman" w:cs="Times New Roman"/>
          <w:sz w:val="24"/>
          <w:szCs w:val="24"/>
        </w:rPr>
        <w:t>20</w:t>
      </w:r>
      <w:r w:rsidRPr="00825088">
        <w:rPr>
          <w:rFonts w:ascii="Times New Roman" w:hAnsi="Times New Roman" w:cs="Times New Roman"/>
          <w:sz w:val="24"/>
          <w:szCs w:val="24"/>
        </w:rPr>
        <w:t>%</w:t>
      </w:r>
      <w:r>
        <w:rPr>
          <w:rFonts w:ascii="Times New Roman" w:hAnsi="Times New Roman" w:cs="Times New Roman"/>
          <w:sz w:val="24"/>
          <w:szCs w:val="24"/>
        </w:rPr>
        <w:t xml:space="preserve"> по сравнению с 2019г</w:t>
      </w:r>
      <w:r w:rsidRPr="00825088">
        <w:rPr>
          <w:rFonts w:ascii="Times New Roman" w:hAnsi="Times New Roman" w:cs="Times New Roman"/>
          <w:sz w:val="24"/>
          <w:szCs w:val="24"/>
        </w:rPr>
        <w:t>;</w:t>
      </w:r>
    </w:p>
    <w:p w:rsidR="002914EB" w:rsidRPr="00825088" w:rsidRDefault="002914EB" w:rsidP="002E57C5">
      <w:pPr>
        <w:spacing w:after="0" w:line="240" w:lineRule="auto"/>
        <w:ind w:firstLine="567"/>
        <w:jc w:val="both"/>
        <w:rPr>
          <w:rFonts w:ascii="Times New Roman" w:hAnsi="Times New Roman" w:cs="Times New Roman"/>
          <w:sz w:val="24"/>
          <w:szCs w:val="24"/>
        </w:rPr>
      </w:pPr>
      <w:r w:rsidRPr="00825088">
        <w:rPr>
          <w:rFonts w:ascii="Times New Roman" w:hAnsi="Times New Roman" w:cs="Times New Roman"/>
          <w:sz w:val="24"/>
          <w:szCs w:val="24"/>
        </w:rPr>
        <w:t xml:space="preserve">-паразитологическим показателям- на </w:t>
      </w:r>
      <w:r>
        <w:rPr>
          <w:rFonts w:ascii="Times New Roman" w:hAnsi="Times New Roman" w:cs="Times New Roman"/>
          <w:sz w:val="24"/>
          <w:szCs w:val="24"/>
        </w:rPr>
        <w:t>70,8</w:t>
      </w:r>
      <w:r w:rsidRPr="00825088">
        <w:rPr>
          <w:rFonts w:ascii="Times New Roman" w:hAnsi="Times New Roman" w:cs="Times New Roman"/>
          <w:sz w:val="24"/>
          <w:szCs w:val="24"/>
        </w:rPr>
        <w:t>%.</w:t>
      </w:r>
      <w:r w:rsidRPr="00825088">
        <w:rPr>
          <w:rFonts w:ascii="Times New Roman" w:hAnsi="Times New Roman" w:cs="Times New Roman"/>
          <w:bCs/>
          <w:sz w:val="24"/>
          <w:szCs w:val="24"/>
        </w:rPr>
        <w:t>( см. табл № 5).</w:t>
      </w:r>
    </w:p>
    <w:p w:rsidR="002914EB" w:rsidRDefault="002914EB" w:rsidP="002E57C5">
      <w:pPr>
        <w:ind w:firstLine="567"/>
        <w:rPr>
          <w:rFonts w:ascii="Times New Roman" w:hAnsi="Times New Roman" w:cs="Times New Roman"/>
        </w:rPr>
      </w:pPr>
      <w:r w:rsidRPr="00825088">
        <w:rPr>
          <w:rFonts w:ascii="Times New Roman" w:hAnsi="Times New Roman" w:cs="Times New Roman"/>
          <w:bCs/>
          <w:sz w:val="24"/>
          <w:szCs w:val="24"/>
        </w:rPr>
        <w:t>В 2020г как и в 2019г количество исследований проб почвы  исследованных по  санитарно-гигиеническим и радиологическим показателям осталось на прежнем уровне-- табл № 5).</w:t>
      </w:r>
    </w:p>
    <w:p w:rsidR="002914EB" w:rsidRPr="00825088" w:rsidRDefault="002E57C5" w:rsidP="002914EB">
      <w:pPr>
        <w:tabs>
          <w:tab w:val="left" w:pos="709"/>
        </w:tabs>
        <w:jc w:val="both"/>
        <w:rPr>
          <w:rFonts w:ascii="Times New Roman" w:hAnsi="Times New Roman" w:cs="Times New Roman"/>
          <w:bCs/>
          <w:sz w:val="24"/>
          <w:szCs w:val="24"/>
        </w:rPr>
      </w:pPr>
      <w:r>
        <w:rPr>
          <w:rFonts w:ascii="Times New Roman" w:hAnsi="Times New Roman" w:cs="Times New Roman"/>
          <w:bCs/>
          <w:sz w:val="24"/>
          <w:szCs w:val="24"/>
        </w:rPr>
        <w:tab/>
      </w:r>
      <w:r w:rsidR="002914EB" w:rsidRPr="00825088">
        <w:rPr>
          <w:rFonts w:ascii="Times New Roman" w:hAnsi="Times New Roman" w:cs="Times New Roman"/>
          <w:bCs/>
          <w:sz w:val="24"/>
          <w:szCs w:val="24"/>
        </w:rPr>
        <w:t xml:space="preserve">В 2018-20209гг </w:t>
      </w:r>
      <w:r w:rsidR="002914EB">
        <w:rPr>
          <w:rFonts w:ascii="Times New Roman" w:hAnsi="Times New Roman" w:cs="Times New Roman"/>
          <w:bCs/>
          <w:sz w:val="24"/>
          <w:szCs w:val="24"/>
        </w:rPr>
        <w:t xml:space="preserve"> пробы почвы, не соответствующие требованиям  гигиенических нормативов не зарегистрированы.</w:t>
      </w:r>
      <w:r w:rsidR="002914EB" w:rsidRPr="00825088">
        <w:rPr>
          <w:rFonts w:ascii="Times New Roman" w:hAnsi="Times New Roman" w:cs="Times New Roman"/>
          <w:bCs/>
          <w:sz w:val="24"/>
          <w:szCs w:val="24"/>
        </w:rPr>
        <w:t>.</w:t>
      </w:r>
    </w:p>
    <w:p w:rsidR="002914EB" w:rsidRPr="00825088" w:rsidRDefault="002914EB" w:rsidP="002914EB">
      <w:pPr>
        <w:tabs>
          <w:tab w:val="left" w:pos="3120"/>
        </w:tabs>
        <w:jc w:val="center"/>
        <w:outlineLvl w:val="0"/>
        <w:rPr>
          <w:rFonts w:ascii="Times New Roman" w:hAnsi="Times New Roman" w:cs="Times New Roman"/>
          <w:b/>
          <w:bCs/>
          <w:sz w:val="24"/>
          <w:szCs w:val="24"/>
        </w:rPr>
      </w:pPr>
      <w:r w:rsidRPr="00825088">
        <w:rPr>
          <w:rFonts w:ascii="Times New Roman" w:hAnsi="Times New Roman" w:cs="Times New Roman"/>
          <w:b/>
          <w:bCs/>
          <w:sz w:val="24"/>
          <w:szCs w:val="24"/>
        </w:rPr>
        <w:t>Организация питания в учреждениях отдыха и оздоровления</w:t>
      </w:r>
    </w:p>
    <w:p w:rsidR="002914EB" w:rsidRPr="009D1867" w:rsidRDefault="002914EB" w:rsidP="002E57C5">
      <w:pPr>
        <w:pStyle w:val="a7"/>
        <w:ind w:firstLine="708"/>
        <w:jc w:val="both"/>
        <w:rPr>
          <w:sz w:val="24"/>
          <w:szCs w:val="24"/>
        </w:rPr>
      </w:pPr>
      <w:r w:rsidRPr="009D1867">
        <w:rPr>
          <w:sz w:val="24"/>
          <w:szCs w:val="24"/>
        </w:rPr>
        <w:t>В 2020году  отдых детей и подростков на базе школ  в связи с повышенной заболеваемостью новой коронавирусной инфекцией не проводился</w:t>
      </w:r>
      <w:r>
        <w:rPr>
          <w:sz w:val="24"/>
          <w:szCs w:val="24"/>
        </w:rPr>
        <w:t>, обследование и лабораторные исследования не осуществлялись.</w:t>
      </w:r>
      <w:r w:rsidRPr="009D1867">
        <w:rPr>
          <w:sz w:val="24"/>
          <w:szCs w:val="24"/>
        </w:rPr>
        <w:t>Питание во всех  оздоровительных учреждениях с дневным пребыванием детей  г.Пыть-Ях  организовано 2-х разовое, с режимом пребывания детей с 8.30 до 14.30,  при  школьных столовых, работающих на сырье.  Поставщиком продуктов в ЛОУ в г.Пыть-Ях  является ООО ПКЦ «Перевал», МУП «Пыть-Яхторгсервис».</w:t>
      </w:r>
    </w:p>
    <w:p w:rsidR="002914EB" w:rsidRPr="009D1867" w:rsidRDefault="002914EB" w:rsidP="002E57C5">
      <w:pPr>
        <w:pStyle w:val="a7"/>
        <w:ind w:firstLine="708"/>
        <w:jc w:val="both"/>
        <w:rPr>
          <w:sz w:val="24"/>
          <w:szCs w:val="24"/>
        </w:rPr>
      </w:pPr>
      <w:r w:rsidRPr="009D1867">
        <w:rPr>
          <w:sz w:val="24"/>
          <w:szCs w:val="24"/>
        </w:rPr>
        <w:t xml:space="preserve"> динамике( по сравнению с 2018 г.)  в 2019году  наблюда</w:t>
      </w:r>
      <w:r>
        <w:rPr>
          <w:sz w:val="24"/>
          <w:szCs w:val="24"/>
        </w:rPr>
        <w:t>лось</w:t>
      </w:r>
      <w:r w:rsidR="002E57C5">
        <w:rPr>
          <w:sz w:val="24"/>
          <w:szCs w:val="24"/>
          <w:lang w:val="ru-RU"/>
        </w:rPr>
        <w:t xml:space="preserve"> </w:t>
      </w:r>
      <w:r w:rsidRPr="009D1867">
        <w:rPr>
          <w:sz w:val="24"/>
          <w:szCs w:val="24"/>
        </w:rPr>
        <w:t>повышение количества исследованных проб по всем показателям, что связано с внеплановым проведением исследований  в  эксплуатируемый период ЛОУ города:</w:t>
      </w:r>
    </w:p>
    <w:p w:rsidR="002914EB" w:rsidRPr="009D1867" w:rsidRDefault="002914EB" w:rsidP="002914EB">
      <w:pPr>
        <w:pStyle w:val="a7"/>
        <w:ind w:firstLine="283"/>
        <w:jc w:val="both"/>
        <w:rPr>
          <w:sz w:val="24"/>
          <w:szCs w:val="24"/>
        </w:rPr>
      </w:pPr>
      <w:r w:rsidRPr="009D1867">
        <w:rPr>
          <w:sz w:val="24"/>
          <w:szCs w:val="24"/>
        </w:rPr>
        <w:t>-готовых блюд по микробиологическим показателя на 62,5%;</w:t>
      </w:r>
    </w:p>
    <w:p w:rsidR="002914EB" w:rsidRPr="009D1867" w:rsidRDefault="002914EB" w:rsidP="002914EB">
      <w:pPr>
        <w:pStyle w:val="a7"/>
        <w:ind w:firstLine="283"/>
        <w:jc w:val="both"/>
        <w:rPr>
          <w:sz w:val="24"/>
          <w:szCs w:val="24"/>
        </w:rPr>
      </w:pPr>
      <w:r w:rsidRPr="009D1867">
        <w:rPr>
          <w:sz w:val="24"/>
          <w:szCs w:val="24"/>
        </w:rPr>
        <w:t>- смывов по микробиологическим показателям-на 5,0%;</w:t>
      </w:r>
    </w:p>
    <w:p w:rsidR="002914EB" w:rsidRPr="009D1867" w:rsidRDefault="002914EB" w:rsidP="002914EB">
      <w:pPr>
        <w:pStyle w:val="a7"/>
        <w:ind w:firstLine="283"/>
        <w:jc w:val="both"/>
        <w:rPr>
          <w:sz w:val="24"/>
          <w:szCs w:val="24"/>
        </w:rPr>
      </w:pPr>
      <w:r w:rsidRPr="009D1867">
        <w:rPr>
          <w:sz w:val="24"/>
          <w:szCs w:val="24"/>
        </w:rPr>
        <w:t>-смывов  по микробиологическим показателям (БГКП)- на 40%;(табл№6).</w:t>
      </w:r>
    </w:p>
    <w:p w:rsidR="002914EB" w:rsidRPr="009D1867" w:rsidRDefault="002914EB" w:rsidP="002E57C5">
      <w:pPr>
        <w:pStyle w:val="a7"/>
        <w:ind w:firstLine="708"/>
        <w:jc w:val="both"/>
        <w:rPr>
          <w:sz w:val="24"/>
          <w:szCs w:val="24"/>
        </w:rPr>
      </w:pPr>
      <w:r w:rsidRPr="009D1867">
        <w:rPr>
          <w:sz w:val="24"/>
          <w:szCs w:val="24"/>
        </w:rPr>
        <w:t>Во время приёмки и работы ЛОУ в 2019г. в г. Пыть-Ях проведены лабораторные исследования питьевой воды по микробиологическим показателям – 14 проб, нестандартных – 0,  смывы с посуды и оборудования на БГКП - 140, нестандартных – 0,  смывы на наличие я/гельминтов и цист простейших - 280, не соответствующих – 0. Готовые блюда - по микробиологическим показателям-21, несоответствующих- 0, калорийность- 45 блюд -, нестандартных –  2, процент оставил-4,4%, на вложение витамина «С» -7, нестандартных – 1-14,3% несоответствующих,- на термообработку 7, несоответствующих 0. Исследовано 7 проб почвы на наличие я/гельминтов и цист простейших, неудовлетворительных -0.</w:t>
      </w:r>
    </w:p>
    <w:p w:rsidR="002914EB" w:rsidRPr="009D1867" w:rsidRDefault="002914EB" w:rsidP="002914EB">
      <w:pPr>
        <w:pStyle w:val="a5"/>
        <w:ind w:firstLine="709"/>
        <w:jc w:val="right"/>
        <w:rPr>
          <w:bCs/>
          <w:sz w:val="22"/>
          <w:szCs w:val="22"/>
        </w:rPr>
      </w:pPr>
      <w:r w:rsidRPr="009D1867">
        <w:rPr>
          <w:bCs/>
          <w:sz w:val="22"/>
          <w:szCs w:val="22"/>
        </w:rPr>
        <w:t>Таблица № 6</w:t>
      </w:r>
    </w:p>
    <w:p w:rsidR="002914EB" w:rsidRPr="009D1867" w:rsidRDefault="002914EB" w:rsidP="002914EB">
      <w:pPr>
        <w:pStyle w:val="a5"/>
        <w:ind w:firstLine="709"/>
        <w:outlineLvl w:val="0"/>
        <w:rPr>
          <w:b/>
          <w:bCs/>
          <w:sz w:val="22"/>
          <w:szCs w:val="22"/>
        </w:rPr>
      </w:pPr>
      <w:r w:rsidRPr="009D1867">
        <w:rPr>
          <w:b/>
          <w:bCs/>
          <w:sz w:val="22"/>
          <w:szCs w:val="22"/>
        </w:rPr>
        <w:t>Динамика исследованных проб по микробиологическим показателям ЛОУ</w:t>
      </w:r>
    </w:p>
    <w:p w:rsidR="002914EB" w:rsidRPr="009D1867" w:rsidRDefault="002914EB" w:rsidP="002914EB">
      <w:pPr>
        <w:pStyle w:val="a5"/>
        <w:ind w:firstLine="709"/>
        <w:jc w:val="right"/>
        <w:rPr>
          <w:b/>
          <w:bCs/>
          <w:sz w:val="24"/>
          <w:szCs w:val="24"/>
        </w:rPr>
      </w:pPr>
    </w:p>
    <w:tbl>
      <w:tblPr>
        <w:tblW w:w="88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34"/>
        <w:gridCol w:w="1276"/>
        <w:gridCol w:w="1275"/>
        <w:gridCol w:w="993"/>
        <w:gridCol w:w="1177"/>
        <w:gridCol w:w="1145"/>
      </w:tblGrid>
      <w:tr w:rsidR="002914EB" w:rsidRPr="009D1867" w:rsidTr="002914EB">
        <w:trPr>
          <w:cantSplit/>
          <w:trHeight w:val="273"/>
        </w:trPr>
        <w:tc>
          <w:tcPr>
            <w:tcW w:w="1843" w:type="dxa"/>
            <w:vMerge w:val="restart"/>
          </w:tcPr>
          <w:p w:rsidR="002914EB" w:rsidRPr="009D1867" w:rsidRDefault="002914EB" w:rsidP="002914EB">
            <w:pPr>
              <w:spacing w:before="20" w:after="20"/>
              <w:jc w:val="right"/>
              <w:rPr>
                <w:rFonts w:ascii="Times New Roman" w:hAnsi="Times New Roman" w:cs="Times New Roman"/>
              </w:rPr>
            </w:pPr>
            <w:r w:rsidRPr="009D1867">
              <w:rPr>
                <w:rFonts w:ascii="Times New Roman" w:hAnsi="Times New Roman" w:cs="Times New Roman"/>
              </w:rPr>
              <w:t xml:space="preserve">Виды исследований </w:t>
            </w:r>
          </w:p>
        </w:tc>
        <w:tc>
          <w:tcPr>
            <w:tcW w:w="7000" w:type="dxa"/>
            <w:gridSpan w:val="6"/>
          </w:tcPr>
          <w:p w:rsidR="002914EB" w:rsidRPr="009D1867" w:rsidRDefault="002914EB" w:rsidP="002914EB">
            <w:pPr>
              <w:rPr>
                <w:rFonts w:ascii="Times New Roman" w:hAnsi="Times New Roman" w:cs="Times New Roman"/>
              </w:rPr>
            </w:pPr>
            <w:r w:rsidRPr="009D1867">
              <w:rPr>
                <w:rFonts w:ascii="Times New Roman" w:hAnsi="Times New Roman" w:cs="Times New Roman"/>
              </w:rPr>
              <w:t>Количество исследованных проб</w:t>
            </w:r>
          </w:p>
        </w:tc>
      </w:tr>
      <w:tr w:rsidR="002914EB" w:rsidRPr="009D1867" w:rsidTr="002914EB">
        <w:trPr>
          <w:cantSplit/>
          <w:trHeight w:val="280"/>
        </w:trPr>
        <w:tc>
          <w:tcPr>
            <w:tcW w:w="1843" w:type="dxa"/>
            <w:vMerge/>
          </w:tcPr>
          <w:p w:rsidR="002914EB" w:rsidRPr="009D1867" w:rsidRDefault="002914EB" w:rsidP="002914EB">
            <w:pPr>
              <w:spacing w:before="20" w:after="20"/>
              <w:rPr>
                <w:rFonts w:ascii="Times New Roman" w:hAnsi="Times New Roman" w:cs="Times New Roman"/>
              </w:rPr>
            </w:pPr>
          </w:p>
        </w:tc>
        <w:tc>
          <w:tcPr>
            <w:tcW w:w="2410" w:type="dxa"/>
            <w:gridSpan w:val="2"/>
          </w:tcPr>
          <w:p w:rsidR="002914EB" w:rsidRPr="009D1867" w:rsidRDefault="002914EB" w:rsidP="002914EB">
            <w:r w:rsidRPr="009D1867">
              <w:t>2018г</w:t>
            </w:r>
          </w:p>
        </w:tc>
        <w:tc>
          <w:tcPr>
            <w:tcW w:w="2268" w:type="dxa"/>
            <w:gridSpan w:val="2"/>
          </w:tcPr>
          <w:p w:rsidR="002914EB" w:rsidRPr="009D1867" w:rsidRDefault="002914EB" w:rsidP="002914EB">
            <w:r w:rsidRPr="009D1867">
              <w:t>2019г</w:t>
            </w:r>
          </w:p>
        </w:tc>
        <w:tc>
          <w:tcPr>
            <w:tcW w:w="2322" w:type="dxa"/>
            <w:gridSpan w:val="2"/>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2020г</w:t>
            </w:r>
          </w:p>
        </w:tc>
      </w:tr>
      <w:tr w:rsidR="002914EB" w:rsidRPr="009D1867" w:rsidTr="002914EB">
        <w:tc>
          <w:tcPr>
            <w:tcW w:w="1843" w:type="dxa"/>
            <w:vMerge/>
          </w:tcPr>
          <w:p w:rsidR="002914EB" w:rsidRPr="009D1867" w:rsidRDefault="002914EB" w:rsidP="002914EB">
            <w:pPr>
              <w:pStyle w:val="5"/>
              <w:spacing w:before="20" w:after="20"/>
              <w:jc w:val="left"/>
              <w:rPr>
                <w:rFonts w:ascii="Times New Roman" w:hAnsi="Times New Roman"/>
                <w:b w:val="0"/>
                <w:bCs w:val="0"/>
                <w:i w:val="0"/>
                <w:iCs w:val="0"/>
                <w:sz w:val="22"/>
                <w:szCs w:val="22"/>
              </w:rPr>
            </w:pPr>
          </w:p>
        </w:tc>
        <w:tc>
          <w:tcPr>
            <w:tcW w:w="1134"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Кол-во/несоот-ветствующих</w:t>
            </w:r>
          </w:p>
        </w:tc>
        <w:tc>
          <w:tcPr>
            <w:tcW w:w="1276"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 несоответ-вующих</w:t>
            </w:r>
          </w:p>
        </w:tc>
        <w:tc>
          <w:tcPr>
            <w:tcW w:w="1275"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Кол-во/несоответствующих</w:t>
            </w:r>
          </w:p>
        </w:tc>
        <w:tc>
          <w:tcPr>
            <w:tcW w:w="993"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 несоответвующих</w:t>
            </w:r>
          </w:p>
        </w:tc>
        <w:tc>
          <w:tcPr>
            <w:tcW w:w="1177"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Кол-во/несоответствующих</w:t>
            </w:r>
          </w:p>
        </w:tc>
        <w:tc>
          <w:tcPr>
            <w:tcW w:w="1145"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 несоответвующих</w:t>
            </w:r>
          </w:p>
        </w:tc>
      </w:tr>
      <w:tr w:rsidR="002914EB" w:rsidRPr="009D1867" w:rsidTr="002914EB">
        <w:tc>
          <w:tcPr>
            <w:tcW w:w="1843" w:type="dxa"/>
          </w:tcPr>
          <w:p w:rsidR="002914EB" w:rsidRPr="009D1867" w:rsidRDefault="002914EB" w:rsidP="002914EB">
            <w:pPr>
              <w:pStyle w:val="5"/>
              <w:spacing w:before="20" w:after="20"/>
              <w:jc w:val="left"/>
              <w:rPr>
                <w:rFonts w:ascii="Times New Roman" w:hAnsi="Times New Roman"/>
                <w:b w:val="0"/>
                <w:bCs w:val="0"/>
                <w:i w:val="0"/>
                <w:iCs w:val="0"/>
                <w:sz w:val="22"/>
                <w:szCs w:val="22"/>
              </w:rPr>
            </w:pPr>
            <w:r w:rsidRPr="009D1867">
              <w:rPr>
                <w:rFonts w:ascii="Times New Roman" w:hAnsi="Times New Roman"/>
                <w:b w:val="0"/>
                <w:bCs w:val="0"/>
                <w:i w:val="0"/>
                <w:iCs w:val="0"/>
                <w:sz w:val="22"/>
                <w:szCs w:val="22"/>
              </w:rPr>
              <w:t>Смывы всего</w:t>
            </w:r>
          </w:p>
        </w:tc>
        <w:tc>
          <w:tcPr>
            <w:tcW w:w="1134" w:type="dxa"/>
          </w:tcPr>
          <w:p w:rsidR="002914EB" w:rsidRPr="009D1867" w:rsidRDefault="002914EB" w:rsidP="002914EB">
            <w:r w:rsidRPr="009D1867">
              <w:t>300/1</w:t>
            </w:r>
          </w:p>
        </w:tc>
        <w:tc>
          <w:tcPr>
            <w:tcW w:w="1276" w:type="dxa"/>
          </w:tcPr>
          <w:p w:rsidR="002914EB" w:rsidRPr="009D1867" w:rsidRDefault="002914EB" w:rsidP="002914EB">
            <w:r w:rsidRPr="009D1867">
              <w:t>0,33</w:t>
            </w:r>
          </w:p>
        </w:tc>
        <w:tc>
          <w:tcPr>
            <w:tcW w:w="1275" w:type="dxa"/>
          </w:tcPr>
          <w:p w:rsidR="002914EB" w:rsidRPr="009D1867" w:rsidRDefault="002914EB" w:rsidP="002914EB">
            <w:r w:rsidRPr="009D1867">
              <w:t>420/0</w:t>
            </w:r>
          </w:p>
        </w:tc>
        <w:tc>
          <w:tcPr>
            <w:tcW w:w="993" w:type="dxa"/>
          </w:tcPr>
          <w:p w:rsidR="002914EB" w:rsidRPr="009D1867" w:rsidRDefault="002914EB" w:rsidP="002914EB">
            <w:r w:rsidRPr="009D1867">
              <w:t>0</w:t>
            </w:r>
          </w:p>
        </w:tc>
        <w:tc>
          <w:tcPr>
            <w:tcW w:w="1177"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0</w:t>
            </w:r>
          </w:p>
        </w:tc>
        <w:tc>
          <w:tcPr>
            <w:tcW w:w="1145"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0</w:t>
            </w:r>
          </w:p>
        </w:tc>
      </w:tr>
      <w:tr w:rsidR="002914EB" w:rsidRPr="009D1867" w:rsidTr="002914EB">
        <w:tc>
          <w:tcPr>
            <w:tcW w:w="1843" w:type="dxa"/>
          </w:tcPr>
          <w:p w:rsidR="002914EB" w:rsidRPr="009D1867" w:rsidRDefault="002914EB" w:rsidP="002914EB">
            <w:pPr>
              <w:pStyle w:val="5"/>
              <w:spacing w:before="20" w:after="20"/>
              <w:jc w:val="left"/>
              <w:rPr>
                <w:rFonts w:ascii="Times New Roman" w:hAnsi="Times New Roman"/>
                <w:b w:val="0"/>
                <w:bCs w:val="0"/>
                <w:i w:val="0"/>
                <w:iCs w:val="0"/>
                <w:sz w:val="22"/>
                <w:szCs w:val="22"/>
              </w:rPr>
            </w:pPr>
            <w:r w:rsidRPr="009D1867">
              <w:rPr>
                <w:rFonts w:ascii="Times New Roman" w:hAnsi="Times New Roman"/>
                <w:b w:val="0"/>
                <w:bCs w:val="0"/>
                <w:i w:val="0"/>
                <w:iCs w:val="0"/>
                <w:sz w:val="22"/>
                <w:szCs w:val="22"/>
              </w:rPr>
              <w:t>Смывы на БГКП</w:t>
            </w:r>
          </w:p>
        </w:tc>
        <w:tc>
          <w:tcPr>
            <w:tcW w:w="1134" w:type="dxa"/>
          </w:tcPr>
          <w:p w:rsidR="002914EB" w:rsidRPr="009D1867" w:rsidRDefault="002914EB" w:rsidP="002914EB">
            <w:r w:rsidRPr="009D1867">
              <w:t>100/1</w:t>
            </w:r>
          </w:p>
        </w:tc>
        <w:tc>
          <w:tcPr>
            <w:tcW w:w="1276" w:type="dxa"/>
          </w:tcPr>
          <w:p w:rsidR="002914EB" w:rsidRPr="009D1867" w:rsidRDefault="002914EB" w:rsidP="002914EB">
            <w:r w:rsidRPr="009D1867">
              <w:t>1,0</w:t>
            </w:r>
          </w:p>
        </w:tc>
        <w:tc>
          <w:tcPr>
            <w:tcW w:w="1275" w:type="dxa"/>
          </w:tcPr>
          <w:p w:rsidR="002914EB" w:rsidRPr="009D1867" w:rsidRDefault="002914EB" w:rsidP="002914EB">
            <w:r w:rsidRPr="009D1867">
              <w:t>140/0</w:t>
            </w:r>
          </w:p>
        </w:tc>
        <w:tc>
          <w:tcPr>
            <w:tcW w:w="993" w:type="dxa"/>
          </w:tcPr>
          <w:p w:rsidR="002914EB" w:rsidRPr="009D1867" w:rsidRDefault="002914EB" w:rsidP="002914EB">
            <w:r w:rsidRPr="009D1867">
              <w:t>0</w:t>
            </w:r>
          </w:p>
        </w:tc>
        <w:tc>
          <w:tcPr>
            <w:tcW w:w="1177"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0</w:t>
            </w:r>
          </w:p>
        </w:tc>
        <w:tc>
          <w:tcPr>
            <w:tcW w:w="1145"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0</w:t>
            </w:r>
          </w:p>
        </w:tc>
      </w:tr>
      <w:tr w:rsidR="002914EB" w:rsidRPr="009D1867" w:rsidTr="002914EB">
        <w:tc>
          <w:tcPr>
            <w:tcW w:w="1843"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Готовые блюда</w:t>
            </w:r>
          </w:p>
        </w:tc>
        <w:tc>
          <w:tcPr>
            <w:tcW w:w="1134" w:type="dxa"/>
          </w:tcPr>
          <w:p w:rsidR="002914EB" w:rsidRPr="009D1867" w:rsidRDefault="002914EB" w:rsidP="002914EB">
            <w:r w:rsidRPr="009D1867">
              <w:t>15/1</w:t>
            </w:r>
          </w:p>
        </w:tc>
        <w:tc>
          <w:tcPr>
            <w:tcW w:w="1276" w:type="dxa"/>
          </w:tcPr>
          <w:p w:rsidR="002914EB" w:rsidRPr="009D1867" w:rsidRDefault="002914EB" w:rsidP="002914EB">
            <w:r w:rsidRPr="009D1867">
              <w:t>6,7</w:t>
            </w:r>
          </w:p>
        </w:tc>
        <w:tc>
          <w:tcPr>
            <w:tcW w:w="1275" w:type="dxa"/>
          </w:tcPr>
          <w:p w:rsidR="002914EB" w:rsidRPr="009D1867" w:rsidRDefault="002914EB" w:rsidP="002914EB">
            <w:r w:rsidRPr="009D1867">
              <w:t>21/0</w:t>
            </w:r>
          </w:p>
        </w:tc>
        <w:tc>
          <w:tcPr>
            <w:tcW w:w="993" w:type="dxa"/>
          </w:tcPr>
          <w:p w:rsidR="002914EB" w:rsidRPr="009D1867" w:rsidRDefault="002914EB" w:rsidP="002914EB">
            <w:r w:rsidRPr="009D1867">
              <w:t>0</w:t>
            </w:r>
          </w:p>
        </w:tc>
        <w:tc>
          <w:tcPr>
            <w:tcW w:w="1177"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0</w:t>
            </w:r>
          </w:p>
        </w:tc>
        <w:tc>
          <w:tcPr>
            <w:tcW w:w="1145"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0</w:t>
            </w:r>
          </w:p>
        </w:tc>
      </w:tr>
    </w:tbl>
    <w:p w:rsidR="002914EB" w:rsidRPr="000A11EE" w:rsidRDefault="002914EB" w:rsidP="002E57C5">
      <w:pPr>
        <w:pStyle w:val="a7"/>
        <w:ind w:left="283" w:firstLine="425"/>
        <w:jc w:val="both"/>
        <w:rPr>
          <w:sz w:val="24"/>
          <w:szCs w:val="24"/>
        </w:rPr>
      </w:pPr>
      <w:r w:rsidRPr="009D1867">
        <w:rPr>
          <w:sz w:val="24"/>
          <w:szCs w:val="24"/>
        </w:rPr>
        <w:t xml:space="preserve">Во время приёмки и работы ЛОУ в 2018г. в г. Пыть-Ях проведены лабораторные исследования питьевой воды по микробиологическим показателям – 5 проб, нестандартных – 0,  смывы с посуды и оборудования на БГКП - 100, нестандартных – 1, что составляет 1,0 % , смывы на наличие я/гельминтов и цист простейших - 200, не соответствующих - 0.  Готовые блюда - по микробиологическим показателям-15, несоответствующих- 1, что составляет 6,7 %  калорийность- 34 блюд -6 рационов, нестандартных –  0, на вложение витамина «С» -5, нестандартных – 0, на термообработку 5, несоответствующих 0. Исследовано 5 проб почвы на наличие я. гельминтов и цист </w:t>
      </w:r>
      <w:r w:rsidRPr="000A11EE">
        <w:rPr>
          <w:sz w:val="24"/>
          <w:szCs w:val="24"/>
        </w:rPr>
        <w:t>простейших, неудовлетворительных -0.</w:t>
      </w:r>
    </w:p>
    <w:p w:rsidR="002914EB" w:rsidRPr="009D1867" w:rsidRDefault="002914EB" w:rsidP="002914EB">
      <w:pPr>
        <w:pStyle w:val="a7"/>
        <w:ind w:firstLine="283"/>
        <w:jc w:val="both"/>
        <w:rPr>
          <w:sz w:val="24"/>
          <w:szCs w:val="24"/>
        </w:rPr>
      </w:pPr>
      <w:r w:rsidRPr="000A11EE">
        <w:rPr>
          <w:sz w:val="24"/>
          <w:szCs w:val="24"/>
        </w:rPr>
        <w:t>Вода</w:t>
      </w:r>
      <w:r w:rsidRPr="009D1867">
        <w:rPr>
          <w:sz w:val="24"/>
          <w:szCs w:val="24"/>
        </w:rPr>
        <w:t xml:space="preserve"> бассейнов 2018-2020гг не исследовалась в  ЛОУ.</w:t>
      </w:r>
    </w:p>
    <w:p w:rsidR="002914EB" w:rsidRPr="009D1867" w:rsidRDefault="002914EB" w:rsidP="002E57C5">
      <w:pPr>
        <w:pStyle w:val="a7"/>
        <w:ind w:firstLine="708"/>
        <w:jc w:val="both"/>
        <w:rPr>
          <w:sz w:val="24"/>
          <w:szCs w:val="24"/>
        </w:rPr>
      </w:pPr>
      <w:r w:rsidRPr="009D1867">
        <w:rPr>
          <w:sz w:val="24"/>
          <w:szCs w:val="24"/>
        </w:rPr>
        <w:t>В 2018годувыявлены   пробы готовых блюд   не соответствующие  требованиям по микробиологическим показателям- 6,7%( 1 проба выявлена ЛОУ МБОУ СОШ №6 -обнаружено КМАФАнМ в готовом блюде), против 0 в 2019,2017г, одной из причин  увеличения количества несоответствующих проб является  нарушения по ходу технологического процесса.</w:t>
      </w:r>
    </w:p>
    <w:p w:rsidR="002914EB" w:rsidRPr="009D1867" w:rsidRDefault="002914EB" w:rsidP="002E57C5">
      <w:pPr>
        <w:pStyle w:val="a7"/>
        <w:ind w:firstLine="708"/>
        <w:jc w:val="both"/>
        <w:rPr>
          <w:sz w:val="24"/>
          <w:szCs w:val="24"/>
        </w:rPr>
      </w:pPr>
      <w:r w:rsidRPr="009D1867">
        <w:rPr>
          <w:sz w:val="24"/>
          <w:szCs w:val="24"/>
        </w:rPr>
        <w:t>В 2019г. несоответствующих смывов не выявлено, 2018г.процент несоответствующих проб по смывам всего составил 0,33%,процент  проб смывов на БГКП составил 1 %  в 2018году, 2017 г. несоответствующих смывов не выявлено (табл. №6).</w:t>
      </w:r>
    </w:p>
    <w:p w:rsidR="002914EB" w:rsidRPr="00BD65C5" w:rsidRDefault="002914EB" w:rsidP="002914EB">
      <w:pPr>
        <w:pStyle w:val="a5"/>
        <w:ind w:firstLine="709"/>
        <w:jc w:val="right"/>
        <w:rPr>
          <w:b/>
          <w:bCs/>
          <w:sz w:val="24"/>
          <w:szCs w:val="24"/>
          <w:highlight w:val="yellow"/>
        </w:rPr>
      </w:pPr>
    </w:p>
    <w:p w:rsidR="002914EB" w:rsidRPr="009D1867" w:rsidRDefault="002914EB" w:rsidP="002914EB">
      <w:pPr>
        <w:pStyle w:val="a5"/>
        <w:ind w:firstLine="709"/>
        <w:jc w:val="right"/>
        <w:outlineLvl w:val="0"/>
        <w:rPr>
          <w:bCs/>
          <w:sz w:val="22"/>
          <w:szCs w:val="22"/>
        </w:rPr>
      </w:pPr>
      <w:r w:rsidRPr="009D1867">
        <w:rPr>
          <w:bCs/>
          <w:sz w:val="22"/>
          <w:szCs w:val="22"/>
        </w:rPr>
        <w:t>Таблица № 7</w:t>
      </w:r>
    </w:p>
    <w:p w:rsidR="002914EB" w:rsidRPr="009D1867" w:rsidRDefault="002914EB" w:rsidP="002914EB">
      <w:pPr>
        <w:pStyle w:val="a5"/>
        <w:ind w:firstLine="709"/>
        <w:outlineLvl w:val="0"/>
        <w:rPr>
          <w:b/>
          <w:bCs/>
          <w:sz w:val="22"/>
          <w:szCs w:val="22"/>
        </w:rPr>
      </w:pPr>
      <w:r w:rsidRPr="009D1867">
        <w:rPr>
          <w:b/>
          <w:bCs/>
          <w:sz w:val="22"/>
          <w:szCs w:val="22"/>
        </w:rPr>
        <w:t>Динамика исследованных проб по  санитарно-химическим  показателям в 2018-2019гг по ЛОУ города Пыть-Ях</w:t>
      </w:r>
    </w:p>
    <w:p w:rsidR="002914EB" w:rsidRPr="009D1867" w:rsidRDefault="002914EB" w:rsidP="002914EB">
      <w:pPr>
        <w:pStyle w:val="a5"/>
        <w:ind w:firstLine="709"/>
        <w:jc w:val="right"/>
        <w:rPr>
          <w:b/>
          <w:bCs/>
          <w:sz w:val="24"/>
          <w:szCs w:val="24"/>
        </w:rPr>
      </w:pPr>
    </w:p>
    <w:tbl>
      <w:tblPr>
        <w:tblW w:w="85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114"/>
        <w:gridCol w:w="925"/>
        <w:gridCol w:w="994"/>
        <w:gridCol w:w="1132"/>
        <w:gridCol w:w="840"/>
        <w:gridCol w:w="1145"/>
      </w:tblGrid>
      <w:tr w:rsidR="002914EB" w:rsidRPr="009D1867" w:rsidTr="002914EB">
        <w:trPr>
          <w:cantSplit/>
          <w:trHeight w:val="273"/>
        </w:trPr>
        <w:tc>
          <w:tcPr>
            <w:tcW w:w="2409" w:type="dxa"/>
            <w:vMerge w:val="restart"/>
          </w:tcPr>
          <w:p w:rsidR="002914EB" w:rsidRPr="009D1867" w:rsidRDefault="002914EB" w:rsidP="002914EB">
            <w:pPr>
              <w:spacing w:before="20" w:after="20"/>
              <w:jc w:val="right"/>
              <w:rPr>
                <w:rFonts w:ascii="Times New Roman" w:hAnsi="Times New Roman" w:cs="Times New Roman"/>
              </w:rPr>
            </w:pPr>
            <w:r w:rsidRPr="009D1867">
              <w:rPr>
                <w:rFonts w:ascii="Times New Roman" w:hAnsi="Times New Roman" w:cs="Times New Roman"/>
              </w:rPr>
              <w:t xml:space="preserve">Виды исследований </w:t>
            </w:r>
          </w:p>
        </w:tc>
        <w:tc>
          <w:tcPr>
            <w:tcW w:w="6150" w:type="dxa"/>
            <w:gridSpan w:val="6"/>
          </w:tcPr>
          <w:p w:rsidR="002914EB" w:rsidRPr="009D1867" w:rsidRDefault="002914EB" w:rsidP="002914EB">
            <w:pPr>
              <w:rPr>
                <w:rFonts w:ascii="Times New Roman" w:hAnsi="Times New Roman" w:cs="Times New Roman"/>
              </w:rPr>
            </w:pPr>
            <w:r w:rsidRPr="009D1867">
              <w:rPr>
                <w:rFonts w:ascii="Times New Roman" w:hAnsi="Times New Roman" w:cs="Times New Roman"/>
              </w:rPr>
              <w:t>Количество исследованных проб</w:t>
            </w:r>
          </w:p>
        </w:tc>
      </w:tr>
      <w:tr w:rsidR="002914EB" w:rsidRPr="009D1867" w:rsidTr="002914EB">
        <w:trPr>
          <w:cantSplit/>
          <w:trHeight w:val="280"/>
        </w:trPr>
        <w:tc>
          <w:tcPr>
            <w:tcW w:w="2409" w:type="dxa"/>
            <w:vMerge/>
          </w:tcPr>
          <w:p w:rsidR="002914EB" w:rsidRPr="009D1867" w:rsidRDefault="002914EB" w:rsidP="002914EB">
            <w:pPr>
              <w:spacing w:before="20" w:after="20"/>
              <w:rPr>
                <w:rFonts w:ascii="Times New Roman" w:hAnsi="Times New Roman" w:cs="Times New Roman"/>
              </w:rPr>
            </w:pPr>
          </w:p>
        </w:tc>
        <w:tc>
          <w:tcPr>
            <w:tcW w:w="2039" w:type="dxa"/>
            <w:gridSpan w:val="2"/>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2018г</w:t>
            </w:r>
          </w:p>
        </w:tc>
        <w:tc>
          <w:tcPr>
            <w:tcW w:w="2126" w:type="dxa"/>
            <w:gridSpan w:val="2"/>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2019г</w:t>
            </w:r>
          </w:p>
        </w:tc>
        <w:tc>
          <w:tcPr>
            <w:tcW w:w="1985" w:type="dxa"/>
            <w:gridSpan w:val="2"/>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2020г</w:t>
            </w:r>
          </w:p>
        </w:tc>
      </w:tr>
      <w:tr w:rsidR="002914EB" w:rsidRPr="009D1867" w:rsidTr="002914EB">
        <w:tc>
          <w:tcPr>
            <w:tcW w:w="2409" w:type="dxa"/>
            <w:vMerge/>
          </w:tcPr>
          <w:p w:rsidR="002914EB" w:rsidRPr="009D1867" w:rsidRDefault="002914EB" w:rsidP="002914EB">
            <w:pPr>
              <w:pStyle w:val="5"/>
              <w:spacing w:before="20" w:after="20"/>
              <w:jc w:val="left"/>
              <w:rPr>
                <w:rFonts w:ascii="Times New Roman" w:hAnsi="Times New Roman"/>
                <w:b w:val="0"/>
                <w:bCs w:val="0"/>
                <w:i w:val="0"/>
                <w:iCs w:val="0"/>
                <w:sz w:val="22"/>
                <w:szCs w:val="22"/>
              </w:rPr>
            </w:pPr>
          </w:p>
        </w:tc>
        <w:tc>
          <w:tcPr>
            <w:tcW w:w="1114"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Кол-во/несоответствующих</w:t>
            </w:r>
          </w:p>
        </w:tc>
        <w:tc>
          <w:tcPr>
            <w:tcW w:w="925"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 несоответвующих</w:t>
            </w:r>
          </w:p>
        </w:tc>
        <w:tc>
          <w:tcPr>
            <w:tcW w:w="994"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Кол-во/несоответствующих</w:t>
            </w:r>
          </w:p>
        </w:tc>
        <w:tc>
          <w:tcPr>
            <w:tcW w:w="1132"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 несоответвующих</w:t>
            </w:r>
          </w:p>
        </w:tc>
        <w:tc>
          <w:tcPr>
            <w:tcW w:w="840"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Кол-во/несоответствующих</w:t>
            </w:r>
          </w:p>
        </w:tc>
        <w:tc>
          <w:tcPr>
            <w:tcW w:w="1145"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 несоответвующих</w:t>
            </w:r>
          </w:p>
        </w:tc>
      </w:tr>
      <w:tr w:rsidR="002914EB" w:rsidRPr="009D1867" w:rsidTr="002914EB">
        <w:tc>
          <w:tcPr>
            <w:tcW w:w="2409"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 xml:space="preserve">Калорийность и полнота вложения </w:t>
            </w:r>
          </w:p>
        </w:tc>
        <w:tc>
          <w:tcPr>
            <w:tcW w:w="1114" w:type="dxa"/>
          </w:tcPr>
          <w:p w:rsidR="002914EB" w:rsidRPr="009D1867" w:rsidRDefault="002914EB" w:rsidP="002914EB">
            <w:r w:rsidRPr="009D1867">
              <w:t>34</w:t>
            </w:r>
          </w:p>
        </w:tc>
        <w:tc>
          <w:tcPr>
            <w:tcW w:w="925" w:type="dxa"/>
          </w:tcPr>
          <w:p w:rsidR="002914EB" w:rsidRPr="009D1867" w:rsidRDefault="002914EB" w:rsidP="002914EB">
            <w:r w:rsidRPr="009D1867">
              <w:t>0</w:t>
            </w:r>
          </w:p>
        </w:tc>
        <w:tc>
          <w:tcPr>
            <w:tcW w:w="994" w:type="dxa"/>
          </w:tcPr>
          <w:p w:rsidR="002914EB" w:rsidRPr="009D1867" w:rsidRDefault="002914EB" w:rsidP="002914EB">
            <w:r w:rsidRPr="009D1867">
              <w:t>45/2</w:t>
            </w:r>
          </w:p>
        </w:tc>
        <w:tc>
          <w:tcPr>
            <w:tcW w:w="1132" w:type="dxa"/>
          </w:tcPr>
          <w:p w:rsidR="002914EB" w:rsidRPr="009D1867" w:rsidRDefault="002914EB" w:rsidP="002914EB">
            <w:r w:rsidRPr="009D1867">
              <w:t>4,4</w:t>
            </w:r>
          </w:p>
        </w:tc>
        <w:tc>
          <w:tcPr>
            <w:tcW w:w="840"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0</w:t>
            </w:r>
          </w:p>
        </w:tc>
        <w:tc>
          <w:tcPr>
            <w:tcW w:w="1145"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0</w:t>
            </w:r>
          </w:p>
        </w:tc>
      </w:tr>
      <w:tr w:rsidR="002914EB" w:rsidRPr="009D1867" w:rsidTr="002914EB">
        <w:tc>
          <w:tcPr>
            <w:tcW w:w="2409"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Витаминизированные блюда</w:t>
            </w:r>
          </w:p>
        </w:tc>
        <w:tc>
          <w:tcPr>
            <w:tcW w:w="1114" w:type="dxa"/>
          </w:tcPr>
          <w:p w:rsidR="002914EB" w:rsidRPr="009D1867" w:rsidRDefault="002914EB" w:rsidP="002914EB">
            <w:r w:rsidRPr="009D1867">
              <w:t>5</w:t>
            </w:r>
          </w:p>
        </w:tc>
        <w:tc>
          <w:tcPr>
            <w:tcW w:w="925" w:type="dxa"/>
          </w:tcPr>
          <w:p w:rsidR="002914EB" w:rsidRPr="009D1867" w:rsidRDefault="002914EB" w:rsidP="002914EB">
            <w:r w:rsidRPr="009D1867">
              <w:t>0</w:t>
            </w:r>
          </w:p>
        </w:tc>
        <w:tc>
          <w:tcPr>
            <w:tcW w:w="994" w:type="dxa"/>
          </w:tcPr>
          <w:p w:rsidR="002914EB" w:rsidRPr="009D1867" w:rsidRDefault="002914EB" w:rsidP="002914EB">
            <w:r w:rsidRPr="009D1867">
              <w:t>7/1</w:t>
            </w:r>
          </w:p>
        </w:tc>
        <w:tc>
          <w:tcPr>
            <w:tcW w:w="1132" w:type="dxa"/>
          </w:tcPr>
          <w:p w:rsidR="002914EB" w:rsidRPr="009D1867" w:rsidRDefault="002914EB" w:rsidP="002914EB">
            <w:r w:rsidRPr="009D1867">
              <w:t>14,3</w:t>
            </w:r>
          </w:p>
        </w:tc>
        <w:tc>
          <w:tcPr>
            <w:tcW w:w="840"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0</w:t>
            </w:r>
          </w:p>
        </w:tc>
        <w:tc>
          <w:tcPr>
            <w:tcW w:w="1145"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0</w:t>
            </w:r>
          </w:p>
        </w:tc>
      </w:tr>
      <w:tr w:rsidR="002914EB" w:rsidRPr="009D1867" w:rsidTr="002914EB">
        <w:tc>
          <w:tcPr>
            <w:tcW w:w="2409"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Продукция на качество термической обработки</w:t>
            </w:r>
          </w:p>
        </w:tc>
        <w:tc>
          <w:tcPr>
            <w:tcW w:w="1114" w:type="dxa"/>
          </w:tcPr>
          <w:p w:rsidR="002914EB" w:rsidRPr="009D1867" w:rsidRDefault="002914EB" w:rsidP="002914EB">
            <w:r w:rsidRPr="009D1867">
              <w:t>5</w:t>
            </w:r>
          </w:p>
        </w:tc>
        <w:tc>
          <w:tcPr>
            <w:tcW w:w="925" w:type="dxa"/>
          </w:tcPr>
          <w:p w:rsidR="002914EB" w:rsidRPr="009D1867" w:rsidRDefault="002914EB" w:rsidP="002914EB">
            <w:r w:rsidRPr="009D1867">
              <w:t>0</w:t>
            </w:r>
          </w:p>
        </w:tc>
        <w:tc>
          <w:tcPr>
            <w:tcW w:w="994" w:type="dxa"/>
          </w:tcPr>
          <w:p w:rsidR="002914EB" w:rsidRPr="009D1867" w:rsidRDefault="002914EB" w:rsidP="002914EB">
            <w:r w:rsidRPr="009D1867">
              <w:t>7/0</w:t>
            </w:r>
          </w:p>
        </w:tc>
        <w:tc>
          <w:tcPr>
            <w:tcW w:w="1132" w:type="dxa"/>
          </w:tcPr>
          <w:p w:rsidR="002914EB" w:rsidRPr="009D1867" w:rsidRDefault="002914EB" w:rsidP="002914EB">
            <w:r w:rsidRPr="009D1867">
              <w:t>0</w:t>
            </w:r>
          </w:p>
        </w:tc>
        <w:tc>
          <w:tcPr>
            <w:tcW w:w="840"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0</w:t>
            </w:r>
          </w:p>
        </w:tc>
        <w:tc>
          <w:tcPr>
            <w:tcW w:w="1145" w:type="dxa"/>
          </w:tcPr>
          <w:p w:rsidR="002914EB" w:rsidRPr="009D1867" w:rsidRDefault="002914EB" w:rsidP="002914EB">
            <w:pPr>
              <w:spacing w:before="20" w:after="20"/>
              <w:rPr>
                <w:rFonts w:ascii="Times New Roman" w:hAnsi="Times New Roman" w:cs="Times New Roman"/>
              </w:rPr>
            </w:pPr>
            <w:r w:rsidRPr="009D1867">
              <w:rPr>
                <w:rFonts w:ascii="Times New Roman" w:hAnsi="Times New Roman" w:cs="Times New Roman"/>
              </w:rPr>
              <w:t>0</w:t>
            </w:r>
          </w:p>
        </w:tc>
      </w:tr>
    </w:tbl>
    <w:p w:rsidR="002914EB" w:rsidRPr="00BD65C5" w:rsidRDefault="002914EB" w:rsidP="002914EB">
      <w:pPr>
        <w:pStyle w:val="a7"/>
        <w:ind w:firstLine="283"/>
        <w:jc w:val="both"/>
        <w:rPr>
          <w:sz w:val="24"/>
          <w:szCs w:val="24"/>
          <w:highlight w:val="yellow"/>
        </w:rPr>
      </w:pPr>
    </w:p>
    <w:p w:rsidR="002914EB" w:rsidRPr="009D1867" w:rsidRDefault="002914EB" w:rsidP="002E57C5">
      <w:pPr>
        <w:pStyle w:val="a7"/>
        <w:ind w:firstLine="708"/>
        <w:jc w:val="both"/>
        <w:rPr>
          <w:sz w:val="24"/>
          <w:szCs w:val="24"/>
        </w:rPr>
      </w:pPr>
      <w:r w:rsidRPr="009D1867">
        <w:rPr>
          <w:sz w:val="24"/>
          <w:szCs w:val="24"/>
        </w:rPr>
        <w:t>В 2019году, по сравнению с 2018 годом наблюдается повышение количества исследованных проб по всем санитарно-гигиеническим показателям, что связано с увеличением объемов исследований  в  эксплуатируемый период  каждого ЛОУ  города:</w:t>
      </w:r>
    </w:p>
    <w:p w:rsidR="002914EB" w:rsidRPr="009D1867" w:rsidRDefault="002914EB" w:rsidP="002914EB">
      <w:pPr>
        <w:pStyle w:val="a7"/>
        <w:ind w:firstLine="283"/>
        <w:jc w:val="both"/>
        <w:rPr>
          <w:sz w:val="24"/>
          <w:szCs w:val="24"/>
        </w:rPr>
      </w:pPr>
      <w:r w:rsidRPr="009D1867">
        <w:rPr>
          <w:sz w:val="24"/>
          <w:szCs w:val="24"/>
        </w:rPr>
        <w:t>-готовых блюд на калорийность и полноту вложения на 24,4%;</w:t>
      </w:r>
    </w:p>
    <w:p w:rsidR="002914EB" w:rsidRPr="009D1867" w:rsidRDefault="002914EB" w:rsidP="002914EB">
      <w:pPr>
        <w:pStyle w:val="a7"/>
        <w:ind w:firstLine="283"/>
        <w:jc w:val="both"/>
        <w:rPr>
          <w:sz w:val="24"/>
          <w:szCs w:val="24"/>
        </w:rPr>
      </w:pPr>
      <w:r w:rsidRPr="009D1867">
        <w:rPr>
          <w:sz w:val="24"/>
          <w:szCs w:val="24"/>
        </w:rPr>
        <w:t>- «С-витаминизация блюд-на 28,5%;</w:t>
      </w:r>
    </w:p>
    <w:p w:rsidR="002914EB" w:rsidRPr="009D1867" w:rsidRDefault="002914EB" w:rsidP="002914EB">
      <w:pPr>
        <w:pStyle w:val="a7"/>
        <w:ind w:firstLine="283"/>
        <w:jc w:val="both"/>
        <w:rPr>
          <w:sz w:val="24"/>
          <w:szCs w:val="24"/>
        </w:rPr>
      </w:pPr>
      <w:r w:rsidRPr="009D1867">
        <w:rPr>
          <w:sz w:val="24"/>
          <w:szCs w:val="24"/>
        </w:rPr>
        <w:lastRenderedPageBreak/>
        <w:t>- Продукцию на качество термической обработки - на 40,0%;</w:t>
      </w:r>
    </w:p>
    <w:p w:rsidR="002914EB" w:rsidRPr="009D1867" w:rsidRDefault="002914EB" w:rsidP="002E57C5">
      <w:pPr>
        <w:pStyle w:val="a7"/>
        <w:ind w:firstLine="708"/>
        <w:jc w:val="both"/>
        <w:rPr>
          <w:sz w:val="24"/>
          <w:szCs w:val="24"/>
        </w:rPr>
      </w:pPr>
      <w:r w:rsidRPr="009D1867">
        <w:rPr>
          <w:sz w:val="24"/>
          <w:szCs w:val="24"/>
        </w:rPr>
        <w:t>В 2019г. по санитарно-химическим показателям выявлены пробы с заниженным вложением витамина «С», процент несоответствующих проб составило 14,3%,не соответствующих проб по калорийности и полноте вложения 4,4%. В 2018гг проб, не соответствующих требованиям по санитарно-химическим показателям не выявлено.(табл № 7).</w:t>
      </w:r>
    </w:p>
    <w:p w:rsidR="002914EB" w:rsidRPr="009D1867" w:rsidRDefault="002914EB" w:rsidP="002914EB">
      <w:pPr>
        <w:spacing w:before="120"/>
        <w:jc w:val="center"/>
        <w:outlineLvl w:val="0"/>
        <w:rPr>
          <w:rFonts w:ascii="Times New Roman" w:hAnsi="Times New Roman" w:cs="Times New Roman"/>
          <w:b/>
          <w:bCs/>
          <w:sz w:val="24"/>
          <w:szCs w:val="24"/>
        </w:rPr>
      </w:pPr>
      <w:r w:rsidRPr="009D1867">
        <w:rPr>
          <w:rFonts w:ascii="Times New Roman" w:hAnsi="Times New Roman" w:cs="Times New Roman"/>
          <w:b/>
          <w:bCs/>
          <w:sz w:val="24"/>
          <w:szCs w:val="24"/>
        </w:rPr>
        <w:t>Состояние здоровья</w:t>
      </w:r>
    </w:p>
    <w:p w:rsidR="002914EB" w:rsidRDefault="002914EB" w:rsidP="002914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2020году по детским дошкольным образовательным учреждения города при  проведении периодического медицинского осмотра  из подлежащих 1881 чел осмотрено </w:t>
      </w:r>
      <w:r w:rsidRPr="00C21AE8">
        <w:rPr>
          <w:rFonts w:ascii="Times New Roman" w:hAnsi="Times New Roman" w:cs="Times New Roman"/>
          <w:sz w:val="24"/>
          <w:szCs w:val="24"/>
        </w:rPr>
        <w:t>1723</w:t>
      </w:r>
      <w:r>
        <w:rPr>
          <w:rFonts w:ascii="Times New Roman" w:hAnsi="Times New Roman" w:cs="Times New Roman"/>
          <w:sz w:val="24"/>
          <w:szCs w:val="24"/>
        </w:rPr>
        <w:t xml:space="preserve"> детей, что составило 91,6% .</w:t>
      </w:r>
    </w:p>
    <w:p w:rsidR="002914EB" w:rsidRDefault="002914EB" w:rsidP="002914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группам  здоровья дети распределились следующим образом:</w:t>
      </w:r>
    </w:p>
    <w:p w:rsidR="002914EB" w:rsidRPr="00C21AE8" w:rsidRDefault="002914EB" w:rsidP="002914EB">
      <w:pPr>
        <w:spacing w:after="0" w:line="240" w:lineRule="auto"/>
        <w:ind w:firstLine="709"/>
        <w:jc w:val="both"/>
        <w:rPr>
          <w:rFonts w:ascii="Times New Roman" w:hAnsi="Times New Roman" w:cs="Times New Roman"/>
          <w:sz w:val="24"/>
          <w:szCs w:val="24"/>
        </w:rPr>
      </w:pPr>
      <w:r w:rsidRPr="00C21AE8">
        <w:rPr>
          <w:rFonts w:ascii="Times New Roman" w:hAnsi="Times New Roman" w:cs="Times New Roman"/>
          <w:sz w:val="24"/>
          <w:szCs w:val="24"/>
        </w:rPr>
        <w:t>I</w:t>
      </w:r>
      <w:bookmarkStart w:id="63" w:name="_Hlk63366608"/>
      <w:r>
        <w:rPr>
          <w:rFonts w:ascii="Times New Roman" w:hAnsi="Times New Roman" w:cs="Times New Roman"/>
          <w:sz w:val="24"/>
          <w:szCs w:val="24"/>
        </w:rPr>
        <w:t>группа</w:t>
      </w:r>
      <w:bookmarkEnd w:id="63"/>
      <w:r>
        <w:rPr>
          <w:rFonts w:ascii="Times New Roman" w:hAnsi="Times New Roman" w:cs="Times New Roman"/>
          <w:sz w:val="24"/>
          <w:szCs w:val="24"/>
        </w:rPr>
        <w:t>-</w:t>
      </w:r>
      <w:r w:rsidRPr="00C21AE8">
        <w:rPr>
          <w:rFonts w:ascii="Times New Roman" w:hAnsi="Times New Roman" w:cs="Times New Roman"/>
          <w:sz w:val="24"/>
          <w:szCs w:val="24"/>
        </w:rPr>
        <w:t>92</w:t>
      </w:r>
      <w:r>
        <w:rPr>
          <w:rFonts w:ascii="Times New Roman" w:hAnsi="Times New Roman" w:cs="Times New Roman"/>
          <w:sz w:val="24"/>
          <w:szCs w:val="24"/>
        </w:rPr>
        <w:t>1 человек-</w:t>
      </w:r>
      <w:r w:rsidRPr="00C21AE8">
        <w:rPr>
          <w:rFonts w:ascii="Times New Roman" w:hAnsi="Times New Roman" w:cs="Times New Roman"/>
          <w:sz w:val="24"/>
          <w:szCs w:val="24"/>
        </w:rPr>
        <w:t>53,45</w:t>
      </w:r>
      <w:r>
        <w:rPr>
          <w:rFonts w:ascii="Times New Roman" w:hAnsi="Times New Roman" w:cs="Times New Roman"/>
          <w:sz w:val="24"/>
          <w:szCs w:val="24"/>
        </w:rPr>
        <w:t>%;</w:t>
      </w:r>
    </w:p>
    <w:p w:rsidR="002914EB" w:rsidRPr="008621EC" w:rsidRDefault="002914EB" w:rsidP="002914EB">
      <w:pPr>
        <w:spacing w:after="0" w:line="240" w:lineRule="auto"/>
        <w:ind w:firstLine="709"/>
        <w:jc w:val="both"/>
        <w:rPr>
          <w:rFonts w:ascii="Times New Roman" w:hAnsi="Times New Roman" w:cs="Times New Roman"/>
          <w:sz w:val="24"/>
          <w:szCs w:val="24"/>
        </w:rPr>
      </w:pPr>
      <w:r w:rsidRPr="00C21AE8">
        <w:rPr>
          <w:rFonts w:ascii="Times New Roman" w:hAnsi="Times New Roman" w:cs="Times New Roman"/>
          <w:sz w:val="24"/>
          <w:szCs w:val="24"/>
        </w:rPr>
        <w:t xml:space="preserve">II </w:t>
      </w:r>
      <w:r>
        <w:rPr>
          <w:rFonts w:ascii="Times New Roman" w:hAnsi="Times New Roman" w:cs="Times New Roman"/>
          <w:sz w:val="24"/>
          <w:szCs w:val="24"/>
        </w:rPr>
        <w:t>группа-</w:t>
      </w:r>
      <w:r w:rsidRPr="008621EC">
        <w:rPr>
          <w:rFonts w:ascii="Times New Roman" w:hAnsi="Times New Roman" w:cs="Times New Roman"/>
          <w:sz w:val="24"/>
          <w:szCs w:val="24"/>
        </w:rPr>
        <w:t>671</w:t>
      </w:r>
      <w:r>
        <w:rPr>
          <w:rFonts w:ascii="Times New Roman" w:hAnsi="Times New Roman" w:cs="Times New Roman"/>
          <w:sz w:val="24"/>
          <w:szCs w:val="24"/>
        </w:rPr>
        <w:t xml:space="preserve"> ребенок-</w:t>
      </w:r>
      <w:r w:rsidRPr="008621EC">
        <w:rPr>
          <w:rFonts w:ascii="Times New Roman" w:hAnsi="Times New Roman" w:cs="Times New Roman"/>
          <w:sz w:val="24"/>
          <w:szCs w:val="24"/>
        </w:rPr>
        <w:t>38,94</w:t>
      </w:r>
      <w:r>
        <w:rPr>
          <w:rFonts w:ascii="Times New Roman" w:hAnsi="Times New Roman" w:cs="Times New Roman"/>
          <w:sz w:val="24"/>
          <w:szCs w:val="24"/>
        </w:rPr>
        <w:t>%;</w:t>
      </w:r>
    </w:p>
    <w:p w:rsidR="002914EB" w:rsidRPr="008621EC" w:rsidRDefault="002914EB" w:rsidP="002914EB">
      <w:pPr>
        <w:spacing w:after="0" w:line="240" w:lineRule="auto"/>
        <w:ind w:firstLine="709"/>
        <w:jc w:val="both"/>
        <w:rPr>
          <w:rFonts w:ascii="Times New Roman" w:hAnsi="Times New Roman" w:cs="Times New Roman"/>
          <w:sz w:val="24"/>
          <w:szCs w:val="24"/>
        </w:rPr>
      </w:pPr>
      <w:r w:rsidRPr="00C21AE8">
        <w:rPr>
          <w:rFonts w:ascii="Times New Roman" w:hAnsi="Times New Roman" w:cs="Times New Roman"/>
          <w:sz w:val="24"/>
          <w:szCs w:val="24"/>
        </w:rPr>
        <w:t xml:space="preserve">III </w:t>
      </w:r>
      <w:r>
        <w:rPr>
          <w:rFonts w:ascii="Times New Roman" w:hAnsi="Times New Roman" w:cs="Times New Roman"/>
          <w:sz w:val="24"/>
          <w:szCs w:val="24"/>
        </w:rPr>
        <w:t>группа-</w:t>
      </w:r>
      <w:r w:rsidRPr="008621EC">
        <w:rPr>
          <w:rFonts w:ascii="Times New Roman" w:hAnsi="Times New Roman" w:cs="Times New Roman"/>
          <w:sz w:val="24"/>
          <w:szCs w:val="24"/>
        </w:rPr>
        <w:t>115</w:t>
      </w:r>
      <w:r>
        <w:rPr>
          <w:rFonts w:ascii="Times New Roman" w:hAnsi="Times New Roman" w:cs="Times New Roman"/>
          <w:sz w:val="24"/>
          <w:szCs w:val="24"/>
        </w:rPr>
        <w:t xml:space="preserve"> детей-</w:t>
      </w:r>
      <w:r w:rsidRPr="008621EC">
        <w:rPr>
          <w:rFonts w:ascii="Times New Roman" w:hAnsi="Times New Roman" w:cs="Times New Roman"/>
          <w:sz w:val="24"/>
          <w:szCs w:val="24"/>
        </w:rPr>
        <w:t>6,67</w:t>
      </w:r>
      <w:r>
        <w:rPr>
          <w:rFonts w:ascii="Times New Roman" w:hAnsi="Times New Roman" w:cs="Times New Roman"/>
          <w:sz w:val="24"/>
          <w:szCs w:val="24"/>
        </w:rPr>
        <w:t>%;</w:t>
      </w:r>
    </w:p>
    <w:p w:rsidR="002914EB" w:rsidRPr="008621EC" w:rsidRDefault="002914EB" w:rsidP="002914EB">
      <w:pPr>
        <w:spacing w:after="0" w:line="240" w:lineRule="auto"/>
        <w:ind w:firstLine="709"/>
        <w:jc w:val="both"/>
        <w:rPr>
          <w:rFonts w:ascii="Times New Roman" w:hAnsi="Times New Roman" w:cs="Times New Roman"/>
          <w:sz w:val="24"/>
          <w:szCs w:val="24"/>
        </w:rPr>
      </w:pPr>
      <w:r w:rsidRPr="00C21AE8">
        <w:rPr>
          <w:rFonts w:ascii="Times New Roman" w:hAnsi="Times New Roman" w:cs="Times New Roman"/>
          <w:sz w:val="24"/>
          <w:szCs w:val="24"/>
        </w:rPr>
        <w:t xml:space="preserve">IV </w:t>
      </w:r>
      <w:r>
        <w:rPr>
          <w:rFonts w:ascii="Times New Roman" w:hAnsi="Times New Roman" w:cs="Times New Roman"/>
          <w:sz w:val="24"/>
          <w:szCs w:val="24"/>
        </w:rPr>
        <w:t>группа-</w:t>
      </w:r>
      <w:r w:rsidRPr="008621EC">
        <w:rPr>
          <w:rFonts w:ascii="Times New Roman" w:hAnsi="Times New Roman" w:cs="Times New Roman"/>
          <w:sz w:val="24"/>
          <w:szCs w:val="24"/>
        </w:rPr>
        <w:t>6</w:t>
      </w:r>
      <w:r>
        <w:rPr>
          <w:rFonts w:ascii="Times New Roman" w:hAnsi="Times New Roman" w:cs="Times New Roman"/>
          <w:sz w:val="24"/>
          <w:szCs w:val="24"/>
        </w:rPr>
        <w:t xml:space="preserve"> детей -</w:t>
      </w:r>
      <w:r w:rsidRPr="008621EC">
        <w:rPr>
          <w:rFonts w:ascii="Times New Roman" w:hAnsi="Times New Roman" w:cs="Times New Roman"/>
          <w:sz w:val="24"/>
          <w:szCs w:val="24"/>
        </w:rPr>
        <w:t>0,35</w:t>
      </w:r>
      <w:r>
        <w:rPr>
          <w:rFonts w:ascii="Times New Roman" w:hAnsi="Times New Roman" w:cs="Times New Roman"/>
          <w:sz w:val="24"/>
          <w:szCs w:val="24"/>
        </w:rPr>
        <w:t>%;</w:t>
      </w:r>
    </w:p>
    <w:p w:rsidR="002914EB" w:rsidRDefault="002914EB" w:rsidP="002914EB">
      <w:pPr>
        <w:spacing w:after="0" w:line="240" w:lineRule="auto"/>
        <w:ind w:firstLine="709"/>
        <w:jc w:val="both"/>
        <w:rPr>
          <w:rFonts w:ascii="Times New Roman" w:hAnsi="Times New Roman" w:cs="Times New Roman"/>
          <w:sz w:val="24"/>
          <w:szCs w:val="24"/>
        </w:rPr>
      </w:pPr>
      <w:r w:rsidRPr="00C21AE8">
        <w:rPr>
          <w:rFonts w:ascii="Times New Roman" w:hAnsi="Times New Roman" w:cs="Times New Roman"/>
          <w:sz w:val="24"/>
          <w:szCs w:val="24"/>
        </w:rPr>
        <w:t xml:space="preserve">V </w:t>
      </w:r>
      <w:r>
        <w:rPr>
          <w:rFonts w:ascii="Times New Roman" w:hAnsi="Times New Roman" w:cs="Times New Roman"/>
          <w:sz w:val="24"/>
          <w:szCs w:val="24"/>
        </w:rPr>
        <w:t>группа-</w:t>
      </w:r>
      <w:r w:rsidRPr="008621EC">
        <w:rPr>
          <w:rFonts w:ascii="Times New Roman" w:hAnsi="Times New Roman" w:cs="Times New Roman"/>
          <w:sz w:val="24"/>
          <w:szCs w:val="24"/>
        </w:rPr>
        <w:t>10</w:t>
      </w:r>
      <w:r>
        <w:rPr>
          <w:rFonts w:ascii="Times New Roman" w:hAnsi="Times New Roman" w:cs="Times New Roman"/>
          <w:sz w:val="24"/>
          <w:szCs w:val="24"/>
        </w:rPr>
        <w:t xml:space="preserve"> детей -</w:t>
      </w:r>
      <w:r w:rsidRPr="008621EC">
        <w:rPr>
          <w:rFonts w:ascii="Times New Roman" w:hAnsi="Times New Roman" w:cs="Times New Roman"/>
          <w:sz w:val="24"/>
          <w:szCs w:val="24"/>
        </w:rPr>
        <w:t>0,58</w:t>
      </w:r>
      <w:r>
        <w:rPr>
          <w:rFonts w:ascii="Times New Roman" w:hAnsi="Times New Roman" w:cs="Times New Roman"/>
          <w:sz w:val="24"/>
          <w:szCs w:val="24"/>
        </w:rPr>
        <w:t>%.</w:t>
      </w:r>
    </w:p>
    <w:p w:rsidR="002914EB" w:rsidRPr="00C21AE8" w:rsidRDefault="002914EB" w:rsidP="002914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Следует отметить, что при прохождении углубленного медицинского осмотра п</w:t>
      </w:r>
      <w:r w:rsidRPr="00DB117E">
        <w:rPr>
          <w:rFonts w:ascii="Times New Roman" w:hAnsi="Times New Roman" w:cs="Times New Roman"/>
          <w:sz w:val="24"/>
          <w:szCs w:val="24"/>
        </w:rPr>
        <w:t>еред поступлением в детское дошкольное учреждение</w:t>
      </w:r>
      <w:r>
        <w:rPr>
          <w:rFonts w:ascii="Times New Roman" w:hAnsi="Times New Roman" w:cs="Times New Roman"/>
          <w:sz w:val="24"/>
          <w:szCs w:val="24"/>
        </w:rPr>
        <w:t xml:space="preserve"> из осмотренных в 2020году 667детей у  14%(99абс) выявлены  </w:t>
      </w:r>
      <w:bookmarkStart w:id="64" w:name="_Hlk63367423"/>
      <w:r>
        <w:rPr>
          <w:rFonts w:ascii="Times New Roman" w:hAnsi="Times New Roman" w:cs="Times New Roman"/>
          <w:sz w:val="24"/>
          <w:szCs w:val="24"/>
        </w:rPr>
        <w:t xml:space="preserve">нарушения остроты зрения, у 3 чел сколиоз, что составило 0,45%,  нарушение осанки у 12 чел, что составило </w:t>
      </w:r>
      <w:r w:rsidRPr="008621EC">
        <w:rPr>
          <w:rFonts w:ascii="Times New Roman" w:hAnsi="Times New Roman" w:cs="Times New Roman"/>
          <w:sz w:val="24"/>
          <w:szCs w:val="24"/>
        </w:rPr>
        <w:t xml:space="preserve">1,8 </w:t>
      </w:r>
      <w:r>
        <w:rPr>
          <w:rFonts w:ascii="Times New Roman" w:hAnsi="Times New Roman" w:cs="Times New Roman"/>
          <w:sz w:val="24"/>
          <w:szCs w:val="24"/>
        </w:rPr>
        <w:t xml:space="preserve">%. </w:t>
      </w:r>
      <w:bookmarkEnd w:id="64"/>
      <w:r>
        <w:rPr>
          <w:rFonts w:ascii="Times New Roman" w:hAnsi="Times New Roman" w:cs="Times New Roman"/>
          <w:sz w:val="24"/>
          <w:szCs w:val="24"/>
        </w:rPr>
        <w:t xml:space="preserve">При  прохождении углубленного медицинского осмотра у детей перед поступлением в школу из  631 ребенка  в 2020г были выявлены нарушенияостроты зрения у 114детей, что составило 18,8%, у 4 детей сколиоз, что составило </w:t>
      </w:r>
      <w:r w:rsidRPr="00115F26">
        <w:rPr>
          <w:rFonts w:ascii="Times New Roman" w:hAnsi="Times New Roman" w:cs="Times New Roman"/>
          <w:sz w:val="24"/>
          <w:szCs w:val="24"/>
        </w:rPr>
        <w:t>0,64</w:t>
      </w:r>
      <w:r>
        <w:rPr>
          <w:rFonts w:ascii="Times New Roman" w:hAnsi="Times New Roman" w:cs="Times New Roman"/>
          <w:sz w:val="24"/>
          <w:szCs w:val="24"/>
        </w:rPr>
        <w:t xml:space="preserve">%,  нарушение осанки у 46 чел, что составило </w:t>
      </w:r>
      <w:r w:rsidRPr="00115F26">
        <w:rPr>
          <w:rFonts w:ascii="Times New Roman" w:hAnsi="Times New Roman" w:cs="Times New Roman"/>
          <w:sz w:val="24"/>
          <w:szCs w:val="24"/>
        </w:rPr>
        <w:t>7,2</w:t>
      </w:r>
      <w:r>
        <w:rPr>
          <w:rFonts w:ascii="Times New Roman" w:hAnsi="Times New Roman" w:cs="Times New Roman"/>
          <w:sz w:val="24"/>
          <w:szCs w:val="24"/>
        </w:rPr>
        <w:t xml:space="preserve">%. Данные  углубленного медицинского осмотра детей свидетельствуют  о том, что дети поступают в школу  при наличии высокого процента нарушений в состоянии здоровья и необходимости внедрения  в образовательную деятельность комплекса упражнений по гимнастике глаз, ограничение в детских садах использования телевизоров, проведение санитарно-просветительной работы среди родителей по использованию детьми телефонов, планшетов, увеличения продолжительности активного отдыха, а также усиления  контроля по использованию в группах промаркированной, согласно возраста мебели.  </w:t>
      </w:r>
    </w:p>
    <w:p w:rsidR="002914EB" w:rsidRPr="00BD65C5" w:rsidRDefault="002914EB" w:rsidP="002914EB">
      <w:pPr>
        <w:tabs>
          <w:tab w:val="left" w:pos="3828"/>
        </w:tabs>
        <w:spacing w:after="0" w:line="240" w:lineRule="auto"/>
        <w:ind w:firstLine="709"/>
        <w:jc w:val="both"/>
        <w:rPr>
          <w:rFonts w:ascii="Times New Roman" w:hAnsi="Times New Roman" w:cs="Times New Roman"/>
          <w:sz w:val="24"/>
          <w:szCs w:val="24"/>
          <w:highlight w:val="yellow"/>
        </w:rPr>
      </w:pPr>
      <w:r w:rsidRPr="00897BDC">
        <w:rPr>
          <w:rFonts w:ascii="Times New Roman" w:hAnsi="Times New Roman" w:cs="Times New Roman"/>
          <w:sz w:val="24"/>
          <w:szCs w:val="24"/>
        </w:rPr>
        <w:t>В 2020году, из числа подлежащих прошли медицинский осмотр 90,7%,  в 2019г-95,1 %</w:t>
      </w:r>
      <w:r>
        <w:rPr>
          <w:rFonts w:ascii="Times New Roman" w:hAnsi="Times New Roman" w:cs="Times New Roman"/>
          <w:sz w:val="24"/>
          <w:szCs w:val="24"/>
        </w:rPr>
        <w:t>от подлежащих</w:t>
      </w:r>
      <w:r w:rsidRPr="00897BDC">
        <w:rPr>
          <w:rFonts w:ascii="Times New Roman" w:hAnsi="Times New Roman" w:cs="Times New Roman"/>
          <w:sz w:val="24"/>
          <w:szCs w:val="24"/>
        </w:rPr>
        <w:t xml:space="preserve">, что т.е  процент  охвата  школьниковснизился  в  сравнении с  2019г. </w:t>
      </w:r>
      <w:r>
        <w:rPr>
          <w:rFonts w:ascii="Times New Roman" w:hAnsi="Times New Roman" w:cs="Times New Roman"/>
          <w:sz w:val="24"/>
          <w:szCs w:val="24"/>
        </w:rPr>
        <w:t>н</w:t>
      </w:r>
      <w:r w:rsidRPr="00897BDC">
        <w:rPr>
          <w:rFonts w:ascii="Times New Roman" w:hAnsi="Times New Roman" w:cs="Times New Roman"/>
          <w:sz w:val="24"/>
          <w:szCs w:val="24"/>
        </w:rPr>
        <w:t xml:space="preserve">а 4,4%.  </w:t>
      </w:r>
    </w:p>
    <w:p w:rsidR="002914EB" w:rsidRPr="00532CCC" w:rsidRDefault="002914EB" w:rsidP="002E57C5">
      <w:pPr>
        <w:ind w:firstLine="708"/>
        <w:jc w:val="both"/>
        <w:rPr>
          <w:rFonts w:ascii="Times New Roman" w:hAnsi="Times New Roman" w:cs="Times New Roman"/>
          <w:sz w:val="24"/>
          <w:szCs w:val="24"/>
        </w:rPr>
      </w:pPr>
      <w:r w:rsidRPr="00532CCC">
        <w:rPr>
          <w:rFonts w:ascii="Times New Roman" w:hAnsi="Times New Roman" w:cs="Times New Roman"/>
          <w:sz w:val="24"/>
          <w:szCs w:val="24"/>
        </w:rPr>
        <w:t xml:space="preserve">По результатам углубленного осмотра школьников в 2019г.от общего числа осмотренных первую группу здоровья составляет </w:t>
      </w:r>
      <w:r w:rsidRPr="00532CCC">
        <w:rPr>
          <w:rFonts w:ascii="Times New Roman" w:eastAsia="Times New Roman" w:hAnsi="Times New Roman" w:cs="Times New Roman"/>
          <w:color w:val="000000"/>
          <w:sz w:val="24"/>
          <w:szCs w:val="24"/>
        </w:rPr>
        <w:t>50,79% в 2019г</w:t>
      </w:r>
      <w:r w:rsidRPr="00532CCC">
        <w:rPr>
          <w:rFonts w:ascii="Times New Roman" w:hAnsi="Times New Roman" w:cs="Times New Roman"/>
          <w:sz w:val="24"/>
          <w:szCs w:val="24"/>
        </w:rPr>
        <w:t>-39,4% , 2018г -31,5%,, увеличилось количество  лицв 1 группе на 11,39%-положительная динамика, (таблица № 6)</w:t>
      </w:r>
    </w:p>
    <w:p w:rsidR="002914EB" w:rsidRPr="00532CCC" w:rsidRDefault="002914EB" w:rsidP="002914EB">
      <w:pPr>
        <w:tabs>
          <w:tab w:val="left" w:pos="3828"/>
        </w:tabs>
        <w:spacing w:after="0" w:line="240" w:lineRule="auto"/>
        <w:ind w:firstLine="709"/>
        <w:jc w:val="both"/>
        <w:rPr>
          <w:rFonts w:ascii="Times New Roman" w:hAnsi="Times New Roman" w:cs="Times New Roman"/>
          <w:sz w:val="24"/>
          <w:szCs w:val="24"/>
        </w:rPr>
      </w:pPr>
      <w:r w:rsidRPr="00532CCC">
        <w:rPr>
          <w:rFonts w:ascii="Times New Roman" w:hAnsi="Times New Roman" w:cs="Times New Roman"/>
          <w:sz w:val="24"/>
          <w:szCs w:val="24"/>
        </w:rPr>
        <w:t>Во вторую группу здоровья, удельный вес которой составил -43,36%, в 2019г-  50,3%,2018г-59,9%) в  2020 г. отмечается  незначительное снижение удельного веса детей во второй группе здоровья за счет увеличения в первой группе. (рис № 3).</w:t>
      </w:r>
    </w:p>
    <w:p w:rsidR="002914EB" w:rsidRPr="00532CCC" w:rsidRDefault="002914EB" w:rsidP="002914EB">
      <w:pPr>
        <w:tabs>
          <w:tab w:val="left" w:pos="3828"/>
        </w:tabs>
        <w:spacing w:after="0" w:line="240" w:lineRule="auto"/>
        <w:ind w:firstLine="709"/>
        <w:jc w:val="both"/>
        <w:rPr>
          <w:rFonts w:ascii="Times New Roman" w:hAnsi="Times New Roman" w:cs="Times New Roman"/>
          <w:sz w:val="24"/>
          <w:szCs w:val="24"/>
        </w:rPr>
      </w:pPr>
      <w:r w:rsidRPr="00532CCC">
        <w:rPr>
          <w:rFonts w:ascii="Times New Roman" w:hAnsi="Times New Roman" w:cs="Times New Roman"/>
          <w:sz w:val="24"/>
          <w:szCs w:val="24"/>
        </w:rPr>
        <w:t>В 2020 г. удельный вес детей в  третьей группе здоровья составил 6,43% (в 2019г-9,5 % ,2018г-8,3%).В 2020г отмечается  уменьшение  удельного веса детей, относящихся к третьей группе здоровья.</w:t>
      </w:r>
    </w:p>
    <w:p w:rsidR="002914EB" w:rsidRPr="00532CCC" w:rsidRDefault="002914EB" w:rsidP="002914EB">
      <w:pPr>
        <w:tabs>
          <w:tab w:val="left" w:pos="3828"/>
        </w:tabs>
        <w:spacing w:after="0" w:line="240" w:lineRule="auto"/>
        <w:ind w:firstLine="709"/>
        <w:jc w:val="both"/>
        <w:rPr>
          <w:rFonts w:ascii="Times New Roman" w:hAnsi="Times New Roman" w:cs="Times New Roman"/>
          <w:sz w:val="24"/>
          <w:szCs w:val="24"/>
        </w:rPr>
      </w:pPr>
      <w:r w:rsidRPr="00532CCC">
        <w:rPr>
          <w:rFonts w:ascii="Times New Roman" w:hAnsi="Times New Roman" w:cs="Times New Roman"/>
          <w:sz w:val="24"/>
          <w:szCs w:val="24"/>
        </w:rPr>
        <w:t xml:space="preserve">В 2018-2019гг. удельный вес четвертой  и пятой группы здоровья, которую составляют дети-инвалиды, остался практически на одном уровне. В 2020г количество школьников </w:t>
      </w:r>
      <w:r w:rsidRPr="00532CCC">
        <w:rPr>
          <w:rFonts w:ascii="Times New Roman" w:hAnsi="Times New Roman" w:cs="Times New Roman"/>
          <w:lang w:val="en-US"/>
        </w:rPr>
        <w:t>IV</w:t>
      </w:r>
      <w:r w:rsidRPr="00532CCC">
        <w:rPr>
          <w:rFonts w:ascii="Times New Roman" w:hAnsi="Times New Roman" w:cs="Times New Roman"/>
        </w:rPr>
        <w:t xml:space="preserve"> группы здоровья  не зарегистрировано,0,04%   школьников 2 чел-относятся к </w:t>
      </w:r>
      <w:r w:rsidRPr="00532CCC">
        <w:rPr>
          <w:rFonts w:ascii="Times New Roman" w:hAnsi="Times New Roman" w:cs="Times New Roman"/>
          <w:lang w:val="en-US"/>
        </w:rPr>
        <w:t>V</w:t>
      </w:r>
      <w:r w:rsidRPr="00532CCC">
        <w:rPr>
          <w:rFonts w:ascii="Times New Roman" w:hAnsi="Times New Roman" w:cs="Times New Roman"/>
        </w:rPr>
        <w:t xml:space="preserve"> группе здоровья   </w:t>
      </w:r>
      <w:r w:rsidRPr="00532CCC">
        <w:rPr>
          <w:rFonts w:ascii="Times New Roman" w:hAnsi="Times New Roman" w:cs="Times New Roman"/>
          <w:sz w:val="24"/>
          <w:szCs w:val="24"/>
        </w:rPr>
        <w:t xml:space="preserve"> (табл №</w:t>
      </w:r>
      <w:r>
        <w:rPr>
          <w:rFonts w:ascii="Times New Roman" w:hAnsi="Times New Roman" w:cs="Times New Roman"/>
          <w:sz w:val="24"/>
          <w:szCs w:val="24"/>
        </w:rPr>
        <w:t>8</w:t>
      </w:r>
      <w:r w:rsidRPr="00532CCC">
        <w:rPr>
          <w:rFonts w:ascii="Times New Roman" w:hAnsi="Times New Roman" w:cs="Times New Roman"/>
          <w:sz w:val="24"/>
          <w:szCs w:val="24"/>
        </w:rPr>
        <w:t>).</w:t>
      </w:r>
    </w:p>
    <w:p w:rsidR="002914EB" w:rsidRPr="00532CCC" w:rsidRDefault="002914EB" w:rsidP="002914EB">
      <w:pPr>
        <w:spacing w:after="0" w:line="240" w:lineRule="auto"/>
        <w:jc w:val="right"/>
        <w:outlineLvl w:val="0"/>
        <w:rPr>
          <w:rFonts w:ascii="Times New Roman" w:hAnsi="Times New Roman" w:cs="Times New Roman"/>
        </w:rPr>
      </w:pPr>
    </w:p>
    <w:p w:rsidR="002914EB" w:rsidRPr="00532CCC" w:rsidRDefault="002914EB" w:rsidP="002914EB">
      <w:pPr>
        <w:spacing w:after="0" w:line="240" w:lineRule="auto"/>
        <w:jc w:val="right"/>
        <w:outlineLvl w:val="0"/>
        <w:rPr>
          <w:rFonts w:ascii="Times New Roman" w:hAnsi="Times New Roman" w:cs="Times New Roman"/>
          <w:color w:val="000000" w:themeColor="text1"/>
        </w:rPr>
      </w:pPr>
      <w:r w:rsidRPr="00532CCC">
        <w:rPr>
          <w:rFonts w:ascii="Times New Roman" w:hAnsi="Times New Roman" w:cs="Times New Roman"/>
          <w:color w:val="000000" w:themeColor="text1"/>
        </w:rPr>
        <w:t>Таблица №</w:t>
      </w:r>
      <w:r>
        <w:rPr>
          <w:rFonts w:ascii="Times New Roman" w:hAnsi="Times New Roman" w:cs="Times New Roman"/>
          <w:color w:val="000000" w:themeColor="text1"/>
        </w:rPr>
        <w:t xml:space="preserve"> 8</w:t>
      </w:r>
    </w:p>
    <w:p w:rsidR="002914EB" w:rsidRPr="00897BDC" w:rsidRDefault="002914EB" w:rsidP="002914EB">
      <w:pPr>
        <w:pStyle w:val="31"/>
        <w:tabs>
          <w:tab w:val="left" w:pos="708"/>
        </w:tabs>
        <w:rPr>
          <w:b/>
          <w:sz w:val="24"/>
          <w:szCs w:val="24"/>
        </w:rPr>
      </w:pPr>
      <w:r w:rsidRPr="00897BDC">
        <w:rPr>
          <w:b/>
          <w:sz w:val="24"/>
          <w:szCs w:val="24"/>
        </w:rPr>
        <w:t>Показатели  результатов углубленного осмотра  школьников города</w:t>
      </w:r>
    </w:p>
    <w:p w:rsidR="002914EB" w:rsidRPr="00897BDC" w:rsidRDefault="002914EB" w:rsidP="002914EB">
      <w:pPr>
        <w:pStyle w:val="31"/>
        <w:tabs>
          <w:tab w:val="left" w:pos="708"/>
        </w:tabs>
        <w:rPr>
          <w:b/>
          <w:sz w:val="24"/>
          <w:szCs w:val="24"/>
        </w:rPr>
      </w:pPr>
      <w:r w:rsidRPr="00897BDC">
        <w:rPr>
          <w:b/>
          <w:sz w:val="24"/>
          <w:szCs w:val="24"/>
        </w:rPr>
        <w:t>от числа осмотренных в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41"/>
        <w:gridCol w:w="1187"/>
        <w:gridCol w:w="759"/>
        <w:gridCol w:w="751"/>
        <w:gridCol w:w="989"/>
        <w:gridCol w:w="1143"/>
        <w:gridCol w:w="751"/>
        <w:gridCol w:w="1083"/>
        <w:gridCol w:w="992"/>
        <w:gridCol w:w="850"/>
      </w:tblGrid>
      <w:tr w:rsidR="002914EB" w:rsidRPr="00897BDC" w:rsidTr="002914EB">
        <w:tc>
          <w:tcPr>
            <w:tcW w:w="1419" w:type="dxa"/>
            <w:vMerge w:val="restart"/>
            <w:tcBorders>
              <w:top w:val="single" w:sz="4" w:space="0" w:color="auto"/>
              <w:left w:val="single" w:sz="4" w:space="0" w:color="auto"/>
              <w:bottom w:val="single" w:sz="4" w:space="0" w:color="auto"/>
              <w:right w:val="single" w:sz="4" w:space="0" w:color="auto"/>
            </w:tcBorders>
          </w:tcPr>
          <w:p w:rsidR="002914EB" w:rsidRPr="00897BDC" w:rsidRDefault="002914EB" w:rsidP="002914EB">
            <w:pPr>
              <w:spacing w:after="0" w:line="240" w:lineRule="auto"/>
              <w:jc w:val="both"/>
              <w:rPr>
                <w:rFonts w:ascii="Times New Roman" w:hAnsi="Times New Roman" w:cs="Times New Roman"/>
                <w:b/>
              </w:rPr>
            </w:pPr>
          </w:p>
        </w:tc>
        <w:tc>
          <w:tcPr>
            <w:tcW w:w="2838" w:type="dxa"/>
            <w:gridSpan w:val="4"/>
            <w:tcBorders>
              <w:top w:val="single" w:sz="4" w:space="0" w:color="auto"/>
              <w:left w:val="single" w:sz="4" w:space="0" w:color="auto"/>
              <w:bottom w:val="single" w:sz="4" w:space="0" w:color="auto"/>
              <w:right w:val="single" w:sz="4" w:space="0" w:color="auto"/>
            </w:tcBorders>
          </w:tcPr>
          <w:p w:rsidR="002914EB" w:rsidRPr="00532CCC" w:rsidRDefault="002914EB" w:rsidP="002914EB">
            <w:pPr>
              <w:spacing w:after="0" w:line="240" w:lineRule="auto"/>
              <w:jc w:val="both"/>
              <w:rPr>
                <w:rFonts w:ascii="Times New Roman" w:hAnsi="Times New Roman" w:cs="Times New Roman"/>
              </w:rPr>
            </w:pPr>
            <w:r w:rsidRPr="00532CCC">
              <w:rPr>
                <w:rFonts w:ascii="Times New Roman" w:hAnsi="Times New Roman" w:cs="Times New Roman"/>
              </w:rPr>
              <w:t xml:space="preserve">    2018 год</w:t>
            </w:r>
          </w:p>
        </w:tc>
        <w:tc>
          <w:tcPr>
            <w:tcW w:w="2883" w:type="dxa"/>
            <w:gridSpan w:val="3"/>
            <w:tcBorders>
              <w:top w:val="single" w:sz="4" w:space="0" w:color="auto"/>
              <w:left w:val="single" w:sz="4" w:space="0" w:color="auto"/>
              <w:bottom w:val="single" w:sz="4" w:space="0" w:color="auto"/>
              <w:right w:val="single" w:sz="4" w:space="0" w:color="auto"/>
            </w:tcBorders>
          </w:tcPr>
          <w:p w:rsidR="002914EB" w:rsidRPr="00532CCC" w:rsidRDefault="002914EB" w:rsidP="002914EB">
            <w:pPr>
              <w:spacing w:after="0" w:line="240" w:lineRule="auto"/>
              <w:jc w:val="both"/>
              <w:rPr>
                <w:rFonts w:ascii="Times New Roman" w:hAnsi="Times New Roman" w:cs="Times New Roman"/>
              </w:rPr>
            </w:pPr>
            <w:r w:rsidRPr="00532CCC">
              <w:rPr>
                <w:rFonts w:ascii="Times New Roman" w:hAnsi="Times New Roman" w:cs="Times New Roman"/>
              </w:rPr>
              <w:t xml:space="preserve">    2019 год</w:t>
            </w:r>
          </w:p>
        </w:tc>
        <w:tc>
          <w:tcPr>
            <w:tcW w:w="2925" w:type="dxa"/>
            <w:gridSpan w:val="3"/>
            <w:tcBorders>
              <w:top w:val="single" w:sz="4" w:space="0" w:color="auto"/>
              <w:left w:val="single" w:sz="4" w:space="0" w:color="auto"/>
              <w:bottom w:val="single" w:sz="4" w:space="0" w:color="auto"/>
              <w:right w:val="single" w:sz="4" w:space="0" w:color="auto"/>
            </w:tcBorders>
          </w:tcPr>
          <w:p w:rsidR="002914EB" w:rsidRPr="00532CCC" w:rsidRDefault="002914EB" w:rsidP="002914EB">
            <w:pPr>
              <w:spacing w:after="0" w:line="240" w:lineRule="auto"/>
              <w:ind w:left="-284" w:firstLine="284"/>
              <w:jc w:val="both"/>
              <w:rPr>
                <w:rFonts w:ascii="Times New Roman" w:hAnsi="Times New Roman" w:cs="Times New Roman"/>
              </w:rPr>
            </w:pPr>
            <w:r w:rsidRPr="00532CCC">
              <w:rPr>
                <w:rFonts w:ascii="Times New Roman" w:hAnsi="Times New Roman" w:cs="Times New Roman"/>
              </w:rPr>
              <w:t xml:space="preserve">     2020 год</w:t>
            </w:r>
          </w:p>
        </w:tc>
      </w:tr>
      <w:tr w:rsidR="002914EB" w:rsidRPr="00BD65C5" w:rsidTr="002914EB">
        <w:tc>
          <w:tcPr>
            <w:tcW w:w="1419" w:type="dxa"/>
            <w:vMerge/>
            <w:tcBorders>
              <w:top w:val="single" w:sz="4" w:space="0" w:color="auto"/>
              <w:left w:val="single" w:sz="4" w:space="0" w:color="auto"/>
              <w:bottom w:val="single" w:sz="4" w:space="0" w:color="auto"/>
              <w:right w:val="single" w:sz="4" w:space="0" w:color="auto"/>
            </w:tcBorders>
            <w:vAlign w:val="center"/>
          </w:tcPr>
          <w:p w:rsidR="002914EB" w:rsidRPr="00897BDC" w:rsidRDefault="002914EB" w:rsidP="002914EB">
            <w:pPr>
              <w:spacing w:after="0" w:line="240" w:lineRule="auto"/>
              <w:rPr>
                <w:rFonts w:ascii="Times New Roman" w:hAnsi="Times New Roman" w:cs="Times New Roman"/>
                <w:b/>
              </w:rPr>
            </w:pPr>
          </w:p>
        </w:tc>
        <w:tc>
          <w:tcPr>
            <w:tcW w:w="1328" w:type="dxa"/>
            <w:gridSpan w:val="2"/>
            <w:tcBorders>
              <w:top w:val="single" w:sz="4" w:space="0" w:color="auto"/>
              <w:left w:val="single" w:sz="4" w:space="0" w:color="auto"/>
              <w:bottom w:val="single" w:sz="4" w:space="0" w:color="auto"/>
              <w:right w:val="single" w:sz="4" w:space="0" w:color="auto"/>
            </w:tcBorders>
          </w:tcPr>
          <w:p w:rsidR="002914EB" w:rsidRPr="00532CCC" w:rsidRDefault="002914EB" w:rsidP="002914EB">
            <w:pPr>
              <w:spacing w:after="0" w:line="240" w:lineRule="auto"/>
              <w:jc w:val="center"/>
              <w:rPr>
                <w:rFonts w:ascii="Times New Roman" w:hAnsi="Times New Roman" w:cs="Times New Roman"/>
              </w:rPr>
            </w:pPr>
            <w:r w:rsidRPr="00532CCC">
              <w:rPr>
                <w:rFonts w:ascii="Times New Roman" w:hAnsi="Times New Roman" w:cs="Times New Roman"/>
              </w:rPr>
              <w:t xml:space="preserve">Пок-ль от числа </w:t>
            </w:r>
            <w:r w:rsidRPr="00532CCC">
              <w:rPr>
                <w:rFonts w:ascii="Times New Roman" w:hAnsi="Times New Roman" w:cs="Times New Roman"/>
              </w:rPr>
              <w:lastRenderedPageBreak/>
              <w:t>осмотренных</w:t>
            </w:r>
          </w:p>
        </w:tc>
        <w:tc>
          <w:tcPr>
            <w:tcW w:w="759" w:type="dxa"/>
            <w:tcBorders>
              <w:top w:val="single" w:sz="4" w:space="0" w:color="auto"/>
              <w:left w:val="single" w:sz="4" w:space="0" w:color="auto"/>
              <w:bottom w:val="single" w:sz="4" w:space="0" w:color="auto"/>
              <w:right w:val="single" w:sz="4" w:space="0" w:color="auto"/>
            </w:tcBorders>
          </w:tcPr>
          <w:p w:rsidR="002914EB" w:rsidRPr="00532CCC" w:rsidRDefault="002914EB" w:rsidP="002914EB">
            <w:pPr>
              <w:spacing w:after="0" w:line="240" w:lineRule="auto"/>
              <w:jc w:val="center"/>
              <w:rPr>
                <w:rFonts w:ascii="Times New Roman" w:hAnsi="Times New Roman" w:cs="Times New Roman"/>
              </w:rPr>
            </w:pPr>
            <w:r w:rsidRPr="00532CCC">
              <w:rPr>
                <w:rFonts w:ascii="Times New Roman" w:hAnsi="Times New Roman" w:cs="Times New Roman"/>
              </w:rPr>
              <w:lastRenderedPageBreak/>
              <w:t>Всего детей</w:t>
            </w:r>
          </w:p>
          <w:p w:rsidR="002914EB" w:rsidRPr="00532CCC" w:rsidRDefault="002914EB" w:rsidP="002914EB">
            <w:pPr>
              <w:spacing w:after="0" w:line="240" w:lineRule="auto"/>
              <w:jc w:val="center"/>
              <w:rPr>
                <w:rFonts w:ascii="Times New Roman" w:hAnsi="Times New Roman" w:cs="Times New Roman"/>
              </w:rPr>
            </w:pPr>
            <w:r w:rsidRPr="00532CCC">
              <w:rPr>
                <w:rFonts w:ascii="Times New Roman" w:hAnsi="Times New Roman" w:cs="Times New Roman"/>
              </w:rPr>
              <w:lastRenderedPageBreak/>
              <w:t>5288(осмотрено  4869)</w:t>
            </w:r>
          </w:p>
        </w:tc>
        <w:tc>
          <w:tcPr>
            <w:tcW w:w="751" w:type="dxa"/>
            <w:tcBorders>
              <w:top w:val="single" w:sz="4" w:space="0" w:color="auto"/>
              <w:left w:val="single" w:sz="4" w:space="0" w:color="auto"/>
              <w:bottom w:val="single" w:sz="4" w:space="0" w:color="auto"/>
              <w:right w:val="single" w:sz="4" w:space="0" w:color="auto"/>
            </w:tcBorders>
          </w:tcPr>
          <w:p w:rsidR="002914EB" w:rsidRPr="00532CCC" w:rsidRDefault="002914EB" w:rsidP="002914EB">
            <w:pPr>
              <w:spacing w:after="0" w:line="240" w:lineRule="auto"/>
              <w:jc w:val="center"/>
              <w:rPr>
                <w:rFonts w:ascii="Times New Roman" w:hAnsi="Times New Roman" w:cs="Times New Roman"/>
              </w:rPr>
            </w:pPr>
            <w:r w:rsidRPr="00532CCC">
              <w:rPr>
                <w:rFonts w:ascii="Times New Roman" w:hAnsi="Times New Roman" w:cs="Times New Roman"/>
              </w:rPr>
              <w:lastRenderedPageBreak/>
              <w:t>Абс.ч</w:t>
            </w:r>
          </w:p>
        </w:tc>
        <w:tc>
          <w:tcPr>
            <w:tcW w:w="989" w:type="dxa"/>
            <w:tcBorders>
              <w:top w:val="single" w:sz="4" w:space="0" w:color="auto"/>
              <w:left w:val="single" w:sz="4" w:space="0" w:color="auto"/>
              <w:bottom w:val="single" w:sz="4" w:space="0" w:color="auto"/>
              <w:right w:val="single" w:sz="4" w:space="0" w:color="auto"/>
            </w:tcBorders>
          </w:tcPr>
          <w:p w:rsidR="002914EB" w:rsidRPr="00532CCC" w:rsidRDefault="002914EB" w:rsidP="002914EB">
            <w:pPr>
              <w:spacing w:after="0" w:line="240" w:lineRule="auto"/>
              <w:jc w:val="center"/>
              <w:rPr>
                <w:rFonts w:ascii="Times New Roman" w:hAnsi="Times New Roman" w:cs="Times New Roman"/>
              </w:rPr>
            </w:pPr>
            <w:r w:rsidRPr="00532CCC">
              <w:rPr>
                <w:rFonts w:ascii="Times New Roman" w:hAnsi="Times New Roman" w:cs="Times New Roman"/>
              </w:rPr>
              <w:t xml:space="preserve">Пок-ль от </w:t>
            </w:r>
            <w:r w:rsidRPr="00532CCC">
              <w:rPr>
                <w:rFonts w:ascii="Times New Roman" w:hAnsi="Times New Roman" w:cs="Times New Roman"/>
              </w:rPr>
              <w:lastRenderedPageBreak/>
              <w:t>числа осмотренных</w:t>
            </w:r>
          </w:p>
        </w:tc>
        <w:tc>
          <w:tcPr>
            <w:tcW w:w="1143" w:type="dxa"/>
            <w:tcBorders>
              <w:top w:val="single" w:sz="4" w:space="0" w:color="auto"/>
              <w:left w:val="single" w:sz="4" w:space="0" w:color="auto"/>
              <w:bottom w:val="single" w:sz="4" w:space="0" w:color="auto"/>
              <w:right w:val="single" w:sz="4" w:space="0" w:color="auto"/>
            </w:tcBorders>
          </w:tcPr>
          <w:p w:rsidR="002914EB" w:rsidRPr="00532CCC" w:rsidRDefault="002914EB" w:rsidP="002914EB">
            <w:pPr>
              <w:spacing w:after="0" w:line="240" w:lineRule="auto"/>
              <w:jc w:val="center"/>
              <w:rPr>
                <w:rFonts w:ascii="Times New Roman" w:hAnsi="Times New Roman" w:cs="Times New Roman"/>
              </w:rPr>
            </w:pPr>
            <w:r w:rsidRPr="00532CCC">
              <w:rPr>
                <w:rFonts w:ascii="Times New Roman" w:hAnsi="Times New Roman" w:cs="Times New Roman"/>
              </w:rPr>
              <w:lastRenderedPageBreak/>
              <w:t xml:space="preserve">Всего детей </w:t>
            </w:r>
            <w:r w:rsidRPr="00532CCC">
              <w:rPr>
                <w:rFonts w:ascii="Times New Roman" w:hAnsi="Times New Roman" w:cs="Times New Roman"/>
              </w:rPr>
              <w:lastRenderedPageBreak/>
              <w:t>5270(осмотрен 5011)</w:t>
            </w:r>
          </w:p>
        </w:tc>
        <w:tc>
          <w:tcPr>
            <w:tcW w:w="751" w:type="dxa"/>
            <w:tcBorders>
              <w:top w:val="single" w:sz="4" w:space="0" w:color="auto"/>
              <w:left w:val="single" w:sz="4" w:space="0" w:color="auto"/>
              <w:bottom w:val="single" w:sz="4" w:space="0" w:color="auto"/>
              <w:right w:val="single" w:sz="4" w:space="0" w:color="auto"/>
            </w:tcBorders>
          </w:tcPr>
          <w:p w:rsidR="002914EB" w:rsidRPr="00532CCC" w:rsidRDefault="002914EB" w:rsidP="002914EB">
            <w:pPr>
              <w:spacing w:after="0" w:line="240" w:lineRule="auto"/>
              <w:jc w:val="center"/>
              <w:rPr>
                <w:rFonts w:ascii="Times New Roman" w:hAnsi="Times New Roman" w:cs="Times New Roman"/>
              </w:rPr>
            </w:pPr>
            <w:r w:rsidRPr="00532CCC">
              <w:rPr>
                <w:rFonts w:ascii="Times New Roman" w:hAnsi="Times New Roman" w:cs="Times New Roman"/>
              </w:rPr>
              <w:lastRenderedPageBreak/>
              <w:t>Абс.ч</w:t>
            </w:r>
          </w:p>
        </w:tc>
        <w:tc>
          <w:tcPr>
            <w:tcW w:w="1083" w:type="dxa"/>
            <w:tcBorders>
              <w:top w:val="single" w:sz="4" w:space="0" w:color="auto"/>
              <w:left w:val="single" w:sz="4" w:space="0" w:color="auto"/>
              <w:bottom w:val="single" w:sz="4" w:space="0" w:color="auto"/>
              <w:right w:val="single" w:sz="4" w:space="0" w:color="auto"/>
            </w:tcBorders>
          </w:tcPr>
          <w:p w:rsidR="002914EB" w:rsidRPr="00532CCC" w:rsidRDefault="002914EB" w:rsidP="002914EB">
            <w:pPr>
              <w:spacing w:after="0" w:line="240" w:lineRule="auto"/>
              <w:jc w:val="center"/>
              <w:rPr>
                <w:rFonts w:ascii="Times New Roman" w:hAnsi="Times New Roman" w:cs="Times New Roman"/>
              </w:rPr>
            </w:pPr>
            <w:r w:rsidRPr="00532CCC">
              <w:rPr>
                <w:rFonts w:ascii="Times New Roman" w:hAnsi="Times New Roman" w:cs="Times New Roman"/>
              </w:rPr>
              <w:t xml:space="preserve">Пок-ль от числа </w:t>
            </w:r>
            <w:r w:rsidRPr="00532CCC">
              <w:rPr>
                <w:rFonts w:ascii="Times New Roman" w:hAnsi="Times New Roman" w:cs="Times New Roman"/>
              </w:rPr>
              <w:lastRenderedPageBreak/>
              <w:t>осмотренных</w:t>
            </w:r>
          </w:p>
        </w:tc>
        <w:tc>
          <w:tcPr>
            <w:tcW w:w="992" w:type="dxa"/>
            <w:tcBorders>
              <w:top w:val="single" w:sz="4" w:space="0" w:color="auto"/>
              <w:left w:val="single" w:sz="4" w:space="0" w:color="auto"/>
              <w:bottom w:val="single" w:sz="4" w:space="0" w:color="auto"/>
              <w:right w:val="single" w:sz="4" w:space="0" w:color="auto"/>
            </w:tcBorders>
          </w:tcPr>
          <w:p w:rsidR="002914EB" w:rsidRPr="00532CCC" w:rsidRDefault="002914EB" w:rsidP="002914EB">
            <w:pPr>
              <w:spacing w:after="0" w:line="240" w:lineRule="auto"/>
              <w:jc w:val="center"/>
              <w:rPr>
                <w:rFonts w:ascii="Times New Roman" w:hAnsi="Times New Roman" w:cs="Times New Roman"/>
              </w:rPr>
            </w:pPr>
            <w:r w:rsidRPr="00532CCC">
              <w:rPr>
                <w:rFonts w:ascii="Times New Roman" w:hAnsi="Times New Roman" w:cs="Times New Roman"/>
              </w:rPr>
              <w:lastRenderedPageBreak/>
              <w:t>Всего детей</w:t>
            </w:r>
          </w:p>
          <w:p w:rsidR="002914EB" w:rsidRPr="00532CCC" w:rsidRDefault="002914EB" w:rsidP="002914EB">
            <w:pPr>
              <w:spacing w:after="0" w:line="240" w:lineRule="auto"/>
              <w:jc w:val="center"/>
              <w:rPr>
                <w:rFonts w:ascii="Times New Roman" w:hAnsi="Times New Roman" w:cs="Times New Roman"/>
              </w:rPr>
            </w:pPr>
            <w:r w:rsidRPr="00532CCC">
              <w:rPr>
                <w:rFonts w:ascii="Times New Roman" w:hAnsi="Times New Roman" w:cs="Times New Roman"/>
              </w:rPr>
              <w:lastRenderedPageBreak/>
              <w:t xml:space="preserve"> 5389 (осмотрен 5089)</w:t>
            </w:r>
          </w:p>
        </w:tc>
        <w:tc>
          <w:tcPr>
            <w:tcW w:w="850" w:type="dxa"/>
            <w:tcBorders>
              <w:top w:val="single" w:sz="4" w:space="0" w:color="auto"/>
              <w:left w:val="single" w:sz="4" w:space="0" w:color="auto"/>
              <w:bottom w:val="single" w:sz="4" w:space="0" w:color="auto"/>
              <w:right w:val="single" w:sz="4" w:space="0" w:color="auto"/>
            </w:tcBorders>
          </w:tcPr>
          <w:p w:rsidR="002914EB" w:rsidRPr="00532CCC" w:rsidRDefault="002914EB" w:rsidP="002914EB">
            <w:pPr>
              <w:spacing w:after="0" w:line="240" w:lineRule="auto"/>
              <w:jc w:val="center"/>
              <w:rPr>
                <w:rFonts w:ascii="Times New Roman" w:hAnsi="Times New Roman" w:cs="Times New Roman"/>
              </w:rPr>
            </w:pPr>
            <w:r w:rsidRPr="00532CCC">
              <w:rPr>
                <w:rFonts w:ascii="Times New Roman" w:hAnsi="Times New Roman" w:cs="Times New Roman"/>
              </w:rPr>
              <w:lastRenderedPageBreak/>
              <w:t>Абс.ч</w:t>
            </w:r>
          </w:p>
        </w:tc>
      </w:tr>
      <w:tr w:rsidR="002914EB" w:rsidRPr="00BD65C5" w:rsidTr="002914EB">
        <w:tc>
          <w:tcPr>
            <w:tcW w:w="10065" w:type="dxa"/>
            <w:gridSpan w:val="11"/>
            <w:tcBorders>
              <w:top w:val="single" w:sz="4" w:space="0" w:color="auto"/>
              <w:left w:val="single" w:sz="4" w:space="0" w:color="auto"/>
              <w:bottom w:val="single" w:sz="4" w:space="0" w:color="auto"/>
              <w:right w:val="single" w:sz="4" w:space="0" w:color="auto"/>
            </w:tcBorders>
          </w:tcPr>
          <w:p w:rsidR="002914EB" w:rsidRPr="00BD65C5" w:rsidRDefault="002914EB" w:rsidP="002914EB">
            <w:pPr>
              <w:spacing w:after="0" w:line="240" w:lineRule="auto"/>
              <w:jc w:val="center"/>
              <w:rPr>
                <w:rFonts w:ascii="Times New Roman" w:hAnsi="Times New Roman" w:cs="Times New Roman"/>
                <w:highlight w:val="yellow"/>
              </w:rPr>
            </w:pPr>
            <w:r w:rsidRPr="00532CCC">
              <w:rPr>
                <w:rFonts w:ascii="Times New Roman" w:hAnsi="Times New Roman" w:cs="Times New Roman"/>
              </w:rPr>
              <w:t>Группы здоровья</w:t>
            </w:r>
          </w:p>
        </w:tc>
      </w:tr>
      <w:tr w:rsidR="002914EB" w:rsidRPr="00930BF2" w:rsidTr="002914EB">
        <w:tc>
          <w:tcPr>
            <w:tcW w:w="1560" w:type="dxa"/>
            <w:gridSpan w:val="2"/>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bookmarkStart w:id="65" w:name="_Hlk63366571"/>
            <w:r w:rsidRPr="00930BF2">
              <w:rPr>
                <w:rFonts w:ascii="Times New Roman" w:hAnsi="Times New Roman" w:cs="Times New Roman"/>
                <w:lang w:val="en-US"/>
              </w:rPr>
              <w:t>I</w:t>
            </w:r>
          </w:p>
        </w:tc>
        <w:tc>
          <w:tcPr>
            <w:tcW w:w="1187"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31,5</w:t>
            </w:r>
          </w:p>
        </w:tc>
        <w:tc>
          <w:tcPr>
            <w:tcW w:w="759"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both"/>
              <w:rPr>
                <w:rFonts w:ascii="Times New Roman" w:hAnsi="Times New Roman" w:cs="Times New Roman"/>
              </w:rPr>
            </w:pPr>
          </w:p>
        </w:tc>
        <w:tc>
          <w:tcPr>
            <w:tcW w:w="751"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both"/>
              <w:rPr>
                <w:rFonts w:ascii="Times New Roman" w:hAnsi="Times New Roman" w:cs="Times New Roman"/>
              </w:rPr>
            </w:pPr>
            <w:r w:rsidRPr="00930BF2">
              <w:rPr>
                <w:rFonts w:ascii="Times New Roman" w:hAnsi="Times New Roman" w:cs="Times New Roman"/>
                <w:lang w:val="en-US"/>
              </w:rPr>
              <w:t>1552</w:t>
            </w:r>
          </w:p>
        </w:tc>
        <w:tc>
          <w:tcPr>
            <w:tcW w:w="989"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39,4</w:t>
            </w:r>
          </w:p>
        </w:tc>
        <w:tc>
          <w:tcPr>
            <w:tcW w:w="1143"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2169BA">
              <w:rPr>
                <w:rFonts w:ascii="Times New Roman" w:hAnsi="Times New Roman" w:cs="Times New Roman"/>
              </w:rPr>
              <w:t>5011</w:t>
            </w:r>
          </w:p>
        </w:tc>
        <w:tc>
          <w:tcPr>
            <w:tcW w:w="751"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lang w:val="en-US"/>
              </w:rPr>
            </w:pPr>
            <w:r w:rsidRPr="00930BF2">
              <w:rPr>
                <w:rFonts w:ascii="Times New Roman" w:hAnsi="Times New Roman" w:cs="Times New Roman"/>
              </w:rPr>
              <w:t>1972</w:t>
            </w:r>
          </w:p>
        </w:tc>
        <w:tc>
          <w:tcPr>
            <w:tcW w:w="1083" w:type="dxa"/>
            <w:tcBorders>
              <w:top w:val="single" w:sz="4" w:space="0" w:color="auto"/>
              <w:left w:val="nil"/>
              <w:bottom w:val="single" w:sz="4" w:space="0" w:color="auto"/>
              <w:right w:val="nil"/>
            </w:tcBorders>
            <w:shd w:val="clear" w:color="auto" w:fill="auto"/>
            <w:vAlign w:val="bottom"/>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color w:val="000000"/>
              </w:rPr>
              <w:t>50,79</w:t>
            </w:r>
          </w:p>
        </w:tc>
        <w:tc>
          <w:tcPr>
            <w:tcW w:w="992"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2B0387">
              <w:rPr>
                <w:rFonts w:ascii="Times New Roman" w:hAnsi="Times New Roman" w:cs="Times New Roman"/>
              </w:rPr>
              <w:t>5089</w:t>
            </w:r>
          </w:p>
        </w:tc>
        <w:tc>
          <w:tcPr>
            <w:tcW w:w="850" w:type="dxa"/>
            <w:tcBorders>
              <w:top w:val="single" w:sz="4" w:space="0" w:color="auto"/>
              <w:bottom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2569</w:t>
            </w:r>
          </w:p>
        </w:tc>
      </w:tr>
      <w:tr w:rsidR="002914EB" w:rsidRPr="00930BF2" w:rsidTr="002914EB">
        <w:tc>
          <w:tcPr>
            <w:tcW w:w="1560" w:type="dxa"/>
            <w:gridSpan w:val="2"/>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lang w:val="en-US"/>
              </w:rPr>
            </w:pPr>
            <w:r w:rsidRPr="00930BF2">
              <w:rPr>
                <w:rFonts w:ascii="Times New Roman" w:hAnsi="Times New Roman" w:cs="Times New Roman"/>
                <w:lang w:val="en-US"/>
              </w:rPr>
              <w:t>II</w:t>
            </w:r>
          </w:p>
        </w:tc>
        <w:tc>
          <w:tcPr>
            <w:tcW w:w="1187"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59,9</w:t>
            </w:r>
          </w:p>
        </w:tc>
        <w:tc>
          <w:tcPr>
            <w:tcW w:w="759"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both"/>
              <w:rPr>
                <w:rFonts w:ascii="Times New Roman" w:hAnsi="Times New Roman" w:cs="Times New Roman"/>
              </w:rPr>
            </w:pPr>
          </w:p>
        </w:tc>
        <w:tc>
          <w:tcPr>
            <w:tcW w:w="751"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both"/>
              <w:rPr>
                <w:rFonts w:ascii="Times New Roman" w:hAnsi="Times New Roman" w:cs="Times New Roman"/>
              </w:rPr>
            </w:pPr>
            <w:r w:rsidRPr="00930BF2">
              <w:rPr>
                <w:rFonts w:ascii="Times New Roman" w:hAnsi="Times New Roman" w:cs="Times New Roman"/>
                <w:lang w:val="en-US"/>
              </w:rPr>
              <w:t>2951</w:t>
            </w:r>
          </w:p>
        </w:tc>
        <w:tc>
          <w:tcPr>
            <w:tcW w:w="989"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50,3</w:t>
            </w:r>
          </w:p>
        </w:tc>
        <w:tc>
          <w:tcPr>
            <w:tcW w:w="1143"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2169BA">
              <w:rPr>
                <w:rFonts w:ascii="Times New Roman" w:hAnsi="Times New Roman" w:cs="Times New Roman"/>
              </w:rPr>
              <w:t>5011</w:t>
            </w:r>
          </w:p>
        </w:tc>
        <w:tc>
          <w:tcPr>
            <w:tcW w:w="751"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lang w:val="en-US"/>
              </w:rPr>
            </w:pPr>
            <w:r w:rsidRPr="00930BF2">
              <w:rPr>
                <w:rFonts w:ascii="Times New Roman" w:hAnsi="Times New Roman" w:cs="Times New Roman"/>
              </w:rPr>
              <w:t>2521</w:t>
            </w:r>
          </w:p>
        </w:tc>
        <w:tc>
          <w:tcPr>
            <w:tcW w:w="1083" w:type="dxa"/>
            <w:tcBorders>
              <w:top w:val="single" w:sz="4" w:space="0" w:color="auto"/>
              <w:left w:val="nil"/>
              <w:bottom w:val="single" w:sz="4" w:space="0" w:color="auto"/>
              <w:right w:val="nil"/>
            </w:tcBorders>
            <w:shd w:val="clear" w:color="auto" w:fill="auto"/>
            <w:vAlign w:val="bottom"/>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color w:val="000000"/>
              </w:rPr>
              <w:t>43,36</w:t>
            </w:r>
          </w:p>
        </w:tc>
        <w:tc>
          <w:tcPr>
            <w:tcW w:w="992"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2B0387">
              <w:rPr>
                <w:rFonts w:ascii="Times New Roman" w:hAnsi="Times New Roman" w:cs="Times New Roman"/>
              </w:rPr>
              <w:t>5089</w:t>
            </w:r>
          </w:p>
        </w:tc>
        <w:tc>
          <w:tcPr>
            <w:tcW w:w="850" w:type="dxa"/>
            <w:tcBorders>
              <w:top w:val="single" w:sz="4" w:space="0" w:color="auto"/>
              <w:bottom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2193</w:t>
            </w:r>
          </w:p>
        </w:tc>
      </w:tr>
      <w:tr w:rsidR="002914EB" w:rsidRPr="00930BF2" w:rsidTr="002914EB">
        <w:tc>
          <w:tcPr>
            <w:tcW w:w="1560" w:type="dxa"/>
            <w:gridSpan w:val="2"/>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lang w:val="en-US"/>
              </w:rPr>
            </w:pPr>
            <w:r w:rsidRPr="00930BF2">
              <w:rPr>
                <w:rFonts w:ascii="Times New Roman" w:hAnsi="Times New Roman" w:cs="Times New Roman"/>
                <w:lang w:val="en-US"/>
              </w:rPr>
              <w:t>III</w:t>
            </w:r>
          </w:p>
        </w:tc>
        <w:tc>
          <w:tcPr>
            <w:tcW w:w="1187"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8,3</w:t>
            </w:r>
          </w:p>
        </w:tc>
        <w:tc>
          <w:tcPr>
            <w:tcW w:w="759"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both"/>
              <w:rPr>
                <w:rFonts w:ascii="Times New Roman" w:hAnsi="Times New Roman" w:cs="Times New Roman"/>
              </w:rPr>
            </w:pPr>
          </w:p>
        </w:tc>
        <w:tc>
          <w:tcPr>
            <w:tcW w:w="751"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both"/>
              <w:rPr>
                <w:rFonts w:ascii="Times New Roman" w:hAnsi="Times New Roman" w:cs="Times New Roman"/>
              </w:rPr>
            </w:pPr>
            <w:r w:rsidRPr="00930BF2">
              <w:rPr>
                <w:rFonts w:ascii="Times New Roman" w:hAnsi="Times New Roman" w:cs="Times New Roman"/>
                <w:lang w:val="en-US"/>
              </w:rPr>
              <w:t>409</w:t>
            </w:r>
          </w:p>
        </w:tc>
        <w:tc>
          <w:tcPr>
            <w:tcW w:w="989"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9,5</w:t>
            </w:r>
          </w:p>
        </w:tc>
        <w:tc>
          <w:tcPr>
            <w:tcW w:w="1143"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2169BA">
              <w:rPr>
                <w:rFonts w:ascii="Times New Roman" w:hAnsi="Times New Roman" w:cs="Times New Roman"/>
              </w:rPr>
              <w:t>5011</w:t>
            </w:r>
          </w:p>
        </w:tc>
        <w:tc>
          <w:tcPr>
            <w:tcW w:w="751"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lang w:val="en-US"/>
              </w:rPr>
            </w:pPr>
            <w:r w:rsidRPr="00930BF2">
              <w:rPr>
                <w:rFonts w:ascii="Times New Roman" w:hAnsi="Times New Roman" w:cs="Times New Roman"/>
              </w:rPr>
              <w:t>476</w:t>
            </w:r>
          </w:p>
        </w:tc>
        <w:tc>
          <w:tcPr>
            <w:tcW w:w="1083" w:type="dxa"/>
            <w:tcBorders>
              <w:top w:val="single" w:sz="4" w:space="0" w:color="auto"/>
              <w:left w:val="nil"/>
              <w:bottom w:val="single" w:sz="4" w:space="0" w:color="auto"/>
              <w:right w:val="nil"/>
            </w:tcBorders>
            <w:shd w:val="clear" w:color="auto" w:fill="auto"/>
            <w:vAlign w:val="bottom"/>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color w:val="000000"/>
              </w:rPr>
              <w:t>6,43</w:t>
            </w:r>
          </w:p>
        </w:tc>
        <w:tc>
          <w:tcPr>
            <w:tcW w:w="992"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2B0387">
              <w:rPr>
                <w:rFonts w:ascii="Times New Roman" w:hAnsi="Times New Roman" w:cs="Times New Roman"/>
              </w:rPr>
              <w:t>5089</w:t>
            </w:r>
          </w:p>
        </w:tc>
        <w:tc>
          <w:tcPr>
            <w:tcW w:w="850" w:type="dxa"/>
            <w:tcBorders>
              <w:top w:val="single" w:sz="4" w:space="0" w:color="auto"/>
              <w:bottom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325</w:t>
            </w:r>
          </w:p>
        </w:tc>
      </w:tr>
      <w:tr w:rsidR="002914EB" w:rsidRPr="00930BF2" w:rsidTr="002914EB">
        <w:tc>
          <w:tcPr>
            <w:tcW w:w="1560" w:type="dxa"/>
            <w:gridSpan w:val="2"/>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lang w:val="en-US"/>
              </w:rPr>
            </w:pPr>
            <w:r w:rsidRPr="00930BF2">
              <w:rPr>
                <w:rFonts w:ascii="Times New Roman" w:hAnsi="Times New Roman" w:cs="Times New Roman"/>
                <w:lang w:val="en-US"/>
              </w:rPr>
              <w:t>IV</w:t>
            </w:r>
          </w:p>
        </w:tc>
        <w:tc>
          <w:tcPr>
            <w:tcW w:w="1187"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0,041</w:t>
            </w:r>
          </w:p>
        </w:tc>
        <w:tc>
          <w:tcPr>
            <w:tcW w:w="759"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both"/>
              <w:rPr>
                <w:rFonts w:ascii="Times New Roman" w:hAnsi="Times New Roman" w:cs="Times New Roman"/>
              </w:rPr>
            </w:pPr>
          </w:p>
        </w:tc>
        <w:tc>
          <w:tcPr>
            <w:tcW w:w="751"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both"/>
              <w:rPr>
                <w:rFonts w:ascii="Times New Roman" w:hAnsi="Times New Roman" w:cs="Times New Roman"/>
              </w:rPr>
            </w:pPr>
            <w:r w:rsidRPr="00930BF2">
              <w:rPr>
                <w:rFonts w:ascii="Times New Roman" w:hAnsi="Times New Roman" w:cs="Times New Roman"/>
                <w:lang w:val="en-US"/>
              </w:rPr>
              <w:t>2</w:t>
            </w:r>
          </w:p>
        </w:tc>
        <w:tc>
          <w:tcPr>
            <w:tcW w:w="989"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0,6</w:t>
            </w:r>
          </w:p>
        </w:tc>
        <w:tc>
          <w:tcPr>
            <w:tcW w:w="1143"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2169BA">
              <w:rPr>
                <w:rFonts w:ascii="Times New Roman" w:hAnsi="Times New Roman" w:cs="Times New Roman"/>
              </w:rPr>
              <w:t>5011</w:t>
            </w:r>
          </w:p>
        </w:tc>
        <w:tc>
          <w:tcPr>
            <w:tcW w:w="751"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lang w:val="en-US"/>
              </w:rPr>
            </w:pPr>
            <w:r w:rsidRPr="00930BF2">
              <w:rPr>
                <w:rFonts w:ascii="Times New Roman" w:hAnsi="Times New Roman" w:cs="Times New Roman"/>
              </w:rPr>
              <w:t>32</w:t>
            </w:r>
          </w:p>
        </w:tc>
        <w:tc>
          <w:tcPr>
            <w:tcW w:w="1083" w:type="dxa"/>
            <w:tcBorders>
              <w:top w:val="single" w:sz="4" w:space="0" w:color="auto"/>
              <w:left w:val="nil"/>
              <w:bottom w:val="single" w:sz="4" w:space="0" w:color="auto"/>
              <w:right w:val="nil"/>
            </w:tcBorders>
            <w:shd w:val="clear" w:color="auto" w:fill="auto"/>
            <w:vAlign w:val="bottom"/>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2B0387">
              <w:rPr>
                <w:rFonts w:ascii="Times New Roman" w:hAnsi="Times New Roman" w:cs="Times New Roman"/>
              </w:rPr>
              <w:t>5089</w:t>
            </w:r>
          </w:p>
        </w:tc>
        <w:tc>
          <w:tcPr>
            <w:tcW w:w="850" w:type="dxa"/>
            <w:tcBorders>
              <w:top w:val="single" w:sz="4" w:space="0" w:color="auto"/>
              <w:bottom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0</w:t>
            </w:r>
          </w:p>
        </w:tc>
      </w:tr>
      <w:tr w:rsidR="002914EB" w:rsidRPr="00930BF2" w:rsidTr="002914EB">
        <w:tc>
          <w:tcPr>
            <w:tcW w:w="1560" w:type="dxa"/>
            <w:gridSpan w:val="2"/>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lang w:val="en-US"/>
              </w:rPr>
            </w:pPr>
            <w:r w:rsidRPr="00930BF2">
              <w:rPr>
                <w:rFonts w:ascii="Times New Roman" w:hAnsi="Times New Roman" w:cs="Times New Roman"/>
                <w:lang w:val="en-US"/>
              </w:rPr>
              <w:t>V</w:t>
            </w:r>
          </w:p>
        </w:tc>
        <w:tc>
          <w:tcPr>
            <w:tcW w:w="1187"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0,28</w:t>
            </w:r>
          </w:p>
        </w:tc>
        <w:tc>
          <w:tcPr>
            <w:tcW w:w="759"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both"/>
              <w:rPr>
                <w:rFonts w:ascii="Times New Roman" w:hAnsi="Times New Roman" w:cs="Times New Roman"/>
              </w:rPr>
            </w:pPr>
          </w:p>
        </w:tc>
        <w:tc>
          <w:tcPr>
            <w:tcW w:w="751"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both"/>
              <w:rPr>
                <w:rFonts w:ascii="Times New Roman" w:hAnsi="Times New Roman" w:cs="Times New Roman"/>
                <w:lang w:val="en-US"/>
              </w:rPr>
            </w:pPr>
            <w:r w:rsidRPr="00930BF2">
              <w:rPr>
                <w:rFonts w:ascii="Times New Roman" w:hAnsi="Times New Roman" w:cs="Times New Roman"/>
                <w:lang w:val="en-US"/>
              </w:rPr>
              <w:t>14</w:t>
            </w:r>
          </w:p>
        </w:tc>
        <w:tc>
          <w:tcPr>
            <w:tcW w:w="989"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0,2</w:t>
            </w:r>
          </w:p>
        </w:tc>
        <w:tc>
          <w:tcPr>
            <w:tcW w:w="1143"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2169BA">
              <w:rPr>
                <w:rFonts w:ascii="Times New Roman" w:hAnsi="Times New Roman" w:cs="Times New Roman"/>
              </w:rPr>
              <w:t>5011</w:t>
            </w:r>
          </w:p>
        </w:tc>
        <w:tc>
          <w:tcPr>
            <w:tcW w:w="751"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lang w:val="en-US"/>
              </w:rPr>
            </w:pPr>
            <w:r w:rsidRPr="00930BF2">
              <w:rPr>
                <w:rFonts w:ascii="Times New Roman" w:hAnsi="Times New Roman" w:cs="Times New Roman"/>
              </w:rPr>
              <w:t>10</w:t>
            </w:r>
          </w:p>
        </w:tc>
        <w:tc>
          <w:tcPr>
            <w:tcW w:w="1083" w:type="dxa"/>
            <w:tcBorders>
              <w:top w:val="single" w:sz="4" w:space="0" w:color="auto"/>
              <w:left w:val="nil"/>
              <w:bottom w:val="single" w:sz="4" w:space="0" w:color="auto"/>
              <w:right w:val="nil"/>
            </w:tcBorders>
            <w:shd w:val="clear" w:color="auto" w:fill="auto"/>
            <w:vAlign w:val="bottom"/>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color w:val="000000"/>
              </w:rPr>
              <w:t>0,04</w:t>
            </w:r>
          </w:p>
        </w:tc>
        <w:tc>
          <w:tcPr>
            <w:tcW w:w="992"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2B0387">
              <w:rPr>
                <w:rFonts w:ascii="Times New Roman" w:hAnsi="Times New Roman" w:cs="Times New Roman"/>
              </w:rPr>
              <w:t>5089</w:t>
            </w:r>
          </w:p>
        </w:tc>
        <w:tc>
          <w:tcPr>
            <w:tcW w:w="850" w:type="dxa"/>
            <w:tcBorders>
              <w:top w:val="single" w:sz="4" w:space="0" w:color="auto"/>
              <w:bottom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2</w:t>
            </w:r>
          </w:p>
        </w:tc>
      </w:tr>
      <w:bookmarkEnd w:id="65"/>
      <w:tr w:rsidR="002914EB" w:rsidRPr="00BD65C5" w:rsidTr="002914EB">
        <w:tc>
          <w:tcPr>
            <w:tcW w:w="10065" w:type="dxa"/>
            <w:gridSpan w:val="11"/>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Выявленная патология</w:t>
            </w:r>
          </w:p>
        </w:tc>
      </w:tr>
      <w:tr w:rsidR="002914EB" w:rsidRPr="00BD65C5" w:rsidTr="002914EB">
        <w:tc>
          <w:tcPr>
            <w:tcW w:w="1560" w:type="dxa"/>
            <w:gridSpan w:val="2"/>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Нарушение  осанки</w:t>
            </w:r>
          </w:p>
        </w:tc>
        <w:tc>
          <w:tcPr>
            <w:tcW w:w="1187"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0,35</w:t>
            </w:r>
          </w:p>
        </w:tc>
        <w:tc>
          <w:tcPr>
            <w:tcW w:w="759"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p>
        </w:tc>
        <w:tc>
          <w:tcPr>
            <w:tcW w:w="751"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17</w:t>
            </w:r>
          </w:p>
        </w:tc>
        <w:tc>
          <w:tcPr>
            <w:tcW w:w="989"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0,21</w:t>
            </w:r>
          </w:p>
        </w:tc>
        <w:tc>
          <w:tcPr>
            <w:tcW w:w="1143"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p>
        </w:tc>
        <w:tc>
          <w:tcPr>
            <w:tcW w:w="751"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11</w:t>
            </w:r>
          </w:p>
        </w:tc>
        <w:tc>
          <w:tcPr>
            <w:tcW w:w="1083" w:type="dxa"/>
            <w:tcBorders>
              <w:top w:val="single" w:sz="4" w:space="0" w:color="auto"/>
              <w:left w:val="single" w:sz="4" w:space="0" w:color="auto"/>
              <w:bottom w:val="single" w:sz="4" w:space="0" w:color="auto"/>
              <w:right w:val="single" w:sz="4" w:space="0" w:color="auto"/>
            </w:tcBorders>
          </w:tcPr>
          <w:p w:rsidR="002914EB" w:rsidRPr="008B7362" w:rsidRDefault="002914EB" w:rsidP="002914EB">
            <w:pPr>
              <w:spacing w:after="0" w:line="240" w:lineRule="auto"/>
              <w:jc w:val="center"/>
              <w:rPr>
                <w:rFonts w:ascii="Times New Roman" w:hAnsi="Times New Roman" w:cs="Times New Roman"/>
              </w:rPr>
            </w:pPr>
            <w:r w:rsidRPr="008B7362">
              <w:rPr>
                <w:rFonts w:ascii="Times New Roman" w:hAnsi="Times New Roman" w:cs="Times New Roman"/>
              </w:rPr>
              <w:t>0,84</w:t>
            </w:r>
          </w:p>
        </w:tc>
        <w:tc>
          <w:tcPr>
            <w:tcW w:w="992" w:type="dxa"/>
            <w:tcBorders>
              <w:top w:val="single" w:sz="4" w:space="0" w:color="auto"/>
              <w:left w:val="single" w:sz="4" w:space="0" w:color="auto"/>
              <w:bottom w:val="single" w:sz="4" w:space="0" w:color="auto"/>
              <w:right w:val="single" w:sz="4" w:space="0" w:color="auto"/>
            </w:tcBorders>
          </w:tcPr>
          <w:p w:rsidR="002914EB" w:rsidRPr="008B7362" w:rsidRDefault="002914EB" w:rsidP="002914EB">
            <w:pPr>
              <w:spacing w:after="0" w:line="240" w:lineRule="auto"/>
              <w:jc w:val="center"/>
              <w:rPr>
                <w:rFonts w:ascii="Times New Roman" w:hAnsi="Times New Roman" w:cs="Times New Roman"/>
              </w:rPr>
            </w:pPr>
            <w:r w:rsidRPr="008B7362">
              <w:rPr>
                <w:rFonts w:ascii="Times New Roman" w:hAnsi="Times New Roman" w:cs="Times New Roman"/>
              </w:rPr>
              <w:t>5089</w:t>
            </w:r>
          </w:p>
        </w:tc>
        <w:tc>
          <w:tcPr>
            <w:tcW w:w="850" w:type="dxa"/>
            <w:tcBorders>
              <w:top w:val="single" w:sz="4" w:space="0" w:color="auto"/>
              <w:left w:val="single" w:sz="4" w:space="0" w:color="auto"/>
              <w:bottom w:val="single" w:sz="4" w:space="0" w:color="auto"/>
              <w:right w:val="single" w:sz="4" w:space="0" w:color="auto"/>
            </w:tcBorders>
          </w:tcPr>
          <w:p w:rsidR="002914EB" w:rsidRPr="008B7362" w:rsidRDefault="002914EB" w:rsidP="002914EB">
            <w:pPr>
              <w:spacing w:after="0" w:line="240" w:lineRule="auto"/>
              <w:jc w:val="center"/>
              <w:rPr>
                <w:rFonts w:ascii="Times New Roman" w:hAnsi="Times New Roman" w:cs="Times New Roman"/>
              </w:rPr>
            </w:pPr>
            <w:r w:rsidRPr="008B7362">
              <w:rPr>
                <w:rFonts w:ascii="Times New Roman" w:hAnsi="Times New Roman" w:cs="Times New Roman"/>
              </w:rPr>
              <w:t>43</w:t>
            </w:r>
          </w:p>
        </w:tc>
      </w:tr>
      <w:tr w:rsidR="002914EB" w:rsidRPr="00BD65C5" w:rsidTr="002914EB">
        <w:tc>
          <w:tcPr>
            <w:tcW w:w="1560" w:type="dxa"/>
            <w:gridSpan w:val="2"/>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Сколиоз</w:t>
            </w:r>
          </w:p>
        </w:tc>
        <w:tc>
          <w:tcPr>
            <w:tcW w:w="1187"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1,52</w:t>
            </w:r>
          </w:p>
        </w:tc>
        <w:tc>
          <w:tcPr>
            <w:tcW w:w="759"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p>
        </w:tc>
        <w:tc>
          <w:tcPr>
            <w:tcW w:w="751"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75</w:t>
            </w:r>
          </w:p>
        </w:tc>
        <w:tc>
          <w:tcPr>
            <w:tcW w:w="989"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0,77</w:t>
            </w:r>
          </w:p>
        </w:tc>
        <w:tc>
          <w:tcPr>
            <w:tcW w:w="1143"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p>
        </w:tc>
        <w:tc>
          <w:tcPr>
            <w:tcW w:w="751"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39</w:t>
            </w:r>
          </w:p>
        </w:tc>
        <w:tc>
          <w:tcPr>
            <w:tcW w:w="1083" w:type="dxa"/>
            <w:tcBorders>
              <w:top w:val="single" w:sz="4" w:space="0" w:color="auto"/>
              <w:left w:val="single" w:sz="4" w:space="0" w:color="auto"/>
              <w:bottom w:val="single" w:sz="4" w:space="0" w:color="auto"/>
              <w:right w:val="single" w:sz="4" w:space="0" w:color="auto"/>
            </w:tcBorders>
          </w:tcPr>
          <w:p w:rsidR="002914EB" w:rsidRPr="008B7362" w:rsidRDefault="002914EB" w:rsidP="002914EB">
            <w:pPr>
              <w:spacing w:after="0" w:line="240" w:lineRule="auto"/>
              <w:jc w:val="center"/>
              <w:rPr>
                <w:rFonts w:ascii="Times New Roman" w:hAnsi="Times New Roman" w:cs="Times New Roman"/>
              </w:rPr>
            </w:pPr>
            <w:r w:rsidRPr="008B7362">
              <w:rPr>
                <w:rFonts w:ascii="Times New Roman" w:hAnsi="Times New Roman" w:cs="Times New Roman"/>
              </w:rPr>
              <w:t>1,08</w:t>
            </w:r>
          </w:p>
        </w:tc>
        <w:tc>
          <w:tcPr>
            <w:tcW w:w="992" w:type="dxa"/>
            <w:tcBorders>
              <w:top w:val="single" w:sz="4" w:space="0" w:color="auto"/>
              <w:left w:val="single" w:sz="4" w:space="0" w:color="auto"/>
              <w:bottom w:val="single" w:sz="4" w:space="0" w:color="auto"/>
              <w:right w:val="single" w:sz="4" w:space="0" w:color="auto"/>
            </w:tcBorders>
          </w:tcPr>
          <w:p w:rsidR="002914EB" w:rsidRPr="008B7362" w:rsidRDefault="002914EB" w:rsidP="002914EB">
            <w:pPr>
              <w:spacing w:after="0" w:line="240" w:lineRule="auto"/>
              <w:jc w:val="center"/>
              <w:rPr>
                <w:rFonts w:ascii="Times New Roman" w:hAnsi="Times New Roman" w:cs="Times New Roman"/>
              </w:rPr>
            </w:pPr>
            <w:r w:rsidRPr="008B7362">
              <w:rPr>
                <w:rFonts w:ascii="Times New Roman" w:hAnsi="Times New Roman" w:cs="Times New Roman"/>
              </w:rPr>
              <w:t>5089</w:t>
            </w:r>
          </w:p>
        </w:tc>
        <w:tc>
          <w:tcPr>
            <w:tcW w:w="850" w:type="dxa"/>
            <w:tcBorders>
              <w:top w:val="single" w:sz="4" w:space="0" w:color="auto"/>
              <w:left w:val="single" w:sz="4" w:space="0" w:color="auto"/>
              <w:bottom w:val="single" w:sz="4" w:space="0" w:color="auto"/>
              <w:right w:val="single" w:sz="4" w:space="0" w:color="auto"/>
            </w:tcBorders>
          </w:tcPr>
          <w:p w:rsidR="002914EB" w:rsidRPr="008B7362" w:rsidRDefault="002914EB" w:rsidP="002914EB">
            <w:pPr>
              <w:spacing w:after="0" w:line="240" w:lineRule="auto"/>
              <w:jc w:val="center"/>
              <w:rPr>
                <w:rFonts w:ascii="Times New Roman" w:hAnsi="Times New Roman" w:cs="Times New Roman"/>
              </w:rPr>
            </w:pPr>
            <w:r w:rsidRPr="008B7362">
              <w:rPr>
                <w:rFonts w:ascii="Times New Roman" w:hAnsi="Times New Roman" w:cs="Times New Roman"/>
              </w:rPr>
              <w:t>55</w:t>
            </w:r>
          </w:p>
        </w:tc>
      </w:tr>
      <w:tr w:rsidR="002914EB" w:rsidRPr="00BD65C5" w:rsidTr="002914EB">
        <w:tc>
          <w:tcPr>
            <w:tcW w:w="1560" w:type="dxa"/>
            <w:gridSpan w:val="2"/>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Снижение  остроты</w:t>
            </w:r>
          </w:p>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слуха</w:t>
            </w:r>
          </w:p>
        </w:tc>
        <w:tc>
          <w:tcPr>
            <w:tcW w:w="1187"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0,22</w:t>
            </w:r>
          </w:p>
        </w:tc>
        <w:tc>
          <w:tcPr>
            <w:tcW w:w="759"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p>
        </w:tc>
        <w:tc>
          <w:tcPr>
            <w:tcW w:w="751"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11</w:t>
            </w:r>
          </w:p>
        </w:tc>
        <w:tc>
          <w:tcPr>
            <w:tcW w:w="989"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0,08</w:t>
            </w:r>
          </w:p>
        </w:tc>
        <w:tc>
          <w:tcPr>
            <w:tcW w:w="1143"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p>
        </w:tc>
        <w:tc>
          <w:tcPr>
            <w:tcW w:w="751"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4</w:t>
            </w:r>
          </w:p>
        </w:tc>
        <w:tc>
          <w:tcPr>
            <w:tcW w:w="1083" w:type="dxa"/>
            <w:tcBorders>
              <w:top w:val="single" w:sz="4" w:space="0" w:color="auto"/>
              <w:left w:val="single" w:sz="4" w:space="0" w:color="auto"/>
              <w:bottom w:val="single" w:sz="4" w:space="0" w:color="auto"/>
              <w:right w:val="single" w:sz="4" w:space="0" w:color="auto"/>
            </w:tcBorders>
          </w:tcPr>
          <w:p w:rsidR="002914EB" w:rsidRPr="008B7362" w:rsidRDefault="002914EB" w:rsidP="002914EB">
            <w:pPr>
              <w:spacing w:after="0" w:line="240" w:lineRule="auto"/>
              <w:jc w:val="center"/>
              <w:rPr>
                <w:rFonts w:ascii="Times New Roman" w:hAnsi="Times New Roman" w:cs="Times New Roman"/>
              </w:rPr>
            </w:pPr>
            <w:r w:rsidRPr="008B7362">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2914EB" w:rsidRPr="008B7362" w:rsidRDefault="002914EB" w:rsidP="002914EB">
            <w:pPr>
              <w:spacing w:after="0" w:line="240" w:lineRule="auto"/>
              <w:jc w:val="center"/>
              <w:rPr>
                <w:rFonts w:ascii="Times New Roman" w:hAnsi="Times New Roman" w:cs="Times New Roman"/>
              </w:rPr>
            </w:pPr>
            <w:r w:rsidRPr="008B7362">
              <w:rPr>
                <w:rFonts w:ascii="Times New Roman" w:hAnsi="Times New Roman" w:cs="Times New Roman"/>
              </w:rPr>
              <w:t>5089</w:t>
            </w:r>
          </w:p>
        </w:tc>
        <w:tc>
          <w:tcPr>
            <w:tcW w:w="850" w:type="dxa"/>
            <w:tcBorders>
              <w:top w:val="single" w:sz="4" w:space="0" w:color="auto"/>
              <w:left w:val="single" w:sz="4" w:space="0" w:color="auto"/>
              <w:bottom w:val="single" w:sz="4" w:space="0" w:color="auto"/>
              <w:right w:val="single" w:sz="4" w:space="0" w:color="auto"/>
            </w:tcBorders>
          </w:tcPr>
          <w:p w:rsidR="002914EB" w:rsidRPr="008B7362" w:rsidRDefault="002914EB" w:rsidP="002914EB">
            <w:pPr>
              <w:spacing w:after="0" w:line="240" w:lineRule="auto"/>
              <w:jc w:val="center"/>
              <w:rPr>
                <w:rFonts w:ascii="Times New Roman" w:hAnsi="Times New Roman" w:cs="Times New Roman"/>
              </w:rPr>
            </w:pPr>
            <w:r w:rsidRPr="008B7362">
              <w:rPr>
                <w:rFonts w:ascii="Times New Roman" w:hAnsi="Times New Roman" w:cs="Times New Roman"/>
              </w:rPr>
              <w:t>-</w:t>
            </w:r>
          </w:p>
        </w:tc>
      </w:tr>
      <w:tr w:rsidR="002914EB" w:rsidRPr="00BD65C5" w:rsidTr="002914EB">
        <w:tc>
          <w:tcPr>
            <w:tcW w:w="1560" w:type="dxa"/>
            <w:gridSpan w:val="2"/>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Снижение остроты</w:t>
            </w:r>
          </w:p>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зрение</w:t>
            </w:r>
          </w:p>
        </w:tc>
        <w:tc>
          <w:tcPr>
            <w:tcW w:w="1187"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28,9</w:t>
            </w:r>
          </w:p>
        </w:tc>
        <w:tc>
          <w:tcPr>
            <w:tcW w:w="759"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p>
        </w:tc>
        <w:tc>
          <w:tcPr>
            <w:tcW w:w="751"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1428</w:t>
            </w:r>
          </w:p>
        </w:tc>
        <w:tc>
          <w:tcPr>
            <w:tcW w:w="989"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17,3</w:t>
            </w:r>
          </w:p>
        </w:tc>
        <w:tc>
          <w:tcPr>
            <w:tcW w:w="1143"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p>
        </w:tc>
        <w:tc>
          <w:tcPr>
            <w:tcW w:w="751"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867</w:t>
            </w:r>
          </w:p>
        </w:tc>
        <w:tc>
          <w:tcPr>
            <w:tcW w:w="1083" w:type="dxa"/>
            <w:tcBorders>
              <w:top w:val="single" w:sz="4" w:space="0" w:color="auto"/>
              <w:left w:val="single" w:sz="4" w:space="0" w:color="auto"/>
              <w:bottom w:val="single" w:sz="4" w:space="0" w:color="auto"/>
              <w:right w:val="single" w:sz="4" w:space="0" w:color="auto"/>
            </w:tcBorders>
          </w:tcPr>
          <w:p w:rsidR="002914EB" w:rsidRPr="008B7362" w:rsidRDefault="002914EB" w:rsidP="002914EB">
            <w:pPr>
              <w:spacing w:after="0" w:line="240" w:lineRule="auto"/>
              <w:jc w:val="center"/>
              <w:rPr>
                <w:rFonts w:ascii="Times New Roman" w:hAnsi="Times New Roman" w:cs="Times New Roman"/>
              </w:rPr>
            </w:pPr>
            <w:r w:rsidRPr="008B7362">
              <w:rPr>
                <w:rFonts w:ascii="Times New Roman" w:hAnsi="Times New Roman" w:cs="Times New Roman"/>
              </w:rPr>
              <w:t>22,75</w:t>
            </w:r>
          </w:p>
        </w:tc>
        <w:tc>
          <w:tcPr>
            <w:tcW w:w="992" w:type="dxa"/>
            <w:tcBorders>
              <w:top w:val="single" w:sz="4" w:space="0" w:color="auto"/>
              <w:left w:val="single" w:sz="4" w:space="0" w:color="auto"/>
              <w:bottom w:val="single" w:sz="4" w:space="0" w:color="auto"/>
              <w:right w:val="single" w:sz="4" w:space="0" w:color="auto"/>
            </w:tcBorders>
          </w:tcPr>
          <w:p w:rsidR="002914EB" w:rsidRPr="008B7362" w:rsidRDefault="002914EB" w:rsidP="002914EB">
            <w:pPr>
              <w:spacing w:after="0" w:line="240" w:lineRule="auto"/>
              <w:jc w:val="center"/>
              <w:rPr>
                <w:rFonts w:ascii="Times New Roman" w:hAnsi="Times New Roman" w:cs="Times New Roman"/>
              </w:rPr>
            </w:pPr>
            <w:r w:rsidRPr="008B7362">
              <w:rPr>
                <w:rFonts w:ascii="Times New Roman" w:hAnsi="Times New Roman" w:cs="Times New Roman"/>
              </w:rPr>
              <w:t>5089</w:t>
            </w:r>
          </w:p>
        </w:tc>
        <w:tc>
          <w:tcPr>
            <w:tcW w:w="850" w:type="dxa"/>
            <w:tcBorders>
              <w:top w:val="single" w:sz="4" w:space="0" w:color="auto"/>
              <w:left w:val="single" w:sz="4" w:space="0" w:color="auto"/>
              <w:bottom w:val="single" w:sz="4" w:space="0" w:color="auto"/>
              <w:right w:val="single" w:sz="4" w:space="0" w:color="auto"/>
            </w:tcBorders>
          </w:tcPr>
          <w:p w:rsidR="002914EB" w:rsidRPr="008B7362" w:rsidRDefault="002914EB" w:rsidP="002914EB">
            <w:pPr>
              <w:spacing w:after="0" w:line="240" w:lineRule="auto"/>
              <w:jc w:val="center"/>
              <w:rPr>
                <w:rFonts w:ascii="Times New Roman" w:hAnsi="Times New Roman" w:cs="Times New Roman"/>
              </w:rPr>
            </w:pPr>
            <w:r w:rsidRPr="008B7362">
              <w:rPr>
                <w:rFonts w:ascii="Times New Roman" w:hAnsi="Times New Roman" w:cs="Times New Roman"/>
              </w:rPr>
              <w:t>1158</w:t>
            </w:r>
          </w:p>
        </w:tc>
      </w:tr>
      <w:tr w:rsidR="002914EB" w:rsidRPr="00BD65C5" w:rsidTr="002914EB">
        <w:tc>
          <w:tcPr>
            <w:tcW w:w="1560" w:type="dxa"/>
            <w:gridSpan w:val="2"/>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Нарушение</w:t>
            </w:r>
          </w:p>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речи</w:t>
            </w:r>
          </w:p>
        </w:tc>
        <w:tc>
          <w:tcPr>
            <w:tcW w:w="1187"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0,15</w:t>
            </w:r>
          </w:p>
        </w:tc>
        <w:tc>
          <w:tcPr>
            <w:tcW w:w="759"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p>
        </w:tc>
        <w:tc>
          <w:tcPr>
            <w:tcW w:w="751"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8</w:t>
            </w:r>
          </w:p>
        </w:tc>
        <w:tc>
          <w:tcPr>
            <w:tcW w:w="989"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w:t>
            </w:r>
          </w:p>
        </w:tc>
        <w:tc>
          <w:tcPr>
            <w:tcW w:w="1143"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w:t>
            </w:r>
          </w:p>
        </w:tc>
        <w:tc>
          <w:tcPr>
            <w:tcW w:w="751"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w:t>
            </w:r>
          </w:p>
        </w:tc>
        <w:tc>
          <w:tcPr>
            <w:tcW w:w="1083"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2747BD">
              <w:rPr>
                <w:rFonts w:ascii="Times New Roman" w:hAnsi="Times New Roman" w:cs="Times New Roman"/>
              </w:rPr>
              <w:t>5089</w:t>
            </w:r>
          </w:p>
        </w:tc>
        <w:tc>
          <w:tcPr>
            <w:tcW w:w="850" w:type="dxa"/>
            <w:tcBorders>
              <w:top w:val="single" w:sz="4" w:space="0" w:color="auto"/>
              <w:left w:val="single" w:sz="4" w:space="0" w:color="auto"/>
              <w:bottom w:val="single" w:sz="4" w:space="0" w:color="auto"/>
              <w:right w:val="single" w:sz="4" w:space="0" w:color="auto"/>
            </w:tcBorders>
          </w:tcPr>
          <w:p w:rsidR="002914EB" w:rsidRPr="00930BF2" w:rsidRDefault="002914EB" w:rsidP="002914EB">
            <w:pPr>
              <w:spacing w:after="0" w:line="240" w:lineRule="auto"/>
              <w:jc w:val="center"/>
              <w:rPr>
                <w:rFonts w:ascii="Times New Roman" w:hAnsi="Times New Roman" w:cs="Times New Roman"/>
              </w:rPr>
            </w:pPr>
            <w:r w:rsidRPr="00930BF2">
              <w:rPr>
                <w:rFonts w:ascii="Times New Roman" w:hAnsi="Times New Roman" w:cs="Times New Roman"/>
              </w:rPr>
              <w:t>-</w:t>
            </w:r>
          </w:p>
        </w:tc>
      </w:tr>
    </w:tbl>
    <w:p w:rsidR="002914EB" w:rsidRPr="00BD65C5" w:rsidRDefault="002914EB" w:rsidP="002914EB">
      <w:pPr>
        <w:spacing w:after="0" w:line="240" w:lineRule="auto"/>
        <w:rPr>
          <w:rFonts w:ascii="Times New Roman" w:hAnsi="Times New Roman" w:cs="Times New Roman"/>
          <w:b/>
          <w:highlight w:val="yellow"/>
        </w:rPr>
      </w:pPr>
    </w:p>
    <w:p w:rsidR="002914EB" w:rsidRPr="008B7362" w:rsidRDefault="002E57C5" w:rsidP="002914EB">
      <w:pPr>
        <w:tabs>
          <w:tab w:val="left" w:pos="1134"/>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2914EB" w:rsidRPr="008B7362">
        <w:rPr>
          <w:rFonts w:ascii="Times New Roman" w:hAnsi="Times New Roman" w:cs="Times New Roman"/>
          <w:sz w:val="24"/>
          <w:szCs w:val="24"/>
        </w:rPr>
        <w:t>При ана</w:t>
      </w:r>
      <w:r>
        <w:rPr>
          <w:rFonts w:ascii="Times New Roman" w:hAnsi="Times New Roman" w:cs="Times New Roman"/>
          <w:sz w:val="24"/>
          <w:szCs w:val="24"/>
        </w:rPr>
        <w:t>лизе данных можно отметить, что</w:t>
      </w:r>
      <w:r w:rsidR="002914EB" w:rsidRPr="008B7362">
        <w:rPr>
          <w:rFonts w:ascii="Times New Roman" w:hAnsi="Times New Roman" w:cs="Times New Roman"/>
          <w:sz w:val="24"/>
          <w:szCs w:val="24"/>
        </w:rPr>
        <w:t xml:space="preserve"> в группе школьников в 2020г происходит увеличение детей с первой группой здоровья с одновременным незначительным снижениемтретьей и второй группы. В выявленной патологии у</w:t>
      </w:r>
      <w:r>
        <w:rPr>
          <w:rFonts w:ascii="Times New Roman" w:hAnsi="Times New Roman" w:cs="Times New Roman"/>
          <w:sz w:val="24"/>
          <w:szCs w:val="24"/>
        </w:rPr>
        <w:t xml:space="preserve"> детей по- прежнему на 1 месте </w:t>
      </w:r>
      <w:r w:rsidR="002914EB" w:rsidRPr="008B7362">
        <w:rPr>
          <w:rFonts w:ascii="Times New Roman" w:hAnsi="Times New Roman" w:cs="Times New Roman"/>
          <w:sz w:val="24"/>
          <w:szCs w:val="24"/>
        </w:rPr>
        <w:t>отмечается  снижения остроты зрения у детей,  нарушения осанки и сколиоза.Все эти показатели указывают на необходимость усиления  профилактической работы в направлении  здорового образа жизни, увеличения занятий физкультурой.</w:t>
      </w:r>
    </w:p>
    <w:p w:rsidR="002914EB" w:rsidRPr="008B7362" w:rsidRDefault="002914EB" w:rsidP="002914EB">
      <w:pPr>
        <w:tabs>
          <w:tab w:val="left" w:pos="1134"/>
        </w:tabs>
        <w:spacing w:after="0" w:line="240" w:lineRule="auto"/>
        <w:ind w:right="-1"/>
        <w:jc w:val="both"/>
        <w:rPr>
          <w:rFonts w:ascii="Times New Roman" w:hAnsi="Times New Roman" w:cs="Times New Roman"/>
          <w:sz w:val="24"/>
          <w:szCs w:val="24"/>
        </w:rPr>
      </w:pPr>
      <w:r w:rsidRPr="008B7362">
        <w:rPr>
          <w:rFonts w:ascii="Times New Roman" w:hAnsi="Times New Roman" w:cs="Times New Roman"/>
          <w:sz w:val="24"/>
          <w:szCs w:val="24"/>
        </w:rPr>
        <w:t>В показателях физического развития отмечается нарастание доли</w:t>
      </w:r>
      <w:r w:rsidR="002E57C5">
        <w:rPr>
          <w:rFonts w:ascii="Times New Roman" w:hAnsi="Times New Roman" w:cs="Times New Roman"/>
          <w:sz w:val="24"/>
          <w:szCs w:val="24"/>
        </w:rPr>
        <w:t xml:space="preserve"> детей с ускоренным развитием (</w:t>
      </w:r>
      <w:r w:rsidRPr="008B7362">
        <w:rPr>
          <w:rFonts w:ascii="Times New Roman" w:hAnsi="Times New Roman" w:cs="Times New Roman"/>
          <w:sz w:val="24"/>
          <w:szCs w:val="24"/>
        </w:rPr>
        <w:t>отмечается акселерация).</w:t>
      </w:r>
    </w:p>
    <w:p w:rsidR="002914EB" w:rsidRDefault="002914EB" w:rsidP="002914EB">
      <w:pPr>
        <w:tabs>
          <w:tab w:val="left" w:pos="1134"/>
        </w:tabs>
        <w:spacing w:after="0" w:line="240" w:lineRule="auto"/>
        <w:ind w:right="-1"/>
        <w:jc w:val="both"/>
        <w:rPr>
          <w:rFonts w:ascii="Times New Roman" w:hAnsi="Times New Roman" w:cs="Times New Roman"/>
          <w:sz w:val="24"/>
          <w:szCs w:val="24"/>
        </w:rPr>
      </w:pPr>
      <w:r w:rsidRPr="008B7362">
        <w:rPr>
          <w:rFonts w:ascii="Times New Roman" w:hAnsi="Times New Roman" w:cs="Times New Roman"/>
          <w:sz w:val="24"/>
          <w:szCs w:val="24"/>
        </w:rPr>
        <w:tab/>
      </w:r>
      <w:r w:rsidRPr="006109E2">
        <w:rPr>
          <w:b/>
          <w:noProof/>
          <w:sz w:val="24"/>
          <w:szCs w:val="24"/>
          <w:lang w:eastAsia="ru-RU"/>
        </w:rPr>
        <w:drawing>
          <wp:inline distT="0" distB="0" distL="0" distR="0" wp14:anchorId="1FC68882" wp14:editId="1E6FB1E7">
            <wp:extent cx="5344795" cy="1397358"/>
            <wp:effectExtent l="0" t="0" r="0" b="0"/>
            <wp:docPr id="39" name="Диаграмма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2914EB" w:rsidRPr="009C5C4A" w:rsidRDefault="002914EB" w:rsidP="002914EB">
      <w:pPr>
        <w:tabs>
          <w:tab w:val="left" w:pos="3828"/>
        </w:tabs>
        <w:jc w:val="center"/>
        <w:outlineLvl w:val="0"/>
        <w:rPr>
          <w:rFonts w:ascii="Times New Roman" w:hAnsi="Times New Roman" w:cs="Times New Roman"/>
        </w:rPr>
      </w:pPr>
      <w:r w:rsidRPr="009C5C4A">
        <w:rPr>
          <w:rFonts w:ascii="Times New Roman" w:hAnsi="Times New Roman" w:cs="Times New Roman"/>
        </w:rPr>
        <w:t>Рис.№3. Распределение школьников по группам здоровья в Пыть-Яхе за 2020г.</w:t>
      </w:r>
    </w:p>
    <w:p w:rsidR="002914EB" w:rsidRPr="008B7362" w:rsidRDefault="002914EB" w:rsidP="002914EB">
      <w:pPr>
        <w:spacing w:after="0" w:line="240" w:lineRule="auto"/>
        <w:ind w:firstLine="709"/>
        <w:jc w:val="both"/>
        <w:rPr>
          <w:rFonts w:ascii="Times New Roman" w:hAnsi="Times New Roman" w:cs="Times New Roman"/>
          <w:sz w:val="24"/>
          <w:szCs w:val="24"/>
        </w:rPr>
      </w:pPr>
      <w:r w:rsidRPr="008B7362">
        <w:rPr>
          <w:rFonts w:ascii="Times New Roman" w:hAnsi="Times New Roman" w:cs="Times New Roman"/>
          <w:sz w:val="24"/>
          <w:szCs w:val="24"/>
        </w:rPr>
        <w:t>Ведущее место в выявленной патологии, при прохождении угл</w:t>
      </w:r>
      <w:r w:rsidR="002E57C5">
        <w:rPr>
          <w:rFonts w:ascii="Times New Roman" w:hAnsi="Times New Roman" w:cs="Times New Roman"/>
          <w:sz w:val="24"/>
          <w:szCs w:val="24"/>
        </w:rPr>
        <w:t xml:space="preserve">убленного медицинского осмотра </w:t>
      </w:r>
      <w:r w:rsidRPr="008B7362">
        <w:rPr>
          <w:rFonts w:ascii="Times New Roman" w:hAnsi="Times New Roman" w:cs="Times New Roman"/>
          <w:sz w:val="24"/>
          <w:szCs w:val="24"/>
        </w:rPr>
        <w:t xml:space="preserve">за период 2018-2020 гг.,  занимает снижение остроты </w:t>
      </w:r>
      <w:r w:rsidRPr="0096690B">
        <w:rPr>
          <w:rFonts w:ascii="Times New Roman" w:hAnsi="Times New Roman" w:cs="Times New Roman"/>
          <w:sz w:val="24"/>
          <w:szCs w:val="24"/>
        </w:rPr>
        <w:t>зрения, в2020г. процент  лиц с  нарушениями  зрения среди обследованных школьников составил</w:t>
      </w:r>
      <w:r w:rsidRPr="008B7362">
        <w:rPr>
          <w:rFonts w:ascii="Times New Roman" w:hAnsi="Times New Roman" w:cs="Times New Roman"/>
          <w:sz w:val="24"/>
          <w:szCs w:val="24"/>
        </w:rPr>
        <w:t>22,75% , что на больше 5,45%, чем в2019году ( 2019г-17,3%,2018г-28,9%).</w:t>
      </w:r>
    </w:p>
    <w:p w:rsidR="002914EB" w:rsidRPr="009C5C4A" w:rsidRDefault="002914EB" w:rsidP="002914EB">
      <w:pPr>
        <w:pStyle w:val="31"/>
        <w:tabs>
          <w:tab w:val="left" w:pos="708"/>
        </w:tabs>
        <w:ind w:firstLine="709"/>
        <w:jc w:val="both"/>
        <w:rPr>
          <w:bCs/>
          <w:iCs/>
          <w:sz w:val="24"/>
          <w:szCs w:val="24"/>
        </w:rPr>
      </w:pPr>
      <w:r w:rsidRPr="009C5C4A">
        <w:rPr>
          <w:bCs/>
          <w:iCs/>
          <w:sz w:val="24"/>
          <w:szCs w:val="24"/>
        </w:rPr>
        <w:t>Одной из главных причин рост патологии органов зрения помимо всего прочего является не контролируемое чрезмерное пользование компьютерной техникой (ПК, смарт-фоны, сотовые телефоны и прочее.</w:t>
      </w:r>
    </w:p>
    <w:p w:rsidR="002914EB" w:rsidRPr="009C5C4A" w:rsidRDefault="002E57C5" w:rsidP="002914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втором </w:t>
      </w:r>
      <w:r w:rsidR="002914EB" w:rsidRPr="009C5C4A">
        <w:rPr>
          <w:rFonts w:ascii="Times New Roman" w:hAnsi="Times New Roman" w:cs="Times New Roman"/>
          <w:sz w:val="24"/>
          <w:szCs w:val="24"/>
        </w:rPr>
        <w:t>месте в 2020г.сколиоз-1,08% ( в 2019г- 0,77%,2018г-1,52%).</w:t>
      </w:r>
    </w:p>
    <w:p w:rsidR="002914EB" w:rsidRPr="009C5C4A" w:rsidRDefault="002914EB" w:rsidP="002914EB">
      <w:pPr>
        <w:spacing w:after="0" w:line="240" w:lineRule="auto"/>
        <w:jc w:val="both"/>
        <w:rPr>
          <w:rFonts w:ascii="Times New Roman" w:hAnsi="Times New Roman" w:cs="Times New Roman"/>
          <w:sz w:val="24"/>
          <w:szCs w:val="24"/>
        </w:rPr>
      </w:pPr>
      <w:r w:rsidRPr="009C5C4A">
        <w:rPr>
          <w:rFonts w:ascii="Times New Roman" w:hAnsi="Times New Roman" w:cs="Times New Roman"/>
          <w:sz w:val="24"/>
          <w:szCs w:val="24"/>
        </w:rPr>
        <w:t>На третьем месте-2020г. нарушение осанки -</w:t>
      </w:r>
      <w:r w:rsidRPr="009C5C4A">
        <w:rPr>
          <w:rFonts w:ascii="Times New Roman" w:hAnsi="Times New Roman" w:cs="Times New Roman"/>
        </w:rPr>
        <w:t>0,84% ( в 2019г-</w:t>
      </w:r>
      <w:r w:rsidRPr="009C5C4A">
        <w:rPr>
          <w:rFonts w:ascii="Times New Roman" w:hAnsi="Times New Roman" w:cs="Times New Roman"/>
          <w:sz w:val="24"/>
          <w:szCs w:val="24"/>
        </w:rPr>
        <w:t>0,21%, в 2018г.–0,34% ).</w:t>
      </w:r>
    </w:p>
    <w:p w:rsidR="002914EB" w:rsidRPr="009C5C4A" w:rsidRDefault="002914EB" w:rsidP="002E57C5">
      <w:pPr>
        <w:spacing w:after="0" w:line="240" w:lineRule="auto"/>
        <w:ind w:left="708" w:firstLine="1"/>
        <w:jc w:val="both"/>
        <w:rPr>
          <w:rFonts w:ascii="Times New Roman" w:hAnsi="Times New Roman" w:cs="Times New Roman"/>
          <w:sz w:val="24"/>
          <w:szCs w:val="24"/>
        </w:rPr>
      </w:pPr>
      <w:r w:rsidRPr="009C5C4A">
        <w:rPr>
          <w:rFonts w:ascii="Times New Roman" w:hAnsi="Times New Roman" w:cs="Times New Roman"/>
          <w:sz w:val="24"/>
          <w:szCs w:val="24"/>
        </w:rPr>
        <w:t>В 2020г нарушение слуха у школьников при проведении медосмотров не  выявлено. В 2019г. снижение остроты слуха составило- 0,08%, в 2018 нарушение слуха составило0,225% и занимает 4 место</w:t>
      </w:r>
      <w:r>
        <w:rPr>
          <w:rFonts w:ascii="Times New Roman" w:hAnsi="Times New Roman" w:cs="Times New Roman"/>
          <w:sz w:val="24"/>
          <w:szCs w:val="24"/>
        </w:rPr>
        <w:t>.</w:t>
      </w:r>
    </w:p>
    <w:p w:rsidR="002914EB" w:rsidRPr="00C21AE8" w:rsidRDefault="002914EB" w:rsidP="002E57C5">
      <w:pPr>
        <w:pStyle w:val="31"/>
        <w:ind w:firstLine="708"/>
        <w:jc w:val="both"/>
        <w:rPr>
          <w:bCs/>
          <w:iCs/>
          <w:sz w:val="24"/>
          <w:szCs w:val="24"/>
        </w:rPr>
      </w:pPr>
      <w:r w:rsidRPr="00C21AE8">
        <w:rPr>
          <w:bCs/>
          <w:iCs/>
          <w:sz w:val="24"/>
          <w:szCs w:val="24"/>
        </w:rPr>
        <w:t xml:space="preserve">Следует обратить особое внимание, на рост  эндокринных заболеваний у подростков, в м числе увеличения показателя заболеваемости  в 2020г, по сравнению с 2019г. на 15,2%, </w:t>
      </w:r>
      <w:r w:rsidRPr="00C21AE8">
        <w:rPr>
          <w:bCs/>
          <w:iCs/>
          <w:sz w:val="24"/>
          <w:szCs w:val="24"/>
        </w:rPr>
        <w:lastRenderedPageBreak/>
        <w:t>в 2019г , по сравнению с 2018г на 42,6%, с учетом  проживания в местности приравненной к Крайнему Северу профилактике микронутриентой  недостаточности  следует уделять повышенное внимание.</w:t>
      </w:r>
    </w:p>
    <w:p w:rsidR="002914EB" w:rsidRPr="009C5C4A" w:rsidRDefault="002914EB" w:rsidP="002E57C5">
      <w:pPr>
        <w:pStyle w:val="31"/>
        <w:ind w:firstLine="708"/>
        <w:jc w:val="both"/>
        <w:rPr>
          <w:sz w:val="24"/>
          <w:szCs w:val="24"/>
        </w:rPr>
      </w:pPr>
      <w:r w:rsidRPr="009C5C4A">
        <w:rPr>
          <w:bCs/>
          <w:iCs/>
          <w:sz w:val="24"/>
          <w:szCs w:val="24"/>
        </w:rPr>
        <w:t xml:space="preserve">Одной </w:t>
      </w:r>
      <w:r w:rsidRPr="009C5C4A">
        <w:rPr>
          <w:sz w:val="24"/>
          <w:szCs w:val="24"/>
        </w:rPr>
        <w:t xml:space="preserve"> из причин  высокого показателя-нарушения осанки является использование мебели не по-возрасту, а также  низким количеством проводимых занятий с детьми в школах согласно рекомендаций -комплекса упражнений  физкультурных минуток (ФМ).</w:t>
      </w:r>
    </w:p>
    <w:p w:rsidR="002914EB" w:rsidRDefault="002914EB" w:rsidP="002914EB">
      <w:pPr>
        <w:spacing w:after="0" w:line="240" w:lineRule="auto"/>
        <w:ind w:firstLine="709"/>
        <w:jc w:val="both"/>
        <w:rPr>
          <w:rFonts w:ascii="Times New Roman" w:hAnsi="Times New Roman" w:cs="Times New Roman"/>
          <w:sz w:val="24"/>
          <w:szCs w:val="24"/>
        </w:rPr>
      </w:pPr>
      <w:r w:rsidRPr="009C5C4A">
        <w:rPr>
          <w:rFonts w:ascii="Times New Roman" w:hAnsi="Times New Roman" w:cs="Times New Roman"/>
          <w:bCs/>
          <w:iCs/>
          <w:sz w:val="24"/>
          <w:szCs w:val="24"/>
        </w:rPr>
        <w:t xml:space="preserve">Одной из главных причин рост патологии органов зрения помимо всего прочего является не контролируемое чрезмерное пользование компьютерной техникой (ПК, смарт-фоны, сотовые телефоны, </w:t>
      </w:r>
      <w:r w:rsidR="007316ED">
        <w:rPr>
          <w:rFonts w:ascii="Times New Roman" w:hAnsi="Times New Roman" w:cs="Times New Roman"/>
          <w:sz w:val="24"/>
          <w:szCs w:val="24"/>
        </w:rPr>
        <w:t xml:space="preserve">а также </w:t>
      </w:r>
      <w:r w:rsidRPr="009C5C4A">
        <w:rPr>
          <w:rFonts w:ascii="Times New Roman" w:hAnsi="Times New Roman" w:cs="Times New Roman"/>
          <w:sz w:val="24"/>
          <w:szCs w:val="24"/>
        </w:rPr>
        <w:t>низким количеством проводимых занятий с детьми в школах, составляющего  комплекс  упражнений гимнастики глаз</w:t>
      </w:r>
      <w:r>
        <w:rPr>
          <w:rFonts w:ascii="Times New Roman" w:hAnsi="Times New Roman" w:cs="Times New Roman"/>
          <w:sz w:val="24"/>
          <w:szCs w:val="24"/>
        </w:rPr>
        <w:t>.</w:t>
      </w:r>
    </w:p>
    <w:p w:rsidR="002914EB" w:rsidRDefault="002914EB" w:rsidP="002914EB">
      <w:pPr>
        <w:spacing w:after="0" w:line="240" w:lineRule="auto"/>
        <w:jc w:val="both"/>
        <w:rPr>
          <w:rFonts w:ascii="Times New Roman" w:hAnsi="Times New Roman" w:cs="Times New Roman"/>
          <w:sz w:val="24"/>
          <w:szCs w:val="24"/>
        </w:rPr>
      </w:pPr>
    </w:p>
    <w:p w:rsidR="002914EB" w:rsidRPr="00C21AE8" w:rsidRDefault="002914EB" w:rsidP="002914EB">
      <w:pPr>
        <w:spacing w:after="0" w:line="240" w:lineRule="auto"/>
        <w:ind w:firstLine="709"/>
        <w:jc w:val="both"/>
        <w:outlineLvl w:val="0"/>
        <w:rPr>
          <w:rFonts w:ascii="Times New Roman" w:hAnsi="Times New Roman" w:cs="Times New Roman"/>
        </w:rPr>
      </w:pPr>
      <w:r w:rsidRPr="00C21AE8">
        <w:rPr>
          <w:rFonts w:ascii="Times New Roman" w:hAnsi="Times New Roman" w:cs="Times New Roman"/>
        </w:rPr>
        <w:t xml:space="preserve">В </w:t>
      </w:r>
      <w:r>
        <w:rPr>
          <w:rFonts w:ascii="Times New Roman" w:hAnsi="Times New Roman" w:cs="Times New Roman"/>
        </w:rPr>
        <w:t>2020</w:t>
      </w:r>
      <w:r w:rsidR="007316ED">
        <w:rPr>
          <w:rFonts w:ascii="Times New Roman" w:hAnsi="Times New Roman" w:cs="Times New Roman"/>
        </w:rPr>
        <w:t xml:space="preserve"> году</w:t>
      </w:r>
      <w:r>
        <w:rPr>
          <w:rFonts w:ascii="Times New Roman" w:hAnsi="Times New Roman" w:cs="Times New Roman"/>
        </w:rPr>
        <w:t>, по сравнению с 2019г</w:t>
      </w:r>
      <w:r w:rsidR="002E57C5">
        <w:rPr>
          <w:rFonts w:ascii="Times New Roman" w:hAnsi="Times New Roman" w:cs="Times New Roman"/>
        </w:rPr>
        <w:t xml:space="preserve"> </w:t>
      </w:r>
      <w:r w:rsidRPr="00C21AE8">
        <w:rPr>
          <w:rFonts w:ascii="Times New Roman" w:hAnsi="Times New Roman" w:cs="Times New Roman"/>
        </w:rPr>
        <w:t xml:space="preserve">наблюдается </w:t>
      </w:r>
      <w:r>
        <w:rPr>
          <w:rFonts w:ascii="Times New Roman" w:hAnsi="Times New Roman" w:cs="Times New Roman"/>
        </w:rPr>
        <w:t xml:space="preserve">увеличение </w:t>
      </w:r>
      <w:r w:rsidRPr="00C21AE8">
        <w:rPr>
          <w:rFonts w:ascii="Times New Roman" w:hAnsi="Times New Roman" w:cs="Times New Roman"/>
        </w:rPr>
        <w:t xml:space="preserve">  количества оздоровленных подростков</w:t>
      </w:r>
      <w:r>
        <w:rPr>
          <w:rFonts w:ascii="Times New Roman" w:hAnsi="Times New Roman" w:cs="Times New Roman"/>
        </w:rPr>
        <w:t>, на 53%,  и по сравнению с 2018годом 42,7%</w:t>
      </w:r>
      <w:r w:rsidRPr="00C21AE8">
        <w:rPr>
          <w:rFonts w:ascii="Times New Roman" w:hAnsi="Times New Roman" w:cs="Times New Roman"/>
        </w:rPr>
        <w:t>на6,8% ( в 2018г-103чел):</w:t>
      </w:r>
    </w:p>
    <w:p w:rsidR="002914EB" w:rsidRPr="00C21AE8" w:rsidRDefault="002914EB" w:rsidP="002914EB">
      <w:pPr>
        <w:spacing w:after="0" w:line="240" w:lineRule="auto"/>
        <w:rPr>
          <w:rFonts w:ascii="Times New Roman" w:hAnsi="Times New Roman" w:cs="Times New Roman"/>
          <w:sz w:val="24"/>
          <w:szCs w:val="24"/>
        </w:rPr>
      </w:pPr>
      <w:r w:rsidRPr="00C21AE8">
        <w:rPr>
          <w:rFonts w:ascii="Times New Roman" w:hAnsi="Times New Roman" w:cs="Times New Roman"/>
          <w:sz w:val="24"/>
          <w:szCs w:val="24"/>
        </w:rPr>
        <w:t>-в 2019 году оздоровлено 96 детей,  из них:</w:t>
      </w:r>
    </w:p>
    <w:p w:rsidR="002914EB" w:rsidRPr="00C21AE8" w:rsidRDefault="002914EB" w:rsidP="006A23B3">
      <w:pPr>
        <w:numPr>
          <w:ilvl w:val="0"/>
          <w:numId w:val="20"/>
        </w:numPr>
        <w:spacing w:after="0" w:line="240" w:lineRule="auto"/>
        <w:rPr>
          <w:rFonts w:ascii="Times New Roman" w:hAnsi="Times New Roman" w:cs="Times New Roman"/>
          <w:sz w:val="24"/>
          <w:szCs w:val="24"/>
        </w:rPr>
      </w:pPr>
      <w:r w:rsidRPr="00C21AE8">
        <w:rPr>
          <w:rFonts w:ascii="Times New Roman" w:hAnsi="Times New Roman" w:cs="Times New Roman"/>
          <w:sz w:val="24"/>
          <w:szCs w:val="24"/>
        </w:rPr>
        <w:t>санаторное -  курортное лечение 37</w:t>
      </w:r>
    </w:p>
    <w:p w:rsidR="002914EB" w:rsidRPr="00C21AE8" w:rsidRDefault="002914EB" w:rsidP="006A23B3">
      <w:pPr>
        <w:numPr>
          <w:ilvl w:val="0"/>
          <w:numId w:val="20"/>
        </w:numPr>
        <w:spacing w:after="0" w:line="240" w:lineRule="auto"/>
        <w:rPr>
          <w:rFonts w:ascii="Times New Roman" w:hAnsi="Times New Roman" w:cs="Times New Roman"/>
          <w:sz w:val="24"/>
          <w:szCs w:val="24"/>
        </w:rPr>
      </w:pPr>
      <w:r w:rsidRPr="00C21AE8">
        <w:rPr>
          <w:rFonts w:ascii="Times New Roman" w:hAnsi="Times New Roman" w:cs="Times New Roman"/>
          <w:sz w:val="24"/>
          <w:szCs w:val="24"/>
        </w:rPr>
        <w:t>стационарное лечение 52</w:t>
      </w:r>
    </w:p>
    <w:p w:rsidR="002914EB" w:rsidRPr="00C21AE8" w:rsidRDefault="002914EB" w:rsidP="006A23B3">
      <w:pPr>
        <w:numPr>
          <w:ilvl w:val="0"/>
          <w:numId w:val="20"/>
        </w:numPr>
        <w:spacing w:after="0" w:line="240" w:lineRule="auto"/>
        <w:rPr>
          <w:rFonts w:ascii="Times New Roman" w:hAnsi="Times New Roman" w:cs="Times New Roman"/>
          <w:sz w:val="24"/>
          <w:szCs w:val="24"/>
        </w:rPr>
      </w:pPr>
      <w:r w:rsidRPr="00C21AE8">
        <w:rPr>
          <w:rFonts w:ascii="Times New Roman" w:hAnsi="Times New Roman" w:cs="Times New Roman"/>
          <w:sz w:val="24"/>
          <w:szCs w:val="24"/>
        </w:rPr>
        <w:t>восстановительное лечение  -7</w:t>
      </w:r>
    </w:p>
    <w:p w:rsidR="002914EB" w:rsidRPr="00C21AE8" w:rsidRDefault="002914EB" w:rsidP="002914EB">
      <w:pPr>
        <w:tabs>
          <w:tab w:val="left" w:pos="1134"/>
        </w:tabs>
        <w:spacing w:after="0" w:line="240" w:lineRule="auto"/>
        <w:ind w:right="-1"/>
        <w:jc w:val="both"/>
        <w:rPr>
          <w:rFonts w:ascii="Times New Roman" w:hAnsi="Times New Roman" w:cs="Times New Roman"/>
          <w:sz w:val="24"/>
          <w:szCs w:val="24"/>
        </w:rPr>
      </w:pPr>
      <w:r w:rsidRPr="00C21AE8">
        <w:rPr>
          <w:rFonts w:ascii="Times New Roman" w:hAnsi="Times New Roman" w:cs="Times New Roman"/>
          <w:sz w:val="24"/>
          <w:szCs w:val="24"/>
        </w:rPr>
        <w:t>Оздоровительный эффект составляет 98,7%;</w:t>
      </w:r>
    </w:p>
    <w:p w:rsidR="002914EB" w:rsidRPr="00C21AE8" w:rsidRDefault="002914EB" w:rsidP="002914EB">
      <w:pPr>
        <w:spacing w:after="0" w:line="240" w:lineRule="auto"/>
        <w:rPr>
          <w:rFonts w:ascii="Times New Roman" w:hAnsi="Times New Roman" w:cs="Times New Roman"/>
          <w:sz w:val="24"/>
          <w:szCs w:val="24"/>
        </w:rPr>
      </w:pPr>
      <w:r w:rsidRPr="00C21AE8">
        <w:rPr>
          <w:rFonts w:ascii="Times New Roman" w:hAnsi="Times New Roman" w:cs="Times New Roman"/>
          <w:sz w:val="24"/>
          <w:szCs w:val="24"/>
        </w:rPr>
        <w:t>В 2018году оздоровлено 103подростков,  из них:</w:t>
      </w:r>
    </w:p>
    <w:p w:rsidR="002914EB" w:rsidRPr="00C21AE8" w:rsidRDefault="002914EB" w:rsidP="006A23B3">
      <w:pPr>
        <w:numPr>
          <w:ilvl w:val="0"/>
          <w:numId w:val="20"/>
        </w:numPr>
        <w:spacing w:after="0" w:line="240" w:lineRule="auto"/>
        <w:rPr>
          <w:rFonts w:ascii="Times New Roman" w:hAnsi="Times New Roman" w:cs="Times New Roman"/>
          <w:sz w:val="24"/>
          <w:szCs w:val="24"/>
        </w:rPr>
      </w:pPr>
      <w:r w:rsidRPr="00C21AE8">
        <w:rPr>
          <w:rFonts w:ascii="Times New Roman" w:hAnsi="Times New Roman" w:cs="Times New Roman"/>
          <w:sz w:val="24"/>
          <w:szCs w:val="24"/>
        </w:rPr>
        <w:t>восстановительное лечение  27</w:t>
      </w:r>
    </w:p>
    <w:p w:rsidR="002914EB" w:rsidRPr="00C21AE8" w:rsidRDefault="002914EB" w:rsidP="006A23B3">
      <w:pPr>
        <w:numPr>
          <w:ilvl w:val="0"/>
          <w:numId w:val="20"/>
        </w:numPr>
        <w:spacing w:after="0" w:line="240" w:lineRule="auto"/>
        <w:rPr>
          <w:rFonts w:ascii="Times New Roman" w:hAnsi="Times New Roman" w:cs="Times New Roman"/>
          <w:sz w:val="24"/>
          <w:szCs w:val="24"/>
        </w:rPr>
      </w:pPr>
      <w:r w:rsidRPr="00C21AE8">
        <w:rPr>
          <w:rFonts w:ascii="Times New Roman" w:hAnsi="Times New Roman" w:cs="Times New Roman"/>
          <w:sz w:val="24"/>
          <w:szCs w:val="24"/>
        </w:rPr>
        <w:t>плановое  лечение 33</w:t>
      </w:r>
    </w:p>
    <w:p w:rsidR="002914EB" w:rsidRPr="00C21AE8" w:rsidRDefault="002914EB" w:rsidP="006A23B3">
      <w:pPr>
        <w:numPr>
          <w:ilvl w:val="0"/>
          <w:numId w:val="20"/>
        </w:numPr>
        <w:spacing w:after="0" w:line="240" w:lineRule="auto"/>
        <w:rPr>
          <w:rFonts w:ascii="Times New Roman" w:hAnsi="Times New Roman" w:cs="Times New Roman"/>
          <w:sz w:val="24"/>
          <w:szCs w:val="24"/>
        </w:rPr>
      </w:pPr>
      <w:r w:rsidRPr="00C21AE8">
        <w:rPr>
          <w:rFonts w:ascii="Times New Roman" w:hAnsi="Times New Roman" w:cs="Times New Roman"/>
          <w:sz w:val="24"/>
          <w:szCs w:val="24"/>
        </w:rPr>
        <w:t>санаторное -  курортное лечение 23</w:t>
      </w:r>
    </w:p>
    <w:p w:rsidR="002914EB" w:rsidRPr="00C21AE8" w:rsidRDefault="002914EB" w:rsidP="006A23B3">
      <w:pPr>
        <w:numPr>
          <w:ilvl w:val="0"/>
          <w:numId w:val="20"/>
        </w:numPr>
        <w:spacing w:after="0" w:line="240" w:lineRule="auto"/>
        <w:rPr>
          <w:rFonts w:ascii="Times New Roman" w:hAnsi="Times New Roman" w:cs="Times New Roman"/>
          <w:sz w:val="24"/>
          <w:szCs w:val="24"/>
        </w:rPr>
      </w:pPr>
      <w:r w:rsidRPr="00C21AE8">
        <w:rPr>
          <w:rFonts w:ascii="Times New Roman" w:hAnsi="Times New Roman" w:cs="Times New Roman"/>
          <w:sz w:val="24"/>
          <w:szCs w:val="24"/>
        </w:rPr>
        <w:t>стационарное лечение 20</w:t>
      </w:r>
    </w:p>
    <w:p w:rsidR="002914EB" w:rsidRDefault="002E57C5" w:rsidP="002E57C5">
      <w:pPr>
        <w:tabs>
          <w:tab w:val="left" w:pos="70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2914EB" w:rsidRPr="00C21AE8">
        <w:rPr>
          <w:rFonts w:ascii="Times New Roman" w:hAnsi="Times New Roman" w:cs="Times New Roman"/>
          <w:sz w:val="24"/>
          <w:szCs w:val="24"/>
        </w:rPr>
        <w:t>Оздоровительный эффект составляет 98,6%</w:t>
      </w:r>
    </w:p>
    <w:p w:rsidR="002914EB" w:rsidRDefault="002914EB" w:rsidP="002914EB">
      <w:pPr>
        <w:tabs>
          <w:tab w:val="left" w:pos="1134"/>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В 2020году направлено на </w:t>
      </w:r>
    </w:p>
    <w:p w:rsidR="002914EB" w:rsidRDefault="002914EB" w:rsidP="002914EB">
      <w:pPr>
        <w:tabs>
          <w:tab w:val="left" w:pos="1134"/>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-санаторно-курортное-51 чел;</w:t>
      </w:r>
    </w:p>
    <w:p w:rsidR="002914EB" w:rsidRDefault="002914EB" w:rsidP="002914EB">
      <w:pPr>
        <w:tabs>
          <w:tab w:val="left" w:pos="1134"/>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-плановое-11;</w:t>
      </w:r>
    </w:p>
    <w:p w:rsidR="002914EB" w:rsidRDefault="002914EB" w:rsidP="002914EB">
      <w:pPr>
        <w:tabs>
          <w:tab w:val="left" w:pos="1134"/>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-стационарное лечение-56;</w:t>
      </w:r>
    </w:p>
    <w:p w:rsidR="002914EB" w:rsidRDefault="002914EB" w:rsidP="002914EB">
      <w:pPr>
        <w:tabs>
          <w:tab w:val="left" w:pos="1134"/>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-восстановительное- 29.</w:t>
      </w:r>
    </w:p>
    <w:p w:rsidR="002914EB" w:rsidRPr="002B6BC0" w:rsidRDefault="002914EB" w:rsidP="002914EB">
      <w:pPr>
        <w:widowControl w:val="0"/>
        <w:autoSpaceDE w:val="0"/>
        <w:autoSpaceDN w:val="0"/>
        <w:adjustRightInd w:val="0"/>
        <w:spacing w:after="0"/>
        <w:ind w:firstLine="851"/>
        <w:jc w:val="center"/>
        <w:rPr>
          <w:rFonts w:ascii="Times New Roman" w:hAnsi="Times New Roman" w:cs="Times New Roman"/>
          <w:b/>
          <w:sz w:val="24"/>
          <w:szCs w:val="24"/>
        </w:rPr>
      </w:pPr>
      <w:r w:rsidRPr="002B6BC0">
        <w:rPr>
          <w:rFonts w:ascii="Times New Roman" w:hAnsi="Times New Roman" w:cs="Times New Roman"/>
          <w:b/>
          <w:sz w:val="24"/>
          <w:szCs w:val="24"/>
        </w:rPr>
        <w:t>Результаты контрольно – надзорной деятельности</w:t>
      </w:r>
    </w:p>
    <w:p w:rsidR="002914EB" w:rsidRPr="002B6BC0" w:rsidRDefault="002914EB" w:rsidP="007316ED">
      <w:pPr>
        <w:spacing w:after="0" w:line="240" w:lineRule="auto"/>
        <w:ind w:firstLine="567"/>
        <w:jc w:val="both"/>
        <w:rPr>
          <w:rFonts w:ascii="Times New Roman" w:hAnsi="Times New Roman" w:cs="Times New Roman"/>
          <w:sz w:val="24"/>
          <w:szCs w:val="24"/>
        </w:rPr>
      </w:pPr>
      <w:r w:rsidRPr="002B6BC0">
        <w:rPr>
          <w:rFonts w:ascii="Times New Roman" w:hAnsi="Times New Roman" w:cs="Times New Roman"/>
          <w:sz w:val="24"/>
          <w:szCs w:val="24"/>
        </w:rPr>
        <w:t xml:space="preserve">По результатам проведенных контрольно-надзорных мероприятий в плановой и внеплановой форме (1 плановая выездных проверок, 5 внеплановых проверки), а также санитарно-эпидемиологических обследований, в отношении образовательных учреждений, расположенных на подконтрольной территории гПыть-Ях, всех форм собственности за период 2020 г. привлечены к административной ответственности юридические лица, граждане, должностные лица, составлено  19 (из них 2 на юридические лица) протоколов об административном правонарушении по ст. 6.7 ч.1, КоАП РФ. Общая сумма наложенных штрафов составила  70 тысячи рублей (в том числе на юридических лиц 40 тысяча рублей). </w:t>
      </w:r>
    </w:p>
    <w:p w:rsidR="002E57C5" w:rsidRDefault="002914EB" w:rsidP="007316ED">
      <w:pPr>
        <w:spacing w:after="0" w:line="240" w:lineRule="auto"/>
        <w:ind w:firstLine="567"/>
        <w:jc w:val="both"/>
        <w:rPr>
          <w:rFonts w:ascii="Times New Roman" w:hAnsi="Times New Roman" w:cs="Times New Roman"/>
          <w:sz w:val="24"/>
          <w:szCs w:val="24"/>
        </w:rPr>
      </w:pPr>
      <w:r w:rsidRPr="006B6BAB">
        <w:rPr>
          <w:rFonts w:ascii="Times New Roman" w:hAnsi="Times New Roman" w:cs="Times New Roman"/>
          <w:sz w:val="24"/>
          <w:szCs w:val="24"/>
        </w:rPr>
        <w:t>По результатам проведенных плановой и внеплановых контрольно-надзорных мероприятий в 2020 году (</w:t>
      </w:r>
      <w:r w:rsidRPr="002B6BC0">
        <w:rPr>
          <w:rFonts w:ascii="Times New Roman" w:hAnsi="Times New Roman" w:cs="Times New Roman"/>
          <w:sz w:val="24"/>
          <w:szCs w:val="24"/>
        </w:rPr>
        <w:t xml:space="preserve"> 1 плановая выездная проверка</w:t>
      </w:r>
      <w:r w:rsidRPr="006B6BAB">
        <w:rPr>
          <w:rFonts w:ascii="Times New Roman" w:hAnsi="Times New Roman" w:cs="Times New Roman"/>
          <w:sz w:val="24"/>
          <w:szCs w:val="24"/>
        </w:rPr>
        <w:t>, 5 внеплановых проверок), а также санитарно-эпидемиологических обследований, в отношении образовательных учреждений, расположенных на подконтрольно</w:t>
      </w:r>
      <w:r w:rsidRPr="002B6BC0">
        <w:rPr>
          <w:rFonts w:ascii="Times New Roman" w:hAnsi="Times New Roman" w:cs="Times New Roman"/>
          <w:sz w:val="24"/>
          <w:szCs w:val="24"/>
        </w:rPr>
        <w:t>й территории города</w:t>
      </w:r>
      <w:r>
        <w:rPr>
          <w:rFonts w:ascii="Times New Roman" w:hAnsi="Times New Roman" w:cs="Times New Roman"/>
          <w:sz w:val="24"/>
          <w:szCs w:val="24"/>
        </w:rPr>
        <w:t>Пыть-Ях</w:t>
      </w:r>
      <w:r w:rsidRPr="006B6BAB">
        <w:rPr>
          <w:rFonts w:ascii="Times New Roman" w:hAnsi="Times New Roman" w:cs="Times New Roman"/>
          <w:sz w:val="24"/>
          <w:szCs w:val="24"/>
        </w:rPr>
        <w:t xml:space="preserve">, всех форм собственности за период 2020 г. привлечены к административной ответственности юридические лица, граждане, должностные лица, составлено  </w:t>
      </w:r>
      <w:r>
        <w:rPr>
          <w:rFonts w:ascii="Times New Roman" w:hAnsi="Times New Roman" w:cs="Times New Roman"/>
          <w:sz w:val="24"/>
          <w:szCs w:val="24"/>
        </w:rPr>
        <w:t>21</w:t>
      </w:r>
      <w:r w:rsidRPr="002B6BC0">
        <w:rPr>
          <w:rFonts w:ascii="Times New Roman" w:hAnsi="Times New Roman" w:cs="Times New Roman"/>
          <w:sz w:val="24"/>
          <w:szCs w:val="24"/>
        </w:rPr>
        <w:t xml:space="preserve"> (из них 6</w:t>
      </w:r>
      <w:r w:rsidRPr="006B6BAB">
        <w:rPr>
          <w:rFonts w:ascii="Times New Roman" w:hAnsi="Times New Roman" w:cs="Times New Roman"/>
          <w:sz w:val="24"/>
          <w:szCs w:val="24"/>
        </w:rPr>
        <w:t xml:space="preserve"> на юридические лица) протоколов об административном правонарушении по ст. 6.7 ч.1, КоАП РФ. Общая сумм</w:t>
      </w:r>
      <w:r w:rsidR="002E57C5">
        <w:rPr>
          <w:rFonts w:ascii="Times New Roman" w:hAnsi="Times New Roman" w:cs="Times New Roman"/>
          <w:sz w:val="24"/>
          <w:szCs w:val="24"/>
        </w:rPr>
        <w:t xml:space="preserve">а наложенных штрафов составила </w:t>
      </w:r>
      <w:r>
        <w:rPr>
          <w:rFonts w:ascii="Times New Roman" w:hAnsi="Times New Roman" w:cs="Times New Roman"/>
          <w:sz w:val="24"/>
          <w:szCs w:val="24"/>
          <w:u w:val="single"/>
        </w:rPr>
        <w:t>1</w:t>
      </w:r>
      <w:r w:rsidR="002E57C5">
        <w:rPr>
          <w:rFonts w:ascii="Times New Roman" w:hAnsi="Times New Roman" w:cs="Times New Roman"/>
          <w:sz w:val="24"/>
          <w:szCs w:val="24"/>
          <w:u w:val="single"/>
        </w:rPr>
        <w:t xml:space="preserve">20 тысяч </w:t>
      </w:r>
      <w:r w:rsidRPr="006B6BAB">
        <w:rPr>
          <w:rFonts w:ascii="Times New Roman" w:hAnsi="Times New Roman" w:cs="Times New Roman"/>
          <w:sz w:val="24"/>
          <w:szCs w:val="24"/>
          <w:u w:val="single"/>
        </w:rPr>
        <w:t>рублей</w:t>
      </w:r>
      <w:r w:rsidRPr="006B6BAB">
        <w:rPr>
          <w:rFonts w:ascii="Times New Roman" w:hAnsi="Times New Roman" w:cs="Times New Roman"/>
          <w:sz w:val="24"/>
          <w:szCs w:val="24"/>
        </w:rPr>
        <w:t>.  В рамках осуществления федерального государственного санитарно-эпидемиологического надзора за организацией питания детей в образовательных организациях, организованных коллектива</w:t>
      </w:r>
      <w:r w:rsidRPr="002B6BC0">
        <w:rPr>
          <w:rFonts w:ascii="Times New Roman" w:hAnsi="Times New Roman" w:cs="Times New Roman"/>
          <w:sz w:val="24"/>
          <w:szCs w:val="24"/>
        </w:rPr>
        <w:t xml:space="preserve">х и социальных организациях МО </w:t>
      </w:r>
      <w:r>
        <w:rPr>
          <w:rFonts w:ascii="Times New Roman" w:hAnsi="Times New Roman" w:cs="Times New Roman"/>
          <w:sz w:val="24"/>
          <w:szCs w:val="24"/>
        </w:rPr>
        <w:t>гПыть-Ях</w:t>
      </w:r>
      <w:r w:rsidRPr="006B6BAB">
        <w:rPr>
          <w:rFonts w:ascii="Times New Roman" w:hAnsi="Times New Roman" w:cs="Times New Roman"/>
          <w:sz w:val="24"/>
          <w:szCs w:val="24"/>
        </w:rPr>
        <w:t xml:space="preserve">выявлялись нарушения требований законодательства. </w:t>
      </w:r>
    </w:p>
    <w:p w:rsidR="002914EB" w:rsidRPr="006B6BAB" w:rsidRDefault="002914EB" w:rsidP="007316ED">
      <w:pPr>
        <w:spacing w:after="0" w:line="240" w:lineRule="auto"/>
        <w:ind w:firstLine="567"/>
        <w:jc w:val="both"/>
        <w:rPr>
          <w:rFonts w:ascii="Times New Roman" w:hAnsi="Times New Roman" w:cs="Times New Roman"/>
          <w:sz w:val="24"/>
          <w:szCs w:val="24"/>
        </w:rPr>
      </w:pPr>
      <w:r w:rsidRPr="006B6BAB">
        <w:rPr>
          <w:rFonts w:ascii="Times New Roman" w:hAnsi="Times New Roman" w:cs="Times New Roman"/>
          <w:sz w:val="24"/>
          <w:szCs w:val="24"/>
        </w:rPr>
        <w:t>Основными нарушениями послужили:</w:t>
      </w:r>
    </w:p>
    <w:p w:rsidR="002914EB" w:rsidRPr="006B6BAB" w:rsidRDefault="002914EB" w:rsidP="007316ED">
      <w:pPr>
        <w:spacing w:after="0" w:line="240" w:lineRule="auto"/>
        <w:ind w:firstLine="567"/>
        <w:jc w:val="both"/>
        <w:rPr>
          <w:rFonts w:ascii="Times New Roman" w:hAnsi="Times New Roman" w:cs="Times New Roman"/>
          <w:sz w:val="24"/>
          <w:szCs w:val="24"/>
        </w:rPr>
      </w:pPr>
      <w:r w:rsidRPr="006B6BAB">
        <w:rPr>
          <w:rFonts w:ascii="Times New Roman" w:hAnsi="Times New Roman" w:cs="Times New Roman"/>
          <w:sz w:val="24"/>
          <w:szCs w:val="24"/>
        </w:rPr>
        <w:t>-  несоблюдения условий хранения, приготовления блюд отсутствие сведений на маркировке продукта;</w:t>
      </w:r>
    </w:p>
    <w:p w:rsidR="002914EB" w:rsidRPr="006B6BAB" w:rsidRDefault="002914EB" w:rsidP="007316ED">
      <w:pPr>
        <w:spacing w:after="0" w:line="240" w:lineRule="auto"/>
        <w:ind w:firstLine="567"/>
        <w:jc w:val="both"/>
        <w:rPr>
          <w:rFonts w:ascii="Times New Roman" w:hAnsi="Times New Roman" w:cs="Times New Roman"/>
          <w:sz w:val="24"/>
          <w:szCs w:val="24"/>
        </w:rPr>
      </w:pPr>
      <w:r w:rsidRPr="006B6BAB">
        <w:rPr>
          <w:rFonts w:ascii="Times New Roman" w:hAnsi="Times New Roman" w:cs="Times New Roman"/>
          <w:sz w:val="24"/>
          <w:szCs w:val="24"/>
        </w:rPr>
        <w:t xml:space="preserve">-  ежедневное меню рациона блюд составляется с учётом стоимости продуктов питания,  а не с учётом физиологической потребности  детей в биологически ценных </w:t>
      </w:r>
      <w:r w:rsidRPr="006B6BAB">
        <w:rPr>
          <w:rFonts w:ascii="Times New Roman" w:hAnsi="Times New Roman" w:cs="Times New Roman"/>
          <w:sz w:val="24"/>
          <w:szCs w:val="24"/>
        </w:rPr>
        <w:lastRenderedPageBreak/>
        <w:t>веществах,  калорийность восполняется за счёт углеводсодержащих продуктов, не соблюдается принцип рационального и сбалансированного школьного  питания ;</w:t>
      </w:r>
    </w:p>
    <w:p w:rsidR="002914EB" w:rsidRPr="006B6BAB" w:rsidRDefault="002914EB" w:rsidP="007316ED">
      <w:pPr>
        <w:spacing w:after="0" w:line="240" w:lineRule="auto"/>
        <w:ind w:firstLine="567"/>
        <w:jc w:val="both"/>
        <w:rPr>
          <w:rFonts w:ascii="Times New Roman" w:hAnsi="Times New Roman" w:cs="Times New Roman"/>
          <w:sz w:val="24"/>
          <w:szCs w:val="24"/>
        </w:rPr>
      </w:pPr>
      <w:r w:rsidRPr="006B6BAB">
        <w:rPr>
          <w:rFonts w:ascii="Times New Roman" w:hAnsi="Times New Roman" w:cs="Times New Roman"/>
          <w:sz w:val="24"/>
          <w:szCs w:val="24"/>
        </w:rPr>
        <w:t>- не соответствие продолжительности перемен для приема пищи действующим санитарным нормам и правилам, отпуск горячего питания для обучающихся организовано на переменах продолжительностью менее 20 минут.</w:t>
      </w:r>
    </w:p>
    <w:p w:rsidR="002914EB" w:rsidRPr="006B6BAB" w:rsidRDefault="002914EB" w:rsidP="007316ED">
      <w:pPr>
        <w:spacing w:after="0" w:line="240" w:lineRule="auto"/>
        <w:ind w:firstLine="567"/>
        <w:jc w:val="both"/>
        <w:rPr>
          <w:rFonts w:ascii="Times New Roman" w:hAnsi="Times New Roman" w:cs="Times New Roman"/>
          <w:sz w:val="24"/>
          <w:szCs w:val="24"/>
        </w:rPr>
      </w:pPr>
      <w:r w:rsidRPr="006B6BAB">
        <w:rPr>
          <w:rFonts w:ascii="Times New Roman" w:hAnsi="Times New Roman" w:cs="Times New Roman"/>
          <w:sz w:val="24"/>
          <w:szCs w:val="24"/>
        </w:rPr>
        <w:t>- допускается повторение одних и тех же блюд или кулинарных изделий.</w:t>
      </w:r>
    </w:p>
    <w:p w:rsidR="002914EB" w:rsidRPr="006B6BAB" w:rsidRDefault="002914EB" w:rsidP="007316ED">
      <w:pPr>
        <w:spacing w:after="0" w:line="240" w:lineRule="auto"/>
        <w:ind w:firstLine="567"/>
        <w:jc w:val="both"/>
        <w:rPr>
          <w:rFonts w:ascii="Times New Roman" w:hAnsi="Times New Roman" w:cs="Times New Roman"/>
          <w:sz w:val="24"/>
          <w:szCs w:val="24"/>
        </w:rPr>
      </w:pPr>
      <w:r w:rsidRPr="006B6BAB">
        <w:rPr>
          <w:rFonts w:ascii="Times New Roman" w:hAnsi="Times New Roman" w:cs="Times New Roman"/>
          <w:sz w:val="24"/>
          <w:szCs w:val="24"/>
        </w:rPr>
        <w:t>- фактический рацион питания не соответствует утвержденному согласованному меню.</w:t>
      </w:r>
    </w:p>
    <w:p w:rsidR="002914EB" w:rsidRPr="006B6BAB" w:rsidRDefault="002914EB" w:rsidP="007316ED">
      <w:pPr>
        <w:spacing w:after="0" w:line="240" w:lineRule="auto"/>
        <w:ind w:firstLine="567"/>
        <w:jc w:val="both"/>
        <w:rPr>
          <w:rFonts w:ascii="Times New Roman" w:hAnsi="Times New Roman" w:cs="Times New Roman"/>
          <w:sz w:val="24"/>
          <w:szCs w:val="24"/>
        </w:rPr>
      </w:pPr>
      <w:r w:rsidRPr="006B6BAB">
        <w:rPr>
          <w:rFonts w:ascii="Times New Roman" w:hAnsi="Times New Roman" w:cs="Times New Roman"/>
          <w:sz w:val="24"/>
          <w:szCs w:val="24"/>
        </w:rPr>
        <w:t>-в фактическом меню допускается повторение одних и тех же блюд или кулинарных изделий в один и тот же день или в последующие 2-3 дня.</w:t>
      </w:r>
    </w:p>
    <w:p w:rsidR="002914EB" w:rsidRPr="006B6BAB" w:rsidRDefault="002914EB" w:rsidP="007316ED">
      <w:pPr>
        <w:spacing w:after="0" w:line="240" w:lineRule="auto"/>
        <w:ind w:firstLine="567"/>
        <w:jc w:val="both"/>
        <w:rPr>
          <w:rFonts w:ascii="Times New Roman" w:hAnsi="Times New Roman" w:cs="Times New Roman"/>
          <w:sz w:val="24"/>
          <w:szCs w:val="24"/>
          <w:shd w:val="clear" w:color="auto" w:fill="FFFFFF"/>
        </w:rPr>
      </w:pPr>
      <w:r w:rsidRPr="006B6BAB">
        <w:rPr>
          <w:rFonts w:ascii="Times New Roman" w:hAnsi="Times New Roman" w:cs="Times New Roman"/>
          <w:sz w:val="24"/>
          <w:szCs w:val="24"/>
          <w:shd w:val="clear" w:color="auto" w:fill="FFFFFF"/>
        </w:rPr>
        <w:t>- путем предварительного нак</w:t>
      </w:r>
      <w:r w:rsidR="00975A29">
        <w:rPr>
          <w:rFonts w:ascii="Times New Roman" w:hAnsi="Times New Roman" w:cs="Times New Roman"/>
          <w:sz w:val="24"/>
          <w:szCs w:val="24"/>
          <w:shd w:val="clear" w:color="auto" w:fill="FFFFFF"/>
        </w:rPr>
        <w:t xml:space="preserve">рытия столов не обеспечивается </w:t>
      </w:r>
      <w:r w:rsidRPr="006B6BAB">
        <w:rPr>
          <w:rFonts w:ascii="Times New Roman" w:hAnsi="Times New Roman" w:cs="Times New Roman"/>
          <w:sz w:val="24"/>
          <w:szCs w:val="24"/>
          <w:shd w:val="clear" w:color="auto" w:fill="FFFFFF"/>
        </w:rPr>
        <w:t>температура готовых блюд в соответствии с нормируемыми параметрами, на столах учащихся перед употреблением в пищу температура готовых блюд и горячих напитков  занижена.</w:t>
      </w:r>
    </w:p>
    <w:p w:rsidR="002914EB" w:rsidRPr="006B6BAB" w:rsidRDefault="002914EB" w:rsidP="007316ED">
      <w:pPr>
        <w:spacing w:after="0" w:line="240" w:lineRule="auto"/>
        <w:ind w:firstLine="567"/>
        <w:jc w:val="both"/>
        <w:rPr>
          <w:rFonts w:ascii="Times New Roman" w:hAnsi="Times New Roman" w:cs="Times New Roman"/>
          <w:sz w:val="24"/>
          <w:szCs w:val="24"/>
          <w:shd w:val="clear" w:color="auto" w:fill="FFFFFF"/>
        </w:rPr>
      </w:pPr>
      <w:r w:rsidRPr="006B6BAB">
        <w:rPr>
          <w:rFonts w:ascii="Times New Roman" w:hAnsi="Times New Roman" w:cs="Times New Roman"/>
          <w:sz w:val="24"/>
          <w:szCs w:val="24"/>
          <w:shd w:val="clear" w:color="auto" w:fill="FFFFFF"/>
        </w:rPr>
        <w:t xml:space="preserve">-  </w:t>
      </w:r>
      <w:r w:rsidR="00975A29">
        <w:rPr>
          <w:rFonts w:ascii="Times New Roman" w:hAnsi="Times New Roman" w:cs="Times New Roman"/>
          <w:sz w:val="24"/>
          <w:szCs w:val="24"/>
        </w:rPr>
        <w:t xml:space="preserve">в фактическом </w:t>
      </w:r>
      <w:r w:rsidRPr="006B6BAB">
        <w:rPr>
          <w:rFonts w:ascii="Times New Roman" w:hAnsi="Times New Roman" w:cs="Times New Roman"/>
          <w:sz w:val="24"/>
          <w:szCs w:val="24"/>
        </w:rPr>
        <w:t>меню  на завтрак отсутствует горячее блюдо и закуска.</w:t>
      </w:r>
    </w:p>
    <w:p w:rsidR="002914EB" w:rsidRPr="006B6BAB" w:rsidRDefault="002914EB" w:rsidP="007316ED">
      <w:pPr>
        <w:spacing w:after="0" w:line="240" w:lineRule="auto"/>
        <w:ind w:firstLine="567"/>
        <w:jc w:val="both"/>
        <w:rPr>
          <w:rFonts w:ascii="Times New Roman" w:hAnsi="Times New Roman" w:cs="Times New Roman"/>
          <w:sz w:val="24"/>
          <w:szCs w:val="24"/>
        </w:rPr>
      </w:pPr>
      <w:r w:rsidRPr="006B6BAB">
        <w:rPr>
          <w:rFonts w:ascii="Times New Roman" w:hAnsi="Times New Roman" w:cs="Times New Roman"/>
          <w:sz w:val="24"/>
          <w:szCs w:val="24"/>
          <w:shd w:val="clear" w:color="auto" w:fill="FFFFFF"/>
        </w:rPr>
        <w:t xml:space="preserve">- </w:t>
      </w:r>
      <w:r w:rsidRPr="006B6BAB">
        <w:rPr>
          <w:rFonts w:ascii="Times New Roman" w:hAnsi="Times New Roman" w:cs="Times New Roman"/>
          <w:sz w:val="24"/>
          <w:szCs w:val="24"/>
        </w:rPr>
        <w:t>визуальный контроль маркировки, сопроводительных документов, соблюдения условий хранения и сроков реализации пищевых продуктов, поступающих на пищеблок, на момент проведения обследования не соблюдаются сроки годности продуктов, установленные изготовителем и указанные в документах.</w:t>
      </w:r>
    </w:p>
    <w:p w:rsidR="002914EB" w:rsidRPr="006B6BAB" w:rsidRDefault="002914EB" w:rsidP="007316ED">
      <w:pPr>
        <w:spacing w:after="0" w:line="240" w:lineRule="auto"/>
        <w:ind w:firstLine="567"/>
        <w:jc w:val="both"/>
        <w:rPr>
          <w:rFonts w:ascii="Times New Roman" w:hAnsi="Times New Roman" w:cs="Times New Roman"/>
          <w:sz w:val="24"/>
          <w:szCs w:val="24"/>
        </w:rPr>
      </w:pPr>
      <w:r w:rsidRPr="006B6BAB">
        <w:rPr>
          <w:rFonts w:ascii="Times New Roman" w:hAnsi="Times New Roman" w:cs="Times New Roman"/>
          <w:sz w:val="24"/>
          <w:szCs w:val="24"/>
        </w:rPr>
        <w:t xml:space="preserve">-отсутствие необходимый набор помещений в соответствие с санитарными нормами, что создает условия, не </w:t>
      </w:r>
      <w:r w:rsidRPr="006B6BAB">
        <w:rPr>
          <w:rFonts w:ascii="Times New Roman" w:hAnsi="Times New Roman" w:cs="Times New Roman"/>
          <w:bCs/>
          <w:sz w:val="24"/>
          <w:szCs w:val="24"/>
          <w:shd w:val="clear" w:color="auto" w:fill="FFFFFF"/>
        </w:rPr>
        <w:t>исключающие перекрест встречных потоков сырья, сырых полуфабрикатов и готовой продукции</w:t>
      </w:r>
      <w:r w:rsidRPr="006B6BAB">
        <w:rPr>
          <w:rFonts w:ascii="Times New Roman" w:hAnsi="Times New Roman" w:cs="Times New Roman"/>
          <w:sz w:val="24"/>
          <w:szCs w:val="24"/>
        </w:rPr>
        <w:t>: совмещены  овощной цех первичной и вторичной обработки овощей, отсутствует холодный цех (выделена зона в горячем цехе), недостаточно складских помещений (хранение  муки производится в  мучном цехе).</w:t>
      </w:r>
    </w:p>
    <w:p w:rsidR="002914EB" w:rsidRPr="006B6BAB" w:rsidRDefault="002914EB" w:rsidP="007316ED">
      <w:pPr>
        <w:spacing w:after="0" w:line="240" w:lineRule="auto"/>
        <w:ind w:firstLine="567"/>
        <w:jc w:val="both"/>
        <w:rPr>
          <w:rFonts w:ascii="Times New Roman" w:hAnsi="Times New Roman" w:cs="Times New Roman"/>
          <w:sz w:val="24"/>
          <w:szCs w:val="24"/>
        </w:rPr>
      </w:pPr>
      <w:r w:rsidRPr="006B6BAB">
        <w:rPr>
          <w:rFonts w:ascii="Times New Roman" w:hAnsi="Times New Roman" w:cs="Times New Roman"/>
          <w:sz w:val="24"/>
          <w:szCs w:val="24"/>
        </w:rPr>
        <w:t>- поставщики продуктов для организации школьного питания  поставляют молоко и молочную продукцию, где маркировка и товаросопроводительная документация не соответствует наименованию продукции  установленному в разделе II ТР ТС 033/2013 «О безопасности молока и молочной продукции.</w:t>
      </w:r>
    </w:p>
    <w:p w:rsidR="002914EB" w:rsidRPr="006B6BAB" w:rsidRDefault="002914EB" w:rsidP="007316ED">
      <w:pPr>
        <w:spacing w:after="0" w:line="240" w:lineRule="auto"/>
        <w:ind w:firstLine="567"/>
        <w:jc w:val="both"/>
        <w:rPr>
          <w:rFonts w:ascii="Times New Roman" w:hAnsi="Times New Roman" w:cs="Times New Roman"/>
          <w:sz w:val="24"/>
          <w:szCs w:val="24"/>
        </w:rPr>
      </w:pPr>
      <w:r w:rsidRPr="006B6BAB">
        <w:rPr>
          <w:rFonts w:ascii="Times New Roman" w:hAnsi="Times New Roman" w:cs="Times New Roman"/>
          <w:sz w:val="24"/>
          <w:szCs w:val="24"/>
        </w:rPr>
        <w:t>-для технологический целей (приготовления) хлебобулочных изделий и напитков используется вода из разводящей системы, эффективная система доочистки воды не установлена, контроль качества воды водопроводной не осуществляется, что не соответствует п. 3.2.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пп.1 ст.12 гл. 3 ТР ТС 021/2011 Технический регламент Таможенного союза «О безопасности пищевой продукции»;</w:t>
      </w:r>
    </w:p>
    <w:p w:rsidR="002914EB" w:rsidRPr="006B6BAB" w:rsidRDefault="002914EB" w:rsidP="007316ED">
      <w:pPr>
        <w:spacing w:after="0" w:line="240" w:lineRule="auto"/>
        <w:ind w:firstLine="567"/>
        <w:jc w:val="both"/>
        <w:rPr>
          <w:rFonts w:ascii="Times New Roman" w:hAnsi="Times New Roman" w:cs="Times New Roman"/>
          <w:sz w:val="24"/>
          <w:szCs w:val="24"/>
        </w:rPr>
      </w:pPr>
      <w:r w:rsidRPr="006B6BAB">
        <w:rPr>
          <w:rFonts w:ascii="Times New Roman" w:hAnsi="Times New Roman" w:cs="Times New Roman"/>
          <w:sz w:val="24"/>
          <w:szCs w:val="24"/>
        </w:rPr>
        <w:t xml:space="preserve"> - не проводится контроль за условиями хранения муки, предусмотренными изготовителем, отсутствуют измерительные приборы контроля за влажностью и температурой воздуха, пищевой продукции.</w:t>
      </w:r>
    </w:p>
    <w:p w:rsidR="002914EB" w:rsidRPr="006B6BAB" w:rsidRDefault="002914EB" w:rsidP="007316ED">
      <w:pPr>
        <w:spacing w:after="0" w:line="240" w:lineRule="auto"/>
        <w:ind w:left="60" w:firstLine="567"/>
        <w:jc w:val="both"/>
        <w:rPr>
          <w:rFonts w:ascii="Times New Roman" w:eastAsia="Times New Roman" w:hAnsi="Times New Roman" w:cs="Times New Roman"/>
          <w:sz w:val="24"/>
          <w:szCs w:val="24"/>
        </w:rPr>
      </w:pPr>
      <w:r w:rsidRPr="006B6BAB">
        <w:rPr>
          <w:rFonts w:ascii="Times New Roman" w:hAnsi="Times New Roman" w:cs="Times New Roman"/>
          <w:sz w:val="24"/>
          <w:szCs w:val="24"/>
        </w:rPr>
        <w:br/>
        <w:t>На основании вышеизложенного, с  целью  обеспечения санитарно-эпидемиологического благополучия детей и сохранения их здоровья на</w:t>
      </w:r>
      <w:r>
        <w:rPr>
          <w:rFonts w:ascii="Times New Roman" w:hAnsi="Times New Roman" w:cs="Times New Roman"/>
          <w:sz w:val="24"/>
          <w:szCs w:val="24"/>
        </w:rPr>
        <w:t xml:space="preserve"> территории  города Пыть-Ях</w:t>
      </w:r>
      <w:r w:rsidRPr="006B6BAB">
        <w:rPr>
          <w:rFonts w:ascii="Times New Roman" w:hAnsi="Times New Roman" w:cs="Times New Roman"/>
          <w:sz w:val="24"/>
          <w:szCs w:val="24"/>
        </w:rPr>
        <w:t xml:space="preserve">,  в соответствии требований </w:t>
      </w:r>
      <w:r w:rsidRPr="006B6BAB">
        <w:rPr>
          <w:rFonts w:ascii="Times New Roman" w:hAnsi="Times New Roman" w:cs="Times New Roman"/>
          <w:color w:val="000000"/>
          <w:sz w:val="24"/>
          <w:szCs w:val="24"/>
        </w:rPr>
        <w:t xml:space="preserve">ст. 11,  ст. 28 ч. 1 ФЗ № 52 от 30.03.99 «О санитарно-эпидемиологическом благополучии населения», </w:t>
      </w:r>
      <w:r w:rsidRPr="006B6BAB">
        <w:rPr>
          <w:rFonts w:ascii="Times New Roman" w:hAnsi="Times New Roman" w:cs="Times New Roman"/>
          <w:sz w:val="24"/>
          <w:szCs w:val="24"/>
        </w:rPr>
        <w:t xml:space="preserve">основные направления деятельности в образовательных организациях  должны быть направлены на укрепления  здоровья, физиологическое развитие и предупреждение заболеваемости. При этом, наиболее приоритетными должны стать вопросы соблюдение требований санитарного законодательства в  образовательных организациях. </w:t>
      </w:r>
    </w:p>
    <w:p w:rsidR="002914EB" w:rsidRPr="006B6BAB" w:rsidRDefault="002914EB" w:rsidP="006A23B3">
      <w:pPr>
        <w:numPr>
          <w:ilvl w:val="0"/>
          <w:numId w:val="21"/>
        </w:numPr>
        <w:pBdr>
          <w:bottom w:val="single" w:sz="4" w:space="3" w:color="auto"/>
        </w:pBdr>
        <w:autoSpaceDE w:val="0"/>
        <w:autoSpaceDN w:val="0"/>
        <w:spacing w:after="0" w:line="240" w:lineRule="auto"/>
        <w:ind w:firstLine="567"/>
        <w:contextualSpacing/>
        <w:jc w:val="both"/>
        <w:rPr>
          <w:rFonts w:ascii="Times New Roman" w:hAnsi="Times New Roman" w:cs="Times New Roman"/>
          <w:sz w:val="24"/>
          <w:szCs w:val="24"/>
        </w:rPr>
      </w:pPr>
      <w:r w:rsidRPr="006B6BAB">
        <w:rPr>
          <w:rFonts w:ascii="Times New Roman" w:hAnsi="Times New Roman" w:cs="Times New Roman"/>
          <w:sz w:val="24"/>
          <w:szCs w:val="24"/>
        </w:rPr>
        <w:t xml:space="preserve"> Улучшение  материально-технической базы и санитарного состояния пищеблоков в общеобразовательных, дошкольных образовательных учреждений, проведение реконструкций и капитальных ремонтов производственных цехов пищеблоков школ, детских садов.</w:t>
      </w:r>
    </w:p>
    <w:p w:rsidR="002914EB" w:rsidRPr="006B6BAB" w:rsidRDefault="002914EB" w:rsidP="006A23B3">
      <w:pPr>
        <w:numPr>
          <w:ilvl w:val="0"/>
          <w:numId w:val="21"/>
        </w:numPr>
        <w:pBdr>
          <w:bottom w:val="single" w:sz="4" w:space="3" w:color="auto"/>
        </w:pBdr>
        <w:autoSpaceDE w:val="0"/>
        <w:autoSpaceDN w:val="0"/>
        <w:spacing w:after="0" w:line="240" w:lineRule="auto"/>
        <w:ind w:firstLine="567"/>
        <w:contextualSpacing/>
        <w:jc w:val="both"/>
        <w:rPr>
          <w:rFonts w:ascii="Times New Roman" w:hAnsi="Times New Roman" w:cs="Times New Roman"/>
          <w:sz w:val="24"/>
          <w:szCs w:val="24"/>
        </w:rPr>
      </w:pPr>
      <w:r w:rsidRPr="006B6BAB">
        <w:rPr>
          <w:rFonts w:ascii="Times New Roman" w:hAnsi="Times New Roman" w:cs="Times New Roman"/>
          <w:sz w:val="24"/>
          <w:szCs w:val="24"/>
        </w:rPr>
        <w:t>Строительства современных школьных столовых, пищеблоков, со строительством новых школ, и детских садов в городе.</w:t>
      </w:r>
    </w:p>
    <w:p w:rsidR="002914EB" w:rsidRPr="006B6BAB" w:rsidRDefault="002914EB" w:rsidP="006A23B3">
      <w:pPr>
        <w:numPr>
          <w:ilvl w:val="0"/>
          <w:numId w:val="21"/>
        </w:numPr>
        <w:pBdr>
          <w:bottom w:val="single" w:sz="4" w:space="3" w:color="auto"/>
        </w:pBdr>
        <w:autoSpaceDE w:val="0"/>
        <w:autoSpaceDN w:val="0"/>
        <w:spacing w:after="0" w:line="240" w:lineRule="auto"/>
        <w:ind w:firstLine="567"/>
        <w:contextualSpacing/>
        <w:jc w:val="both"/>
        <w:rPr>
          <w:rFonts w:ascii="Times New Roman" w:hAnsi="Times New Roman" w:cs="Times New Roman"/>
          <w:sz w:val="24"/>
          <w:szCs w:val="24"/>
        </w:rPr>
      </w:pPr>
      <w:r w:rsidRPr="006B6BAB">
        <w:rPr>
          <w:rFonts w:ascii="Times New Roman" w:hAnsi="Times New Roman" w:cs="Times New Roman"/>
          <w:sz w:val="24"/>
          <w:szCs w:val="24"/>
        </w:rPr>
        <w:t xml:space="preserve">Строительства фабрики-кухни,  для образовательных учреждения построенные в 70-80 г.г. не соответствуют требованиям санитарных правил по набору </w:t>
      </w:r>
      <w:r w:rsidRPr="006B6BAB">
        <w:rPr>
          <w:rFonts w:ascii="Times New Roman" w:hAnsi="Times New Roman" w:cs="Times New Roman"/>
          <w:sz w:val="24"/>
          <w:szCs w:val="24"/>
        </w:rPr>
        <w:lastRenderedPageBreak/>
        <w:t>помещений пищеблоков, в которых  не предусмотрены холодный цех готовой продукции, мучной цех, помещения для уборочного инвентаря, складские помещения и т.д.)   отвечающий требованиям, предъявляемым к организациям общественного питания.</w:t>
      </w:r>
    </w:p>
    <w:p w:rsidR="002914EB" w:rsidRPr="00975A29" w:rsidRDefault="002914EB" w:rsidP="006A23B3">
      <w:pPr>
        <w:numPr>
          <w:ilvl w:val="0"/>
          <w:numId w:val="21"/>
        </w:numPr>
        <w:pBdr>
          <w:bottom w:val="single" w:sz="4" w:space="3" w:color="auto"/>
        </w:pBdr>
        <w:autoSpaceDE w:val="0"/>
        <w:autoSpaceDN w:val="0"/>
        <w:spacing w:after="0" w:line="240" w:lineRule="auto"/>
        <w:ind w:firstLine="567"/>
        <w:contextualSpacing/>
        <w:jc w:val="both"/>
        <w:rPr>
          <w:rFonts w:ascii="Times New Roman" w:hAnsi="Times New Roman" w:cs="Times New Roman"/>
          <w:sz w:val="24"/>
          <w:szCs w:val="24"/>
        </w:rPr>
      </w:pPr>
      <w:r w:rsidRPr="006B6BAB">
        <w:rPr>
          <w:rFonts w:ascii="Times New Roman" w:hAnsi="Times New Roman" w:cs="Times New Roman"/>
          <w:sz w:val="24"/>
          <w:szCs w:val="24"/>
        </w:rPr>
        <w:t xml:space="preserve">Своевременное выполнение предписаний надзорных органов, утвержденных планов-заданий, ремонтных работ, прежде всего, систем водоснабжения, канализации, </w:t>
      </w:r>
      <w:r w:rsidRPr="00975A29">
        <w:rPr>
          <w:rFonts w:ascii="Times New Roman" w:hAnsi="Times New Roman" w:cs="Times New Roman"/>
          <w:sz w:val="24"/>
          <w:szCs w:val="24"/>
        </w:rPr>
        <w:t>санитарно-технического оборудования</w:t>
      </w:r>
    </w:p>
    <w:p w:rsidR="002914EB" w:rsidRPr="006B6BAB" w:rsidRDefault="002914EB" w:rsidP="006A23B3">
      <w:pPr>
        <w:numPr>
          <w:ilvl w:val="0"/>
          <w:numId w:val="21"/>
        </w:numPr>
        <w:spacing w:after="0" w:line="240" w:lineRule="auto"/>
        <w:ind w:firstLine="567"/>
        <w:jc w:val="both"/>
        <w:rPr>
          <w:rFonts w:ascii="Times New Roman" w:hAnsi="Times New Roman" w:cs="Times New Roman"/>
          <w:sz w:val="24"/>
          <w:szCs w:val="24"/>
        </w:rPr>
      </w:pPr>
      <w:r w:rsidRPr="00975A29">
        <w:rPr>
          <w:rFonts w:ascii="Times New Roman" w:hAnsi="Times New Roman" w:cs="Times New Roman"/>
          <w:sz w:val="24"/>
          <w:szCs w:val="24"/>
        </w:rPr>
        <w:t>Улучшение организации  питания и соблюдением технологических норм и качества</w:t>
      </w:r>
      <w:r w:rsidRPr="006B6BAB">
        <w:rPr>
          <w:rFonts w:ascii="Times New Roman" w:hAnsi="Times New Roman" w:cs="Times New Roman"/>
          <w:sz w:val="24"/>
          <w:szCs w:val="24"/>
        </w:rPr>
        <w:t xml:space="preserve"> блюд,  соблюдение принципов безопасного, качественного и рационального питания детей в  школах, ДОУ и других образовательных учреждения  города.</w:t>
      </w:r>
    </w:p>
    <w:p w:rsidR="002914EB" w:rsidRPr="006B6BAB" w:rsidRDefault="002914EB" w:rsidP="006A23B3">
      <w:pPr>
        <w:numPr>
          <w:ilvl w:val="0"/>
          <w:numId w:val="21"/>
        </w:numPr>
        <w:spacing w:after="0" w:line="240" w:lineRule="auto"/>
        <w:ind w:firstLine="567"/>
        <w:jc w:val="both"/>
        <w:rPr>
          <w:rFonts w:ascii="Times New Roman" w:hAnsi="Times New Roman" w:cs="Times New Roman"/>
          <w:sz w:val="24"/>
          <w:szCs w:val="24"/>
        </w:rPr>
      </w:pPr>
      <w:r w:rsidRPr="006B6BAB">
        <w:rPr>
          <w:rFonts w:ascii="Times New Roman" w:hAnsi="Times New Roman" w:cs="Times New Roman"/>
          <w:sz w:val="24"/>
          <w:szCs w:val="24"/>
        </w:rPr>
        <w:t>Выполнение проведений мероприятий по профилактике заболеваний связанных с дефицитом микронутриентов, в питание  использовать   пищевые продукты, обогащённые витаминами и микронутриентами (витаминизированная мука, витаминизированная молочная продукция, хлебобулочные изделия обогащённые содержанием йода, железа и др.витаминизированные  продукты питания).</w:t>
      </w:r>
    </w:p>
    <w:p w:rsidR="002914EB" w:rsidRDefault="002914EB" w:rsidP="007316ED">
      <w:pPr>
        <w:pBdr>
          <w:bottom w:val="single" w:sz="4" w:space="3" w:color="auto"/>
        </w:pBdr>
        <w:autoSpaceDE w:val="0"/>
        <w:autoSpaceDN w:val="0"/>
        <w:spacing w:after="0" w:line="240" w:lineRule="auto"/>
        <w:ind w:left="60" w:firstLine="567"/>
        <w:contextualSpacing/>
        <w:jc w:val="both"/>
        <w:rPr>
          <w:rFonts w:ascii="Times New Roman" w:hAnsi="Times New Roman" w:cs="Times New Roman"/>
          <w:color w:val="000000"/>
          <w:sz w:val="24"/>
          <w:szCs w:val="24"/>
        </w:rPr>
      </w:pPr>
      <w:r w:rsidRPr="006B6BAB">
        <w:rPr>
          <w:rFonts w:ascii="Times New Roman" w:hAnsi="Times New Roman" w:cs="Times New Roman"/>
          <w:sz w:val="24"/>
          <w:szCs w:val="24"/>
          <w:u w:val="single"/>
        </w:rPr>
        <w:t xml:space="preserve">     </w:t>
      </w:r>
      <w:r w:rsidR="00975A29">
        <w:rPr>
          <w:rFonts w:ascii="Times New Roman" w:hAnsi="Times New Roman" w:cs="Times New Roman"/>
          <w:sz w:val="24"/>
          <w:szCs w:val="24"/>
          <w:u w:val="single"/>
        </w:rPr>
        <w:t xml:space="preserve">В связи с этим предложено </w:t>
      </w:r>
      <w:r w:rsidRPr="006B6BAB">
        <w:rPr>
          <w:rFonts w:ascii="Times New Roman" w:hAnsi="Times New Roman" w:cs="Times New Roman"/>
          <w:sz w:val="24"/>
          <w:szCs w:val="24"/>
          <w:u w:val="single"/>
        </w:rPr>
        <w:t>администрации М</w:t>
      </w:r>
      <w:r>
        <w:rPr>
          <w:rFonts w:ascii="Times New Roman" w:hAnsi="Times New Roman" w:cs="Times New Roman"/>
          <w:sz w:val="24"/>
          <w:szCs w:val="24"/>
          <w:u w:val="single"/>
        </w:rPr>
        <w:t>О г.Пыть-Ях</w:t>
      </w:r>
      <w:r w:rsidR="00975A29">
        <w:rPr>
          <w:rFonts w:ascii="Times New Roman" w:hAnsi="Times New Roman" w:cs="Times New Roman"/>
          <w:sz w:val="24"/>
          <w:szCs w:val="24"/>
          <w:u w:val="single"/>
        </w:rPr>
        <w:t>: П</w:t>
      </w:r>
      <w:r w:rsidRPr="006B6BAB">
        <w:rPr>
          <w:rFonts w:ascii="Times New Roman" w:hAnsi="Times New Roman" w:cs="Times New Roman"/>
          <w:sz w:val="24"/>
          <w:szCs w:val="24"/>
        </w:rPr>
        <w:t xml:space="preserve">роанализировать сложившуюся ситуацию по приведению в соответствие с требованиями санитарных </w:t>
      </w:r>
      <w:r w:rsidR="00975A29">
        <w:rPr>
          <w:rFonts w:ascii="Times New Roman" w:hAnsi="Times New Roman" w:cs="Times New Roman"/>
          <w:sz w:val="24"/>
          <w:szCs w:val="24"/>
        </w:rPr>
        <w:t xml:space="preserve">правил </w:t>
      </w:r>
      <w:r w:rsidRPr="006B6BAB">
        <w:rPr>
          <w:rFonts w:ascii="Times New Roman" w:hAnsi="Times New Roman" w:cs="Times New Roman"/>
          <w:sz w:val="24"/>
          <w:szCs w:val="24"/>
        </w:rPr>
        <w:t>организацию школьного питания в школьных столовых  района. Принять дополнительные меры, направленные на обеспечение школьников полноценным горячим питанием, п</w:t>
      </w:r>
      <w:r w:rsidR="00975A29">
        <w:rPr>
          <w:rFonts w:ascii="Times New Roman" w:hAnsi="Times New Roman" w:cs="Times New Roman"/>
          <w:sz w:val="24"/>
          <w:szCs w:val="24"/>
        </w:rPr>
        <w:t>родуктами питания, обогащёнными</w:t>
      </w:r>
      <w:r w:rsidRPr="006B6BAB">
        <w:rPr>
          <w:rFonts w:ascii="Times New Roman" w:hAnsi="Times New Roman" w:cs="Times New Roman"/>
          <w:sz w:val="24"/>
          <w:szCs w:val="24"/>
        </w:rPr>
        <w:t xml:space="preserve"> комплексами витаминов и минеральных веществ, предусмотреть выделение необходимые средств на обеспечение детей полноценным горячим питанием, посещающих общеобразовательные учреждения, а также оснащение пищеблоков современным холодильным и технологическим об</w:t>
      </w:r>
      <w:r w:rsidR="00975A29">
        <w:rPr>
          <w:rFonts w:ascii="Times New Roman" w:hAnsi="Times New Roman" w:cs="Times New Roman"/>
          <w:sz w:val="24"/>
          <w:szCs w:val="24"/>
        </w:rPr>
        <w:t xml:space="preserve">орудованием. Продолжить работу </w:t>
      </w:r>
      <w:r w:rsidRPr="006B6BAB">
        <w:rPr>
          <w:rFonts w:ascii="Times New Roman" w:hAnsi="Times New Roman" w:cs="Times New Roman"/>
          <w:sz w:val="24"/>
          <w:szCs w:val="24"/>
        </w:rPr>
        <w:t>в рамках совместной деятельностью с родительским сообществом по вопросам выявления и решения проблем качества питания в образовательных организациях и и</w:t>
      </w:r>
      <w:r w:rsidRPr="002B6BC0">
        <w:rPr>
          <w:rFonts w:ascii="Times New Roman" w:hAnsi="Times New Roman" w:cs="Times New Roman"/>
          <w:sz w:val="24"/>
          <w:szCs w:val="24"/>
        </w:rPr>
        <w:t xml:space="preserve">ных социальных учреждениях МО </w:t>
      </w:r>
      <w:r>
        <w:rPr>
          <w:rFonts w:ascii="Times New Roman" w:hAnsi="Times New Roman" w:cs="Times New Roman"/>
          <w:sz w:val="24"/>
          <w:szCs w:val="24"/>
        </w:rPr>
        <w:t>г. Пыть-Ях</w:t>
      </w:r>
      <w:r w:rsidRPr="002B6BC0">
        <w:rPr>
          <w:rFonts w:ascii="Times New Roman" w:hAnsi="Times New Roman" w:cs="Times New Roman"/>
          <w:sz w:val="24"/>
          <w:szCs w:val="24"/>
        </w:rPr>
        <w:t xml:space="preserve">, </w:t>
      </w:r>
      <w:r w:rsidRPr="006B6BAB">
        <w:rPr>
          <w:rFonts w:ascii="Times New Roman" w:hAnsi="Times New Roman" w:cs="Times New Roman"/>
          <w:sz w:val="24"/>
          <w:szCs w:val="24"/>
        </w:rPr>
        <w:t xml:space="preserve"> где необходимо 1.Организовать взаимодействие с родительскими комитетами для совместного решения с администрацией  образовательных и социальных  организаций вопросов организации и контроля питания, в том числе разработать программы для организации работы с родителями. 2 </w:t>
      </w:r>
      <w:r w:rsidRPr="006B6BAB">
        <w:rPr>
          <w:rFonts w:ascii="Times New Roman" w:hAnsi="Times New Roman" w:cs="Times New Roman"/>
          <w:color w:val="000000"/>
          <w:sz w:val="24"/>
          <w:szCs w:val="24"/>
        </w:rPr>
        <w:t>Орг</w:t>
      </w:r>
      <w:r w:rsidR="00975A29">
        <w:rPr>
          <w:rFonts w:ascii="Times New Roman" w:hAnsi="Times New Roman" w:cs="Times New Roman"/>
          <w:color w:val="000000"/>
          <w:sz w:val="24"/>
          <w:szCs w:val="24"/>
        </w:rPr>
        <w:t xml:space="preserve">анизовать совместные совещания </w:t>
      </w:r>
      <w:r w:rsidRPr="006B6BAB">
        <w:rPr>
          <w:rFonts w:ascii="Times New Roman" w:hAnsi="Times New Roman" w:cs="Times New Roman"/>
          <w:color w:val="000000"/>
          <w:sz w:val="24"/>
          <w:szCs w:val="24"/>
        </w:rPr>
        <w:t xml:space="preserve">с руководителями департаментов образования, управления социальной защиты,  ответственными лицами </w:t>
      </w:r>
      <w:r w:rsidRPr="006B6BAB">
        <w:rPr>
          <w:rFonts w:ascii="Times New Roman" w:hAnsi="Times New Roman" w:cs="Times New Roman"/>
          <w:sz w:val="24"/>
          <w:szCs w:val="24"/>
        </w:rPr>
        <w:t xml:space="preserve">за организацию питания детей в организованных коллективах, на которых обсудить необходимость проведения дополнительных мер по контролю за качеством поступающих продуктов. 3. </w:t>
      </w:r>
      <w:r w:rsidRPr="006B6BAB">
        <w:rPr>
          <w:rFonts w:ascii="Times New Roman" w:hAnsi="Times New Roman" w:cs="Times New Roman"/>
          <w:color w:val="000000"/>
          <w:sz w:val="24"/>
          <w:szCs w:val="24"/>
        </w:rPr>
        <w:t>Организовать п</w:t>
      </w:r>
      <w:r w:rsidRPr="006B6BAB">
        <w:rPr>
          <w:rFonts w:ascii="Times New Roman" w:hAnsi="Times New Roman" w:cs="Times New Roman"/>
          <w:sz w:val="24"/>
          <w:szCs w:val="24"/>
        </w:rPr>
        <w:t xml:space="preserve">роведение  корректировки действующих программ </w:t>
      </w:r>
      <w:r w:rsidRPr="006B6BAB">
        <w:rPr>
          <w:rFonts w:ascii="Times New Roman" w:hAnsi="Times New Roman" w:cs="Times New Roman"/>
          <w:bCs/>
          <w:sz w:val="24"/>
          <w:szCs w:val="24"/>
        </w:rPr>
        <w:t xml:space="preserve">производственной и гигиенической </w:t>
      </w:r>
      <w:r w:rsidRPr="006B6BAB">
        <w:rPr>
          <w:rFonts w:ascii="Times New Roman" w:hAnsi="Times New Roman" w:cs="Times New Roman"/>
          <w:sz w:val="24"/>
          <w:szCs w:val="24"/>
        </w:rPr>
        <w:t xml:space="preserve">подготовки персонала, </w:t>
      </w:r>
      <w:r w:rsidRPr="006B6BAB">
        <w:rPr>
          <w:rFonts w:ascii="Times New Roman" w:hAnsi="Times New Roman" w:cs="Times New Roman"/>
          <w:bCs/>
          <w:sz w:val="24"/>
          <w:szCs w:val="24"/>
        </w:rPr>
        <w:t xml:space="preserve">связанного с приёмкой продуктов, приготовлением, транспортировкой и  реализацией питания в </w:t>
      </w:r>
      <w:r w:rsidRPr="006B6BAB">
        <w:rPr>
          <w:rFonts w:ascii="Times New Roman" w:hAnsi="Times New Roman" w:cs="Times New Roman"/>
          <w:sz w:val="24"/>
          <w:szCs w:val="24"/>
        </w:rPr>
        <w:t xml:space="preserve"> детских организованных коллективах  и социальных организациях в соответствии с современными требованиями, включив в них обеспечение мероприятий по минимизации рисков поступления  фальсифицированной продукции, продукции с признаками порчи, без сопроводительных документов.4. </w:t>
      </w:r>
      <w:r w:rsidRPr="006B6BAB">
        <w:rPr>
          <w:rFonts w:ascii="Times New Roman" w:hAnsi="Times New Roman" w:cs="Times New Roman"/>
          <w:color w:val="000000"/>
          <w:sz w:val="24"/>
          <w:szCs w:val="24"/>
        </w:rPr>
        <w:t>Организовать в рамках гигиенической подготовки дополнительное обучение  с организациями, осуществляющие деятельность по организации питания обучающихся образовательных организаций и воспитанников дошкольных организаций и социальных организаций с целью недопущения ухудшения его качества и безопасности.</w:t>
      </w:r>
    </w:p>
    <w:p w:rsidR="002914EB" w:rsidRDefault="002914EB" w:rsidP="007316ED">
      <w:pPr>
        <w:pBdr>
          <w:bottom w:val="single" w:sz="4" w:space="3" w:color="auto"/>
        </w:pBdr>
        <w:autoSpaceDE w:val="0"/>
        <w:autoSpaceDN w:val="0"/>
        <w:spacing w:after="0" w:line="240" w:lineRule="auto"/>
        <w:ind w:left="60" w:firstLine="567"/>
        <w:contextualSpacing/>
        <w:jc w:val="both"/>
        <w:rPr>
          <w:rFonts w:ascii="Times New Roman" w:hAnsi="Times New Roman" w:cs="Times New Roman"/>
          <w:color w:val="000000"/>
          <w:sz w:val="24"/>
          <w:szCs w:val="24"/>
        </w:rPr>
      </w:pPr>
    </w:p>
    <w:p w:rsidR="007316ED" w:rsidRDefault="007316ED" w:rsidP="002914EB">
      <w:pPr>
        <w:spacing w:after="0"/>
        <w:jc w:val="center"/>
        <w:rPr>
          <w:rFonts w:ascii="Times New Roman" w:hAnsi="Times New Roman" w:cs="Times New Roman"/>
          <w:b/>
          <w:sz w:val="28"/>
          <w:szCs w:val="28"/>
        </w:rPr>
      </w:pPr>
    </w:p>
    <w:p w:rsidR="002914EB" w:rsidRPr="007316ED" w:rsidRDefault="002914EB" w:rsidP="002914EB">
      <w:pPr>
        <w:spacing w:after="0"/>
        <w:jc w:val="center"/>
        <w:rPr>
          <w:rFonts w:ascii="Times New Roman" w:hAnsi="Times New Roman" w:cs="Times New Roman"/>
          <w:b/>
          <w:sz w:val="24"/>
          <w:szCs w:val="24"/>
        </w:rPr>
      </w:pPr>
      <w:r w:rsidRPr="007316ED">
        <w:rPr>
          <w:rFonts w:ascii="Times New Roman" w:hAnsi="Times New Roman" w:cs="Times New Roman"/>
          <w:b/>
          <w:sz w:val="24"/>
          <w:szCs w:val="24"/>
        </w:rPr>
        <w:t>Глава 2.3 Основные меры по профилактике  инфекционной и паразитарной заболеваемости населения города Пыть-Ях</w:t>
      </w:r>
    </w:p>
    <w:p w:rsidR="002914EB" w:rsidRPr="007316ED" w:rsidRDefault="002914EB" w:rsidP="002914EB">
      <w:pPr>
        <w:pStyle w:val="afc"/>
        <w:jc w:val="both"/>
        <w:rPr>
          <w:sz w:val="24"/>
          <w:szCs w:val="24"/>
        </w:rPr>
      </w:pPr>
    </w:p>
    <w:p w:rsidR="002914EB" w:rsidRPr="007316ED" w:rsidRDefault="002914EB" w:rsidP="002914EB">
      <w:pPr>
        <w:pStyle w:val="afc"/>
        <w:ind w:firstLine="708"/>
        <w:jc w:val="both"/>
        <w:rPr>
          <w:sz w:val="24"/>
          <w:szCs w:val="24"/>
        </w:rPr>
      </w:pPr>
      <w:r w:rsidRPr="007316ED">
        <w:rPr>
          <w:sz w:val="24"/>
          <w:szCs w:val="24"/>
        </w:rPr>
        <w:t>На территории г. Пыть – Ях в 2020 году сумма всех инфекционных и паразитарных заболеваний составила 20468 случаев, показатель заболеваемости на 100 тыс. нас. 51370,3, что на 66,4 %  выше чем в 2019 году – 12728 случаев (показатель 30876,0).</w:t>
      </w:r>
    </w:p>
    <w:p w:rsidR="002914EB" w:rsidRPr="007316ED" w:rsidRDefault="002914EB" w:rsidP="002914EB">
      <w:pPr>
        <w:pStyle w:val="afc"/>
        <w:ind w:firstLine="708"/>
        <w:jc w:val="both"/>
        <w:rPr>
          <w:sz w:val="24"/>
          <w:szCs w:val="24"/>
        </w:rPr>
      </w:pPr>
      <w:r w:rsidRPr="007316ED">
        <w:rPr>
          <w:sz w:val="24"/>
          <w:szCs w:val="24"/>
        </w:rPr>
        <w:t xml:space="preserve">В структуре инфекционной и паразитарной заболеваемости доминирующее положение занимает по прежнему грипп и ОРЗ и составляет 92,9 % от общего числа </w:t>
      </w:r>
      <w:r w:rsidRPr="007316ED">
        <w:rPr>
          <w:sz w:val="24"/>
          <w:szCs w:val="24"/>
        </w:rPr>
        <w:lastRenderedPageBreak/>
        <w:t xml:space="preserve">заболевших или 19023 случая. Далее в структуре инфекционной заболеваемости следуют воздушно-капельные инфекции  – 1,8 % (366 случаев), третье место – кишечные инфекции – 0,8 % (167 случаев), четвертое место – паразитарные заболевания – 0,7 % (141 случай). </w:t>
      </w:r>
    </w:p>
    <w:p w:rsidR="002914EB" w:rsidRPr="007316ED" w:rsidRDefault="002914EB" w:rsidP="002914EB">
      <w:pPr>
        <w:pStyle w:val="afc"/>
        <w:jc w:val="both"/>
        <w:rPr>
          <w:sz w:val="24"/>
          <w:szCs w:val="24"/>
        </w:rPr>
      </w:pPr>
      <w:r w:rsidRPr="007316ED">
        <w:rPr>
          <w:sz w:val="24"/>
          <w:szCs w:val="24"/>
        </w:rPr>
        <w:t xml:space="preserve">         В результате работы проведенной в течение года по профилактике инфекционной и паразитарной заболеваемости, вопросов рассмотренных на заседаниях </w:t>
      </w:r>
      <w:r w:rsidR="007316ED">
        <w:rPr>
          <w:sz w:val="24"/>
          <w:szCs w:val="24"/>
        </w:rPr>
        <w:t>Межведомственной санитарно – противоэпидемической комиссии г. Пыть-Ях</w:t>
      </w:r>
      <w:r w:rsidRPr="007316ED">
        <w:rPr>
          <w:sz w:val="24"/>
          <w:szCs w:val="24"/>
        </w:rPr>
        <w:t xml:space="preserve"> и принятых по ним решений  по итогам  2020 г. в городе Пыть-Ях удалось достичь следующих  результатов:</w:t>
      </w:r>
    </w:p>
    <w:p w:rsidR="002914EB" w:rsidRPr="007316ED" w:rsidRDefault="002914EB" w:rsidP="002914EB">
      <w:pPr>
        <w:pStyle w:val="afc"/>
        <w:jc w:val="both"/>
        <w:rPr>
          <w:sz w:val="24"/>
          <w:szCs w:val="24"/>
        </w:rPr>
      </w:pPr>
      <w:r w:rsidRPr="007316ED">
        <w:rPr>
          <w:sz w:val="24"/>
          <w:szCs w:val="24"/>
        </w:rPr>
        <w:t>-Отмечено снижение заболе</w:t>
      </w:r>
      <w:r w:rsidR="007316ED">
        <w:rPr>
          <w:sz w:val="24"/>
          <w:szCs w:val="24"/>
        </w:rPr>
        <w:t xml:space="preserve">ваемости по 14 </w:t>
      </w:r>
      <w:r w:rsidRPr="007316ED">
        <w:rPr>
          <w:sz w:val="24"/>
          <w:szCs w:val="24"/>
        </w:rPr>
        <w:t>инфекционным, 5 паразитарным болезням по следующим нозологическим формам: ОКИ, ОВГ, ХВГ,  КЭ, ИКБ, педикулез, инфекционный мононуклеоз,  туберкулез, сифилис, ВИЧ-инфекция, микроспория, чесотка,  лямблиоз, амебиаз, токсакароз, трихенеллез,  дифиллоботриоз.</w:t>
      </w:r>
    </w:p>
    <w:p w:rsidR="002914EB" w:rsidRPr="007316ED" w:rsidRDefault="002914EB" w:rsidP="007316ED">
      <w:pPr>
        <w:pStyle w:val="afc"/>
        <w:ind w:firstLine="567"/>
        <w:jc w:val="both"/>
        <w:rPr>
          <w:sz w:val="24"/>
          <w:szCs w:val="24"/>
        </w:rPr>
      </w:pPr>
      <w:r w:rsidRPr="007316ED">
        <w:rPr>
          <w:sz w:val="24"/>
          <w:szCs w:val="24"/>
        </w:rPr>
        <w:t>- Не зарегистрировано капельных инфекций, управляемых средствами специфической профилактики.  В течение десятилетия на территории района отсутствует заболеваемость дифтерией, полиомиелитом. Совершенно очевидно, что снижение заболеваемости связано с достаточно высоким уровнем коллективного иммунитета в результате успешного проведения вакцинопрофилактики данных инфекции.</w:t>
      </w:r>
    </w:p>
    <w:p w:rsidR="002914EB" w:rsidRPr="007316ED" w:rsidRDefault="002914EB" w:rsidP="007316ED">
      <w:pPr>
        <w:pStyle w:val="afc"/>
        <w:ind w:firstLine="567"/>
        <w:jc w:val="both"/>
        <w:rPr>
          <w:sz w:val="24"/>
          <w:szCs w:val="24"/>
        </w:rPr>
      </w:pPr>
      <w:r w:rsidRPr="007316ED">
        <w:rPr>
          <w:sz w:val="24"/>
          <w:szCs w:val="24"/>
        </w:rPr>
        <w:t>- В течение 2013-2020 годов не регистрируется заболеваемость краснухой, корью, эпидемическим паротитом.</w:t>
      </w:r>
    </w:p>
    <w:p w:rsidR="002914EB" w:rsidRPr="007316ED" w:rsidRDefault="002914EB" w:rsidP="007316ED">
      <w:pPr>
        <w:pStyle w:val="afc"/>
        <w:ind w:firstLine="567"/>
        <w:jc w:val="both"/>
        <w:rPr>
          <w:sz w:val="24"/>
          <w:szCs w:val="24"/>
        </w:rPr>
      </w:pPr>
      <w:r w:rsidRPr="007316ED">
        <w:rPr>
          <w:sz w:val="24"/>
          <w:szCs w:val="24"/>
        </w:rPr>
        <w:t xml:space="preserve">- Своевременно введенный комплекс профилактических и противоэпидемических мероприятий по гриппу и ОРВИ, позволили снизить заболеваемость ОРВИ среди школьников. </w:t>
      </w:r>
    </w:p>
    <w:p w:rsidR="002914EB" w:rsidRPr="007316ED" w:rsidRDefault="002914EB" w:rsidP="002914EB">
      <w:pPr>
        <w:pStyle w:val="afc"/>
        <w:jc w:val="both"/>
        <w:rPr>
          <w:sz w:val="24"/>
          <w:szCs w:val="24"/>
        </w:rPr>
      </w:pPr>
      <w:r w:rsidRPr="007316ED">
        <w:rPr>
          <w:sz w:val="24"/>
          <w:szCs w:val="24"/>
        </w:rPr>
        <w:tab/>
        <w:t>По случаям регистрации инфекционных и паразитарных заболеваний в организованных коллективах выданы предписания о проведении дополнительных санитарно-противоэпидемических (профилактических) мероприятий, в том числе:</w:t>
      </w:r>
      <w:r w:rsidRPr="007316ED">
        <w:rPr>
          <w:sz w:val="24"/>
          <w:szCs w:val="24"/>
        </w:rPr>
        <w:tab/>
      </w:r>
    </w:p>
    <w:p w:rsidR="002914EB" w:rsidRPr="007316ED" w:rsidRDefault="002914EB" w:rsidP="002914EB">
      <w:pPr>
        <w:pStyle w:val="afc"/>
        <w:jc w:val="both"/>
        <w:rPr>
          <w:sz w:val="24"/>
          <w:szCs w:val="24"/>
        </w:rPr>
      </w:pPr>
      <w:r w:rsidRPr="007316ED">
        <w:rPr>
          <w:sz w:val="24"/>
          <w:szCs w:val="24"/>
        </w:rPr>
        <w:t>ДОУ-  18 предписаний;</w:t>
      </w:r>
    </w:p>
    <w:p w:rsidR="002914EB" w:rsidRPr="007316ED" w:rsidRDefault="002914EB" w:rsidP="002914EB">
      <w:pPr>
        <w:pStyle w:val="afc"/>
        <w:jc w:val="both"/>
        <w:rPr>
          <w:sz w:val="24"/>
          <w:szCs w:val="24"/>
        </w:rPr>
      </w:pPr>
      <w:r w:rsidRPr="007316ED">
        <w:rPr>
          <w:sz w:val="24"/>
          <w:szCs w:val="24"/>
        </w:rPr>
        <w:t>СОШ– 21 предписаний;</w:t>
      </w:r>
    </w:p>
    <w:p w:rsidR="002914EB" w:rsidRPr="007316ED" w:rsidRDefault="002914EB" w:rsidP="002914EB">
      <w:pPr>
        <w:pStyle w:val="afc"/>
        <w:jc w:val="both"/>
        <w:rPr>
          <w:sz w:val="24"/>
          <w:szCs w:val="24"/>
        </w:rPr>
      </w:pPr>
      <w:r w:rsidRPr="007316ED">
        <w:rPr>
          <w:sz w:val="24"/>
          <w:szCs w:val="24"/>
        </w:rPr>
        <w:t>ЛПУ– 150 предписаний.</w:t>
      </w:r>
    </w:p>
    <w:p w:rsidR="002914EB" w:rsidRPr="004A19E8" w:rsidRDefault="002914EB" w:rsidP="007316ED">
      <w:pPr>
        <w:tabs>
          <w:tab w:val="left" w:pos="3990"/>
          <w:tab w:val="right" w:pos="9070"/>
        </w:tabs>
        <w:spacing w:after="0" w:line="240" w:lineRule="auto"/>
        <w:ind w:firstLine="709"/>
        <w:jc w:val="both"/>
        <w:rPr>
          <w:rFonts w:ascii="Times New Roman" w:hAnsi="Times New Roman" w:cs="Times New Roman"/>
          <w:sz w:val="24"/>
          <w:szCs w:val="24"/>
        </w:rPr>
      </w:pPr>
      <w:r w:rsidRPr="004A19E8">
        <w:rPr>
          <w:rFonts w:ascii="Times New Roman" w:hAnsi="Times New Roman" w:cs="Times New Roman"/>
          <w:sz w:val="24"/>
          <w:szCs w:val="24"/>
        </w:rPr>
        <w:t xml:space="preserve">Всего в 2020 г. зарегистрировано 10 очагов групповой заболеваемости, с общим количеством заболевших - 205 чел., в том числе детей до 17 лет -143человек. </w:t>
      </w:r>
    </w:p>
    <w:p w:rsidR="002914EB" w:rsidRPr="004A19E8" w:rsidRDefault="002914EB" w:rsidP="007316ED">
      <w:pPr>
        <w:tabs>
          <w:tab w:val="left" w:pos="3990"/>
          <w:tab w:val="right" w:pos="9070"/>
        </w:tabs>
        <w:spacing w:after="0" w:line="240" w:lineRule="auto"/>
        <w:ind w:firstLine="709"/>
        <w:jc w:val="both"/>
        <w:rPr>
          <w:rFonts w:ascii="Times New Roman" w:hAnsi="Times New Roman" w:cs="Times New Roman"/>
          <w:sz w:val="24"/>
          <w:szCs w:val="24"/>
        </w:rPr>
      </w:pPr>
      <w:r w:rsidRPr="004A19E8">
        <w:rPr>
          <w:rFonts w:ascii="Times New Roman" w:hAnsi="Times New Roman" w:cs="Times New Roman"/>
          <w:sz w:val="24"/>
          <w:szCs w:val="24"/>
        </w:rPr>
        <w:t>Исх</w:t>
      </w:r>
      <w:r>
        <w:rPr>
          <w:rFonts w:ascii="Times New Roman" w:hAnsi="Times New Roman" w:cs="Times New Roman"/>
          <w:sz w:val="24"/>
          <w:szCs w:val="24"/>
        </w:rPr>
        <w:t>од заболеваний -  выздоровление</w:t>
      </w:r>
      <w:r w:rsidRPr="004A19E8">
        <w:rPr>
          <w:rFonts w:ascii="Times New Roman" w:hAnsi="Times New Roman" w:cs="Times New Roman"/>
          <w:sz w:val="24"/>
          <w:szCs w:val="24"/>
        </w:rPr>
        <w:t>, 1 случа</w:t>
      </w:r>
      <w:r>
        <w:rPr>
          <w:rFonts w:ascii="Times New Roman" w:hAnsi="Times New Roman" w:cs="Times New Roman"/>
          <w:sz w:val="24"/>
          <w:szCs w:val="24"/>
        </w:rPr>
        <w:t>й летальный</w:t>
      </w:r>
      <w:r w:rsidRPr="004A19E8">
        <w:rPr>
          <w:rFonts w:ascii="Times New Roman" w:hAnsi="Times New Roman" w:cs="Times New Roman"/>
          <w:sz w:val="24"/>
          <w:szCs w:val="24"/>
        </w:rPr>
        <w:t xml:space="preserve">. </w:t>
      </w:r>
    </w:p>
    <w:p w:rsidR="002914EB" w:rsidRPr="004A19E8" w:rsidRDefault="002914EB" w:rsidP="002914EB">
      <w:pPr>
        <w:tabs>
          <w:tab w:val="left" w:pos="3990"/>
          <w:tab w:val="right" w:pos="9070"/>
        </w:tabs>
        <w:spacing w:after="0"/>
        <w:ind w:firstLine="708"/>
        <w:jc w:val="both"/>
        <w:rPr>
          <w:rFonts w:ascii="Times New Roman" w:hAnsi="Times New Roman" w:cs="Times New Roman"/>
          <w:sz w:val="24"/>
          <w:szCs w:val="24"/>
        </w:rPr>
      </w:pPr>
    </w:p>
    <w:p w:rsidR="002914EB" w:rsidRPr="004A19E8" w:rsidRDefault="002914EB" w:rsidP="002914EB">
      <w:pPr>
        <w:spacing w:after="0"/>
        <w:ind w:firstLine="709"/>
        <w:jc w:val="center"/>
        <w:rPr>
          <w:rFonts w:ascii="Times New Roman" w:hAnsi="Times New Roman" w:cs="Times New Roman"/>
          <w:b/>
          <w:sz w:val="24"/>
          <w:szCs w:val="24"/>
        </w:rPr>
      </w:pPr>
      <w:r w:rsidRPr="004A19E8">
        <w:rPr>
          <w:rFonts w:ascii="Times New Roman" w:hAnsi="Times New Roman" w:cs="Times New Roman"/>
          <w:b/>
          <w:sz w:val="24"/>
          <w:szCs w:val="24"/>
        </w:rPr>
        <w:t>Прогноз эпидемиологической ситуации на 2020 год. Принятые меры административного принуждения за нарушение санитарного законодательства. Рекомендации основных мероприятий по улучшению санитарно—эпидемиологической обстановки.</w:t>
      </w:r>
    </w:p>
    <w:p w:rsidR="002914EB" w:rsidRPr="004A19E8" w:rsidRDefault="002914EB" w:rsidP="002914EB">
      <w:pPr>
        <w:spacing w:after="0"/>
        <w:ind w:firstLine="709"/>
        <w:jc w:val="center"/>
        <w:rPr>
          <w:rFonts w:ascii="Times New Roman" w:hAnsi="Times New Roman" w:cs="Times New Roman"/>
          <w:sz w:val="24"/>
          <w:szCs w:val="24"/>
        </w:rPr>
      </w:pPr>
    </w:p>
    <w:p w:rsidR="002914EB" w:rsidRPr="004A19E8" w:rsidRDefault="002914EB" w:rsidP="007316ED">
      <w:pPr>
        <w:suppressAutoHyphens/>
        <w:spacing w:after="0"/>
        <w:ind w:firstLine="567"/>
        <w:jc w:val="both"/>
        <w:rPr>
          <w:rFonts w:ascii="Times New Roman" w:hAnsi="Times New Roman" w:cs="Times New Roman"/>
          <w:sz w:val="24"/>
          <w:szCs w:val="24"/>
        </w:rPr>
      </w:pPr>
      <w:r w:rsidRPr="004A19E8">
        <w:rPr>
          <w:rFonts w:ascii="Times New Roman" w:hAnsi="Times New Roman" w:cs="Times New Roman"/>
          <w:sz w:val="24"/>
          <w:szCs w:val="24"/>
        </w:rPr>
        <w:tab/>
        <w:t>В связи с проведением вакцинации населения, достижением нормативных показателей (свыше 95%) по привитости и своевременным проведением проф. прививок в декретированных возрастах, в 2020 году гарантируется:</w:t>
      </w:r>
    </w:p>
    <w:p w:rsidR="002914EB" w:rsidRPr="004A19E8" w:rsidRDefault="002914EB" w:rsidP="007316ED">
      <w:pPr>
        <w:suppressAutoHyphens/>
        <w:spacing w:after="0"/>
        <w:ind w:firstLine="567"/>
        <w:jc w:val="both"/>
        <w:rPr>
          <w:rFonts w:ascii="Times New Roman" w:hAnsi="Times New Roman" w:cs="Times New Roman"/>
          <w:sz w:val="24"/>
          <w:szCs w:val="24"/>
        </w:rPr>
      </w:pPr>
      <w:r w:rsidRPr="004A19E8">
        <w:rPr>
          <w:rFonts w:ascii="Times New Roman" w:hAnsi="Times New Roman" w:cs="Times New Roman"/>
          <w:sz w:val="24"/>
          <w:szCs w:val="24"/>
        </w:rPr>
        <w:t>- дальнейшее отсутствие столбняка, кори, дифтерии;</w:t>
      </w:r>
    </w:p>
    <w:p w:rsidR="002914EB" w:rsidRPr="004A19E8" w:rsidRDefault="002914EB" w:rsidP="007316ED">
      <w:pPr>
        <w:suppressAutoHyphens/>
        <w:spacing w:after="0"/>
        <w:ind w:firstLine="567"/>
        <w:jc w:val="both"/>
        <w:rPr>
          <w:rFonts w:ascii="Times New Roman" w:hAnsi="Times New Roman" w:cs="Times New Roman"/>
          <w:sz w:val="24"/>
          <w:szCs w:val="24"/>
        </w:rPr>
      </w:pPr>
      <w:r w:rsidRPr="004A19E8">
        <w:rPr>
          <w:rFonts w:ascii="Times New Roman" w:hAnsi="Times New Roman" w:cs="Times New Roman"/>
          <w:sz w:val="24"/>
          <w:szCs w:val="24"/>
        </w:rPr>
        <w:t>- спорадическая заболеваемость по эпид. паротиту, коклюшу;</w:t>
      </w:r>
    </w:p>
    <w:p w:rsidR="002914EB" w:rsidRPr="004A19E8" w:rsidRDefault="002914EB" w:rsidP="007316ED">
      <w:pPr>
        <w:suppressAutoHyphens/>
        <w:spacing w:after="0"/>
        <w:ind w:firstLine="567"/>
        <w:jc w:val="both"/>
        <w:rPr>
          <w:rFonts w:ascii="Times New Roman" w:hAnsi="Times New Roman" w:cs="Times New Roman"/>
          <w:sz w:val="24"/>
          <w:szCs w:val="24"/>
        </w:rPr>
      </w:pPr>
      <w:r w:rsidRPr="004A19E8">
        <w:rPr>
          <w:rFonts w:ascii="Times New Roman" w:hAnsi="Times New Roman" w:cs="Times New Roman"/>
          <w:sz w:val="24"/>
          <w:szCs w:val="24"/>
        </w:rPr>
        <w:t>- снижение заболеваемости гепатитом В, краснухой, в связи с  проведением вакцинации до 18 лет;</w:t>
      </w:r>
    </w:p>
    <w:p w:rsidR="002914EB" w:rsidRPr="004A19E8" w:rsidRDefault="002914EB" w:rsidP="007316ED">
      <w:pPr>
        <w:suppressAutoHyphens/>
        <w:spacing w:after="0"/>
        <w:ind w:firstLine="567"/>
        <w:jc w:val="both"/>
        <w:rPr>
          <w:rFonts w:ascii="Times New Roman" w:hAnsi="Times New Roman" w:cs="Times New Roman"/>
          <w:sz w:val="24"/>
          <w:szCs w:val="24"/>
        </w:rPr>
      </w:pPr>
      <w:r w:rsidRPr="004A19E8">
        <w:rPr>
          <w:rFonts w:ascii="Times New Roman" w:hAnsi="Times New Roman" w:cs="Times New Roman"/>
          <w:sz w:val="24"/>
          <w:szCs w:val="24"/>
        </w:rPr>
        <w:tab/>
        <w:t>Эпид. ситуация  по   туберкулезу  остается  крайне  неблагополучной. Осложняет эпид. ситуацию следующее:</w:t>
      </w:r>
    </w:p>
    <w:p w:rsidR="002914EB" w:rsidRPr="004A19E8" w:rsidRDefault="002914EB" w:rsidP="007316ED">
      <w:pPr>
        <w:pStyle w:val="a5"/>
        <w:ind w:firstLine="567"/>
        <w:jc w:val="both"/>
        <w:rPr>
          <w:sz w:val="24"/>
          <w:szCs w:val="24"/>
        </w:rPr>
      </w:pPr>
      <w:r w:rsidRPr="004A19E8">
        <w:rPr>
          <w:sz w:val="24"/>
          <w:szCs w:val="24"/>
        </w:rPr>
        <w:t>-продолжается з</w:t>
      </w:r>
      <w:r w:rsidR="006D1B8B">
        <w:rPr>
          <w:sz w:val="24"/>
          <w:szCs w:val="24"/>
        </w:rPr>
        <w:t>анос туберкулеза в город из ИТУ;</w:t>
      </w:r>
      <w:r w:rsidRPr="004A19E8">
        <w:rPr>
          <w:sz w:val="24"/>
          <w:szCs w:val="24"/>
        </w:rPr>
        <w:t xml:space="preserve"> </w:t>
      </w:r>
    </w:p>
    <w:p w:rsidR="002914EB" w:rsidRPr="006D1B8B" w:rsidRDefault="002914EB" w:rsidP="007316ED">
      <w:pPr>
        <w:pStyle w:val="a5"/>
        <w:ind w:firstLine="567"/>
        <w:jc w:val="both"/>
        <w:rPr>
          <w:sz w:val="24"/>
          <w:szCs w:val="24"/>
          <w:lang w:val="ru-RU"/>
        </w:rPr>
      </w:pPr>
      <w:r w:rsidRPr="004A19E8">
        <w:rPr>
          <w:sz w:val="24"/>
          <w:szCs w:val="24"/>
        </w:rPr>
        <w:t>-каждый  третий прибывший из ИТУ выделяет туберкулезную палочку</w:t>
      </w:r>
      <w:r w:rsidR="006D1B8B">
        <w:rPr>
          <w:sz w:val="24"/>
          <w:szCs w:val="24"/>
          <w:lang w:val="ru-RU"/>
        </w:rPr>
        <w:t>;</w:t>
      </w:r>
    </w:p>
    <w:p w:rsidR="002914EB" w:rsidRPr="004A19E8" w:rsidRDefault="002914EB" w:rsidP="007316ED">
      <w:pPr>
        <w:pStyle w:val="a5"/>
        <w:ind w:firstLine="567"/>
        <w:jc w:val="both"/>
        <w:rPr>
          <w:sz w:val="24"/>
          <w:szCs w:val="24"/>
        </w:rPr>
      </w:pPr>
      <w:r w:rsidRPr="004A19E8">
        <w:rPr>
          <w:sz w:val="24"/>
          <w:szCs w:val="24"/>
        </w:rPr>
        <w:t>-</w:t>
      </w:r>
      <w:r w:rsidR="006D1B8B">
        <w:rPr>
          <w:sz w:val="24"/>
          <w:szCs w:val="24"/>
          <w:lang w:val="ru-RU"/>
        </w:rPr>
        <w:t>з</w:t>
      </w:r>
      <w:r w:rsidRPr="004A19E8">
        <w:rPr>
          <w:sz w:val="24"/>
          <w:szCs w:val="24"/>
        </w:rPr>
        <w:t>начительное число бациллярных больных не имеют отдельную жилплощадь. Исходя из этого, актуальным остается бытовой путь передачи туберкулезной инфекции.</w:t>
      </w:r>
    </w:p>
    <w:p w:rsidR="002914EB" w:rsidRPr="004A19E8" w:rsidRDefault="002914EB" w:rsidP="007316ED">
      <w:pPr>
        <w:pStyle w:val="a5"/>
        <w:tabs>
          <w:tab w:val="num" w:pos="0"/>
        </w:tabs>
        <w:ind w:firstLine="567"/>
        <w:jc w:val="both"/>
        <w:rPr>
          <w:sz w:val="24"/>
          <w:szCs w:val="24"/>
        </w:rPr>
      </w:pPr>
      <w:r w:rsidRPr="004A19E8">
        <w:rPr>
          <w:sz w:val="24"/>
          <w:szCs w:val="24"/>
        </w:rPr>
        <w:tab/>
        <w:t xml:space="preserve">По кишечным инфекциям   эпидемиологическая  обстановка на следующий  год остается напряженной. Этому способствует: </w:t>
      </w:r>
    </w:p>
    <w:p w:rsidR="002914EB" w:rsidRPr="004A19E8" w:rsidRDefault="002914EB" w:rsidP="006A23B3">
      <w:pPr>
        <w:pStyle w:val="a5"/>
        <w:numPr>
          <w:ilvl w:val="0"/>
          <w:numId w:val="9"/>
        </w:numPr>
        <w:tabs>
          <w:tab w:val="clear" w:pos="1080"/>
          <w:tab w:val="num" w:pos="567"/>
        </w:tabs>
        <w:ind w:left="0" w:firstLine="567"/>
        <w:jc w:val="both"/>
        <w:rPr>
          <w:sz w:val="24"/>
          <w:szCs w:val="24"/>
        </w:rPr>
      </w:pPr>
      <w:r w:rsidRPr="004A19E8">
        <w:rPr>
          <w:sz w:val="24"/>
          <w:szCs w:val="24"/>
        </w:rPr>
        <w:t>ежегодное поступление потока пищевых продуктов в город из других регионов, в том числе и эпид. неблаго</w:t>
      </w:r>
      <w:r w:rsidR="006D1B8B">
        <w:rPr>
          <w:sz w:val="24"/>
          <w:szCs w:val="24"/>
        </w:rPr>
        <w:t>получных  по кишечным инфекциям;</w:t>
      </w:r>
    </w:p>
    <w:p w:rsidR="002914EB" w:rsidRPr="004A19E8" w:rsidRDefault="002914EB" w:rsidP="006A23B3">
      <w:pPr>
        <w:pStyle w:val="a5"/>
        <w:numPr>
          <w:ilvl w:val="0"/>
          <w:numId w:val="9"/>
        </w:numPr>
        <w:tabs>
          <w:tab w:val="clear" w:pos="1080"/>
          <w:tab w:val="num" w:pos="0"/>
        </w:tabs>
        <w:ind w:left="0" w:firstLine="567"/>
        <w:jc w:val="both"/>
        <w:rPr>
          <w:sz w:val="24"/>
          <w:szCs w:val="24"/>
        </w:rPr>
      </w:pPr>
      <w:r w:rsidRPr="004A19E8">
        <w:rPr>
          <w:sz w:val="24"/>
          <w:szCs w:val="24"/>
        </w:rPr>
        <w:lastRenderedPageBreak/>
        <w:t>70% в городе  объектов торговли, общепита,  пищевой промышленности относящихся к 2-3 группе эпид значимости по сан. тех сос</w:t>
      </w:r>
      <w:r w:rsidR="006D1B8B">
        <w:rPr>
          <w:sz w:val="24"/>
          <w:szCs w:val="24"/>
        </w:rPr>
        <w:t>тоянию и лабораторному контролю;</w:t>
      </w:r>
    </w:p>
    <w:p w:rsidR="002914EB" w:rsidRPr="004A19E8" w:rsidRDefault="006D1B8B" w:rsidP="006A23B3">
      <w:pPr>
        <w:pStyle w:val="a5"/>
        <w:numPr>
          <w:ilvl w:val="0"/>
          <w:numId w:val="9"/>
        </w:numPr>
        <w:tabs>
          <w:tab w:val="clear" w:pos="1080"/>
        </w:tabs>
        <w:ind w:left="0" w:firstLine="567"/>
        <w:jc w:val="both"/>
        <w:rPr>
          <w:sz w:val="24"/>
          <w:szCs w:val="24"/>
        </w:rPr>
      </w:pPr>
      <w:r>
        <w:rPr>
          <w:sz w:val="24"/>
          <w:szCs w:val="24"/>
        </w:rPr>
        <w:t>у</w:t>
      </w:r>
      <w:r w:rsidR="002914EB" w:rsidRPr="004A19E8">
        <w:rPr>
          <w:sz w:val="24"/>
          <w:szCs w:val="24"/>
        </w:rPr>
        <w:t>величение количества нестандартных проб продукции</w:t>
      </w:r>
      <w:r>
        <w:rPr>
          <w:sz w:val="24"/>
          <w:szCs w:val="24"/>
          <w:lang w:val="ru-RU"/>
        </w:rPr>
        <w:t>;</w:t>
      </w:r>
    </w:p>
    <w:p w:rsidR="002914EB" w:rsidRPr="004A19E8" w:rsidRDefault="006D1B8B" w:rsidP="006A23B3">
      <w:pPr>
        <w:pStyle w:val="a5"/>
        <w:numPr>
          <w:ilvl w:val="0"/>
          <w:numId w:val="9"/>
        </w:numPr>
        <w:tabs>
          <w:tab w:val="clear" w:pos="1080"/>
        </w:tabs>
        <w:ind w:left="0" w:firstLine="567"/>
        <w:jc w:val="both"/>
        <w:rPr>
          <w:sz w:val="24"/>
          <w:szCs w:val="24"/>
        </w:rPr>
      </w:pPr>
      <w:r>
        <w:rPr>
          <w:sz w:val="24"/>
          <w:szCs w:val="24"/>
          <w:lang w:val="ru-RU"/>
        </w:rPr>
        <w:t>с</w:t>
      </w:r>
      <w:r w:rsidR="002914EB" w:rsidRPr="004A19E8">
        <w:rPr>
          <w:sz w:val="24"/>
          <w:szCs w:val="24"/>
        </w:rPr>
        <w:t>нижением количества проводимых надзорных мероприятий на объектах торговли, а следовательно проводимых лабораторных исследований.</w:t>
      </w:r>
    </w:p>
    <w:p w:rsidR="002914EB" w:rsidRPr="004A19E8" w:rsidRDefault="002914EB" w:rsidP="007316ED">
      <w:pPr>
        <w:pStyle w:val="a5"/>
        <w:ind w:firstLine="567"/>
        <w:jc w:val="both"/>
        <w:rPr>
          <w:sz w:val="24"/>
          <w:szCs w:val="24"/>
        </w:rPr>
      </w:pPr>
      <w:r w:rsidRPr="004A19E8">
        <w:rPr>
          <w:sz w:val="24"/>
          <w:szCs w:val="24"/>
        </w:rPr>
        <w:t xml:space="preserve">Эпидемиологическая ситуация по ОРВИ, в т.ч. по новой коронавирусной инфекцией и гриппу и внебольничным прневмониям остается напряженной . При проведении вакцинации населения от гриппа , новой коронавирусной инфекции  в декретированных группах  возможна стабилизация процесса и снижение заболеваемости. </w:t>
      </w:r>
    </w:p>
    <w:p w:rsidR="002914EB" w:rsidRPr="004A19E8" w:rsidRDefault="002914EB" w:rsidP="002914EB">
      <w:pPr>
        <w:pStyle w:val="afc"/>
        <w:jc w:val="both"/>
      </w:pPr>
    </w:p>
    <w:p w:rsidR="002914EB" w:rsidRPr="007316ED" w:rsidRDefault="002914EB" w:rsidP="002914EB">
      <w:pPr>
        <w:spacing w:line="240" w:lineRule="auto"/>
        <w:jc w:val="center"/>
        <w:rPr>
          <w:rFonts w:ascii="Times New Roman" w:hAnsi="Times New Roman" w:cs="Times New Roman"/>
          <w:b/>
          <w:sz w:val="24"/>
          <w:szCs w:val="24"/>
        </w:rPr>
      </w:pPr>
      <w:r w:rsidRPr="007316ED">
        <w:rPr>
          <w:rFonts w:ascii="Times New Roman" w:hAnsi="Times New Roman" w:cs="Times New Roman"/>
          <w:b/>
          <w:sz w:val="24"/>
          <w:szCs w:val="24"/>
        </w:rPr>
        <w:t>2.4 Принятые санкции за нарушения санитарного законодательства</w:t>
      </w:r>
    </w:p>
    <w:p w:rsidR="002914EB" w:rsidRDefault="002914EB" w:rsidP="002914EB">
      <w:pPr>
        <w:spacing w:after="0" w:line="240" w:lineRule="auto"/>
        <w:ind w:firstLine="708"/>
        <w:jc w:val="both"/>
        <w:rPr>
          <w:rFonts w:ascii="Times New Roman" w:eastAsia="Times New Roman" w:hAnsi="Times New Roman" w:cs="Times New Roman"/>
          <w:sz w:val="24"/>
          <w:szCs w:val="24"/>
          <w:lang w:eastAsia="ru-RU"/>
        </w:rPr>
      </w:pPr>
      <w:r w:rsidRPr="00032A44">
        <w:rPr>
          <w:rFonts w:ascii="Times New Roman" w:eastAsia="Times New Roman" w:hAnsi="Times New Roman" w:cs="Times New Roman"/>
          <w:sz w:val="24"/>
          <w:szCs w:val="24"/>
          <w:lang w:eastAsia="ru-RU"/>
        </w:rPr>
        <w:t xml:space="preserve">В целях улучшения показателей приоритетных заболеваний, обусловленных неблагоприятным воздействием факторов среды обитания населения автономного округа </w:t>
      </w:r>
      <w:r>
        <w:rPr>
          <w:rFonts w:ascii="Times New Roman" w:eastAsia="Times New Roman" w:hAnsi="Times New Roman" w:cs="Times New Roman"/>
          <w:sz w:val="24"/>
          <w:szCs w:val="24"/>
          <w:lang w:eastAsia="ru-RU"/>
        </w:rPr>
        <w:t>ТО Управления</w:t>
      </w:r>
      <w:r w:rsidRPr="00032A44">
        <w:rPr>
          <w:rFonts w:ascii="Times New Roman" w:eastAsia="Times New Roman" w:hAnsi="Times New Roman" w:cs="Times New Roman"/>
          <w:sz w:val="24"/>
          <w:szCs w:val="24"/>
          <w:lang w:eastAsia="ru-RU"/>
        </w:rPr>
        <w:t xml:space="preserve"> Роспотребнадзора по ХМАО-Югре при проведении контрольно-надзорных мероприятий</w:t>
      </w:r>
      <w:r>
        <w:rPr>
          <w:rFonts w:ascii="Times New Roman" w:eastAsia="Times New Roman" w:hAnsi="Times New Roman" w:cs="Times New Roman"/>
          <w:sz w:val="24"/>
          <w:szCs w:val="24"/>
          <w:lang w:eastAsia="ru-RU"/>
        </w:rPr>
        <w:t>, проведении административных, эпидемиологических расследований</w:t>
      </w:r>
      <w:r w:rsidRPr="00032A44">
        <w:rPr>
          <w:rFonts w:ascii="Times New Roman" w:eastAsia="Times New Roman" w:hAnsi="Times New Roman" w:cs="Times New Roman"/>
          <w:sz w:val="24"/>
          <w:szCs w:val="24"/>
          <w:lang w:eastAsia="ru-RU"/>
        </w:rPr>
        <w:t xml:space="preserve"> применяются меры административного принуждения к</w:t>
      </w:r>
      <w:r>
        <w:rPr>
          <w:rFonts w:ascii="Times New Roman" w:eastAsia="Times New Roman" w:hAnsi="Times New Roman" w:cs="Times New Roman"/>
          <w:sz w:val="24"/>
          <w:szCs w:val="24"/>
          <w:lang w:eastAsia="ru-RU"/>
        </w:rPr>
        <w:t xml:space="preserve"> юридическим лицам, </w:t>
      </w:r>
      <w:r w:rsidRPr="00032A44">
        <w:rPr>
          <w:rFonts w:ascii="Times New Roman" w:eastAsia="Times New Roman" w:hAnsi="Times New Roman" w:cs="Times New Roman"/>
          <w:sz w:val="24"/>
          <w:szCs w:val="24"/>
          <w:lang w:eastAsia="ru-RU"/>
        </w:rPr>
        <w:t xml:space="preserve"> субъектам хозяйственной деятельности, допускающим нарушения санитарного законодательства.</w:t>
      </w:r>
    </w:p>
    <w:p w:rsidR="002914EB" w:rsidRPr="00032A44" w:rsidRDefault="002914EB" w:rsidP="002914EB">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Так, специалистами территориального отдела в 2020 году возбуждено 21 дело об административном правонарушении,</w:t>
      </w:r>
      <w:r w:rsidRPr="004E3767">
        <w:rPr>
          <w:rFonts w:ascii="Times New Roman" w:hAnsi="Times New Roman" w:cs="Times New Roman"/>
          <w:sz w:val="24"/>
          <w:szCs w:val="24"/>
        </w:rPr>
        <w:t xml:space="preserve"> </w:t>
      </w:r>
      <w:r>
        <w:rPr>
          <w:rFonts w:ascii="Times New Roman" w:hAnsi="Times New Roman" w:cs="Times New Roman"/>
          <w:sz w:val="24"/>
          <w:szCs w:val="24"/>
        </w:rPr>
        <w:t>что на 86,5% меньше, чем  в 2019 году.</w:t>
      </w:r>
    </w:p>
    <w:p w:rsidR="002914EB" w:rsidRDefault="002914EB" w:rsidP="002914EB">
      <w:pPr>
        <w:shd w:val="clear" w:color="auto" w:fill="FFFFFF"/>
        <w:spacing w:after="75" w:line="269" w:lineRule="exact"/>
        <w:ind w:left="5" w:right="5" w:firstLine="284"/>
        <w:jc w:val="both"/>
        <w:rPr>
          <w:rFonts w:ascii="Times New Roman" w:eastAsia="Times New Roman" w:hAnsi="Times New Roman" w:cs="Times New Roman"/>
          <w:sz w:val="24"/>
          <w:szCs w:val="24"/>
          <w:lang w:eastAsia="ru-RU"/>
        </w:rPr>
      </w:pPr>
      <w:r>
        <w:rPr>
          <w:rFonts w:ascii="Times New Roman" w:eastAsia="Times New Roman" w:hAnsi="Times New Roman" w:cs="Calibri"/>
          <w:noProof/>
          <w:sz w:val="24"/>
          <w:szCs w:val="24"/>
          <w:lang w:eastAsia="ru-RU"/>
        </w:rPr>
        <mc:AlternateContent>
          <mc:Choice Requires="wps">
            <w:drawing>
              <wp:anchor distT="0" distB="0" distL="114300" distR="114300" simplePos="0" relativeHeight="251677696" behindDoc="0" locked="0" layoutInCell="0" allowOverlap="1" wp14:anchorId="7CC42D38" wp14:editId="0D07BC33">
                <wp:simplePos x="0" y="0"/>
                <wp:positionH relativeFrom="margin">
                  <wp:posOffset>6678295</wp:posOffset>
                </wp:positionH>
                <wp:positionV relativeFrom="paragraph">
                  <wp:posOffset>24130</wp:posOffset>
                </wp:positionV>
                <wp:extent cx="0" cy="506095"/>
                <wp:effectExtent l="10795" t="8255" r="8255" b="952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0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5E326" id="Прямая соединительная линия 4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85pt,1.9pt" to="525.8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" o:allowincell="f" strokeweight=".25pt">
                <w10:wrap anchorx="margin"/>
              </v:line>
            </w:pict>
          </mc:Fallback>
        </mc:AlternateContent>
      </w:r>
      <w:r>
        <w:rPr>
          <w:rFonts w:ascii="Times New Roman" w:eastAsia="Times New Roman" w:hAnsi="Times New Roman" w:cs="Calibri"/>
          <w:noProof/>
          <w:sz w:val="24"/>
          <w:szCs w:val="24"/>
          <w:lang w:eastAsia="ru-RU"/>
        </w:rPr>
        <mc:AlternateContent>
          <mc:Choice Requires="wps">
            <w:drawing>
              <wp:anchor distT="0" distB="0" distL="114300" distR="114300" simplePos="0" relativeHeight="251678720" behindDoc="0" locked="0" layoutInCell="0" allowOverlap="1" wp14:anchorId="7CCBB7EE" wp14:editId="2E5C29A3">
                <wp:simplePos x="0" y="0"/>
                <wp:positionH relativeFrom="margin">
                  <wp:posOffset>6681470</wp:posOffset>
                </wp:positionH>
                <wp:positionV relativeFrom="paragraph">
                  <wp:posOffset>4367530</wp:posOffset>
                </wp:positionV>
                <wp:extent cx="0" cy="243840"/>
                <wp:effectExtent l="13970" t="8255" r="5080" b="508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66B40" id="Прямая соединительная линия 41"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6.1pt,343.9pt" to="526.1pt,3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" o:allowincell="f" strokeweight=".25pt">
                <w10:wrap anchorx="margin"/>
              </v:line>
            </w:pict>
          </mc:Fallback>
        </mc:AlternateContent>
      </w:r>
      <w:r w:rsidRPr="00032A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Специалистами территориального отдела</w:t>
      </w:r>
      <w:r w:rsidRPr="00032A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2019 году возбуждено 155 дел об административном правонарушении, что на 26% больше, чем в 2018 году.</w:t>
      </w:r>
    </w:p>
    <w:p w:rsidR="002914EB" w:rsidRDefault="002914EB" w:rsidP="006D1B8B">
      <w:pPr>
        <w:shd w:val="clear" w:color="auto" w:fill="FFFFFF"/>
        <w:spacing w:after="75" w:line="269" w:lineRule="exact"/>
        <w:ind w:left="5" w:right="5" w:firstLine="7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2018 году возбуждено 115 дел об административном правонарушении, что на 27% меньше, чем в 2017 году.</w:t>
      </w:r>
    </w:p>
    <w:p w:rsidR="002914EB" w:rsidRDefault="002914EB" w:rsidP="002914EB">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7DBB">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Таким образом, произошло уменьшение количества составленных протоколов в сравнении с 2018-2019 годами.  </w:t>
      </w:r>
    </w:p>
    <w:p w:rsidR="002914EB" w:rsidRDefault="002914EB" w:rsidP="00047DBB">
      <w:pPr>
        <w:spacing w:line="240" w:lineRule="auto"/>
        <w:ind w:firstLine="708"/>
        <w:contextualSpacing/>
        <w:jc w:val="both"/>
        <w:rPr>
          <w:rFonts w:ascii="Times New Roman" w:eastAsia="Times New Roman" w:hAnsi="Times New Roman" w:cs="Times New Roman"/>
          <w:sz w:val="24"/>
          <w:szCs w:val="24"/>
          <w:lang w:eastAsia="ru-RU"/>
        </w:rPr>
      </w:pPr>
      <w:r w:rsidRPr="00F37EDC">
        <w:rPr>
          <w:rFonts w:ascii="Times New Roman" w:hAnsi="Times New Roman" w:cs="Times New Roman"/>
          <w:sz w:val="24"/>
          <w:szCs w:val="24"/>
        </w:rPr>
        <w:t>Уменьшение количества возбуждённых дел в сравнении с 2018-2019 г.г. произошло по объективным причинам, так как в соответствии с Постановлением Правительства от 3 апреля 2020 г. N 438 «Об особенностях осуществления в 2020 году государственного контроля (надзора)…»,  в 2020 году в отношении юридических лиц, индивидуальных предпринимателей, отнесенных в соответствии со статьей 4 Федерального закона "О развитии малого и среднего предпринимательства в Российской Федерации" к субъектам малого и среднего предпринимательства, могут проводиться внеплановые проверки, основаниями для проведения которых являются факты причинения вреда жизни, здоровью граждан или угрозы причинения вреда жизни, здоровью граждан, возникновение чрезвычайных ситуаций природного и техногенного характера и проведение которых согласовано органами прокуратуры.   Остальные виды проверок приостановлены.</w:t>
      </w:r>
      <w:r>
        <w:rPr>
          <w:rFonts w:ascii="Times New Roman" w:eastAsia="Times New Roman" w:hAnsi="Times New Roman" w:cs="Times New Roman"/>
          <w:sz w:val="24"/>
          <w:szCs w:val="24"/>
          <w:lang w:eastAsia="ru-RU"/>
        </w:rPr>
        <w:t xml:space="preserve"> (таблица №1)</w:t>
      </w:r>
    </w:p>
    <w:p w:rsidR="002914EB" w:rsidRPr="00866B6A" w:rsidRDefault="002914EB" w:rsidP="002914EB">
      <w:pPr>
        <w:spacing w:line="240" w:lineRule="auto"/>
        <w:contextualSpacing/>
        <w:jc w:val="both"/>
        <w:rPr>
          <w:rFonts w:ascii="Times New Roman" w:hAnsi="Times New Roman" w:cs="Times New Roman"/>
          <w:sz w:val="24"/>
          <w:szCs w:val="24"/>
        </w:rPr>
      </w:pPr>
    </w:p>
    <w:p w:rsidR="002914EB" w:rsidRPr="00032A44" w:rsidRDefault="002914EB" w:rsidP="002914EB">
      <w:pPr>
        <w:shd w:val="clear" w:color="auto" w:fill="FFFFFF"/>
        <w:spacing w:after="75" w:line="269" w:lineRule="exact"/>
        <w:ind w:left="5" w:right="5"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№1  </w:t>
      </w:r>
      <w:r>
        <w:rPr>
          <w:rFonts w:ascii="Times New Roman" w:hAnsi="Times New Roman" w:cs="Times New Roman"/>
          <w:sz w:val="24"/>
          <w:szCs w:val="24"/>
        </w:rPr>
        <w:t>Количество возбужденных дел об административном правонарушении</w:t>
      </w:r>
    </w:p>
    <w:p w:rsidR="002914EB" w:rsidRDefault="002914EB" w:rsidP="002914EB">
      <w:pPr>
        <w:tabs>
          <w:tab w:val="left" w:pos="2191"/>
        </w:tabs>
        <w:spacing w:after="75" w:line="240" w:lineRule="auto"/>
        <w:ind w:firstLine="284"/>
        <w:jc w:val="both"/>
        <w:rPr>
          <w:rFonts w:ascii="Times New Roman" w:eastAsia="Times New Roman" w:hAnsi="Times New Roman" w:cs="Times New Roman"/>
          <w:sz w:val="24"/>
          <w:szCs w:val="24"/>
          <w:lang w:eastAsia="ru-RU"/>
        </w:rPr>
      </w:pPr>
      <w:r w:rsidRPr="00032A44">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noProof/>
          <w:sz w:val="24"/>
          <w:szCs w:val="24"/>
          <w:lang w:eastAsia="ru-RU"/>
        </w:rPr>
        <w:drawing>
          <wp:inline distT="0" distB="0" distL="0" distR="0" wp14:anchorId="20B61594" wp14:editId="04668D8F">
            <wp:extent cx="4877851" cy="3200400"/>
            <wp:effectExtent l="0" t="0" r="0" b="0"/>
            <wp:docPr id="42" name="Диаграмма 4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2914EB" w:rsidRPr="00F37EDC" w:rsidRDefault="002914EB" w:rsidP="00047DBB">
      <w:pPr>
        <w:tabs>
          <w:tab w:val="left" w:pos="2191"/>
        </w:tabs>
        <w:spacing w:after="75"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2020 году </w:t>
      </w:r>
      <w:r w:rsidRPr="00DB2F48">
        <w:rPr>
          <w:rFonts w:ascii="Times New Roman" w:hAnsi="Times New Roman" w:cs="Times New Roman"/>
          <w:sz w:val="24"/>
          <w:szCs w:val="24"/>
        </w:rPr>
        <w:t>территориальным отделом</w:t>
      </w:r>
      <w:r>
        <w:rPr>
          <w:rFonts w:ascii="Times New Roman" w:hAnsi="Times New Roman" w:cs="Times New Roman"/>
          <w:sz w:val="24"/>
          <w:szCs w:val="24"/>
        </w:rPr>
        <w:t xml:space="preserve"> вынесено</w:t>
      </w:r>
      <w:r w:rsidRPr="00DB2F48">
        <w:rPr>
          <w:rFonts w:ascii="Times New Roman" w:hAnsi="Times New Roman" w:cs="Times New Roman"/>
          <w:sz w:val="24"/>
          <w:szCs w:val="24"/>
        </w:rPr>
        <w:t xml:space="preserve"> (учитываются протоколы, поступившие из ОМВД и прокуратуры) постановлений о наложении административного наказания</w:t>
      </w:r>
      <w:r>
        <w:rPr>
          <w:rFonts w:ascii="Times New Roman" w:hAnsi="Times New Roman" w:cs="Times New Roman"/>
          <w:sz w:val="24"/>
          <w:szCs w:val="24"/>
        </w:rPr>
        <w:t xml:space="preserve"> – 45, что на 76,2 % меньше, чем в 2019 году -189. </w:t>
      </w:r>
    </w:p>
    <w:p w:rsidR="002914EB" w:rsidRDefault="002914EB" w:rsidP="00047DBB">
      <w:pPr>
        <w:shd w:val="clear" w:color="auto" w:fill="FFFFFF"/>
        <w:spacing w:after="75" w:line="269" w:lineRule="exact"/>
        <w:ind w:right="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2019 году</w:t>
      </w:r>
      <w:r w:rsidRPr="00E868FA">
        <w:rPr>
          <w:rFonts w:ascii="Times New Roman" w:eastAsia="Times New Roman" w:hAnsi="Times New Roman" w:cs="Times New Roman"/>
          <w:sz w:val="24"/>
          <w:szCs w:val="24"/>
          <w:lang w:eastAsia="ru-RU"/>
        </w:rPr>
        <w:t xml:space="preserve"> </w:t>
      </w:r>
      <w:r w:rsidRPr="00482E6E">
        <w:rPr>
          <w:rFonts w:ascii="Times New Roman" w:eastAsia="Times New Roman" w:hAnsi="Times New Roman" w:cs="Times New Roman"/>
          <w:sz w:val="24"/>
          <w:szCs w:val="24"/>
          <w:lang w:eastAsia="ru-RU"/>
        </w:rPr>
        <w:t>территориальным отделом (учитываются протоколы, поступившие из ОМВД и прокуратуры)</w:t>
      </w:r>
      <w:r>
        <w:rPr>
          <w:rFonts w:ascii="Times New Roman" w:eastAsia="Times New Roman" w:hAnsi="Times New Roman" w:cs="Times New Roman"/>
          <w:sz w:val="24"/>
          <w:szCs w:val="24"/>
          <w:lang w:eastAsia="ru-RU"/>
        </w:rPr>
        <w:t xml:space="preserve"> вынесено 189 постановлений по делу об административном правонарушении, что на 30% больше, чем в 2018 году, на 12% больше, чем в 2017 году.</w:t>
      </w:r>
    </w:p>
    <w:p w:rsidR="002914EB" w:rsidRDefault="002914EB" w:rsidP="00047DBB">
      <w:pPr>
        <w:shd w:val="clear" w:color="auto" w:fill="FFFFFF"/>
        <w:spacing w:after="75" w:line="269" w:lineRule="exact"/>
        <w:ind w:right="5" w:firstLine="567"/>
        <w:jc w:val="both"/>
        <w:rPr>
          <w:rFonts w:ascii="Times New Roman" w:eastAsia="Times New Roman" w:hAnsi="Times New Roman" w:cs="Times New Roman"/>
          <w:sz w:val="24"/>
          <w:szCs w:val="24"/>
          <w:lang w:eastAsia="ru-RU"/>
        </w:rPr>
      </w:pPr>
      <w:r w:rsidRPr="00482E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2018 году </w:t>
      </w:r>
      <w:r w:rsidRPr="00482E6E">
        <w:rPr>
          <w:rFonts w:ascii="Times New Roman" w:eastAsia="Times New Roman" w:hAnsi="Times New Roman" w:cs="Times New Roman"/>
          <w:sz w:val="24"/>
          <w:szCs w:val="24"/>
          <w:lang w:eastAsia="ru-RU"/>
        </w:rPr>
        <w:t>территориальным отделом (учитываются протоколы, поступившие из ОМВД и прокуратуры)</w:t>
      </w:r>
      <w:r>
        <w:rPr>
          <w:rFonts w:ascii="Times New Roman" w:eastAsia="Times New Roman" w:hAnsi="Times New Roman" w:cs="Times New Roman"/>
          <w:sz w:val="24"/>
          <w:szCs w:val="24"/>
          <w:lang w:eastAsia="ru-RU"/>
        </w:rPr>
        <w:t xml:space="preserve"> вынесено 133 постановления по делу об административном правонарушении, что на 19% меньше, чем в 2017 году, и 2% меньше чем 2015 году.</w:t>
      </w:r>
    </w:p>
    <w:p w:rsidR="002914EB" w:rsidRDefault="002914EB" w:rsidP="00047DBB">
      <w:pPr>
        <w:shd w:val="clear" w:color="auto" w:fill="FFFFFF"/>
        <w:spacing w:after="75" w:line="269" w:lineRule="exact"/>
        <w:ind w:right="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2020 году  административных наказаний в виде предупреждения не выносилось</w:t>
      </w:r>
    </w:p>
    <w:p w:rsidR="002914EB" w:rsidRDefault="002914EB" w:rsidP="00047DBB">
      <w:pPr>
        <w:shd w:val="clear" w:color="auto" w:fill="FFFFFF"/>
        <w:spacing w:after="75" w:line="269" w:lineRule="exact"/>
        <w:ind w:right="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2019 году назначено 25  административных наказаний в виде предупреждения.</w:t>
      </w:r>
    </w:p>
    <w:p w:rsidR="002914EB" w:rsidRDefault="002914EB" w:rsidP="00047DBB">
      <w:pPr>
        <w:shd w:val="clear" w:color="auto" w:fill="FFFFFF"/>
        <w:spacing w:after="75" w:line="269" w:lineRule="exact"/>
        <w:ind w:right="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2018 году, как и в 2017 году административных наказаний в виде предупреждения не выносилось. </w:t>
      </w:r>
    </w:p>
    <w:p w:rsidR="002914EB" w:rsidRDefault="002914EB" w:rsidP="00047DB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 2019 году  наложено административных наказаний всего  189, в том числе административных наказаний в виде штрафа - 164, что составляет 87%% от общего числа наложенных наказаний, вынесенных постановлений по делу об административном правонарушении.</w:t>
      </w:r>
    </w:p>
    <w:p w:rsidR="002914EB" w:rsidRDefault="002914EB" w:rsidP="00047DBB">
      <w:pPr>
        <w:shd w:val="clear" w:color="auto" w:fill="FFFFFF"/>
        <w:spacing w:after="75" w:line="269" w:lineRule="exact"/>
        <w:ind w:right="5" w:firstLine="567"/>
        <w:jc w:val="both"/>
        <w:rPr>
          <w:rFonts w:ascii="Times New Roman" w:hAnsi="Times New Roman" w:cs="Times New Roman"/>
          <w:sz w:val="24"/>
          <w:szCs w:val="24"/>
        </w:rPr>
      </w:pPr>
      <w:r w:rsidRPr="00DB2F48">
        <w:rPr>
          <w:rFonts w:ascii="Times New Roman" w:hAnsi="Times New Roman" w:cs="Times New Roman"/>
          <w:sz w:val="24"/>
          <w:szCs w:val="24"/>
        </w:rPr>
        <w:t>Вынесено постановлений о назначении административного наказания в виде предупреждения</w:t>
      </w:r>
      <w:r>
        <w:rPr>
          <w:rFonts w:ascii="Times New Roman" w:hAnsi="Times New Roman" w:cs="Times New Roman"/>
          <w:sz w:val="24"/>
          <w:szCs w:val="24"/>
        </w:rPr>
        <w:t xml:space="preserve"> в 2019 году -25, что составляет 213%</w:t>
      </w:r>
      <w:r w:rsidRPr="007F48E9">
        <w:rPr>
          <w:rFonts w:ascii="Times New Roman" w:hAnsi="Times New Roman" w:cs="Times New Roman"/>
          <w:sz w:val="24"/>
          <w:szCs w:val="24"/>
        </w:rPr>
        <w:t xml:space="preserve"> </w:t>
      </w:r>
      <w:r>
        <w:rPr>
          <w:rFonts w:ascii="Times New Roman" w:hAnsi="Times New Roman" w:cs="Times New Roman"/>
          <w:sz w:val="24"/>
          <w:szCs w:val="24"/>
        </w:rPr>
        <w:t>от общего количества вынесенных постановлений.</w:t>
      </w:r>
    </w:p>
    <w:p w:rsidR="002914EB" w:rsidRPr="000A12EC" w:rsidRDefault="002914EB" w:rsidP="00047DBB">
      <w:pPr>
        <w:ind w:firstLine="567"/>
        <w:jc w:val="both"/>
        <w:rPr>
          <w:rFonts w:ascii="Times New Roman" w:hAnsi="Times New Roman" w:cs="Times New Roman"/>
          <w:sz w:val="24"/>
          <w:szCs w:val="24"/>
        </w:rPr>
      </w:pPr>
      <w:r>
        <w:rPr>
          <w:rFonts w:ascii="Times New Roman" w:hAnsi="Times New Roman" w:cs="Times New Roman"/>
          <w:sz w:val="24"/>
          <w:szCs w:val="24"/>
        </w:rPr>
        <w:t xml:space="preserve">В 2019 году увеличилось количество наложенных наказаний в виде предупреждения в связи с привлечением к административной ответственности субъектов малого и среднего </w:t>
      </w:r>
      <w:r w:rsidRPr="000A12EC">
        <w:rPr>
          <w:rFonts w:ascii="Times New Roman" w:hAnsi="Times New Roman" w:cs="Times New Roman"/>
          <w:sz w:val="24"/>
          <w:szCs w:val="24"/>
        </w:rPr>
        <w:t>предпринимательства за впервые выявленные правонарушения.</w:t>
      </w:r>
    </w:p>
    <w:p w:rsidR="002914EB" w:rsidRPr="000A12EC" w:rsidRDefault="002914EB" w:rsidP="00047DBB">
      <w:pPr>
        <w:pStyle w:val="Default"/>
        <w:ind w:firstLine="567"/>
        <w:jc w:val="both"/>
      </w:pPr>
      <w:r w:rsidRPr="000A12EC">
        <w:t xml:space="preserve">При рассмотрении дел об административных правонарушениях должностные лица Управления руководствуются характером совершенного правонарушения, его обстоятельствами и принципом соразмерности назначаемого наказания в целях предупреждения новых правонарушений, в том числе при рассмотрении учитываются: </w:t>
      </w:r>
    </w:p>
    <w:p w:rsidR="002914EB" w:rsidRPr="000A12EC" w:rsidRDefault="002914EB" w:rsidP="002914EB">
      <w:pPr>
        <w:pStyle w:val="Default"/>
        <w:spacing w:after="102"/>
        <w:jc w:val="both"/>
      </w:pPr>
      <w:r>
        <w:t>-</w:t>
      </w:r>
      <w:r w:rsidRPr="000A12EC">
        <w:t xml:space="preserve"> имущественное и финансовое (материальное) положение лица, наличие обстоятельств, смягчающих и (или) отягчающих административную ответственность, предусмотренную статьями 4.2, 4.3 КоАП; </w:t>
      </w:r>
    </w:p>
    <w:p w:rsidR="002914EB" w:rsidRPr="000A12EC" w:rsidRDefault="002914EB" w:rsidP="002914EB">
      <w:pPr>
        <w:pStyle w:val="Default"/>
        <w:jc w:val="both"/>
      </w:pPr>
      <w:r>
        <w:lastRenderedPageBreak/>
        <w:t>-</w:t>
      </w:r>
      <w:r w:rsidRPr="000A12EC">
        <w:t xml:space="preserve"> в отношении субъектов малого и среднего предпринимательства положения статьи 4.1.1 КоАП – возможность замены административного наказания в виде административного штрафа предупреждением и т.д. </w:t>
      </w:r>
    </w:p>
    <w:p w:rsidR="002914EB" w:rsidRDefault="002914EB" w:rsidP="002914EB">
      <w:pPr>
        <w:shd w:val="clear" w:color="auto" w:fill="FFFFFF"/>
        <w:spacing w:after="75" w:line="269" w:lineRule="exact"/>
        <w:ind w:right="5"/>
        <w:jc w:val="both"/>
        <w:rPr>
          <w:rFonts w:ascii="Times New Roman" w:eastAsia="Times New Roman" w:hAnsi="Times New Roman" w:cs="Times New Roman"/>
          <w:sz w:val="24"/>
          <w:szCs w:val="24"/>
          <w:lang w:eastAsia="ru-RU"/>
        </w:rPr>
      </w:pPr>
    </w:p>
    <w:p w:rsidR="002914EB" w:rsidRPr="00D35A90" w:rsidRDefault="002914EB" w:rsidP="002914EB">
      <w:pPr>
        <w:jc w:val="right"/>
        <w:rPr>
          <w:rFonts w:ascii="Times New Roman" w:hAnsi="Times New Roman" w:cs="Times New Roman"/>
          <w:sz w:val="24"/>
          <w:szCs w:val="24"/>
        </w:rPr>
      </w:pPr>
      <w:r w:rsidRPr="00D35A90">
        <w:rPr>
          <w:rFonts w:ascii="Times New Roman" w:hAnsi="Times New Roman" w:cs="Times New Roman"/>
          <w:sz w:val="24"/>
          <w:szCs w:val="24"/>
        </w:rPr>
        <w:t>Таблица №2</w:t>
      </w:r>
    </w:p>
    <w:p w:rsidR="002914EB" w:rsidRDefault="002914EB" w:rsidP="002914EB">
      <w:r>
        <w:rPr>
          <w:noProof/>
          <w:lang w:eastAsia="ru-RU"/>
        </w:rPr>
        <w:drawing>
          <wp:inline distT="0" distB="0" distL="0" distR="0" wp14:anchorId="6D5162AA" wp14:editId="66430B0B">
            <wp:extent cx="3705225" cy="2657475"/>
            <wp:effectExtent l="38100" t="0" r="9525" b="9525"/>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2914EB" w:rsidRDefault="002914EB" w:rsidP="002914EB">
      <w:pPr>
        <w:shd w:val="clear" w:color="auto" w:fill="FFFFFF"/>
        <w:spacing w:after="75" w:line="269" w:lineRule="exact"/>
        <w:ind w:right="5"/>
        <w:jc w:val="both"/>
        <w:rPr>
          <w:rFonts w:ascii="Times New Roman" w:eastAsia="Times New Roman" w:hAnsi="Times New Roman" w:cs="Times New Roman"/>
          <w:sz w:val="24"/>
          <w:szCs w:val="24"/>
          <w:lang w:eastAsia="ru-RU"/>
        </w:rPr>
      </w:pPr>
    </w:p>
    <w:p w:rsidR="002914EB" w:rsidRDefault="002914EB" w:rsidP="00047DBB">
      <w:pPr>
        <w:shd w:val="clear" w:color="auto" w:fill="FFFFFF"/>
        <w:spacing w:after="0" w:line="269" w:lineRule="exact"/>
        <w:ind w:right="5" w:firstLine="567"/>
        <w:jc w:val="both"/>
        <w:rPr>
          <w:rFonts w:ascii="Times New Roman" w:hAnsi="Times New Roman" w:cs="Times New Roman"/>
          <w:sz w:val="24"/>
          <w:szCs w:val="24"/>
        </w:rPr>
      </w:pPr>
      <w:r w:rsidRPr="00BC7B59">
        <w:rPr>
          <w:rFonts w:ascii="Times New Roman" w:hAnsi="Times New Roman" w:cs="Times New Roman"/>
          <w:sz w:val="24"/>
          <w:szCs w:val="24"/>
        </w:rPr>
        <w:t>ТО УФС Роспотребнадзора в г.</w:t>
      </w:r>
      <w:r>
        <w:rPr>
          <w:rFonts w:ascii="Times New Roman" w:hAnsi="Times New Roman" w:cs="Times New Roman"/>
          <w:sz w:val="24"/>
          <w:szCs w:val="24"/>
        </w:rPr>
        <w:t xml:space="preserve"> </w:t>
      </w:r>
      <w:r w:rsidRPr="00BC7B59">
        <w:rPr>
          <w:rFonts w:ascii="Times New Roman" w:hAnsi="Times New Roman" w:cs="Times New Roman"/>
          <w:sz w:val="24"/>
          <w:szCs w:val="24"/>
        </w:rPr>
        <w:t xml:space="preserve">Нефтеюганске, Нефтеюганском районе и г.Пыть-Ях за период 2020 года направлено на рассмотрение в суд всего 18 дел об административном правонарушении, что на 52,6 % меньше в </w:t>
      </w:r>
      <w:r>
        <w:rPr>
          <w:rFonts w:ascii="Times New Roman" w:hAnsi="Times New Roman" w:cs="Times New Roman"/>
          <w:sz w:val="24"/>
          <w:szCs w:val="24"/>
        </w:rPr>
        <w:t>сравнении с 2019 годом (38 дел).</w:t>
      </w:r>
    </w:p>
    <w:p w:rsidR="002914EB" w:rsidRDefault="002914EB" w:rsidP="00047DBB">
      <w:pPr>
        <w:shd w:val="clear" w:color="auto" w:fill="FFFFFF"/>
        <w:spacing w:after="0" w:line="269" w:lineRule="exact"/>
        <w:ind w:right="5" w:firstLine="567"/>
        <w:jc w:val="both"/>
        <w:rPr>
          <w:rFonts w:ascii="Times New Roman" w:hAnsi="Times New Roman" w:cs="Times New Roman"/>
          <w:sz w:val="24"/>
          <w:szCs w:val="24"/>
        </w:rPr>
      </w:pPr>
      <w:r>
        <w:rPr>
          <w:rFonts w:ascii="Times New Roman" w:hAnsi="Times New Roman" w:cs="Times New Roman"/>
          <w:sz w:val="24"/>
          <w:szCs w:val="24"/>
        </w:rPr>
        <w:t xml:space="preserve">В 2020 году </w:t>
      </w:r>
      <w:r>
        <w:rPr>
          <w:rFonts w:ascii="Times New Roman" w:eastAsia="Times New Roman" w:hAnsi="Times New Roman" w:cs="Times New Roman"/>
          <w:sz w:val="24"/>
          <w:szCs w:val="24"/>
          <w:lang w:eastAsia="ru-RU"/>
        </w:rPr>
        <w:t xml:space="preserve">направлено на рассмотрение в суд 2 административных дела, по правонарушениям, совершенным на территории г. Пыть-Ях. </w:t>
      </w:r>
    </w:p>
    <w:p w:rsidR="002914EB" w:rsidRDefault="002914EB" w:rsidP="002914EB">
      <w:pPr>
        <w:shd w:val="clear" w:color="auto" w:fill="FFFFFF"/>
        <w:spacing w:after="0" w:line="269" w:lineRule="exact"/>
        <w:ind w:right="5" w:firstLine="284"/>
        <w:jc w:val="both"/>
        <w:rPr>
          <w:rFonts w:ascii="Times New Roman" w:hAnsi="Times New Roman" w:cs="Times New Roman"/>
          <w:sz w:val="24"/>
          <w:szCs w:val="24"/>
        </w:rPr>
      </w:pPr>
    </w:p>
    <w:p w:rsidR="002914EB" w:rsidRPr="00BC7B59" w:rsidRDefault="002914EB" w:rsidP="00047DBB">
      <w:pPr>
        <w:shd w:val="clear" w:color="auto" w:fill="FFFFFF"/>
        <w:spacing w:after="0" w:line="269" w:lineRule="exact"/>
        <w:ind w:right="5" w:firstLine="567"/>
        <w:jc w:val="both"/>
        <w:rPr>
          <w:rFonts w:ascii="Times New Roman" w:hAnsi="Times New Roman" w:cs="Times New Roman"/>
          <w:sz w:val="24"/>
          <w:szCs w:val="24"/>
        </w:rPr>
      </w:pPr>
      <w:r w:rsidRPr="00BC7B59">
        <w:rPr>
          <w:rFonts w:ascii="Times New Roman" w:hAnsi="Times New Roman" w:cs="Times New Roman"/>
          <w:sz w:val="24"/>
          <w:szCs w:val="24"/>
        </w:rPr>
        <w:t>В 2019 году направлено на рассмотрение в суд 13 административных дел, по правонарушениям, совершенным на территории г.</w:t>
      </w:r>
      <w:r>
        <w:rPr>
          <w:rFonts w:ascii="Times New Roman" w:hAnsi="Times New Roman" w:cs="Times New Roman"/>
          <w:sz w:val="24"/>
          <w:szCs w:val="24"/>
        </w:rPr>
        <w:t xml:space="preserve"> </w:t>
      </w:r>
      <w:r w:rsidRPr="00BC7B59">
        <w:rPr>
          <w:rFonts w:ascii="Times New Roman" w:hAnsi="Times New Roman" w:cs="Times New Roman"/>
          <w:sz w:val="24"/>
          <w:szCs w:val="24"/>
        </w:rPr>
        <w:t>Пыть-Ях, что незначительно меньше, чем в 2018 году, на 23% больше, чем в 2017 году.</w:t>
      </w:r>
    </w:p>
    <w:p w:rsidR="002914EB" w:rsidRPr="00BC7B59" w:rsidRDefault="002914EB" w:rsidP="00047DBB">
      <w:pPr>
        <w:shd w:val="clear" w:color="auto" w:fill="FFFFFF"/>
        <w:spacing w:after="0" w:line="269" w:lineRule="exact"/>
        <w:ind w:right="5" w:firstLine="567"/>
        <w:jc w:val="both"/>
        <w:rPr>
          <w:rFonts w:ascii="Times New Roman" w:hAnsi="Times New Roman" w:cs="Times New Roman"/>
          <w:sz w:val="24"/>
          <w:szCs w:val="24"/>
        </w:rPr>
      </w:pPr>
      <w:r w:rsidRPr="00BC7B59">
        <w:rPr>
          <w:rFonts w:ascii="Times New Roman" w:hAnsi="Times New Roman" w:cs="Times New Roman"/>
          <w:sz w:val="24"/>
          <w:szCs w:val="24"/>
        </w:rPr>
        <w:t xml:space="preserve">В период 2018 года направлено на рассмотрение в суд всего 40 дел об административном правонарушении, что практически одинаково в сравнении с 2017 годом, и на 37% больше, чем в 2016 году. </w:t>
      </w:r>
    </w:p>
    <w:p w:rsidR="002914EB" w:rsidRDefault="002914EB" w:rsidP="00047DBB">
      <w:pPr>
        <w:shd w:val="clear" w:color="auto" w:fill="FFFFFF"/>
        <w:spacing w:after="0" w:line="269" w:lineRule="exact"/>
        <w:ind w:right="5" w:firstLine="567"/>
        <w:jc w:val="both"/>
        <w:rPr>
          <w:rFonts w:ascii="Times New Roman" w:hAnsi="Times New Roman" w:cs="Times New Roman"/>
          <w:sz w:val="24"/>
          <w:szCs w:val="24"/>
        </w:rPr>
      </w:pPr>
      <w:r w:rsidRPr="00BC7B59">
        <w:rPr>
          <w:rFonts w:ascii="Times New Roman" w:hAnsi="Times New Roman" w:cs="Times New Roman"/>
          <w:sz w:val="24"/>
          <w:szCs w:val="24"/>
        </w:rPr>
        <w:t>Из них, направлено на рассмотрение в суд 16 административных дел, по правонарушениям, совершенным на территории г.</w:t>
      </w:r>
      <w:r>
        <w:rPr>
          <w:rFonts w:ascii="Times New Roman" w:hAnsi="Times New Roman" w:cs="Times New Roman"/>
          <w:sz w:val="24"/>
          <w:szCs w:val="24"/>
        </w:rPr>
        <w:t xml:space="preserve"> </w:t>
      </w:r>
      <w:r w:rsidRPr="00BC7B59">
        <w:rPr>
          <w:rFonts w:ascii="Times New Roman" w:hAnsi="Times New Roman" w:cs="Times New Roman"/>
          <w:sz w:val="24"/>
          <w:szCs w:val="24"/>
        </w:rPr>
        <w:t>Пыть-Ях,  что на 35% больше, чем в 2017-2016гг.</w:t>
      </w:r>
    </w:p>
    <w:p w:rsidR="002914EB" w:rsidRPr="00BC7B59" w:rsidRDefault="002914EB" w:rsidP="00047DBB">
      <w:pPr>
        <w:shd w:val="clear" w:color="auto" w:fill="FFFFFF"/>
        <w:spacing w:after="0" w:line="269" w:lineRule="exact"/>
        <w:ind w:right="5" w:firstLine="567"/>
        <w:jc w:val="both"/>
        <w:rPr>
          <w:rFonts w:ascii="Times New Roman" w:hAnsi="Times New Roman" w:cs="Times New Roman"/>
          <w:sz w:val="24"/>
          <w:szCs w:val="24"/>
        </w:rPr>
      </w:pPr>
      <w:r w:rsidRPr="00BC7B59">
        <w:rPr>
          <w:rFonts w:ascii="Times New Roman" w:hAnsi="Times New Roman" w:cs="Times New Roman"/>
          <w:sz w:val="24"/>
          <w:szCs w:val="24"/>
        </w:rPr>
        <w:t>В 20</w:t>
      </w:r>
      <w:r>
        <w:rPr>
          <w:rFonts w:ascii="Times New Roman" w:hAnsi="Times New Roman" w:cs="Times New Roman"/>
          <w:sz w:val="24"/>
          <w:szCs w:val="24"/>
        </w:rPr>
        <w:t>20</w:t>
      </w:r>
      <w:r w:rsidRPr="00BC7B59">
        <w:rPr>
          <w:rFonts w:ascii="Times New Roman" w:hAnsi="Times New Roman" w:cs="Times New Roman"/>
          <w:sz w:val="24"/>
          <w:szCs w:val="24"/>
        </w:rPr>
        <w:t xml:space="preserve"> году судом вынесено 1 решени</w:t>
      </w:r>
      <w:r>
        <w:rPr>
          <w:rFonts w:ascii="Times New Roman" w:hAnsi="Times New Roman" w:cs="Times New Roman"/>
          <w:sz w:val="24"/>
          <w:szCs w:val="24"/>
        </w:rPr>
        <w:t>е</w:t>
      </w:r>
      <w:r w:rsidRPr="00BC7B59">
        <w:rPr>
          <w:rFonts w:ascii="Times New Roman" w:hAnsi="Times New Roman" w:cs="Times New Roman"/>
          <w:sz w:val="24"/>
          <w:szCs w:val="24"/>
        </w:rPr>
        <w:t xml:space="preserve"> по дел</w:t>
      </w:r>
      <w:r>
        <w:rPr>
          <w:rFonts w:ascii="Times New Roman" w:hAnsi="Times New Roman" w:cs="Times New Roman"/>
          <w:sz w:val="24"/>
          <w:szCs w:val="24"/>
        </w:rPr>
        <w:t>у</w:t>
      </w:r>
      <w:r w:rsidRPr="00BC7B59">
        <w:rPr>
          <w:rFonts w:ascii="Times New Roman" w:hAnsi="Times New Roman" w:cs="Times New Roman"/>
          <w:sz w:val="24"/>
          <w:szCs w:val="24"/>
        </w:rPr>
        <w:t xml:space="preserve"> об административном правонарушении</w:t>
      </w:r>
      <w:r>
        <w:rPr>
          <w:rFonts w:ascii="Times New Roman" w:hAnsi="Times New Roman" w:cs="Times New Roman"/>
          <w:sz w:val="24"/>
          <w:szCs w:val="24"/>
        </w:rPr>
        <w:t xml:space="preserve"> с применением</w:t>
      </w:r>
      <w:r w:rsidRPr="00BC7B59">
        <w:rPr>
          <w:rFonts w:ascii="Times New Roman" w:hAnsi="Times New Roman" w:cs="Times New Roman"/>
          <w:sz w:val="24"/>
          <w:szCs w:val="24"/>
        </w:rPr>
        <w:t>, наказания в виде приостановлении деятельности (предприятие общественного питания</w:t>
      </w:r>
      <w:r>
        <w:rPr>
          <w:rFonts w:ascii="Times New Roman" w:hAnsi="Times New Roman" w:cs="Times New Roman"/>
          <w:sz w:val="24"/>
          <w:szCs w:val="24"/>
        </w:rPr>
        <w:t>)</w:t>
      </w:r>
    </w:p>
    <w:p w:rsidR="002914EB" w:rsidRPr="00BC7B59" w:rsidRDefault="002914EB" w:rsidP="00047DBB">
      <w:pPr>
        <w:shd w:val="clear" w:color="auto" w:fill="FFFFFF"/>
        <w:spacing w:after="0" w:line="269" w:lineRule="exact"/>
        <w:ind w:right="5" w:firstLine="567"/>
        <w:jc w:val="both"/>
        <w:rPr>
          <w:rFonts w:ascii="Times New Roman" w:hAnsi="Times New Roman" w:cs="Times New Roman"/>
          <w:sz w:val="24"/>
          <w:szCs w:val="24"/>
        </w:rPr>
      </w:pPr>
      <w:r w:rsidRPr="00BC7B59">
        <w:rPr>
          <w:rFonts w:ascii="Times New Roman" w:hAnsi="Times New Roman" w:cs="Times New Roman"/>
          <w:sz w:val="24"/>
          <w:szCs w:val="24"/>
        </w:rPr>
        <w:t>В 2019 году судом вынесено 13 решений по делам об административном правонарушении, в том числе 8 решений о назначении наказания в виде административного штрафа, 5 решений  о назначении наказания в виде приостановлении деятельности ( предприятие общественного питания, ВОС-4 МУП «УГХ»)</w:t>
      </w:r>
    </w:p>
    <w:p w:rsidR="002914EB" w:rsidRDefault="002914EB" w:rsidP="00047DBB">
      <w:pPr>
        <w:shd w:val="clear" w:color="auto" w:fill="FFFFFF"/>
        <w:spacing w:after="0" w:line="269" w:lineRule="exact"/>
        <w:ind w:right="5" w:firstLine="567"/>
        <w:jc w:val="both"/>
        <w:rPr>
          <w:rFonts w:ascii="Times New Roman" w:hAnsi="Times New Roman" w:cs="Times New Roman"/>
          <w:sz w:val="24"/>
          <w:szCs w:val="24"/>
        </w:rPr>
      </w:pPr>
      <w:r w:rsidRPr="00BC7B59">
        <w:rPr>
          <w:rFonts w:ascii="Times New Roman" w:hAnsi="Times New Roman" w:cs="Times New Roman"/>
          <w:sz w:val="24"/>
          <w:szCs w:val="24"/>
        </w:rPr>
        <w:t>В 2018 году судом вынесено 12 решений по делам об административном правонарушении, в том числе 10 решений о назначении наказания в виде административного штрафа. Вместе с тем, судом прекращено 4 производства по делу об административном правонарушении в отношении образовательных организаций в связи с отсутствием состава правонарушения.</w:t>
      </w:r>
    </w:p>
    <w:p w:rsidR="002914EB" w:rsidRPr="00BC7B59" w:rsidRDefault="002914EB" w:rsidP="00047DBB">
      <w:pPr>
        <w:shd w:val="clear" w:color="auto" w:fill="FFFFFF"/>
        <w:spacing w:after="0" w:line="269" w:lineRule="exact"/>
        <w:ind w:right="5" w:firstLine="567"/>
        <w:jc w:val="both"/>
        <w:rPr>
          <w:rFonts w:ascii="Times New Roman" w:hAnsi="Times New Roman" w:cs="Times New Roman"/>
          <w:sz w:val="24"/>
          <w:szCs w:val="24"/>
        </w:rPr>
      </w:pPr>
      <w:r w:rsidRPr="00BC7B59">
        <w:rPr>
          <w:rFonts w:ascii="Times New Roman" w:hAnsi="Times New Roman" w:cs="Times New Roman"/>
          <w:sz w:val="24"/>
          <w:szCs w:val="24"/>
        </w:rPr>
        <w:t>Доля вынесенных  судебных решений в 20</w:t>
      </w:r>
      <w:r>
        <w:rPr>
          <w:rFonts w:ascii="Times New Roman" w:hAnsi="Times New Roman" w:cs="Times New Roman"/>
          <w:sz w:val="24"/>
          <w:szCs w:val="24"/>
        </w:rPr>
        <w:t>20</w:t>
      </w:r>
      <w:r w:rsidRPr="00BC7B59">
        <w:rPr>
          <w:rFonts w:ascii="Times New Roman" w:hAnsi="Times New Roman" w:cs="Times New Roman"/>
          <w:sz w:val="24"/>
          <w:szCs w:val="24"/>
        </w:rPr>
        <w:t xml:space="preserve"> году составила </w:t>
      </w:r>
      <w:r>
        <w:rPr>
          <w:rFonts w:ascii="Times New Roman" w:hAnsi="Times New Roman" w:cs="Times New Roman"/>
          <w:sz w:val="24"/>
          <w:szCs w:val="24"/>
        </w:rPr>
        <w:t>5</w:t>
      </w:r>
      <w:r w:rsidRPr="00BC7B59">
        <w:rPr>
          <w:rFonts w:ascii="Times New Roman" w:hAnsi="Times New Roman" w:cs="Times New Roman"/>
          <w:sz w:val="24"/>
          <w:szCs w:val="24"/>
        </w:rPr>
        <w:t>0% от общего количества перед</w:t>
      </w:r>
      <w:r>
        <w:rPr>
          <w:rFonts w:ascii="Times New Roman" w:hAnsi="Times New Roman" w:cs="Times New Roman"/>
          <w:sz w:val="24"/>
          <w:szCs w:val="24"/>
        </w:rPr>
        <w:t>анных дел на рассмотрение суду.</w:t>
      </w:r>
    </w:p>
    <w:p w:rsidR="002914EB" w:rsidRPr="00BC7B59" w:rsidRDefault="002914EB" w:rsidP="00047DBB">
      <w:pPr>
        <w:shd w:val="clear" w:color="auto" w:fill="FFFFFF"/>
        <w:spacing w:after="0" w:line="269" w:lineRule="exact"/>
        <w:ind w:right="5" w:firstLine="567"/>
        <w:jc w:val="both"/>
        <w:rPr>
          <w:rFonts w:ascii="Times New Roman" w:hAnsi="Times New Roman" w:cs="Times New Roman"/>
          <w:sz w:val="24"/>
          <w:szCs w:val="24"/>
        </w:rPr>
      </w:pPr>
      <w:r w:rsidRPr="00BC7B59">
        <w:rPr>
          <w:rFonts w:ascii="Times New Roman" w:hAnsi="Times New Roman" w:cs="Times New Roman"/>
          <w:sz w:val="24"/>
          <w:szCs w:val="24"/>
        </w:rPr>
        <w:t>Доля вынесенных  судебных решений в 2019 году составила 100% от общего количества переданных дел на рассмотрение суду.</w:t>
      </w:r>
    </w:p>
    <w:p w:rsidR="002914EB" w:rsidRDefault="002914EB" w:rsidP="00047DBB">
      <w:pPr>
        <w:shd w:val="clear" w:color="auto" w:fill="FFFFFF"/>
        <w:spacing w:after="0" w:line="269" w:lineRule="exact"/>
        <w:ind w:right="5" w:firstLine="567"/>
        <w:jc w:val="both"/>
        <w:rPr>
          <w:rFonts w:ascii="Times New Roman" w:hAnsi="Times New Roman" w:cs="Times New Roman"/>
          <w:sz w:val="24"/>
          <w:szCs w:val="24"/>
        </w:rPr>
      </w:pPr>
      <w:r w:rsidRPr="00BC7B59">
        <w:rPr>
          <w:rFonts w:ascii="Times New Roman" w:hAnsi="Times New Roman" w:cs="Times New Roman"/>
          <w:sz w:val="24"/>
          <w:szCs w:val="24"/>
        </w:rPr>
        <w:lastRenderedPageBreak/>
        <w:t>Доля вынесенных  судебных решений в 2018 году составила 75% от общего количества переданных дел на рассмотрение суду</w:t>
      </w:r>
    </w:p>
    <w:p w:rsidR="002914EB" w:rsidRPr="00BC7B59" w:rsidRDefault="002914EB" w:rsidP="00047DBB">
      <w:pPr>
        <w:shd w:val="clear" w:color="auto" w:fill="FFFFFF"/>
        <w:spacing w:after="0" w:line="269" w:lineRule="exact"/>
        <w:ind w:right="5" w:firstLine="567"/>
        <w:jc w:val="both"/>
        <w:rPr>
          <w:rFonts w:ascii="Times New Roman" w:hAnsi="Times New Roman" w:cs="Times New Roman"/>
          <w:sz w:val="24"/>
          <w:szCs w:val="24"/>
        </w:rPr>
      </w:pPr>
      <w:r>
        <w:rPr>
          <w:rFonts w:ascii="Times New Roman" w:hAnsi="Times New Roman" w:cs="Times New Roman"/>
          <w:sz w:val="24"/>
          <w:szCs w:val="24"/>
        </w:rPr>
        <w:t xml:space="preserve">В 2020 году судом не выносились решения </w:t>
      </w:r>
      <w:r w:rsidRPr="00BC7B59">
        <w:rPr>
          <w:rFonts w:ascii="Times New Roman" w:hAnsi="Times New Roman" w:cs="Times New Roman"/>
          <w:sz w:val="24"/>
          <w:szCs w:val="24"/>
        </w:rPr>
        <w:t>о наложении административного штрафа с конфискацией предметов правонарушени</w:t>
      </w:r>
      <w:r>
        <w:rPr>
          <w:rFonts w:ascii="Times New Roman" w:hAnsi="Times New Roman" w:cs="Times New Roman"/>
          <w:sz w:val="24"/>
          <w:szCs w:val="24"/>
        </w:rPr>
        <w:t>я.</w:t>
      </w:r>
    </w:p>
    <w:p w:rsidR="002914EB" w:rsidRPr="00BC7B59" w:rsidRDefault="002914EB" w:rsidP="00047DBB">
      <w:pPr>
        <w:shd w:val="clear" w:color="auto" w:fill="FFFFFF"/>
        <w:spacing w:after="0" w:line="269" w:lineRule="exact"/>
        <w:ind w:right="5" w:firstLine="567"/>
        <w:jc w:val="both"/>
        <w:rPr>
          <w:rFonts w:ascii="Times New Roman" w:hAnsi="Times New Roman" w:cs="Times New Roman"/>
          <w:sz w:val="24"/>
          <w:szCs w:val="24"/>
        </w:rPr>
      </w:pPr>
      <w:r w:rsidRPr="00BC7B59">
        <w:rPr>
          <w:rFonts w:ascii="Times New Roman" w:hAnsi="Times New Roman" w:cs="Times New Roman"/>
          <w:sz w:val="24"/>
          <w:szCs w:val="24"/>
        </w:rPr>
        <w:t>В 2019 году судом вынесено 2 решения о наложении административного штрафа с конфискацией предметов правонарушения, что составляет 15%  от общего количества дел, переданных на рассмотрение в суд.</w:t>
      </w:r>
    </w:p>
    <w:p w:rsidR="002914EB" w:rsidRDefault="002914EB" w:rsidP="00047DBB">
      <w:pPr>
        <w:shd w:val="clear" w:color="auto" w:fill="FFFFFF"/>
        <w:spacing w:after="0" w:line="269" w:lineRule="exact"/>
        <w:ind w:right="5" w:firstLine="567"/>
        <w:jc w:val="both"/>
        <w:rPr>
          <w:rFonts w:ascii="Times New Roman" w:hAnsi="Times New Roman" w:cs="Times New Roman"/>
          <w:sz w:val="24"/>
          <w:szCs w:val="24"/>
        </w:rPr>
      </w:pPr>
      <w:r w:rsidRPr="00BC7B59">
        <w:rPr>
          <w:rFonts w:ascii="Times New Roman" w:hAnsi="Times New Roman" w:cs="Times New Roman"/>
          <w:sz w:val="24"/>
          <w:szCs w:val="24"/>
        </w:rPr>
        <w:t>В 2018 году судом вынесено 1 решение о назначении наказания в виде административного штрафа с конфискацией предметов правонарушения, что составляет 6%  от общего количества дел, переданных на рассмотрение в суд.</w:t>
      </w:r>
    </w:p>
    <w:p w:rsidR="002914EB" w:rsidRPr="00BC7B59" w:rsidRDefault="002914EB" w:rsidP="00047DBB">
      <w:pPr>
        <w:shd w:val="clear" w:color="auto" w:fill="FFFFFF"/>
        <w:spacing w:after="0" w:line="269" w:lineRule="exact"/>
        <w:ind w:right="5" w:firstLine="567"/>
        <w:jc w:val="both"/>
        <w:rPr>
          <w:rFonts w:ascii="Times New Roman" w:hAnsi="Times New Roman" w:cs="Times New Roman"/>
          <w:sz w:val="24"/>
          <w:szCs w:val="24"/>
        </w:rPr>
      </w:pPr>
      <w:r w:rsidRPr="00BC7B59">
        <w:rPr>
          <w:rFonts w:ascii="Times New Roman" w:hAnsi="Times New Roman" w:cs="Times New Roman"/>
          <w:sz w:val="24"/>
          <w:szCs w:val="24"/>
        </w:rPr>
        <w:t>В 20</w:t>
      </w:r>
      <w:r>
        <w:rPr>
          <w:rFonts w:ascii="Times New Roman" w:hAnsi="Times New Roman" w:cs="Times New Roman"/>
          <w:sz w:val="24"/>
          <w:szCs w:val="24"/>
        </w:rPr>
        <w:t>20</w:t>
      </w:r>
      <w:r w:rsidRPr="00BC7B59">
        <w:rPr>
          <w:rFonts w:ascii="Times New Roman" w:hAnsi="Times New Roman" w:cs="Times New Roman"/>
          <w:sz w:val="24"/>
          <w:szCs w:val="24"/>
        </w:rPr>
        <w:t xml:space="preserve"> году приостановлена деятельность</w:t>
      </w:r>
      <w:r>
        <w:rPr>
          <w:rFonts w:ascii="Times New Roman" w:hAnsi="Times New Roman" w:cs="Times New Roman"/>
          <w:sz w:val="24"/>
          <w:szCs w:val="24"/>
        </w:rPr>
        <w:t xml:space="preserve"> 1</w:t>
      </w:r>
      <w:r w:rsidRPr="00BC7B59">
        <w:rPr>
          <w:rFonts w:ascii="Times New Roman" w:hAnsi="Times New Roman" w:cs="Times New Roman"/>
          <w:sz w:val="24"/>
          <w:szCs w:val="24"/>
        </w:rPr>
        <w:t xml:space="preserve"> объект</w:t>
      </w:r>
      <w:r>
        <w:rPr>
          <w:rFonts w:ascii="Times New Roman" w:hAnsi="Times New Roman" w:cs="Times New Roman"/>
          <w:sz w:val="24"/>
          <w:szCs w:val="24"/>
        </w:rPr>
        <w:t xml:space="preserve">а общественного питания. </w:t>
      </w:r>
    </w:p>
    <w:p w:rsidR="002914EB" w:rsidRPr="00BC7B59" w:rsidRDefault="002914EB" w:rsidP="00047DBB">
      <w:pPr>
        <w:shd w:val="clear" w:color="auto" w:fill="FFFFFF"/>
        <w:spacing w:after="0" w:line="269" w:lineRule="exact"/>
        <w:ind w:right="5" w:firstLine="567"/>
        <w:jc w:val="both"/>
        <w:rPr>
          <w:rFonts w:ascii="Times New Roman" w:hAnsi="Times New Roman" w:cs="Times New Roman"/>
          <w:sz w:val="24"/>
          <w:szCs w:val="24"/>
        </w:rPr>
      </w:pPr>
      <w:r w:rsidRPr="00BC7B59">
        <w:rPr>
          <w:rFonts w:ascii="Times New Roman" w:hAnsi="Times New Roman" w:cs="Times New Roman"/>
          <w:sz w:val="24"/>
          <w:szCs w:val="24"/>
        </w:rPr>
        <w:t>В 2019 году приостановлена деятельность 5 объектов, из них 1 объект общественного питания, 4 объекта коммунального назначения (ВОС-4)</w:t>
      </w:r>
    </w:p>
    <w:p w:rsidR="002914EB" w:rsidRDefault="002914EB" w:rsidP="00047DBB">
      <w:pPr>
        <w:shd w:val="clear" w:color="auto" w:fill="FFFFFF"/>
        <w:spacing w:after="0" w:line="269" w:lineRule="exact"/>
        <w:ind w:right="5" w:firstLine="567"/>
        <w:jc w:val="both"/>
        <w:rPr>
          <w:rFonts w:ascii="Times New Roman" w:hAnsi="Times New Roman" w:cs="Times New Roman"/>
          <w:sz w:val="24"/>
          <w:szCs w:val="24"/>
        </w:rPr>
      </w:pPr>
      <w:r w:rsidRPr="00BC7B59">
        <w:rPr>
          <w:rFonts w:ascii="Times New Roman" w:hAnsi="Times New Roman" w:cs="Times New Roman"/>
          <w:sz w:val="24"/>
          <w:szCs w:val="24"/>
        </w:rPr>
        <w:t>В 2018 году судом приостановлена деятельность 2-х объектов (производство пищевой продукции, МУП «УГХ, ВОС-4), что составило 16% от общего количества решений, вынесенных судом.</w:t>
      </w:r>
    </w:p>
    <w:p w:rsidR="002914EB" w:rsidRPr="00BC7B59" w:rsidRDefault="002914EB" w:rsidP="00047DBB">
      <w:pPr>
        <w:shd w:val="clear" w:color="auto" w:fill="FFFFFF"/>
        <w:spacing w:after="0" w:line="269" w:lineRule="exact"/>
        <w:ind w:right="5" w:firstLine="567"/>
        <w:jc w:val="both"/>
        <w:rPr>
          <w:rFonts w:ascii="Times New Roman" w:hAnsi="Times New Roman" w:cs="Times New Roman"/>
          <w:sz w:val="24"/>
          <w:szCs w:val="24"/>
        </w:rPr>
      </w:pPr>
      <w:r>
        <w:rPr>
          <w:rFonts w:ascii="Times New Roman" w:hAnsi="Times New Roman" w:cs="Times New Roman"/>
          <w:sz w:val="24"/>
          <w:szCs w:val="24"/>
        </w:rPr>
        <w:t xml:space="preserve">Сумма наложенных штрафов в 2020 году составила 211,6 тыс. рублей, на 87,4% меньше, чем в 2019 году. </w:t>
      </w:r>
    </w:p>
    <w:p w:rsidR="002914EB" w:rsidRDefault="002914EB" w:rsidP="00047DBB">
      <w:pPr>
        <w:shd w:val="clear" w:color="auto" w:fill="FFFFFF"/>
        <w:spacing w:after="0" w:line="269" w:lineRule="exact"/>
        <w:ind w:right="5" w:firstLine="567"/>
        <w:jc w:val="both"/>
        <w:rPr>
          <w:rFonts w:ascii="Times New Roman" w:hAnsi="Times New Roman" w:cs="Times New Roman"/>
          <w:sz w:val="24"/>
          <w:szCs w:val="24"/>
        </w:rPr>
      </w:pPr>
      <w:r>
        <w:rPr>
          <w:rFonts w:ascii="Times New Roman" w:hAnsi="Times New Roman" w:cs="Times New Roman"/>
          <w:sz w:val="24"/>
          <w:szCs w:val="24"/>
        </w:rPr>
        <w:t>Сумма наложенных штрафов в 2019 году составила 1683,3 тыс. рублей, что  практически одинаково в сравнении с 2018 годом.</w:t>
      </w:r>
    </w:p>
    <w:p w:rsidR="002914EB" w:rsidRPr="00853DFF" w:rsidRDefault="002914EB" w:rsidP="00047DBB">
      <w:pPr>
        <w:shd w:val="clear" w:color="auto" w:fill="FFFFFF"/>
        <w:spacing w:after="0" w:line="269" w:lineRule="exact"/>
        <w:ind w:right="5" w:firstLine="567"/>
        <w:jc w:val="both"/>
        <w:rPr>
          <w:rFonts w:ascii="Times New Roman" w:hAnsi="Times New Roman" w:cs="Times New Roman"/>
          <w:sz w:val="24"/>
          <w:szCs w:val="24"/>
        </w:rPr>
      </w:pPr>
      <w:r>
        <w:rPr>
          <w:rFonts w:ascii="Times New Roman" w:hAnsi="Times New Roman" w:cs="Times New Roman"/>
          <w:sz w:val="24"/>
          <w:szCs w:val="24"/>
        </w:rPr>
        <w:t xml:space="preserve">Сумма наложенных штрафов в 2018 году составила 1645,5 тыс. рублей, что на 19% меньше, чем в 2017 году и на 12% меньше, чем в 2016 году. </w:t>
      </w:r>
      <w:r>
        <w:rPr>
          <w:rFonts w:ascii="Times New Roman" w:eastAsia="Times New Roman" w:hAnsi="Times New Roman" w:cs="Times New Roman"/>
          <w:sz w:val="24"/>
          <w:szCs w:val="24"/>
          <w:lang w:eastAsia="ru-RU"/>
        </w:rPr>
        <w:t xml:space="preserve">(таблица №2) </w:t>
      </w:r>
    </w:p>
    <w:p w:rsidR="002914EB" w:rsidRDefault="002914EB" w:rsidP="002914EB">
      <w:pPr>
        <w:shd w:val="clear" w:color="auto" w:fill="FFFFFF"/>
        <w:spacing w:after="75" w:line="269" w:lineRule="exact"/>
        <w:ind w:right="5" w:firstLine="284"/>
        <w:jc w:val="both"/>
        <w:rPr>
          <w:rFonts w:ascii="Times New Roman" w:eastAsia="Times New Roman" w:hAnsi="Times New Roman" w:cs="Times New Roman"/>
          <w:sz w:val="24"/>
          <w:szCs w:val="24"/>
          <w:lang w:eastAsia="ru-RU"/>
        </w:rPr>
      </w:pPr>
    </w:p>
    <w:p w:rsidR="002914EB" w:rsidRPr="00047DBB" w:rsidRDefault="002914EB" w:rsidP="00047DBB">
      <w:pPr>
        <w:shd w:val="clear" w:color="auto" w:fill="FFFFFF"/>
        <w:spacing w:after="75" w:line="269" w:lineRule="exact"/>
        <w:ind w:right="5" w:firstLine="284"/>
        <w:jc w:val="both"/>
        <w:rPr>
          <w:rFonts w:ascii="Times New Roman" w:eastAsia="Times New Roman" w:hAnsi="Times New Roman" w:cs="Times New Roman"/>
          <w:sz w:val="24"/>
          <w:szCs w:val="24"/>
          <w:lang w:eastAsia="ru-RU"/>
        </w:rPr>
      </w:pPr>
      <w:r>
        <w:rPr>
          <w:rFonts w:ascii="Times New Roman" w:eastAsia="Times New Roman" w:hAnsi="Times New Roman" w:cs="Calibri"/>
          <w:noProof/>
          <w:sz w:val="24"/>
          <w:szCs w:val="24"/>
          <w:lang w:eastAsia="ru-RU"/>
        </w:rPr>
        <w:drawing>
          <wp:anchor distT="0" distB="0" distL="114300" distR="114300" simplePos="0" relativeHeight="251679744" behindDoc="0" locked="0" layoutInCell="1" allowOverlap="1" wp14:anchorId="350B856E" wp14:editId="160A9E09">
            <wp:simplePos x="0" y="0"/>
            <wp:positionH relativeFrom="column">
              <wp:posOffset>386715</wp:posOffset>
            </wp:positionH>
            <wp:positionV relativeFrom="paragraph">
              <wp:posOffset>64770</wp:posOffset>
            </wp:positionV>
            <wp:extent cx="4981575" cy="2861945"/>
            <wp:effectExtent l="0" t="0" r="0" b="0"/>
            <wp:wrapSquare wrapText="right"/>
            <wp:docPr id="44" name="Диаграмма 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page">
              <wp14:pctWidth>0</wp14:pctWidth>
            </wp14:sizeRelH>
            <wp14:sizeRelV relativeFrom="page">
              <wp14:pctHeight>0</wp14:pctHeight>
            </wp14:sizeRelV>
          </wp:anchor>
        </w:drawing>
      </w:r>
      <w:r w:rsidRPr="00032A44">
        <w:rPr>
          <w:rFonts w:ascii="Times New Roman" w:eastAsia="Times New Roman" w:hAnsi="Times New Roman" w:cs="Times New Roman"/>
          <w:sz w:val="24"/>
          <w:szCs w:val="24"/>
          <w:lang w:eastAsia="ru-RU"/>
        </w:rPr>
        <w:t xml:space="preserve">                                                                        </w:t>
      </w:r>
    </w:p>
    <w:p w:rsidR="002914EB" w:rsidRDefault="002914EB" w:rsidP="002914EB">
      <w:pPr>
        <w:shd w:val="clear" w:color="auto" w:fill="FFFFFF"/>
        <w:spacing w:after="75" w:line="269" w:lineRule="exact"/>
        <w:ind w:right="5"/>
        <w:rPr>
          <w:rFonts w:ascii="Times New Roman" w:hAnsi="Times New Roman" w:cs="Times New Roman"/>
          <w:sz w:val="24"/>
          <w:szCs w:val="24"/>
        </w:rPr>
      </w:pPr>
    </w:p>
    <w:p w:rsidR="002914EB" w:rsidRPr="00DB03BF" w:rsidRDefault="002914EB" w:rsidP="00047DBB">
      <w:pPr>
        <w:shd w:val="clear" w:color="auto" w:fill="FFFFFF"/>
        <w:spacing w:after="0" w:line="269" w:lineRule="exact"/>
        <w:ind w:right="5" w:firstLine="567"/>
        <w:jc w:val="both"/>
        <w:rPr>
          <w:rFonts w:ascii="Times New Roman" w:hAnsi="Times New Roman" w:cs="Times New Roman"/>
          <w:sz w:val="24"/>
          <w:szCs w:val="24"/>
        </w:rPr>
      </w:pPr>
      <w:r w:rsidRPr="00DB03BF">
        <w:rPr>
          <w:rFonts w:ascii="Times New Roman" w:hAnsi="Times New Roman" w:cs="Times New Roman"/>
          <w:sz w:val="24"/>
          <w:szCs w:val="24"/>
        </w:rPr>
        <w:t xml:space="preserve">Уменьшение сумм штрафов в 2020 году произошло за счет  уменьшения количества возбужденных дел в отношении юридических, должностных лиц в соответствии с Кодексом об административных правонарушениях Российской Федерации.   </w:t>
      </w:r>
    </w:p>
    <w:p w:rsidR="002914EB" w:rsidRDefault="002914EB" w:rsidP="00047DBB">
      <w:pPr>
        <w:shd w:val="clear" w:color="auto" w:fill="FFFFFF"/>
        <w:spacing w:after="0" w:line="269" w:lineRule="exact"/>
        <w:ind w:right="5" w:firstLine="567"/>
        <w:jc w:val="both"/>
        <w:rPr>
          <w:rFonts w:ascii="Times New Roman" w:hAnsi="Times New Roman" w:cs="Times New Roman"/>
          <w:sz w:val="24"/>
          <w:szCs w:val="24"/>
        </w:rPr>
      </w:pPr>
      <w:r w:rsidRPr="00DB03BF">
        <w:rPr>
          <w:rFonts w:ascii="Times New Roman" w:hAnsi="Times New Roman" w:cs="Times New Roman"/>
          <w:sz w:val="24"/>
          <w:szCs w:val="24"/>
        </w:rPr>
        <w:t xml:space="preserve">  В 2020 году процент взыскиваемости составил 112,2%. Взыскиваемость более чем на 100% произошла в связи с поступлением платежей по штрафам предыдущих периодов</w:t>
      </w:r>
      <w:r>
        <w:rPr>
          <w:rFonts w:ascii="Times New Roman" w:hAnsi="Times New Roman" w:cs="Times New Roman"/>
          <w:sz w:val="24"/>
          <w:szCs w:val="24"/>
        </w:rPr>
        <w:t>.</w:t>
      </w:r>
    </w:p>
    <w:p w:rsidR="002914EB" w:rsidRDefault="002914EB" w:rsidP="00047DBB">
      <w:pPr>
        <w:shd w:val="clear" w:color="auto" w:fill="FFFFFF"/>
        <w:spacing w:after="0" w:line="269" w:lineRule="exact"/>
        <w:ind w:right="5" w:firstLine="567"/>
        <w:jc w:val="both"/>
        <w:rPr>
          <w:rFonts w:ascii="Times New Roman" w:eastAsia="Times New Roman" w:hAnsi="Times New Roman" w:cs="Times New Roman"/>
          <w:sz w:val="24"/>
          <w:szCs w:val="24"/>
          <w:lang w:eastAsia="ru-RU"/>
        </w:rPr>
      </w:pPr>
      <w:r w:rsidRPr="00ED3261">
        <w:rPr>
          <w:rFonts w:ascii="Times New Roman" w:hAnsi="Times New Roman" w:cs="Times New Roman"/>
          <w:sz w:val="24"/>
          <w:szCs w:val="24"/>
        </w:rPr>
        <w:t xml:space="preserve">Процент взыскиваемости </w:t>
      </w:r>
      <w:r>
        <w:rPr>
          <w:rFonts w:ascii="Times New Roman" w:hAnsi="Times New Roman" w:cs="Times New Roman"/>
          <w:sz w:val="24"/>
          <w:szCs w:val="24"/>
        </w:rPr>
        <w:t>в 2019 году составил 78%, что практически на одном уровне в сравнении с 2018 годом.</w:t>
      </w:r>
    </w:p>
    <w:p w:rsidR="002914EB" w:rsidRDefault="002914EB" w:rsidP="00047DBB">
      <w:pPr>
        <w:spacing w:after="0"/>
        <w:ind w:firstLine="567"/>
        <w:jc w:val="both"/>
        <w:rPr>
          <w:rFonts w:ascii="Times New Roman" w:hAnsi="Times New Roman" w:cs="Times New Roman"/>
          <w:sz w:val="24"/>
          <w:szCs w:val="24"/>
        </w:rPr>
      </w:pPr>
      <w:r w:rsidRPr="00ED3261">
        <w:rPr>
          <w:rFonts w:ascii="Times New Roman" w:hAnsi="Times New Roman" w:cs="Times New Roman"/>
          <w:sz w:val="24"/>
          <w:szCs w:val="24"/>
        </w:rPr>
        <w:t xml:space="preserve">Процент взыскиваемости </w:t>
      </w:r>
      <w:r>
        <w:rPr>
          <w:rFonts w:ascii="Times New Roman" w:hAnsi="Times New Roman" w:cs="Times New Roman"/>
          <w:sz w:val="24"/>
          <w:szCs w:val="24"/>
        </w:rPr>
        <w:t xml:space="preserve">в 2018 году составил 80%, что на 17% меньше, чем в 2017 году. В 2017 году составил 97%, что на  9% больше, чем в 2016году. 2016 году составил 88%, что практически на одном уровне в сравнении с 2015 годом. </w:t>
      </w:r>
    </w:p>
    <w:p w:rsidR="002914EB" w:rsidRDefault="002914EB" w:rsidP="00047DBB">
      <w:pPr>
        <w:spacing w:after="0"/>
        <w:ind w:firstLine="567"/>
        <w:jc w:val="both"/>
        <w:rPr>
          <w:rFonts w:ascii="Times New Roman" w:hAnsi="Times New Roman" w:cs="Times New Roman"/>
          <w:sz w:val="24"/>
          <w:szCs w:val="24"/>
        </w:rPr>
      </w:pPr>
      <w:r w:rsidRPr="00330890">
        <w:rPr>
          <w:rFonts w:ascii="Times New Roman" w:hAnsi="Times New Roman" w:cs="Times New Roman"/>
          <w:sz w:val="24"/>
          <w:szCs w:val="24"/>
        </w:rPr>
        <w:t>Количество используемых статей КоАП РФ при проведении контрольно-надзорных мероприятий в 2020 году уменьшилось на 12 составов, и составляет 18 составов, в 2019 году количество применимых статей КоАП составляло 30 составов, в 2018 году – 32 состава.</w:t>
      </w:r>
      <w:r>
        <w:rPr>
          <w:rFonts w:ascii="Times New Roman" w:hAnsi="Times New Roman" w:cs="Times New Roman"/>
          <w:sz w:val="24"/>
          <w:szCs w:val="24"/>
        </w:rPr>
        <w:t xml:space="preserve"> </w:t>
      </w:r>
    </w:p>
    <w:p w:rsidR="002914EB" w:rsidRDefault="002914EB" w:rsidP="00047DBB">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Уменьшение количества применяемых составов в сравнении с 2018-2017 г.г. </w:t>
      </w:r>
      <w:r w:rsidRPr="00DB2F48">
        <w:rPr>
          <w:rFonts w:ascii="Times New Roman" w:hAnsi="Times New Roman" w:cs="Times New Roman"/>
          <w:sz w:val="24"/>
          <w:szCs w:val="24"/>
        </w:rPr>
        <w:t xml:space="preserve">произошло </w:t>
      </w:r>
      <w:r>
        <w:rPr>
          <w:rFonts w:ascii="Times New Roman" w:hAnsi="Times New Roman" w:cs="Times New Roman"/>
          <w:sz w:val="24"/>
          <w:szCs w:val="24"/>
        </w:rPr>
        <w:t xml:space="preserve">в результате изменений, внесенных в Федеральный закон от 26.12.2008г №294 </w:t>
      </w:r>
      <w:r>
        <w:rPr>
          <w:rFonts w:ascii="Times New Roman" w:hAnsi="Times New Roman" w:cs="Times New Roman"/>
          <w:sz w:val="24"/>
          <w:szCs w:val="24"/>
        </w:rPr>
        <w:lastRenderedPageBreak/>
        <w:t>«О защите прав юридических лиц и индивидуальных предпринимателей…», предусматривающий с 01.01.2017г исключительно претензионный порядок обращений граждан с жалобами. (таблица №1). Тем самым, при поступлении обращений граждан, которыми не был соблюден порядок, установленный положениями ФЗ</w:t>
      </w:r>
      <w:r w:rsidRPr="00F30A4A">
        <w:rPr>
          <w:rFonts w:ascii="Times New Roman" w:hAnsi="Times New Roman" w:cs="Times New Roman"/>
          <w:sz w:val="24"/>
          <w:szCs w:val="24"/>
        </w:rPr>
        <w:t xml:space="preserve"> </w:t>
      </w:r>
      <w:r>
        <w:rPr>
          <w:rFonts w:ascii="Times New Roman" w:hAnsi="Times New Roman" w:cs="Times New Roman"/>
          <w:sz w:val="24"/>
          <w:szCs w:val="24"/>
        </w:rPr>
        <w:t>от 26.12.2008г №294 «О защите прав юридических лиц и индивидуальных предпринимателей…», были даны разъяснения о порядке рассмотрения заявлений и обращений в государственный орган. Законные снования для проведения надзорных мероприятий отсутствовали, соответственно, меры административного воздействия не применялись.</w:t>
      </w:r>
    </w:p>
    <w:p w:rsidR="00047DBB" w:rsidRDefault="00047DBB" w:rsidP="00047DBB">
      <w:pPr>
        <w:spacing w:after="0"/>
        <w:jc w:val="right"/>
        <w:rPr>
          <w:rFonts w:ascii="Times New Roman" w:hAnsi="Times New Roman" w:cs="Times New Roman"/>
          <w:sz w:val="24"/>
          <w:szCs w:val="24"/>
        </w:rPr>
      </w:pPr>
    </w:p>
    <w:p w:rsidR="002914EB" w:rsidRDefault="002914EB" w:rsidP="00047DBB">
      <w:pPr>
        <w:spacing w:after="0"/>
        <w:jc w:val="right"/>
        <w:rPr>
          <w:rFonts w:ascii="Times New Roman" w:hAnsi="Times New Roman" w:cs="Times New Roman"/>
          <w:sz w:val="24"/>
          <w:szCs w:val="24"/>
        </w:rPr>
      </w:pPr>
      <w:r>
        <w:rPr>
          <w:rFonts w:ascii="Times New Roman" w:hAnsi="Times New Roman" w:cs="Times New Roman"/>
          <w:sz w:val="24"/>
          <w:szCs w:val="24"/>
        </w:rPr>
        <w:t>Таблица №4 Количество применяемых составов</w:t>
      </w:r>
    </w:p>
    <w:p w:rsidR="002914EB" w:rsidRDefault="002914EB" w:rsidP="002914EB">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BC8FDE2" wp14:editId="58C088E3">
            <wp:extent cx="4486275" cy="2428875"/>
            <wp:effectExtent l="0" t="0" r="9525" b="9525"/>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2914EB" w:rsidRDefault="002914EB" w:rsidP="002914EB">
      <w:pPr>
        <w:jc w:val="both"/>
        <w:rPr>
          <w:rFonts w:ascii="Times New Roman" w:hAnsi="Times New Roman" w:cs="Times New Roman"/>
          <w:sz w:val="24"/>
          <w:szCs w:val="24"/>
        </w:rPr>
      </w:pPr>
    </w:p>
    <w:p w:rsidR="002914EB" w:rsidRPr="00047DBB" w:rsidRDefault="002914EB" w:rsidP="00047DB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47DBB">
        <w:rPr>
          <w:rFonts w:ascii="Times New Roman" w:hAnsi="Times New Roman" w:cs="Times New Roman"/>
          <w:sz w:val="24"/>
          <w:szCs w:val="24"/>
        </w:rPr>
        <w:t>В 2020 представления об устранении причин и условий, способствовавших совершению правонарушения, не выносились</w:t>
      </w:r>
    </w:p>
    <w:p w:rsidR="002914EB" w:rsidRPr="00047DBB" w:rsidRDefault="002914EB" w:rsidP="00047DB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47DBB">
        <w:rPr>
          <w:rFonts w:ascii="Times New Roman" w:hAnsi="Times New Roman" w:cs="Times New Roman"/>
          <w:color w:val="000000"/>
          <w:sz w:val="24"/>
          <w:szCs w:val="24"/>
        </w:rPr>
        <w:t xml:space="preserve">В целях предупреждения совершения правонарушений, по результатам рассмотрения административных дел об административных правонарушениях 2019 году отделом, в адрес субъектов ответственности было внесено   35 представлений об устранении причин и условий, способствовавших совершению правонарушения, в аналогичном периоде 2018 года внесено 17 представлений. </w:t>
      </w:r>
    </w:p>
    <w:p w:rsidR="002914EB" w:rsidRDefault="002914EB" w:rsidP="00047DB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2020 году по г. Пыть-Ях исковых заявлений не подавалось.</w:t>
      </w:r>
    </w:p>
    <w:p w:rsidR="002914EB" w:rsidRDefault="002914EB" w:rsidP="00047D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2019 году ТО УРПН предъявлен 1 иск о понуждении исполнения санитарного законодательства к МБОУ «СОШ №2» и Администрации МО г.Пыть-Ях. Иск удовлетворен частично. </w:t>
      </w:r>
    </w:p>
    <w:p w:rsidR="002914EB" w:rsidRDefault="002914EB" w:rsidP="00047D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2018 году ТО УРПН предъявлено 2 иска в защиту неопределенного круга потребителей. (ООО «Домострой», ИП Рачева). Иски удовлетворены в полном объеме.</w:t>
      </w:r>
    </w:p>
    <w:p w:rsidR="002914EB" w:rsidRDefault="002914EB" w:rsidP="00047D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2020-2019 годах заключений по делу о защите прав потребителей не давалось.</w:t>
      </w:r>
    </w:p>
    <w:p w:rsidR="002914EB" w:rsidRPr="00ED3261" w:rsidRDefault="002914EB" w:rsidP="00047D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2018 году ТО УРПН дано 1 заключение в суде по делу о защите прав потребителей. В пользу потребителя присуждено 3000 рублей морального вреда. Решение суда обжаловано, не вступило в законную силу.</w:t>
      </w:r>
    </w:p>
    <w:p w:rsidR="002914EB" w:rsidRPr="00ED3261" w:rsidRDefault="002914EB" w:rsidP="00047D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2020-2018 г.г  постановлений</w:t>
      </w:r>
      <w:r w:rsidRPr="00ED3261">
        <w:rPr>
          <w:rFonts w:ascii="Times New Roman" w:hAnsi="Times New Roman" w:cs="Times New Roman"/>
          <w:sz w:val="24"/>
          <w:szCs w:val="24"/>
        </w:rPr>
        <w:t xml:space="preserve"> о направлении в правоохранительные органы материалов для возбуждения уголовных дел не направлялись.</w:t>
      </w:r>
    </w:p>
    <w:p w:rsidR="002914EB" w:rsidRPr="00ED3261" w:rsidRDefault="002914EB" w:rsidP="002914EB">
      <w:pPr>
        <w:spacing w:after="0"/>
        <w:jc w:val="both"/>
        <w:rPr>
          <w:rFonts w:ascii="Times New Roman" w:hAnsi="Times New Roman" w:cs="Times New Roman"/>
          <w:sz w:val="24"/>
          <w:szCs w:val="24"/>
        </w:rPr>
      </w:pPr>
    </w:p>
    <w:p w:rsidR="002914EB" w:rsidRPr="00047DBB" w:rsidRDefault="00047DBB" w:rsidP="00047DBB">
      <w:pPr>
        <w:tabs>
          <w:tab w:val="left" w:pos="2070"/>
        </w:tabs>
        <w:spacing w:line="240" w:lineRule="auto"/>
        <w:contextualSpacing/>
        <w:rPr>
          <w:rFonts w:ascii="Times New Roman" w:hAnsi="Times New Roman" w:cs="Times New Roman"/>
          <w:b/>
          <w:sz w:val="24"/>
          <w:szCs w:val="24"/>
        </w:rPr>
      </w:pPr>
      <w:r>
        <w:tab/>
      </w:r>
      <w:r w:rsidR="002914EB" w:rsidRPr="00047DBB">
        <w:rPr>
          <w:rFonts w:ascii="Times New Roman" w:hAnsi="Times New Roman" w:cs="Times New Roman"/>
          <w:b/>
          <w:sz w:val="24"/>
          <w:szCs w:val="24"/>
        </w:rPr>
        <w:t>Раздел 3. Достигнутые результаты улучшения</w:t>
      </w:r>
    </w:p>
    <w:p w:rsidR="002914EB" w:rsidRPr="00047DBB" w:rsidRDefault="002914EB" w:rsidP="00047DBB">
      <w:pPr>
        <w:pStyle w:val="afc"/>
        <w:contextualSpacing/>
        <w:jc w:val="center"/>
        <w:rPr>
          <w:b/>
          <w:sz w:val="24"/>
          <w:szCs w:val="24"/>
        </w:rPr>
      </w:pPr>
      <w:r w:rsidRPr="00047DBB">
        <w:rPr>
          <w:b/>
          <w:sz w:val="24"/>
          <w:szCs w:val="24"/>
        </w:rPr>
        <w:t>санитарно-эпидемиологической обстановки в г. Пыть-Ях, имеющиеся проблемные вопросы при обеспечении</w:t>
      </w:r>
    </w:p>
    <w:p w:rsidR="002914EB" w:rsidRPr="00047DBB" w:rsidRDefault="002914EB" w:rsidP="00047DBB">
      <w:pPr>
        <w:pStyle w:val="afc"/>
        <w:contextualSpacing/>
        <w:jc w:val="center"/>
        <w:rPr>
          <w:b/>
          <w:sz w:val="24"/>
          <w:szCs w:val="24"/>
        </w:rPr>
      </w:pPr>
      <w:r w:rsidRPr="00047DBB">
        <w:rPr>
          <w:b/>
          <w:sz w:val="24"/>
          <w:szCs w:val="24"/>
        </w:rPr>
        <w:t>санитарно-эпидемиологического благополучия</w:t>
      </w:r>
    </w:p>
    <w:p w:rsidR="002914EB" w:rsidRPr="00047DBB" w:rsidRDefault="002914EB" w:rsidP="00047DBB">
      <w:pPr>
        <w:pStyle w:val="afc"/>
        <w:contextualSpacing/>
        <w:jc w:val="center"/>
        <w:rPr>
          <w:b/>
          <w:sz w:val="24"/>
          <w:szCs w:val="24"/>
        </w:rPr>
      </w:pPr>
      <w:r w:rsidRPr="00047DBB">
        <w:rPr>
          <w:b/>
          <w:sz w:val="24"/>
          <w:szCs w:val="24"/>
        </w:rPr>
        <w:t>и намечаемые меры по их решению.</w:t>
      </w:r>
    </w:p>
    <w:p w:rsidR="002914EB" w:rsidRDefault="002914EB" w:rsidP="002914EB">
      <w:pPr>
        <w:ind w:firstLine="567"/>
        <w:jc w:val="both"/>
        <w:rPr>
          <w:rFonts w:ascii="Times New Roman" w:hAnsi="Times New Roman" w:cs="Times New Roman"/>
          <w:b/>
          <w:sz w:val="26"/>
          <w:szCs w:val="26"/>
        </w:rPr>
      </w:pPr>
    </w:p>
    <w:p w:rsidR="002914EB" w:rsidRPr="00CF7F68" w:rsidRDefault="002914EB" w:rsidP="00047DBB">
      <w:pPr>
        <w:spacing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lastRenderedPageBreak/>
        <w:t>3.1. А</w:t>
      </w:r>
      <w:r w:rsidRPr="00CF7F68">
        <w:rPr>
          <w:rFonts w:ascii="Times New Roman" w:hAnsi="Times New Roman" w:cs="Times New Roman"/>
          <w:b/>
          <w:sz w:val="26"/>
          <w:szCs w:val="26"/>
        </w:rPr>
        <w:t>нализ и оценка эффективности достижения индикативных показателей деятельности по улучшению санитарно-эпидемиологического благополучия населения</w:t>
      </w:r>
      <w:r>
        <w:rPr>
          <w:rFonts w:ascii="Times New Roman" w:hAnsi="Times New Roman" w:cs="Times New Roman"/>
          <w:b/>
          <w:sz w:val="26"/>
          <w:szCs w:val="26"/>
        </w:rPr>
        <w:t xml:space="preserve"> г. Пыть-Ях</w:t>
      </w:r>
      <w:r w:rsidRPr="00CF7F68">
        <w:rPr>
          <w:rFonts w:ascii="Times New Roman" w:hAnsi="Times New Roman" w:cs="Times New Roman"/>
          <w:b/>
          <w:sz w:val="26"/>
          <w:szCs w:val="26"/>
        </w:rPr>
        <w:t>.</w:t>
      </w:r>
    </w:p>
    <w:p w:rsidR="002914EB" w:rsidRPr="00A6210E" w:rsidRDefault="002914EB" w:rsidP="002914EB">
      <w:pPr>
        <w:tabs>
          <w:tab w:val="left" w:pos="0"/>
        </w:tabs>
        <w:ind w:right="57"/>
        <w:jc w:val="both"/>
        <w:rPr>
          <w:rFonts w:ascii="Times New Roman" w:hAnsi="Times New Roman" w:cs="Times New Roman"/>
          <w:b/>
          <w:bCs/>
          <w:color w:val="000000"/>
        </w:rPr>
      </w:pPr>
      <w:r>
        <w:rPr>
          <w:rFonts w:ascii="Times New Roman" w:hAnsi="Times New Roman" w:cs="Times New Roman"/>
          <w:color w:val="000000"/>
          <w:sz w:val="24"/>
          <w:szCs w:val="24"/>
        </w:rPr>
        <w:tab/>
        <w:t>Благодаря эффективной и целенаправленной  деятельности ТО РПН отмечается стабилизация санитарно-эпидемиологической обстановки и улучшение ее по отдельным показателям.</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993"/>
        <w:gridCol w:w="1701"/>
        <w:gridCol w:w="1559"/>
      </w:tblGrid>
      <w:tr w:rsidR="002914EB" w:rsidRPr="009D52A6" w:rsidTr="00047DBB">
        <w:trPr>
          <w:cantSplit/>
          <w:trHeight w:val="970"/>
        </w:trPr>
        <w:tc>
          <w:tcPr>
            <w:tcW w:w="6663" w:type="dxa"/>
            <w:tcBorders>
              <w:top w:val="single" w:sz="4" w:space="0" w:color="auto"/>
              <w:left w:val="single" w:sz="4" w:space="0" w:color="auto"/>
              <w:bottom w:val="single" w:sz="4" w:space="0" w:color="auto"/>
              <w:right w:val="single" w:sz="4" w:space="0" w:color="auto"/>
            </w:tcBorders>
            <w:vAlign w:val="center"/>
            <w:hideMark/>
          </w:tcPr>
          <w:p w:rsidR="002914EB" w:rsidRPr="009D52A6" w:rsidRDefault="002914EB" w:rsidP="002914EB">
            <w:pPr>
              <w:jc w:val="center"/>
              <w:rPr>
                <w:rFonts w:ascii="Times New Roman" w:hAnsi="Times New Roman" w:cs="Times New Roman"/>
                <w:bCs/>
              </w:rPr>
            </w:pPr>
            <w:r>
              <w:rPr>
                <w:rFonts w:ascii="Times New Roman" w:hAnsi="Times New Roman" w:cs="Times New Roman"/>
                <w:sz w:val="24"/>
                <w:szCs w:val="24"/>
              </w:rPr>
              <w:tab/>
            </w:r>
            <w:r w:rsidRPr="009D52A6">
              <w:rPr>
                <w:rFonts w:ascii="Times New Roman" w:hAnsi="Times New Roman" w:cs="Times New Roman"/>
                <w:bCs/>
              </w:rPr>
              <w:t>Показатели, характеризующие планируемый уровень достижения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2914EB" w:rsidRPr="009D52A6" w:rsidRDefault="002914EB" w:rsidP="002914EB">
            <w:pPr>
              <w:jc w:val="center"/>
              <w:rPr>
                <w:rFonts w:ascii="Times New Roman" w:hAnsi="Times New Roman" w:cs="Times New Roman"/>
                <w:bCs/>
              </w:rPr>
            </w:pPr>
            <w:r w:rsidRPr="009D52A6">
              <w:rPr>
                <w:rFonts w:ascii="Times New Roman" w:hAnsi="Times New Roman" w:cs="Times New Roman"/>
                <w:bCs/>
              </w:rPr>
              <w:t>Единица 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4EB" w:rsidRPr="009D52A6" w:rsidRDefault="002914EB" w:rsidP="002914EB">
            <w:pPr>
              <w:spacing w:after="0"/>
              <w:jc w:val="center"/>
              <w:rPr>
                <w:rFonts w:ascii="Times New Roman" w:hAnsi="Times New Roman" w:cs="Times New Roman"/>
                <w:bCs/>
              </w:rPr>
            </w:pPr>
            <w:r w:rsidRPr="009D52A6">
              <w:rPr>
                <w:rFonts w:ascii="Times New Roman" w:hAnsi="Times New Roman" w:cs="Times New Roman"/>
                <w:bCs/>
              </w:rPr>
              <w:t>Планируемые</w:t>
            </w:r>
          </w:p>
          <w:p w:rsidR="002914EB" w:rsidRPr="009D52A6" w:rsidRDefault="002914EB" w:rsidP="002914EB">
            <w:pPr>
              <w:spacing w:after="0"/>
              <w:jc w:val="center"/>
              <w:rPr>
                <w:rFonts w:ascii="Times New Roman" w:hAnsi="Times New Roman" w:cs="Times New Roman"/>
                <w:bCs/>
              </w:rPr>
            </w:pPr>
            <w:r w:rsidRPr="009D52A6">
              <w:rPr>
                <w:rFonts w:ascii="Times New Roman" w:hAnsi="Times New Roman" w:cs="Times New Roman"/>
                <w:bCs/>
              </w:rPr>
              <w:t>Количественные показате</w:t>
            </w:r>
            <w:r>
              <w:rPr>
                <w:rFonts w:ascii="Times New Roman" w:hAnsi="Times New Roman" w:cs="Times New Roman"/>
                <w:bCs/>
              </w:rPr>
              <w:t>ли и показатели качества на 2020</w:t>
            </w:r>
            <w:r w:rsidRPr="009D52A6">
              <w:rPr>
                <w:rFonts w:ascii="Times New Roman" w:hAnsi="Times New Roman" w:cs="Times New Roman"/>
                <w:bCs/>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2914EB" w:rsidRPr="009D52A6" w:rsidRDefault="002914EB" w:rsidP="002914EB">
            <w:pPr>
              <w:jc w:val="center"/>
              <w:rPr>
                <w:rFonts w:ascii="Times New Roman" w:hAnsi="Times New Roman" w:cs="Times New Roman"/>
                <w:bCs/>
              </w:rPr>
            </w:pPr>
            <w:r w:rsidRPr="009D52A6">
              <w:rPr>
                <w:rFonts w:ascii="Times New Roman" w:hAnsi="Times New Roman" w:cs="Times New Roman"/>
                <w:bCs/>
              </w:rPr>
              <w:t>Достигнутые Количественные показатели и показа</w:t>
            </w:r>
            <w:r>
              <w:rPr>
                <w:rFonts w:ascii="Times New Roman" w:hAnsi="Times New Roman" w:cs="Times New Roman"/>
                <w:bCs/>
              </w:rPr>
              <w:t>тели качества по итогам  2020</w:t>
            </w:r>
            <w:r w:rsidRPr="009D52A6">
              <w:rPr>
                <w:rFonts w:ascii="Times New Roman" w:hAnsi="Times New Roman" w:cs="Times New Roman"/>
                <w:bCs/>
              </w:rPr>
              <w:t xml:space="preserve"> г.</w:t>
            </w:r>
          </w:p>
        </w:tc>
      </w:tr>
      <w:tr w:rsidR="002914EB" w:rsidRPr="009D52A6" w:rsidTr="00047DBB">
        <w:trPr>
          <w:trHeight w:val="278"/>
        </w:trPr>
        <w:tc>
          <w:tcPr>
            <w:tcW w:w="666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both"/>
              <w:rPr>
                <w:rFonts w:ascii="Times New Roman" w:hAnsi="Times New Roman" w:cs="Times New Roman"/>
              </w:rPr>
            </w:pPr>
            <w:r w:rsidRPr="009D52A6">
              <w:rPr>
                <w:rFonts w:ascii="Times New Roman" w:hAnsi="Times New Roman" w:cs="Times New Roman"/>
              </w:rPr>
              <w:t xml:space="preserve">Охват школьников всеми формами питания.  </w:t>
            </w:r>
          </w:p>
        </w:tc>
        <w:tc>
          <w:tcPr>
            <w:tcW w:w="99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tcPr>
          <w:p w:rsidR="002914EB" w:rsidRPr="009D52A6" w:rsidRDefault="002914EB" w:rsidP="002914EB">
            <w:pPr>
              <w:jc w:val="center"/>
              <w:rPr>
                <w:rFonts w:ascii="Times New Roman" w:hAnsi="Times New Roman" w:cs="Times New Roman"/>
              </w:rPr>
            </w:pPr>
            <w:r>
              <w:rPr>
                <w:rFonts w:ascii="Times New Roman" w:hAnsi="Times New Roman" w:cs="Times New Roman"/>
              </w:rPr>
              <w:t>100,0</w:t>
            </w:r>
          </w:p>
        </w:tc>
      </w:tr>
      <w:tr w:rsidR="002914EB" w:rsidRPr="009D52A6" w:rsidTr="00047DBB">
        <w:trPr>
          <w:trHeight w:val="278"/>
        </w:trPr>
        <w:tc>
          <w:tcPr>
            <w:tcW w:w="666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both"/>
              <w:rPr>
                <w:rFonts w:ascii="Times New Roman" w:hAnsi="Times New Roman" w:cs="Times New Roman"/>
              </w:rPr>
            </w:pPr>
            <w:r w:rsidRPr="009D52A6">
              <w:rPr>
                <w:rFonts w:ascii="Times New Roman" w:hAnsi="Times New Roman" w:cs="Times New Roman"/>
              </w:rPr>
              <w:t xml:space="preserve">Доля детей с выраженным оздоровительным эффектом в ЗОУ.  </w:t>
            </w:r>
          </w:p>
        </w:tc>
        <w:tc>
          <w:tcPr>
            <w:tcW w:w="99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Pr>
                <w:rFonts w:ascii="Times New Roman" w:hAnsi="Times New Roman" w:cs="Times New Roman"/>
              </w:rPr>
              <w:t>85</w:t>
            </w:r>
            <w:r w:rsidRPr="009D52A6">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2914EB" w:rsidRPr="009D52A6" w:rsidRDefault="002914EB" w:rsidP="002914EB">
            <w:pPr>
              <w:jc w:val="center"/>
              <w:rPr>
                <w:rFonts w:ascii="Times New Roman" w:hAnsi="Times New Roman" w:cs="Times New Roman"/>
              </w:rPr>
            </w:pPr>
            <w:r>
              <w:rPr>
                <w:rFonts w:ascii="Times New Roman" w:hAnsi="Times New Roman" w:cs="Times New Roman"/>
              </w:rPr>
              <w:t>99,99</w:t>
            </w:r>
          </w:p>
        </w:tc>
      </w:tr>
      <w:tr w:rsidR="002914EB" w:rsidRPr="009D52A6" w:rsidTr="00047DBB">
        <w:trPr>
          <w:trHeight w:val="278"/>
        </w:trPr>
        <w:tc>
          <w:tcPr>
            <w:tcW w:w="666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both"/>
              <w:rPr>
                <w:rFonts w:ascii="Times New Roman" w:hAnsi="Times New Roman" w:cs="Times New Roman"/>
              </w:rPr>
            </w:pPr>
            <w:r w:rsidRPr="009D52A6">
              <w:rPr>
                <w:rFonts w:ascii="Times New Roman" w:hAnsi="Times New Roman" w:cs="Times New Roman"/>
              </w:rPr>
              <w:t>Улучшение показателей санитарно-эпидемиологического благополучия на объектах надзора, а именно: ежегодное снижение удельного веса объектов, относящихся к III группе санэпидблагополучия,  в том числе по:</w:t>
            </w:r>
          </w:p>
          <w:p w:rsidR="002914EB" w:rsidRPr="009D52A6" w:rsidRDefault="002914EB" w:rsidP="002914EB">
            <w:pPr>
              <w:jc w:val="both"/>
              <w:rPr>
                <w:rFonts w:ascii="Times New Roman" w:hAnsi="Times New Roman" w:cs="Times New Roman"/>
              </w:rPr>
            </w:pPr>
            <w:r w:rsidRPr="009D52A6">
              <w:rPr>
                <w:rFonts w:ascii="Times New Roman" w:hAnsi="Times New Roman" w:cs="Times New Roman"/>
              </w:rPr>
              <w:t>коммунальным объектам;</w:t>
            </w:r>
          </w:p>
        </w:tc>
        <w:tc>
          <w:tcPr>
            <w:tcW w:w="99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p>
          <w:p w:rsidR="002914EB" w:rsidRPr="009D52A6" w:rsidRDefault="002914EB" w:rsidP="002914EB">
            <w:pPr>
              <w:jc w:val="center"/>
              <w:rPr>
                <w:rFonts w:ascii="Times New Roman" w:hAnsi="Times New Roman" w:cs="Times New Roman"/>
              </w:rPr>
            </w:pPr>
          </w:p>
          <w:p w:rsidR="002914EB" w:rsidRPr="009D52A6" w:rsidRDefault="002914EB" w:rsidP="002914EB">
            <w:pPr>
              <w:jc w:val="center"/>
              <w:rPr>
                <w:rFonts w:ascii="Times New Roman" w:hAnsi="Times New Roman" w:cs="Times New Roman"/>
              </w:rPr>
            </w:pPr>
          </w:p>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p>
          <w:p w:rsidR="002914EB" w:rsidRPr="009D52A6" w:rsidRDefault="002914EB" w:rsidP="002914EB">
            <w:pPr>
              <w:jc w:val="center"/>
              <w:rPr>
                <w:rFonts w:ascii="Times New Roman" w:hAnsi="Times New Roman" w:cs="Times New Roman"/>
              </w:rPr>
            </w:pPr>
          </w:p>
          <w:p w:rsidR="002914EB" w:rsidRPr="009D52A6" w:rsidRDefault="002914EB" w:rsidP="002914EB">
            <w:pPr>
              <w:jc w:val="center"/>
              <w:rPr>
                <w:rFonts w:ascii="Times New Roman" w:hAnsi="Times New Roman" w:cs="Times New Roman"/>
              </w:rPr>
            </w:pPr>
          </w:p>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10,8</w:t>
            </w:r>
          </w:p>
        </w:tc>
        <w:tc>
          <w:tcPr>
            <w:tcW w:w="1559" w:type="dxa"/>
            <w:tcBorders>
              <w:top w:val="single" w:sz="4" w:space="0" w:color="auto"/>
              <w:left w:val="single" w:sz="4" w:space="0" w:color="auto"/>
              <w:bottom w:val="single" w:sz="4" w:space="0" w:color="auto"/>
              <w:right w:val="single" w:sz="4" w:space="0" w:color="auto"/>
            </w:tcBorders>
          </w:tcPr>
          <w:p w:rsidR="002914EB" w:rsidRPr="006B2D53" w:rsidRDefault="002914EB" w:rsidP="002914EB">
            <w:pPr>
              <w:jc w:val="center"/>
              <w:rPr>
                <w:rFonts w:ascii="Times New Roman" w:hAnsi="Times New Roman" w:cs="Times New Roman"/>
              </w:rPr>
            </w:pPr>
          </w:p>
          <w:p w:rsidR="002914EB" w:rsidRPr="006B2D53" w:rsidRDefault="002914EB" w:rsidP="002914EB">
            <w:pPr>
              <w:jc w:val="center"/>
              <w:rPr>
                <w:rFonts w:ascii="Times New Roman" w:hAnsi="Times New Roman" w:cs="Times New Roman"/>
              </w:rPr>
            </w:pPr>
          </w:p>
          <w:p w:rsidR="002914EB" w:rsidRPr="006B2D53" w:rsidRDefault="002914EB" w:rsidP="002914EB">
            <w:pPr>
              <w:jc w:val="center"/>
              <w:rPr>
                <w:rFonts w:ascii="Times New Roman" w:hAnsi="Times New Roman" w:cs="Times New Roman"/>
              </w:rPr>
            </w:pPr>
          </w:p>
          <w:p w:rsidR="002914EB" w:rsidRPr="006B2D53" w:rsidRDefault="002914EB" w:rsidP="002914EB">
            <w:pPr>
              <w:jc w:val="center"/>
              <w:rPr>
                <w:rFonts w:ascii="Times New Roman" w:hAnsi="Times New Roman" w:cs="Times New Roman"/>
              </w:rPr>
            </w:pPr>
            <w:r w:rsidRPr="006B2D53">
              <w:rPr>
                <w:rFonts w:ascii="Times New Roman" w:hAnsi="Times New Roman" w:cs="Times New Roman"/>
              </w:rPr>
              <w:t>10,8</w:t>
            </w:r>
          </w:p>
        </w:tc>
      </w:tr>
      <w:tr w:rsidR="002914EB" w:rsidRPr="009D52A6" w:rsidTr="00047DBB">
        <w:trPr>
          <w:trHeight w:val="278"/>
        </w:trPr>
        <w:tc>
          <w:tcPr>
            <w:tcW w:w="666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both"/>
              <w:rPr>
                <w:rFonts w:ascii="Times New Roman" w:hAnsi="Times New Roman" w:cs="Times New Roman"/>
              </w:rPr>
            </w:pPr>
            <w:r w:rsidRPr="009D52A6">
              <w:rPr>
                <w:rFonts w:ascii="Times New Roman" w:hAnsi="Times New Roman" w:cs="Times New Roman"/>
              </w:rPr>
              <w:t>детским и подростковым учреждениям;</w:t>
            </w:r>
          </w:p>
        </w:tc>
        <w:tc>
          <w:tcPr>
            <w:tcW w:w="99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3,2</w:t>
            </w:r>
          </w:p>
        </w:tc>
        <w:tc>
          <w:tcPr>
            <w:tcW w:w="1559" w:type="dxa"/>
            <w:tcBorders>
              <w:top w:val="single" w:sz="4" w:space="0" w:color="auto"/>
              <w:left w:val="single" w:sz="4" w:space="0" w:color="auto"/>
              <w:bottom w:val="single" w:sz="4" w:space="0" w:color="auto"/>
              <w:right w:val="single" w:sz="4" w:space="0" w:color="auto"/>
            </w:tcBorders>
          </w:tcPr>
          <w:p w:rsidR="002914EB" w:rsidRPr="006B2D53" w:rsidRDefault="002914EB" w:rsidP="002914EB">
            <w:pPr>
              <w:jc w:val="center"/>
              <w:rPr>
                <w:rFonts w:ascii="Times New Roman" w:hAnsi="Times New Roman" w:cs="Times New Roman"/>
              </w:rPr>
            </w:pPr>
            <w:r w:rsidRPr="006B2D53">
              <w:rPr>
                <w:rFonts w:ascii="Times New Roman" w:hAnsi="Times New Roman" w:cs="Times New Roman"/>
              </w:rPr>
              <w:t>-</w:t>
            </w:r>
          </w:p>
        </w:tc>
      </w:tr>
      <w:tr w:rsidR="002914EB" w:rsidRPr="009D52A6" w:rsidTr="00047DBB">
        <w:trPr>
          <w:trHeight w:val="278"/>
        </w:trPr>
        <w:tc>
          <w:tcPr>
            <w:tcW w:w="666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both"/>
              <w:rPr>
                <w:rFonts w:ascii="Times New Roman" w:hAnsi="Times New Roman" w:cs="Times New Roman"/>
              </w:rPr>
            </w:pPr>
            <w:r w:rsidRPr="009D52A6">
              <w:rPr>
                <w:rFonts w:ascii="Times New Roman" w:hAnsi="Times New Roman" w:cs="Times New Roman"/>
              </w:rPr>
              <w:t>предприятиям пищевой промышленности, общественного питания и торговли пищевыми продуктами;</w:t>
            </w:r>
          </w:p>
        </w:tc>
        <w:tc>
          <w:tcPr>
            <w:tcW w:w="99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F70671" w:rsidRDefault="002914EB" w:rsidP="002914EB">
            <w:pPr>
              <w:jc w:val="center"/>
              <w:rPr>
                <w:rFonts w:ascii="Times New Roman" w:hAnsi="Times New Roman" w:cs="Times New Roman"/>
                <w:color w:val="000000" w:themeColor="text1"/>
              </w:rPr>
            </w:pPr>
            <w:r w:rsidRPr="00F70671">
              <w:rPr>
                <w:rFonts w:ascii="Times New Roman" w:hAnsi="Times New Roman" w:cs="Times New Roman"/>
                <w:color w:val="000000" w:themeColor="text1"/>
              </w:rPr>
              <w:t>4,6</w:t>
            </w:r>
          </w:p>
        </w:tc>
        <w:tc>
          <w:tcPr>
            <w:tcW w:w="1559" w:type="dxa"/>
            <w:tcBorders>
              <w:top w:val="single" w:sz="4" w:space="0" w:color="auto"/>
              <w:left w:val="single" w:sz="4" w:space="0" w:color="auto"/>
              <w:bottom w:val="single" w:sz="4" w:space="0" w:color="auto"/>
              <w:right w:val="single" w:sz="4" w:space="0" w:color="auto"/>
            </w:tcBorders>
          </w:tcPr>
          <w:p w:rsidR="002914EB" w:rsidRPr="00F70671" w:rsidRDefault="002914EB" w:rsidP="002914EB">
            <w:pPr>
              <w:jc w:val="center"/>
              <w:rPr>
                <w:rFonts w:ascii="Times New Roman" w:hAnsi="Times New Roman" w:cs="Times New Roman"/>
                <w:color w:val="000000" w:themeColor="text1"/>
              </w:rPr>
            </w:pPr>
            <w:r w:rsidRPr="00F70671">
              <w:rPr>
                <w:rFonts w:ascii="Times New Roman" w:hAnsi="Times New Roman" w:cs="Times New Roman"/>
                <w:color w:val="000000" w:themeColor="text1"/>
              </w:rPr>
              <w:t>7,0</w:t>
            </w:r>
          </w:p>
        </w:tc>
      </w:tr>
      <w:tr w:rsidR="002914EB" w:rsidRPr="009D52A6" w:rsidTr="00047DBB">
        <w:trPr>
          <w:trHeight w:val="278"/>
        </w:trPr>
        <w:tc>
          <w:tcPr>
            <w:tcW w:w="666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both"/>
              <w:rPr>
                <w:rFonts w:ascii="Times New Roman" w:hAnsi="Times New Roman" w:cs="Times New Roman"/>
              </w:rPr>
            </w:pPr>
            <w:r w:rsidRPr="009D52A6">
              <w:rPr>
                <w:rFonts w:ascii="Times New Roman" w:hAnsi="Times New Roman" w:cs="Times New Roman"/>
              </w:rPr>
              <w:t>промышленным предприятиям;</w:t>
            </w:r>
          </w:p>
        </w:tc>
        <w:tc>
          <w:tcPr>
            <w:tcW w:w="99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8D544D" w:rsidRDefault="002914EB" w:rsidP="002914EB">
            <w:pPr>
              <w:jc w:val="center"/>
              <w:rPr>
                <w:rFonts w:ascii="Times New Roman" w:hAnsi="Times New Roman" w:cs="Times New Roman"/>
              </w:rPr>
            </w:pPr>
            <w:r w:rsidRPr="008D544D">
              <w:rPr>
                <w:rFonts w:ascii="Times New Roman" w:hAnsi="Times New Roman" w:cs="Times New Roman"/>
              </w:rPr>
              <w:t>19,7</w:t>
            </w:r>
          </w:p>
        </w:tc>
        <w:tc>
          <w:tcPr>
            <w:tcW w:w="1559" w:type="dxa"/>
            <w:tcBorders>
              <w:top w:val="single" w:sz="4" w:space="0" w:color="auto"/>
              <w:left w:val="single" w:sz="4" w:space="0" w:color="auto"/>
              <w:bottom w:val="single" w:sz="4" w:space="0" w:color="auto"/>
              <w:right w:val="single" w:sz="4" w:space="0" w:color="auto"/>
            </w:tcBorders>
          </w:tcPr>
          <w:p w:rsidR="002914EB" w:rsidRPr="006B2D53" w:rsidRDefault="002914EB" w:rsidP="002914EB">
            <w:pPr>
              <w:jc w:val="center"/>
              <w:rPr>
                <w:rFonts w:ascii="Times New Roman" w:hAnsi="Times New Roman" w:cs="Times New Roman"/>
              </w:rPr>
            </w:pPr>
            <w:r w:rsidRPr="006B2D53">
              <w:rPr>
                <w:rFonts w:ascii="Times New Roman" w:hAnsi="Times New Roman" w:cs="Times New Roman"/>
              </w:rPr>
              <w:t>14,2</w:t>
            </w:r>
          </w:p>
        </w:tc>
      </w:tr>
      <w:tr w:rsidR="002914EB" w:rsidRPr="009D52A6" w:rsidTr="00047DBB">
        <w:trPr>
          <w:trHeight w:val="278"/>
        </w:trPr>
        <w:tc>
          <w:tcPr>
            <w:tcW w:w="666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both"/>
              <w:rPr>
                <w:rFonts w:ascii="Times New Roman" w:hAnsi="Times New Roman" w:cs="Times New Roman"/>
              </w:rPr>
            </w:pPr>
            <w:r w:rsidRPr="009D52A6">
              <w:rPr>
                <w:rFonts w:ascii="Times New Roman" w:hAnsi="Times New Roman" w:cs="Times New Roman"/>
              </w:rPr>
              <w:t xml:space="preserve">в том числе транспортные средства; </w:t>
            </w:r>
          </w:p>
        </w:tc>
        <w:tc>
          <w:tcPr>
            <w:tcW w:w="99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8D544D" w:rsidRDefault="002914EB" w:rsidP="002914EB">
            <w:pPr>
              <w:jc w:val="center"/>
              <w:rPr>
                <w:rFonts w:ascii="Times New Roman" w:hAnsi="Times New Roman" w:cs="Times New Roman"/>
              </w:rPr>
            </w:pPr>
            <w:r w:rsidRPr="008D544D">
              <w:rPr>
                <w:rFonts w:ascii="Times New Roman" w:hAnsi="Times New Roman" w:cs="Times New Roman"/>
              </w:rPr>
              <w:t>5,6</w:t>
            </w:r>
          </w:p>
        </w:tc>
        <w:tc>
          <w:tcPr>
            <w:tcW w:w="1559" w:type="dxa"/>
            <w:tcBorders>
              <w:top w:val="single" w:sz="4" w:space="0" w:color="auto"/>
              <w:left w:val="single" w:sz="4" w:space="0" w:color="auto"/>
              <w:bottom w:val="single" w:sz="4" w:space="0" w:color="auto"/>
              <w:right w:val="single" w:sz="4" w:space="0" w:color="auto"/>
            </w:tcBorders>
          </w:tcPr>
          <w:p w:rsidR="002914EB" w:rsidRPr="009A7B28" w:rsidRDefault="002914EB" w:rsidP="002914EB">
            <w:pPr>
              <w:jc w:val="center"/>
              <w:rPr>
                <w:rFonts w:ascii="Times New Roman" w:hAnsi="Times New Roman" w:cs="Times New Roman"/>
                <w:b/>
              </w:rPr>
            </w:pPr>
            <w:r w:rsidRPr="009A7B28">
              <w:rPr>
                <w:rFonts w:ascii="Times New Roman" w:hAnsi="Times New Roman" w:cs="Times New Roman"/>
                <w:b/>
              </w:rPr>
              <w:t>-</w:t>
            </w:r>
          </w:p>
        </w:tc>
      </w:tr>
      <w:tr w:rsidR="002914EB" w:rsidRPr="009D52A6" w:rsidTr="00047DBB">
        <w:trPr>
          <w:trHeight w:val="278"/>
        </w:trPr>
        <w:tc>
          <w:tcPr>
            <w:tcW w:w="666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both"/>
              <w:rPr>
                <w:rFonts w:ascii="Times New Roman" w:hAnsi="Times New Roman" w:cs="Times New Roman"/>
              </w:rPr>
            </w:pPr>
            <w:r w:rsidRPr="009D52A6">
              <w:rPr>
                <w:rFonts w:ascii="Times New Roman" w:hAnsi="Times New Roman" w:cs="Times New Roman"/>
              </w:rPr>
              <w:t xml:space="preserve">Удельный вес населения, обеспеченного   питьевой водой, отвечающей требованиям безопасности. </w:t>
            </w:r>
          </w:p>
        </w:tc>
        <w:tc>
          <w:tcPr>
            <w:tcW w:w="99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2914EB" w:rsidRPr="009D52A6" w:rsidRDefault="002914EB" w:rsidP="002914EB">
            <w:pPr>
              <w:jc w:val="center"/>
              <w:rPr>
                <w:rFonts w:ascii="Times New Roman" w:hAnsi="Times New Roman" w:cs="Times New Roman"/>
              </w:rPr>
            </w:pPr>
            <w:r>
              <w:rPr>
                <w:rFonts w:ascii="Times New Roman" w:hAnsi="Times New Roman" w:cs="Times New Roman"/>
              </w:rPr>
              <w:t>30,7</w:t>
            </w:r>
          </w:p>
        </w:tc>
      </w:tr>
      <w:tr w:rsidR="002914EB" w:rsidRPr="009D52A6" w:rsidTr="00047DBB">
        <w:trPr>
          <w:trHeight w:val="278"/>
        </w:trPr>
        <w:tc>
          <w:tcPr>
            <w:tcW w:w="666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both"/>
              <w:rPr>
                <w:rFonts w:ascii="Times New Roman" w:hAnsi="Times New Roman" w:cs="Times New Roman"/>
              </w:rPr>
            </w:pPr>
            <w:r w:rsidRPr="009D52A6">
              <w:rPr>
                <w:rFonts w:ascii="Times New Roman" w:hAnsi="Times New Roman" w:cs="Times New Roman"/>
              </w:rPr>
              <w:t xml:space="preserve">Удельный вес количества предприятий, выпускающих продукцию с содержанием йода и других микронутриентов от общего количества предприятий молочной и хлебопекарной промышленности. </w:t>
            </w:r>
          </w:p>
        </w:tc>
        <w:tc>
          <w:tcPr>
            <w:tcW w:w="99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10,0</w:t>
            </w:r>
          </w:p>
        </w:tc>
        <w:tc>
          <w:tcPr>
            <w:tcW w:w="1559" w:type="dxa"/>
            <w:tcBorders>
              <w:top w:val="single" w:sz="4" w:space="0" w:color="auto"/>
              <w:left w:val="single" w:sz="4" w:space="0" w:color="auto"/>
              <w:bottom w:val="single" w:sz="4" w:space="0" w:color="auto"/>
              <w:right w:val="single" w:sz="4" w:space="0" w:color="auto"/>
            </w:tcBorders>
          </w:tcPr>
          <w:p w:rsidR="002914EB" w:rsidRPr="009D52A6" w:rsidRDefault="002914EB" w:rsidP="002914EB">
            <w:pPr>
              <w:jc w:val="center"/>
              <w:rPr>
                <w:rFonts w:ascii="Times New Roman" w:hAnsi="Times New Roman" w:cs="Times New Roman"/>
              </w:rPr>
            </w:pPr>
            <w:r>
              <w:rPr>
                <w:rFonts w:ascii="Times New Roman" w:hAnsi="Times New Roman" w:cs="Times New Roman"/>
              </w:rPr>
              <w:t>10,0</w:t>
            </w:r>
          </w:p>
        </w:tc>
      </w:tr>
      <w:tr w:rsidR="002914EB" w:rsidRPr="009D52A6" w:rsidTr="00047DBB">
        <w:trPr>
          <w:trHeight w:val="278"/>
        </w:trPr>
        <w:tc>
          <w:tcPr>
            <w:tcW w:w="666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both"/>
              <w:rPr>
                <w:rFonts w:ascii="Times New Roman" w:hAnsi="Times New Roman" w:cs="Times New Roman"/>
              </w:rPr>
            </w:pPr>
            <w:r w:rsidRPr="009D52A6">
              <w:rPr>
                <w:rFonts w:ascii="Times New Roman" w:hAnsi="Times New Roman" w:cs="Times New Roman"/>
              </w:rPr>
              <w:t xml:space="preserve">Удельный вес работающих на промышленных предприятиях во вредных и опасных условиях труда от общего количества. </w:t>
            </w:r>
          </w:p>
        </w:tc>
        <w:tc>
          <w:tcPr>
            <w:tcW w:w="99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8D544D" w:rsidRDefault="002914EB" w:rsidP="002914EB">
            <w:pPr>
              <w:jc w:val="center"/>
              <w:rPr>
                <w:rFonts w:ascii="Times New Roman" w:hAnsi="Times New Roman" w:cs="Times New Roman"/>
              </w:rPr>
            </w:pPr>
            <w:r w:rsidRPr="008D544D">
              <w:rPr>
                <w:rFonts w:ascii="Times New Roman" w:hAnsi="Times New Roman" w:cs="Times New Roman"/>
              </w:rPr>
              <w:t>57,9</w:t>
            </w:r>
          </w:p>
        </w:tc>
        <w:tc>
          <w:tcPr>
            <w:tcW w:w="1559" w:type="dxa"/>
            <w:tcBorders>
              <w:top w:val="single" w:sz="4" w:space="0" w:color="auto"/>
              <w:left w:val="single" w:sz="4" w:space="0" w:color="auto"/>
              <w:bottom w:val="single" w:sz="4" w:space="0" w:color="auto"/>
              <w:right w:val="single" w:sz="4" w:space="0" w:color="auto"/>
            </w:tcBorders>
          </w:tcPr>
          <w:p w:rsidR="002914EB" w:rsidRPr="006B2D53" w:rsidRDefault="002914EB" w:rsidP="002914EB">
            <w:pPr>
              <w:jc w:val="center"/>
              <w:rPr>
                <w:rFonts w:ascii="Times New Roman" w:hAnsi="Times New Roman" w:cs="Times New Roman"/>
              </w:rPr>
            </w:pPr>
            <w:r w:rsidRPr="006B2D53">
              <w:rPr>
                <w:rFonts w:ascii="Times New Roman" w:hAnsi="Times New Roman" w:cs="Times New Roman"/>
              </w:rPr>
              <w:t>59,6</w:t>
            </w:r>
          </w:p>
        </w:tc>
      </w:tr>
      <w:tr w:rsidR="002914EB" w:rsidRPr="009D52A6" w:rsidTr="00047DBB">
        <w:trPr>
          <w:trHeight w:val="278"/>
        </w:trPr>
        <w:tc>
          <w:tcPr>
            <w:tcW w:w="666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both"/>
              <w:rPr>
                <w:rFonts w:ascii="Times New Roman" w:hAnsi="Times New Roman" w:cs="Times New Roman"/>
              </w:rPr>
            </w:pPr>
            <w:r w:rsidRPr="009D52A6">
              <w:rPr>
                <w:rFonts w:ascii="Times New Roman" w:hAnsi="Times New Roman" w:cs="Times New Roman"/>
              </w:rPr>
              <w:t xml:space="preserve">Охват периодическими медицинскими осмотрами работающего населения во вредных и опасных условиях труда.  </w:t>
            </w:r>
          </w:p>
        </w:tc>
        <w:tc>
          <w:tcPr>
            <w:tcW w:w="99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8D544D" w:rsidRDefault="002914EB" w:rsidP="002914EB">
            <w:pPr>
              <w:jc w:val="center"/>
              <w:rPr>
                <w:rFonts w:ascii="Times New Roman" w:hAnsi="Times New Roman" w:cs="Times New Roman"/>
              </w:rPr>
            </w:pPr>
            <w:r w:rsidRPr="008D544D">
              <w:rPr>
                <w:rFonts w:ascii="Times New Roman" w:hAnsi="Times New Roman" w:cs="Times New Roman"/>
              </w:rPr>
              <w:t>93,3</w:t>
            </w:r>
          </w:p>
        </w:tc>
        <w:tc>
          <w:tcPr>
            <w:tcW w:w="1559" w:type="dxa"/>
            <w:tcBorders>
              <w:top w:val="single" w:sz="4" w:space="0" w:color="auto"/>
              <w:left w:val="single" w:sz="4" w:space="0" w:color="auto"/>
              <w:bottom w:val="single" w:sz="4" w:space="0" w:color="auto"/>
              <w:right w:val="single" w:sz="4" w:space="0" w:color="auto"/>
            </w:tcBorders>
          </w:tcPr>
          <w:p w:rsidR="002914EB" w:rsidRPr="006B2D53" w:rsidRDefault="002914EB" w:rsidP="002914EB">
            <w:pPr>
              <w:jc w:val="center"/>
              <w:rPr>
                <w:rFonts w:ascii="Times New Roman" w:hAnsi="Times New Roman" w:cs="Times New Roman"/>
              </w:rPr>
            </w:pPr>
            <w:r w:rsidRPr="006B2D53">
              <w:rPr>
                <w:rFonts w:ascii="Times New Roman" w:hAnsi="Times New Roman" w:cs="Times New Roman"/>
              </w:rPr>
              <w:t>98,4</w:t>
            </w:r>
          </w:p>
        </w:tc>
      </w:tr>
      <w:tr w:rsidR="002914EB" w:rsidRPr="009D52A6" w:rsidTr="00047DBB">
        <w:trPr>
          <w:trHeight w:val="278"/>
        </w:trPr>
        <w:tc>
          <w:tcPr>
            <w:tcW w:w="666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both"/>
              <w:rPr>
                <w:rFonts w:ascii="Times New Roman" w:hAnsi="Times New Roman" w:cs="Times New Roman"/>
              </w:rPr>
            </w:pPr>
            <w:r w:rsidRPr="009D52A6">
              <w:rPr>
                <w:rFonts w:ascii="Times New Roman" w:hAnsi="Times New Roman" w:cs="Times New Roman"/>
              </w:rPr>
              <w:t xml:space="preserve">Удельный вес проб не соответствующих гигиеническим нормативам, в том числе:  </w:t>
            </w:r>
          </w:p>
          <w:p w:rsidR="002914EB" w:rsidRPr="009D52A6" w:rsidRDefault="002914EB" w:rsidP="002914EB">
            <w:pPr>
              <w:jc w:val="both"/>
              <w:rPr>
                <w:rFonts w:ascii="Times New Roman" w:hAnsi="Times New Roman" w:cs="Times New Roman"/>
              </w:rPr>
            </w:pPr>
            <w:r w:rsidRPr="009D52A6">
              <w:rPr>
                <w:rFonts w:ascii="Times New Roman" w:hAnsi="Times New Roman" w:cs="Times New Roman"/>
              </w:rPr>
              <w:t>питьевой воды, по микробиологическим показателям;</w:t>
            </w:r>
          </w:p>
        </w:tc>
        <w:tc>
          <w:tcPr>
            <w:tcW w:w="99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p>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Default="002914EB" w:rsidP="002914EB">
            <w:pPr>
              <w:jc w:val="center"/>
              <w:rPr>
                <w:rFonts w:ascii="Times New Roman" w:hAnsi="Times New Roman" w:cs="Times New Roman"/>
              </w:rPr>
            </w:pPr>
          </w:p>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tcPr>
          <w:p w:rsidR="002914EB" w:rsidRDefault="002914EB" w:rsidP="002914EB">
            <w:pPr>
              <w:jc w:val="center"/>
              <w:rPr>
                <w:rFonts w:ascii="Times New Roman" w:hAnsi="Times New Roman" w:cs="Times New Roman"/>
              </w:rPr>
            </w:pPr>
          </w:p>
          <w:p w:rsidR="002914EB" w:rsidRPr="009D52A6" w:rsidRDefault="002914EB" w:rsidP="002914EB">
            <w:pPr>
              <w:jc w:val="center"/>
              <w:rPr>
                <w:rFonts w:ascii="Times New Roman" w:hAnsi="Times New Roman" w:cs="Times New Roman"/>
              </w:rPr>
            </w:pPr>
            <w:r>
              <w:rPr>
                <w:rFonts w:ascii="Times New Roman" w:hAnsi="Times New Roman" w:cs="Times New Roman"/>
              </w:rPr>
              <w:t>0,7</w:t>
            </w:r>
          </w:p>
        </w:tc>
      </w:tr>
      <w:tr w:rsidR="002914EB" w:rsidRPr="009D52A6" w:rsidTr="00047DBB">
        <w:trPr>
          <w:trHeight w:val="278"/>
        </w:trPr>
        <w:tc>
          <w:tcPr>
            <w:tcW w:w="666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both"/>
              <w:rPr>
                <w:rFonts w:ascii="Times New Roman" w:hAnsi="Times New Roman" w:cs="Times New Roman"/>
              </w:rPr>
            </w:pPr>
            <w:r w:rsidRPr="009D52A6">
              <w:rPr>
                <w:rFonts w:ascii="Times New Roman" w:hAnsi="Times New Roman" w:cs="Times New Roman"/>
              </w:rPr>
              <w:t>питьевой воды, по санитарно – химическим показателям;</w:t>
            </w:r>
          </w:p>
        </w:tc>
        <w:tc>
          <w:tcPr>
            <w:tcW w:w="99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85,0</w:t>
            </w:r>
          </w:p>
        </w:tc>
        <w:tc>
          <w:tcPr>
            <w:tcW w:w="1559" w:type="dxa"/>
            <w:tcBorders>
              <w:top w:val="single" w:sz="4" w:space="0" w:color="auto"/>
              <w:left w:val="single" w:sz="4" w:space="0" w:color="auto"/>
              <w:bottom w:val="single" w:sz="4" w:space="0" w:color="auto"/>
              <w:right w:val="single" w:sz="4" w:space="0" w:color="auto"/>
            </w:tcBorders>
          </w:tcPr>
          <w:p w:rsidR="002914EB" w:rsidRPr="009D52A6" w:rsidRDefault="002914EB" w:rsidP="002914EB">
            <w:pPr>
              <w:jc w:val="center"/>
              <w:rPr>
                <w:rFonts w:ascii="Times New Roman" w:hAnsi="Times New Roman" w:cs="Times New Roman"/>
              </w:rPr>
            </w:pPr>
            <w:r>
              <w:rPr>
                <w:rFonts w:ascii="Times New Roman" w:hAnsi="Times New Roman" w:cs="Times New Roman"/>
              </w:rPr>
              <w:t>60,8</w:t>
            </w:r>
          </w:p>
        </w:tc>
      </w:tr>
      <w:tr w:rsidR="002914EB" w:rsidRPr="009D52A6" w:rsidTr="00047DBB">
        <w:trPr>
          <w:trHeight w:val="278"/>
        </w:trPr>
        <w:tc>
          <w:tcPr>
            <w:tcW w:w="666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both"/>
              <w:rPr>
                <w:rFonts w:ascii="Times New Roman" w:hAnsi="Times New Roman" w:cs="Times New Roman"/>
              </w:rPr>
            </w:pPr>
            <w:r w:rsidRPr="009D52A6">
              <w:rPr>
                <w:rFonts w:ascii="Times New Roman" w:hAnsi="Times New Roman" w:cs="Times New Roman"/>
              </w:rPr>
              <w:t>воды водоемов 1 категории, по микробиологическим показателям;</w:t>
            </w:r>
          </w:p>
        </w:tc>
        <w:tc>
          <w:tcPr>
            <w:tcW w:w="99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914EB" w:rsidRPr="009D52A6" w:rsidRDefault="002914EB" w:rsidP="002914EB">
            <w:pPr>
              <w:jc w:val="center"/>
              <w:rPr>
                <w:rFonts w:ascii="Times New Roman" w:hAnsi="Times New Roman" w:cs="Times New Roman"/>
              </w:rPr>
            </w:pPr>
            <w:r>
              <w:rPr>
                <w:rFonts w:ascii="Times New Roman" w:hAnsi="Times New Roman" w:cs="Times New Roman"/>
              </w:rPr>
              <w:t>-</w:t>
            </w:r>
          </w:p>
        </w:tc>
      </w:tr>
      <w:tr w:rsidR="002914EB" w:rsidRPr="009D52A6" w:rsidTr="00047DBB">
        <w:trPr>
          <w:trHeight w:val="278"/>
        </w:trPr>
        <w:tc>
          <w:tcPr>
            <w:tcW w:w="666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both"/>
              <w:rPr>
                <w:rFonts w:ascii="Times New Roman" w:hAnsi="Times New Roman" w:cs="Times New Roman"/>
              </w:rPr>
            </w:pPr>
            <w:r w:rsidRPr="009D52A6">
              <w:rPr>
                <w:rFonts w:ascii="Times New Roman" w:hAnsi="Times New Roman" w:cs="Times New Roman"/>
              </w:rPr>
              <w:t>атмосферного воздуха, по содержанию вредных веществ выше 1 ПДК;</w:t>
            </w:r>
          </w:p>
        </w:tc>
        <w:tc>
          <w:tcPr>
            <w:tcW w:w="99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7,0</w:t>
            </w:r>
          </w:p>
        </w:tc>
        <w:tc>
          <w:tcPr>
            <w:tcW w:w="1559" w:type="dxa"/>
            <w:tcBorders>
              <w:top w:val="single" w:sz="4" w:space="0" w:color="auto"/>
              <w:left w:val="single" w:sz="4" w:space="0" w:color="auto"/>
              <w:bottom w:val="single" w:sz="4" w:space="0" w:color="auto"/>
              <w:right w:val="single" w:sz="4" w:space="0" w:color="auto"/>
            </w:tcBorders>
          </w:tcPr>
          <w:p w:rsidR="002914EB" w:rsidRPr="009D52A6" w:rsidRDefault="002914EB" w:rsidP="002914EB">
            <w:pPr>
              <w:jc w:val="center"/>
              <w:rPr>
                <w:rFonts w:ascii="Times New Roman" w:hAnsi="Times New Roman" w:cs="Times New Roman"/>
              </w:rPr>
            </w:pPr>
            <w:r>
              <w:rPr>
                <w:rFonts w:ascii="Times New Roman" w:hAnsi="Times New Roman" w:cs="Times New Roman"/>
              </w:rPr>
              <w:t>-</w:t>
            </w:r>
          </w:p>
        </w:tc>
      </w:tr>
      <w:tr w:rsidR="002914EB" w:rsidRPr="009D52A6" w:rsidTr="00047DBB">
        <w:trPr>
          <w:trHeight w:val="278"/>
        </w:trPr>
        <w:tc>
          <w:tcPr>
            <w:tcW w:w="666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both"/>
              <w:rPr>
                <w:rFonts w:ascii="Times New Roman" w:hAnsi="Times New Roman" w:cs="Times New Roman"/>
              </w:rPr>
            </w:pPr>
            <w:r w:rsidRPr="009D52A6">
              <w:rPr>
                <w:rFonts w:ascii="Times New Roman" w:hAnsi="Times New Roman" w:cs="Times New Roman"/>
              </w:rPr>
              <w:lastRenderedPageBreak/>
              <w:t>проб пищевых продуктов, по микробиологическим показателям;</w:t>
            </w:r>
          </w:p>
        </w:tc>
        <w:tc>
          <w:tcPr>
            <w:tcW w:w="99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8,0</w:t>
            </w:r>
          </w:p>
        </w:tc>
        <w:tc>
          <w:tcPr>
            <w:tcW w:w="1559" w:type="dxa"/>
            <w:tcBorders>
              <w:top w:val="single" w:sz="4" w:space="0" w:color="auto"/>
              <w:left w:val="single" w:sz="4" w:space="0" w:color="auto"/>
              <w:bottom w:val="single" w:sz="4" w:space="0" w:color="auto"/>
              <w:right w:val="single" w:sz="4" w:space="0" w:color="auto"/>
            </w:tcBorders>
          </w:tcPr>
          <w:p w:rsidR="002914EB" w:rsidRPr="009D52A6" w:rsidRDefault="002914EB" w:rsidP="002914EB">
            <w:pPr>
              <w:jc w:val="center"/>
              <w:rPr>
                <w:rFonts w:ascii="Times New Roman" w:hAnsi="Times New Roman" w:cs="Times New Roman"/>
              </w:rPr>
            </w:pPr>
            <w:r>
              <w:rPr>
                <w:rFonts w:ascii="Times New Roman" w:hAnsi="Times New Roman" w:cs="Times New Roman"/>
              </w:rPr>
              <w:t>-</w:t>
            </w:r>
          </w:p>
        </w:tc>
      </w:tr>
      <w:tr w:rsidR="002914EB" w:rsidRPr="009D52A6" w:rsidTr="00047DBB">
        <w:trPr>
          <w:trHeight w:val="278"/>
        </w:trPr>
        <w:tc>
          <w:tcPr>
            <w:tcW w:w="666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both"/>
              <w:rPr>
                <w:rFonts w:ascii="Times New Roman" w:hAnsi="Times New Roman" w:cs="Times New Roman"/>
              </w:rPr>
            </w:pPr>
            <w:r w:rsidRPr="009D52A6">
              <w:rPr>
                <w:rFonts w:ascii="Times New Roman" w:hAnsi="Times New Roman" w:cs="Times New Roman"/>
              </w:rPr>
              <w:t>проб пищевых продуктов, по санитарно-химическим показателям;</w:t>
            </w:r>
          </w:p>
        </w:tc>
        <w:tc>
          <w:tcPr>
            <w:tcW w:w="99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13,5</w:t>
            </w:r>
          </w:p>
        </w:tc>
        <w:tc>
          <w:tcPr>
            <w:tcW w:w="1559" w:type="dxa"/>
            <w:tcBorders>
              <w:top w:val="single" w:sz="4" w:space="0" w:color="auto"/>
              <w:left w:val="single" w:sz="4" w:space="0" w:color="auto"/>
              <w:bottom w:val="single" w:sz="4" w:space="0" w:color="auto"/>
              <w:right w:val="single" w:sz="4" w:space="0" w:color="auto"/>
            </w:tcBorders>
          </w:tcPr>
          <w:p w:rsidR="002914EB" w:rsidRPr="009D52A6" w:rsidRDefault="002914EB" w:rsidP="002914EB">
            <w:pPr>
              <w:jc w:val="center"/>
              <w:rPr>
                <w:rFonts w:ascii="Times New Roman" w:hAnsi="Times New Roman" w:cs="Times New Roman"/>
              </w:rPr>
            </w:pPr>
            <w:r>
              <w:rPr>
                <w:rFonts w:ascii="Times New Roman" w:hAnsi="Times New Roman" w:cs="Times New Roman"/>
              </w:rPr>
              <w:t>-</w:t>
            </w:r>
          </w:p>
        </w:tc>
      </w:tr>
      <w:tr w:rsidR="002914EB" w:rsidRPr="009D52A6" w:rsidTr="00047DBB">
        <w:tc>
          <w:tcPr>
            <w:tcW w:w="666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both"/>
              <w:rPr>
                <w:rFonts w:ascii="Times New Roman" w:hAnsi="Times New Roman" w:cs="Times New Roman"/>
              </w:rPr>
            </w:pPr>
            <w:r w:rsidRPr="009D52A6">
              <w:rPr>
                <w:rFonts w:ascii="Times New Roman" w:hAnsi="Times New Roman" w:cs="Times New Roman"/>
                <w:bCs/>
              </w:rPr>
              <w:t>Удельный вес проведенных в установленные сроки и в соответствии с требованиями нормативных документов расследований профессиональных заболеваний от общего числа зарегистрированных профессиональных заболеваний</w:t>
            </w:r>
            <w:r w:rsidRPr="009D52A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hideMark/>
          </w:tcPr>
          <w:p w:rsidR="002914EB" w:rsidRPr="009D52A6" w:rsidRDefault="002914EB" w:rsidP="002914EB">
            <w:pPr>
              <w:jc w:val="center"/>
              <w:rPr>
                <w:rFonts w:ascii="Times New Roman" w:hAnsi="Times New Roman" w:cs="Times New Roman"/>
              </w:rPr>
            </w:pPr>
            <w:r w:rsidRPr="009D52A6">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8D544D" w:rsidRDefault="002914EB" w:rsidP="002914EB">
            <w:pPr>
              <w:jc w:val="center"/>
              <w:rPr>
                <w:rFonts w:ascii="Times New Roman" w:hAnsi="Times New Roman" w:cs="Times New Roman"/>
              </w:rPr>
            </w:pPr>
            <w:r w:rsidRPr="008D544D">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tcPr>
          <w:p w:rsidR="002914EB" w:rsidRPr="008D544D" w:rsidRDefault="002914EB" w:rsidP="002914EB">
            <w:pPr>
              <w:jc w:val="center"/>
              <w:rPr>
                <w:rFonts w:ascii="Times New Roman" w:hAnsi="Times New Roman" w:cs="Times New Roman"/>
              </w:rPr>
            </w:pPr>
            <w:r w:rsidRPr="008D544D">
              <w:rPr>
                <w:rFonts w:ascii="Times New Roman" w:hAnsi="Times New Roman" w:cs="Times New Roman"/>
              </w:rPr>
              <w:t>100,0</w:t>
            </w:r>
          </w:p>
          <w:p w:rsidR="002914EB" w:rsidRPr="008D544D" w:rsidRDefault="002914EB" w:rsidP="002914EB">
            <w:pPr>
              <w:jc w:val="center"/>
              <w:rPr>
                <w:rFonts w:ascii="Times New Roman" w:hAnsi="Times New Roman" w:cs="Times New Roman"/>
              </w:rPr>
            </w:pPr>
          </w:p>
        </w:tc>
      </w:tr>
    </w:tbl>
    <w:p w:rsidR="002914EB" w:rsidRDefault="002914EB" w:rsidP="002914EB">
      <w:pPr>
        <w:tabs>
          <w:tab w:val="left" w:pos="0"/>
        </w:tabs>
        <w:ind w:right="57"/>
        <w:jc w:val="both"/>
        <w:rPr>
          <w:rFonts w:ascii="Times New Roman" w:hAnsi="Times New Roman" w:cs="Times New Roman"/>
          <w:sz w:val="24"/>
          <w:szCs w:val="24"/>
        </w:rPr>
      </w:pPr>
    </w:p>
    <w:p w:rsidR="002914EB" w:rsidRPr="009D52A6" w:rsidRDefault="002914EB" w:rsidP="002914EB">
      <w:pPr>
        <w:tabs>
          <w:tab w:val="left" w:pos="0"/>
        </w:tabs>
        <w:ind w:right="57"/>
        <w:jc w:val="both"/>
        <w:rPr>
          <w:rFonts w:ascii="Times New Roman" w:hAnsi="Times New Roman" w:cs="Times New Roman"/>
          <w:b/>
          <w:color w:val="FF0000"/>
          <w:sz w:val="24"/>
          <w:szCs w:val="24"/>
        </w:rPr>
      </w:pPr>
      <w:r>
        <w:rPr>
          <w:rFonts w:ascii="Times New Roman" w:hAnsi="Times New Roman" w:cs="Times New Roman"/>
          <w:sz w:val="24"/>
          <w:szCs w:val="24"/>
        </w:rPr>
        <w:tab/>
        <w:t xml:space="preserve">Своевременно проводимый комплекс профилактических и противоэпидемических показателей позволил  достичь планируемых показателей </w:t>
      </w:r>
      <w:r w:rsidRPr="009D52A6">
        <w:rPr>
          <w:rFonts w:ascii="Times New Roman" w:hAnsi="Times New Roman" w:cs="Times New Roman"/>
          <w:sz w:val="24"/>
          <w:szCs w:val="24"/>
        </w:rPr>
        <w:t xml:space="preserve">эпидемиологического надзора, обеспечение биологической безопасности </w:t>
      </w:r>
      <w:r>
        <w:rPr>
          <w:rFonts w:ascii="Times New Roman" w:hAnsi="Times New Roman" w:cs="Times New Roman"/>
          <w:sz w:val="24"/>
          <w:szCs w:val="24"/>
        </w:rPr>
        <w:t xml:space="preserve">населения </w:t>
      </w:r>
      <w:r w:rsidRPr="009D52A6">
        <w:rPr>
          <w:rFonts w:ascii="Times New Roman" w:hAnsi="Times New Roman" w:cs="Times New Roman"/>
          <w:sz w:val="24"/>
          <w:szCs w:val="24"/>
        </w:rPr>
        <w:t>г. Пыть-Ях.</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993"/>
        <w:gridCol w:w="1701"/>
        <w:gridCol w:w="1559"/>
      </w:tblGrid>
      <w:tr w:rsidR="002914EB" w:rsidRPr="00EB267D" w:rsidTr="002914EB">
        <w:trPr>
          <w:cantSplit/>
          <w:trHeight w:val="970"/>
        </w:trPr>
        <w:tc>
          <w:tcPr>
            <w:tcW w:w="5245" w:type="dxa"/>
            <w:tcBorders>
              <w:top w:val="single" w:sz="4" w:space="0" w:color="auto"/>
              <w:left w:val="single" w:sz="4" w:space="0" w:color="auto"/>
              <w:bottom w:val="single" w:sz="4" w:space="0" w:color="auto"/>
              <w:right w:val="single" w:sz="4" w:space="0" w:color="auto"/>
            </w:tcBorders>
            <w:vAlign w:val="center"/>
            <w:hideMark/>
          </w:tcPr>
          <w:p w:rsidR="002914EB" w:rsidRPr="00EB267D" w:rsidRDefault="002914EB" w:rsidP="002914EB">
            <w:pPr>
              <w:jc w:val="center"/>
              <w:rPr>
                <w:rFonts w:ascii="Times New Roman" w:hAnsi="Times New Roman" w:cs="Times New Roman"/>
                <w:bCs/>
              </w:rPr>
            </w:pPr>
            <w:r w:rsidRPr="00EB267D">
              <w:rPr>
                <w:rFonts w:ascii="Times New Roman" w:hAnsi="Times New Roman" w:cs="Times New Roman"/>
                <w:bCs/>
              </w:rPr>
              <w:t>Показатели, характеризующие планируемый уровень достижения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2914EB" w:rsidRPr="00EB267D" w:rsidRDefault="002914EB" w:rsidP="002914EB">
            <w:pPr>
              <w:jc w:val="center"/>
              <w:rPr>
                <w:rFonts w:ascii="Times New Roman" w:hAnsi="Times New Roman" w:cs="Times New Roman"/>
                <w:bCs/>
              </w:rPr>
            </w:pPr>
            <w:r w:rsidRPr="00EB267D">
              <w:rPr>
                <w:rFonts w:ascii="Times New Roman" w:hAnsi="Times New Roman" w:cs="Times New Roman"/>
                <w:bCs/>
              </w:rPr>
              <w:t>Единица 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4EB" w:rsidRPr="00EB267D" w:rsidRDefault="002914EB" w:rsidP="002914EB">
            <w:pPr>
              <w:spacing w:after="0"/>
              <w:jc w:val="center"/>
              <w:rPr>
                <w:rFonts w:ascii="Times New Roman" w:hAnsi="Times New Roman" w:cs="Times New Roman"/>
                <w:bCs/>
              </w:rPr>
            </w:pPr>
            <w:r w:rsidRPr="00EB267D">
              <w:rPr>
                <w:rFonts w:ascii="Times New Roman" w:hAnsi="Times New Roman" w:cs="Times New Roman"/>
                <w:bCs/>
              </w:rPr>
              <w:t>Планируемые</w:t>
            </w:r>
          </w:p>
          <w:p w:rsidR="002914EB" w:rsidRPr="00EB267D" w:rsidRDefault="002914EB" w:rsidP="002914EB">
            <w:pPr>
              <w:spacing w:after="0"/>
              <w:jc w:val="center"/>
              <w:rPr>
                <w:rFonts w:ascii="Times New Roman" w:hAnsi="Times New Roman" w:cs="Times New Roman"/>
                <w:bCs/>
              </w:rPr>
            </w:pPr>
            <w:r w:rsidRPr="00EB267D">
              <w:rPr>
                <w:rFonts w:ascii="Times New Roman" w:hAnsi="Times New Roman" w:cs="Times New Roman"/>
                <w:bCs/>
              </w:rPr>
              <w:t>Количественные показате</w:t>
            </w:r>
            <w:r>
              <w:rPr>
                <w:rFonts w:ascii="Times New Roman" w:hAnsi="Times New Roman" w:cs="Times New Roman"/>
                <w:bCs/>
              </w:rPr>
              <w:t>ли и показатели качества на 2020</w:t>
            </w:r>
            <w:r w:rsidRPr="00EB267D">
              <w:rPr>
                <w:rFonts w:ascii="Times New Roman" w:hAnsi="Times New Roman" w:cs="Times New Roman"/>
                <w:bCs/>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2914EB" w:rsidRPr="00EB267D" w:rsidRDefault="002914EB" w:rsidP="002914EB">
            <w:pPr>
              <w:jc w:val="center"/>
              <w:rPr>
                <w:rFonts w:ascii="Times New Roman" w:hAnsi="Times New Roman" w:cs="Times New Roman"/>
                <w:bCs/>
              </w:rPr>
            </w:pPr>
            <w:r w:rsidRPr="00EB267D">
              <w:rPr>
                <w:rFonts w:ascii="Times New Roman" w:hAnsi="Times New Roman" w:cs="Times New Roman"/>
                <w:bCs/>
              </w:rPr>
              <w:t>Достигнутые Количественные показатели и показа</w:t>
            </w:r>
            <w:r>
              <w:rPr>
                <w:rFonts w:ascii="Times New Roman" w:hAnsi="Times New Roman" w:cs="Times New Roman"/>
                <w:bCs/>
              </w:rPr>
              <w:t>тели качества по итогам  2020</w:t>
            </w:r>
            <w:r w:rsidRPr="00EB267D">
              <w:rPr>
                <w:rFonts w:ascii="Times New Roman" w:hAnsi="Times New Roman" w:cs="Times New Roman"/>
                <w:bCs/>
              </w:rPr>
              <w:t xml:space="preserve"> г.</w:t>
            </w:r>
          </w:p>
        </w:tc>
      </w:tr>
      <w:tr w:rsidR="002914EB" w:rsidRPr="00EB267D" w:rsidTr="002914EB">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rPr>
                <w:rFonts w:ascii="Times New Roman" w:hAnsi="Times New Roman" w:cs="Times New Roman"/>
              </w:rPr>
            </w:pPr>
            <w:r w:rsidRPr="00EB267D">
              <w:rPr>
                <w:rFonts w:ascii="Times New Roman" w:hAnsi="Times New Roman" w:cs="Times New Roman"/>
              </w:rPr>
              <w:t>1.Уровень охвата иммунизацией населения по ХМАО-Югре против инфекций, управляемых средствами специфической профилактики в рамках национального календаря профилактических прививок:</w:t>
            </w:r>
          </w:p>
        </w:tc>
        <w:tc>
          <w:tcPr>
            <w:tcW w:w="993"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p>
        </w:tc>
      </w:tr>
      <w:tr w:rsidR="002914EB" w:rsidRPr="00EB267D" w:rsidTr="002914EB">
        <w:trPr>
          <w:trHeight w:val="228"/>
        </w:trPr>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rPr>
                <w:rFonts w:ascii="Times New Roman" w:hAnsi="Times New Roman" w:cs="Times New Roman"/>
              </w:rPr>
            </w:pPr>
            <w:r w:rsidRPr="00EB267D">
              <w:rPr>
                <w:rFonts w:ascii="Times New Roman" w:hAnsi="Times New Roman" w:cs="Times New Roman"/>
              </w:rPr>
              <w:t>- дифтерия  взрослое население;</w:t>
            </w:r>
          </w:p>
        </w:tc>
        <w:tc>
          <w:tcPr>
            <w:tcW w:w="993"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95,0</w:t>
            </w: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96,0</w:t>
            </w:r>
          </w:p>
        </w:tc>
      </w:tr>
      <w:tr w:rsidR="002914EB" w:rsidRPr="00EB267D" w:rsidTr="002914EB">
        <w:trPr>
          <w:trHeight w:val="228"/>
        </w:trPr>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rPr>
                <w:rFonts w:ascii="Times New Roman" w:hAnsi="Times New Roman" w:cs="Times New Roman"/>
              </w:rPr>
            </w:pPr>
            <w:r w:rsidRPr="00EB267D">
              <w:rPr>
                <w:rFonts w:ascii="Times New Roman" w:hAnsi="Times New Roman" w:cs="Times New Roman"/>
              </w:rPr>
              <w:t>- корь 18-35 лет;</w:t>
            </w:r>
          </w:p>
        </w:tc>
        <w:tc>
          <w:tcPr>
            <w:tcW w:w="993"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95,0</w:t>
            </w: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96,0</w:t>
            </w:r>
          </w:p>
        </w:tc>
      </w:tr>
      <w:tr w:rsidR="002914EB" w:rsidRPr="00EB267D" w:rsidTr="002914EB">
        <w:trPr>
          <w:trHeight w:val="228"/>
        </w:trPr>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rPr>
                <w:rFonts w:ascii="Times New Roman" w:hAnsi="Times New Roman" w:cs="Times New Roman"/>
              </w:rPr>
            </w:pPr>
            <w:r w:rsidRPr="00EB267D">
              <w:rPr>
                <w:rFonts w:ascii="Times New Roman" w:hAnsi="Times New Roman" w:cs="Times New Roman"/>
              </w:rPr>
              <w:t>- корь до 17-ти лет;</w:t>
            </w:r>
          </w:p>
        </w:tc>
        <w:tc>
          <w:tcPr>
            <w:tcW w:w="993"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96,0</w:t>
            </w: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97,0</w:t>
            </w:r>
          </w:p>
        </w:tc>
      </w:tr>
      <w:tr w:rsidR="002914EB" w:rsidRPr="00EB267D" w:rsidTr="002914EB">
        <w:trPr>
          <w:trHeight w:val="228"/>
        </w:trPr>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rPr>
                <w:rFonts w:ascii="Times New Roman" w:hAnsi="Times New Roman" w:cs="Times New Roman"/>
              </w:rPr>
            </w:pPr>
            <w:r w:rsidRPr="00EB267D">
              <w:rPr>
                <w:rFonts w:ascii="Times New Roman" w:hAnsi="Times New Roman" w:cs="Times New Roman"/>
              </w:rPr>
              <w:t>- эпидемический паротит до 17 лет;</w:t>
            </w:r>
          </w:p>
        </w:tc>
        <w:tc>
          <w:tcPr>
            <w:tcW w:w="993"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96,0</w:t>
            </w: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98,0</w:t>
            </w:r>
          </w:p>
        </w:tc>
      </w:tr>
      <w:tr w:rsidR="002914EB" w:rsidRPr="00EB267D" w:rsidTr="002914EB">
        <w:trPr>
          <w:trHeight w:val="228"/>
        </w:trPr>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rPr>
                <w:rFonts w:ascii="Times New Roman" w:hAnsi="Times New Roman" w:cs="Times New Roman"/>
              </w:rPr>
            </w:pPr>
            <w:r w:rsidRPr="00EB267D">
              <w:rPr>
                <w:rFonts w:ascii="Times New Roman" w:hAnsi="Times New Roman" w:cs="Times New Roman"/>
              </w:rPr>
              <w:t xml:space="preserve">- полиомиелит до 15 лет;  </w:t>
            </w:r>
          </w:p>
        </w:tc>
        <w:tc>
          <w:tcPr>
            <w:tcW w:w="993"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97,0</w:t>
            </w: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98,0</w:t>
            </w:r>
          </w:p>
        </w:tc>
      </w:tr>
      <w:tr w:rsidR="002914EB" w:rsidRPr="00EB267D" w:rsidTr="002914EB">
        <w:trPr>
          <w:trHeight w:val="228"/>
        </w:trPr>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rPr>
                <w:rFonts w:ascii="Times New Roman" w:hAnsi="Times New Roman" w:cs="Times New Roman"/>
              </w:rPr>
            </w:pPr>
            <w:r w:rsidRPr="00EB267D">
              <w:rPr>
                <w:rFonts w:ascii="Times New Roman" w:hAnsi="Times New Roman" w:cs="Times New Roman"/>
              </w:rPr>
              <w:t>- краснуха до 17-ти лет;</w:t>
            </w:r>
          </w:p>
        </w:tc>
        <w:tc>
          <w:tcPr>
            <w:tcW w:w="993"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95,5</w:t>
            </w: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98,0</w:t>
            </w:r>
          </w:p>
        </w:tc>
      </w:tr>
      <w:tr w:rsidR="002914EB" w:rsidRPr="00EB267D" w:rsidTr="002914EB">
        <w:trPr>
          <w:trHeight w:val="228"/>
        </w:trPr>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rPr>
                <w:rFonts w:ascii="Times New Roman" w:hAnsi="Times New Roman" w:cs="Times New Roman"/>
              </w:rPr>
            </w:pPr>
            <w:r w:rsidRPr="00EB267D">
              <w:rPr>
                <w:rFonts w:ascii="Times New Roman" w:hAnsi="Times New Roman" w:cs="Times New Roman"/>
              </w:rPr>
              <w:t>- гепатит В до 17-ти лет;</w:t>
            </w:r>
          </w:p>
        </w:tc>
        <w:tc>
          <w:tcPr>
            <w:tcW w:w="993"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96,0</w:t>
            </w: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97,0</w:t>
            </w:r>
          </w:p>
        </w:tc>
      </w:tr>
      <w:tr w:rsidR="002914EB" w:rsidRPr="00EB267D" w:rsidTr="002914EB">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jc w:val="both"/>
              <w:rPr>
                <w:rFonts w:ascii="Times New Roman" w:hAnsi="Times New Roman" w:cs="Times New Roman"/>
              </w:rPr>
            </w:pPr>
            <w:r w:rsidRPr="00EB267D">
              <w:rPr>
                <w:rFonts w:ascii="Times New Roman" w:hAnsi="Times New Roman" w:cs="Times New Roman"/>
              </w:rPr>
              <w:t>Своевременное расследование очагов инфекционных заболеваний подлежащих эпидемиологическому расследованию в течение 24 часов.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2914EB" w:rsidRPr="00EB267D" w:rsidRDefault="002914EB" w:rsidP="002914EB">
            <w:pPr>
              <w:shd w:val="clear" w:color="auto" w:fill="FFFFFF"/>
              <w:spacing w:line="240" w:lineRule="atLeast"/>
              <w:jc w:val="center"/>
              <w:rPr>
                <w:rFonts w:ascii="Times New Roman" w:hAnsi="Times New Roman" w:cs="Times New Roman"/>
              </w:rPr>
            </w:pPr>
            <w:r w:rsidRPr="00EB267D">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4EB" w:rsidRPr="00EB267D" w:rsidRDefault="002914EB" w:rsidP="002914EB">
            <w:pPr>
              <w:spacing w:after="0"/>
              <w:jc w:val="center"/>
              <w:rPr>
                <w:rFonts w:ascii="Times New Roman" w:hAnsi="Times New Roman" w:cs="Times New Roman"/>
              </w:rPr>
            </w:pPr>
            <w:r w:rsidRPr="00EB267D">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spacing w:after="0"/>
              <w:jc w:val="center"/>
              <w:rPr>
                <w:rFonts w:ascii="Times New Roman" w:hAnsi="Times New Roman" w:cs="Times New Roman"/>
              </w:rPr>
            </w:pPr>
          </w:p>
          <w:p w:rsidR="002914EB" w:rsidRPr="00EB267D" w:rsidRDefault="002914EB" w:rsidP="002914EB">
            <w:pPr>
              <w:spacing w:after="0"/>
              <w:jc w:val="center"/>
              <w:rPr>
                <w:rFonts w:ascii="Times New Roman" w:hAnsi="Times New Roman" w:cs="Times New Roman"/>
              </w:rPr>
            </w:pPr>
            <w:r w:rsidRPr="00EB267D">
              <w:rPr>
                <w:rFonts w:ascii="Times New Roman" w:hAnsi="Times New Roman" w:cs="Times New Roman"/>
              </w:rPr>
              <w:t>100,0</w:t>
            </w:r>
          </w:p>
        </w:tc>
      </w:tr>
      <w:tr w:rsidR="002914EB" w:rsidRPr="00EB267D" w:rsidTr="002914EB">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rPr>
                <w:rFonts w:ascii="Times New Roman" w:hAnsi="Times New Roman" w:cs="Times New Roman"/>
              </w:rPr>
            </w:pPr>
            <w:r w:rsidRPr="00EB267D">
              <w:rPr>
                <w:rFonts w:ascii="Times New Roman" w:hAnsi="Times New Roman" w:cs="Times New Roman"/>
              </w:rPr>
              <w:t xml:space="preserve">Уровень заболеваемости инфекционными болезнями (в показателях на 100 тыс. населения): </w:t>
            </w:r>
          </w:p>
        </w:tc>
        <w:tc>
          <w:tcPr>
            <w:tcW w:w="993" w:type="dxa"/>
            <w:tcBorders>
              <w:top w:val="single" w:sz="4" w:space="0" w:color="auto"/>
              <w:left w:val="single" w:sz="4" w:space="0" w:color="auto"/>
              <w:bottom w:val="single" w:sz="4" w:space="0" w:color="auto"/>
              <w:right w:val="single" w:sz="4" w:space="0" w:color="auto"/>
            </w:tcBorders>
            <w:vAlign w:val="center"/>
          </w:tcPr>
          <w:p w:rsidR="002914EB" w:rsidRPr="00EB267D" w:rsidRDefault="002914EB" w:rsidP="002914EB">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2914EB" w:rsidRPr="00EB267D" w:rsidRDefault="002914EB" w:rsidP="002914EB">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p>
        </w:tc>
      </w:tr>
      <w:tr w:rsidR="002914EB" w:rsidRPr="00EB267D" w:rsidTr="002914EB">
        <w:trPr>
          <w:trHeight w:val="263"/>
        </w:trPr>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rPr>
                <w:rFonts w:ascii="Times New Roman" w:hAnsi="Times New Roman" w:cs="Times New Roman"/>
              </w:rPr>
            </w:pPr>
            <w:r w:rsidRPr="00EB267D">
              <w:rPr>
                <w:rFonts w:ascii="Times New Roman" w:hAnsi="Times New Roman" w:cs="Times New Roman"/>
              </w:rPr>
              <w:t>Дифтерия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Инт.пок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w:t>
            </w:r>
          </w:p>
        </w:tc>
      </w:tr>
      <w:tr w:rsidR="002914EB" w:rsidRPr="00EB267D" w:rsidTr="002914EB">
        <w:trPr>
          <w:trHeight w:val="263"/>
        </w:trPr>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rPr>
                <w:rFonts w:ascii="Times New Roman" w:hAnsi="Times New Roman" w:cs="Times New Roman"/>
              </w:rPr>
            </w:pPr>
            <w:r w:rsidRPr="00EB267D">
              <w:rPr>
                <w:rFonts w:ascii="Times New Roman" w:hAnsi="Times New Roman" w:cs="Times New Roman"/>
              </w:rPr>
              <w:t xml:space="preserve"> Корь </w:t>
            </w:r>
          </w:p>
        </w:tc>
        <w:tc>
          <w:tcPr>
            <w:tcW w:w="993" w:type="dxa"/>
            <w:tcBorders>
              <w:top w:val="single" w:sz="4" w:space="0" w:color="auto"/>
              <w:left w:val="single" w:sz="4" w:space="0" w:color="auto"/>
              <w:bottom w:val="single" w:sz="4" w:space="0" w:color="auto"/>
              <w:right w:val="single" w:sz="4" w:space="0" w:color="auto"/>
            </w:tcBorders>
            <w:vAlign w:val="center"/>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Инт.пок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w:t>
            </w:r>
          </w:p>
          <w:p w:rsidR="002914EB" w:rsidRPr="00EB267D" w:rsidRDefault="002914EB" w:rsidP="002914EB">
            <w:pPr>
              <w:jc w:val="center"/>
              <w:rPr>
                <w:rFonts w:ascii="Times New Roman" w:hAnsi="Times New Roman" w:cs="Times New Roman"/>
              </w:rPr>
            </w:pPr>
          </w:p>
        </w:tc>
      </w:tr>
      <w:tr w:rsidR="002914EB" w:rsidRPr="00EB267D" w:rsidTr="002914EB">
        <w:trPr>
          <w:trHeight w:val="263"/>
        </w:trPr>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rPr>
                <w:rFonts w:ascii="Times New Roman" w:hAnsi="Times New Roman" w:cs="Times New Roman"/>
              </w:rPr>
            </w:pPr>
            <w:r w:rsidRPr="00EB267D">
              <w:rPr>
                <w:rFonts w:ascii="Times New Roman" w:hAnsi="Times New Roman" w:cs="Times New Roman"/>
              </w:rPr>
              <w:t xml:space="preserve">Коклюш  </w:t>
            </w:r>
          </w:p>
        </w:tc>
        <w:tc>
          <w:tcPr>
            <w:tcW w:w="993" w:type="dxa"/>
            <w:tcBorders>
              <w:top w:val="single" w:sz="4" w:space="0" w:color="auto"/>
              <w:left w:val="single" w:sz="4" w:space="0" w:color="auto"/>
              <w:bottom w:val="single" w:sz="4" w:space="0" w:color="auto"/>
              <w:right w:val="single" w:sz="4" w:space="0" w:color="auto"/>
            </w:tcBorders>
            <w:vAlign w:val="center"/>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Инт.пок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4,5</w:t>
            </w: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r>
              <w:rPr>
                <w:rFonts w:ascii="Times New Roman" w:hAnsi="Times New Roman" w:cs="Times New Roman"/>
              </w:rPr>
              <w:t>-</w:t>
            </w:r>
          </w:p>
        </w:tc>
      </w:tr>
      <w:tr w:rsidR="002914EB" w:rsidRPr="00EB267D" w:rsidTr="002914EB">
        <w:trPr>
          <w:trHeight w:val="263"/>
        </w:trPr>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rPr>
                <w:rFonts w:ascii="Times New Roman" w:hAnsi="Times New Roman" w:cs="Times New Roman"/>
              </w:rPr>
            </w:pPr>
            <w:r w:rsidRPr="00EB267D">
              <w:rPr>
                <w:rFonts w:ascii="Times New Roman" w:hAnsi="Times New Roman" w:cs="Times New Roman"/>
              </w:rPr>
              <w:t xml:space="preserve">Эпидемический паротит  </w:t>
            </w:r>
          </w:p>
        </w:tc>
        <w:tc>
          <w:tcPr>
            <w:tcW w:w="993" w:type="dxa"/>
            <w:tcBorders>
              <w:top w:val="single" w:sz="4" w:space="0" w:color="auto"/>
              <w:left w:val="single" w:sz="4" w:space="0" w:color="auto"/>
              <w:bottom w:val="single" w:sz="4" w:space="0" w:color="auto"/>
              <w:right w:val="single" w:sz="4" w:space="0" w:color="auto"/>
            </w:tcBorders>
            <w:vAlign w:val="center"/>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Инт.пок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4,5</w:t>
            </w: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w:t>
            </w:r>
          </w:p>
        </w:tc>
      </w:tr>
      <w:tr w:rsidR="002914EB" w:rsidRPr="00EB267D" w:rsidTr="002914EB">
        <w:trPr>
          <w:trHeight w:val="263"/>
        </w:trPr>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rPr>
                <w:rFonts w:ascii="Times New Roman" w:hAnsi="Times New Roman" w:cs="Times New Roman"/>
              </w:rPr>
            </w:pPr>
            <w:r w:rsidRPr="00EB267D">
              <w:rPr>
                <w:rFonts w:ascii="Times New Roman" w:hAnsi="Times New Roman" w:cs="Times New Roman"/>
              </w:rPr>
              <w:t xml:space="preserve">Полиомиелит </w:t>
            </w:r>
          </w:p>
        </w:tc>
        <w:tc>
          <w:tcPr>
            <w:tcW w:w="993"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spacing w:after="0"/>
              <w:rPr>
                <w:rFonts w:ascii="Times New Roman" w:hAnsi="Times New Roman" w:cs="Times New Roman"/>
              </w:rPr>
            </w:pPr>
            <w:r w:rsidRPr="00EB267D">
              <w:rPr>
                <w:rFonts w:ascii="Times New Roman" w:hAnsi="Times New Roman" w:cs="Times New Roman"/>
              </w:rPr>
              <w:t>Инт.пок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w:t>
            </w:r>
          </w:p>
        </w:tc>
      </w:tr>
      <w:tr w:rsidR="002914EB" w:rsidRPr="00EB267D" w:rsidTr="002914EB">
        <w:trPr>
          <w:trHeight w:val="263"/>
        </w:trPr>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rPr>
                <w:rFonts w:ascii="Times New Roman" w:hAnsi="Times New Roman" w:cs="Times New Roman"/>
              </w:rPr>
            </w:pPr>
            <w:r w:rsidRPr="00EB267D">
              <w:rPr>
                <w:rFonts w:ascii="Times New Roman" w:hAnsi="Times New Roman" w:cs="Times New Roman"/>
              </w:rPr>
              <w:lastRenderedPageBreak/>
              <w:t xml:space="preserve">Краснуха  </w:t>
            </w:r>
          </w:p>
        </w:tc>
        <w:tc>
          <w:tcPr>
            <w:tcW w:w="993"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spacing w:after="0"/>
              <w:rPr>
                <w:rFonts w:ascii="Times New Roman" w:hAnsi="Times New Roman" w:cs="Times New Roman"/>
              </w:rPr>
            </w:pPr>
            <w:r w:rsidRPr="00EB267D">
              <w:rPr>
                <w:rFonts w:ascii="Times New Roman" w:hAnsi="Times New Roman" w:cs="Times New Roman"/>
              </w:rPr>
              <w:t>Инт.пок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11,3</w:t>
            </w: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w:t>
            </w:r>
          </w:p>
        </w:tc>
      </w:tr>
      <w:tr w:rsidR="002914EB" w:rsidRPr="00EB267D" w:rsidTr="002914EB">
        <w:trPr>
          <w:trHeight w:val="263"/>
        </w:trPr>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rPr>
                <w:rFonts w:ascii="Times New Roman" w:hAnsi="Times New Roman" w:cs="Times New Roman"/>
              </w:rPr>
            </w:pPr>
            <w:r w:rsidRPr="00EB267D">
              <w:rPr>
                <w:rFonts w:ascii="Times New Roman" w:hAnsi="Times New Roman" w:cs="Times New Roman"/>
              </w:rPr>
              <w:t>Вирусный гепатит А</w:t>
            </w:r>
          </w:p>
        </w:tc>
        <w:tc>
          <w:tcPr>
            <w:tcW w:w="993"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spacing w:after="0"/>
              <w:rPr>
                <w:rFonts w:ascii="Times New Roman" w:hAnsi="Times New Roman" w:cs="Times New Roman"/>
              </w:rPr>
            </w:pPr>
            <w:r w:rsidRPr="00EB267D">
              <w:rPr>
                <w:rFonts w:ascii="Times New Roman" w:hAnsi="Times New Roman" w:cs="Times New Roman"/>
              </w:rPr>
              <w:t>Инт.пок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6,8</w:t>
            </w: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r>
              <w:rPr>
                <w:rFonts w:ascii="Times New Roman" w:hAnsi="Times New Roman" w:cs="Times New Roman"/>
              </w:rPr>
              <w:t>-</w:t>
            </w:r>
          </w:p>
        </w:tc>
      </w:tr>
      <w:tr w:rsidR="002914EB" w:rsidRPr="00EB267D" w:rsidTr="002914EB">
        <w:trPr>
          <w:trHeight w:val="263"/>
        </w:trPr>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rPr>
                <w:rFonts w:ascii="Times New Roman" w:hAnsi="Times New Roman" w:cs="Times New Roman"/>
              </w:rPr>
            </w:pPr>
            <w:r w:rsidRPr="00EB267D">
              <w:rPr>
                <w:rFonts w:ascii="Times New Roman" w:hAnsi="Times New Roman" w:cs="Times New Roman"/>
              </w:rPr>
              <w:t>Вирусный гепатит В</w:t>
            </w:r>
          </w:p>
        </w:tc>
        <w:tc>
          <w:tcPr>
            <w:tcW w:w="993"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spacing w:after="0"/>
              <w:rPr>
                <w:rFonts w:ascii="Times New Roman" w:hAnsi="Times New Roman" w:cs="Times New Roman"/>
              </w:rPr>
            </w:pPr>
            <w:r w:rsidRPr="00EB267D">
              <w:rPr>
                <w:rFonts w:ascii="Times New Roman" w:hAnsi="Times New Roman" w:cs="Times New Roman"/>
              </w:rPr>
              <w:t>Инт.пок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6,8</w:t>
            </w: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r>
              <w:rPr>
                <w:rFonts w:ascii="Times New Roman" w:hAnsi="Times New Roman" w:cs="Times New Roman"/>
              </w:rPr>
              <w:t>-</w:t>
            </w:r>
          </w:p>
        </w:tc>
      </w:tr>
      <w:tr w:rsidR="002914EB" w:rsidRPr="00EB267D" w:rsidTr="002914EB">
        <w:trPr>
          <w:trHeight w:val="263"/>
        </w:trPr>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rPr>
                <w:rFonts w:ascii="Times New Roman" w:hAnsi="Times New Roman" w:cs="Times New Roman"/>
              </w:rPr>
            </w:pPr>
            <w:r w:rsidRPr="00EB267D">
              <w:rPr>
                <w:rFonts w:ascii="Times New Roman" w:hAnsi="Times New Roman" w:cs="Times New Roman"/>
              </w:rPr>
              <w:t xml:space="preserve">Сумма ОКИ  </w:t>
            </w:r>
          </w:p>
        </w:tc>
        <w:tc>
          <w:tcPr>
            <w:tcW w:w="993"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spacing w:after="0"/>
              <w:rPr>
                <w:rFonts w:ascii="Times New Roman" w:hAnsi="Times New Roman" w:cs="Times New Roman"/>
              </w:rPr>
            </w:pPr>
            <w:r w:rsidRPr="00EB267D">
              <w:rPr>
                <w:rFonts w:ascii="Times New Roman" w:hAnsi="Times New Roman" w:cs="Times New Roman"/>
              </w:rPr>
              <w:t>Инт.пок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580,0</w:t>
            </w: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r>
              <w:rPr>
                <w:rFonts w:ascii="Times New Roman" w:hAnsi="Times New Roman" w:cs="Times New Roman"/>
              </w:rPr>
              <w:t>336,3</w:t>
            </w:r>
          </w:p>
        </w:tc>
      </w:tr>
      <w:tr w:rsidR="002914EB" w:rsidRPr="00EB267D" w:rsidTr="002914EB">
        <w:trPr>
          <w:trHeight w:val="577"/>
        </w:trPr>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rPr>
                <w:rFonts w:ascii="Times New Roman" w:hAnsi="Times New Roman" w:cs="Times New Roman"/>
              </w:rPr>
            </w:pPr>
            <w:r w:rsidRPr="00EB267D">
              <w:rPr>
                <w:rFonts w:ascii="Times New Roman" w:hAnsi="Times New Roman" w:cs="Times New Roman"/>
              </w:rPr>
              <w:t xml:space="preserve">Сальмонеллез  </w:t>
            </w:r>
          </w:p>
        </w:tc>
        <w:tc>
          <w:tcPr>
            <w:tcW w:w="993"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spacing w:after="0"/>
              <w:rPr>
                <w:rFonts w:ascii="Times New Roman" w:hAnsi="Times New Roman" w:cs="Times New Roman"/>
              </w:rPr>
            </w:pPr>
            <w:r w:rsidRPr="00EB267D">
              <w:rPr>
                <w:rFonts w:ascii="Times New Roman" w:hAnsi="Times New Roman" w:cs="Times New Roman"/>
              </w:rPr>
              <w:t>Инт.пок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34,0</w:t>
            </w: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r>
              <w:rPr>
                <w:rFonts w:ascii="Times New Roman" w:hAnsi="Times New Roman" w:cs="Times New Roman"/>
              </w:rPr>
              <w:t>15,1</w:t>
            </w:r>
          </w:p>
        </w:tc>
      </w:tr>
      <w:tr w:rsidR="002914EB" w:rsidRPr="00EB267D" w:rsidTr="002914EB">
        <w:trPr>
          <w:trHeight w:val="602"/>
        </w:trPr>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rPr>
                <w:rFonts w:ascii="Times New Roman" w:hAnsi="Times New Roman" w:cs="Times New Roman"/>
              </w:rPr>
            </w:pPr>
            <w:r w:rsidRPr="00EB267D">
              <w:rPr>
                <w:rFonts w:ascii="Times New Roman" w:hAnsi="Times New Roman" w:cs="Times New Roman"/>
              </w:rPr>
              <w:t xml:space="preserve">Охват взрослого населения флюороосмотрами.       </w:t>
            </w:r>
          </w:p>
        </w:tc>
        <w:tc>
          <w:tcPr>
            <w:tcW w:w="993"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78,0</w:t>
            </w: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78,0</w:t>
            </w:r>
          </w:p>
        </w:tc>
      </w:tr>
      <w:tr w:rsidR="002914EB" w:rsidRPr="00EB267D" w:rsidTr="002914EB">
        <w:trPr>
          <w:trHeight w:val="346"/>
        </w:trPr>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rPr>
                <w:rFonts w:ascii="Times New Roman" w:hAnsi="Times New Roman" w:cs="Times New Roman"/>
              </w:rPr>
            </w:pPr>
            <w:r w:rsidRPr="00EB267D">
              <w:rPr>
                <w:rFonts w:ascii="Times New Roman" w:hAnsi="Times New Roman" w:cs="Times New Roman"/>
              </w:rPr>
              <w:t xml:space="preserve">Количество нозологических форм, по которым зарегистрировано снижение заболеваемости. </w:t>
            </w:r>
          </w:p>
        </w:tc>
        <w:tc>
          <w:tcPr>
            <w:tcW w:w="993"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Единицы</w:t>
            </w:r>
          </w:p>
        </w:tc>
        <w:tc>
          <w:tcPr>
            <w:tcW w:w="1701"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16</w:t>
            </w: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r>
              <w:rPr>
                <w:rFonts w:ascii="Times New Roman" w:hAnsi="Times New Roman" w:cs="Times New Roman"/>
              </w:rPr>
              <w:t>17</w:t>
            </w:r>
          </w:p>
        </w:tc>
      </w:tr>
      <w:tr w:rsidR="002914EB" w:rsidRPr="00EB267D" w:rsidTr="002914EB">
        <w:trPr>
          <w:trHeight w:val="346"/>
        </w:trPr>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rPr>
                <w:rFonts w:ascii="Times New Roman" w:hAnsi="Times New Roman" w:cs="Times New Roman"/>
              </w:rPr>
            </w:pPr>
            <w:r w:rsidRPr="00EB267D">
              <w:rPr>
                <w:rFonts w:ascii="Times New Roman" w:hAnsi="Times New Roman" w:cs="Times New Roman"/>
              </w:rPr>
              <w:t xml:space="preserve">Количество нозологических форм, по которым зарегистрирована стабилизация заболеваемости. </w:t>
            </w:r>
          </w:p>
        </w:tc>
        <w:tc>
          <w:tcPr>
            <w:tcW w:w="993"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Единицы</w:t>
            </w:r>
          </w:p>
        </w:tc>
        <w:tc>
          <w:tcPr>
            <w:tcW w:w="1701"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1</w:t>
            </w:r>
          </w:p>
        </w:tc>
      </w:tr>
      <w:tr w:rsidR="002914EB" w:rsidRPr="00EB267D" w:rsidTr="002914EB">
        <w:trPr>
          <w:trHeight w:val="346"/>
        </w:trPr>
        <w:tc>
          <w:tcPr>
            <w:tcW w:w="5245"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tabs>
                <w:tab w:val="center" w:pos="4153"/>
                <w:tab w:val="right" w:pos="8306"/>
              </w:tabs>
              <w:jc w:val="both"/>
              <w:rPr>
                <w:rFonts w:ascii="Times New Roman" w:hAnsi="Times New Roman" w:cs="Times New Roman"/>
              </w:rPr>
            </w:pPr>
            <w:r w:rsidRPr="00EB267D">
              <w:rPr>
                <w:rFonts w:ascii="Times New Roman" w:hAnsi="Times New Roman" w:cs="Times New Roman"/>
              </w:rPr>
              <w:t>Количество нозологических форм, по которым зарегистрирован рост заболеваемости.</w:t>
            </w:r>
          </w:p>
        </w:tc>
        <w:tc>
          <w:tcPr>
            <w:tcW w:w="993"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Единицы</w:t>
            </w:r>
          </w:p>
        </w:tc>
        <w:tc>
          <w:tcPr>
            <w:tcW w:w="1701" w:type="dxa"/>
            <w:tcBorders>
              <w:top w:val="single" w:sz="4" w:space="0" w:color="auto"/>
              <w:left w:val="single" w:sz="4" w:space="0" w:color="auto"/>
              <w:bottom w:val="single" w:sz="4" w:space="0" w:color="auto"/>
              <w:right w:val="single" w:sz="4" w:space="0" w:color="auto"/>
            </w:tcBorders>
            <w:hideMark/>
          </w:tcPr>
          <w:p w:rsidR="002914EB" w:rsidRPr="00EB267D" w:rsidRDefault="002914EB" w:rsidP="002914EB">
            <w:pPr>
              <w:jc w:val="center"/>
              <w:rPr>
                <w:rFonts w:ascii="Times New Roman" w:hAnsi="Times New Roman" w:cs="Times New Roman"/>
              </w:rPr>
            </w:pPr>
            <w:r w:rsidRPr="00EB267D">
              <w:rPr>
                <w:rFonts w:ascii="Times New Roman" w:hAnsi="Times New Roman" w:cs="Times New Roman"/>
              </w:rPr>
              <w:t>17</w:t>
            </w:r>
          </w:p>
        </w:tc>
        <w:tc>
          <w:tcPr>
            <w:tcW w:w="1559" w:type="dxa"/>
            <w:tcBorders>
              <w:top w:val="single" w:sz="4" w:space="0" w:color="auto"/>
              <w:left w:val="single" w:sz="4" w:space="0" w:color="auto"/>
              <w:bottom w:val="single" w:sz="4" w:space="0" w:color="auto"/>
              <w:right w:val="single" w:sz="4" w:space="0" w:color="auto"/>
            </w:tcBorders>
          </w:tcPr>
          <w:p w:rsidR="002914EB" w:rsidRPr="00EB267D" w:rsidRDefault="002914EB" w:rsidP="002914EB">
            <w:pPr>
              <w:jc w:val="center"/>
              <w:rPr>
                <w:rFonts w:ascii="Times New Roman" w:hAnsi="Times New Roman" w:cs="Times New Roman"/>
              </w:rPr>
            </w:pPr>
            <w:r>
              <w:rPr>
                <w:rFonts w:ascii="Times New Roman" w:hAnsi="Times New Roman" w:cs="Times New Roman"/>
              </w:rPr>
              <w:t>21</w:t>
            </w:r>
          </w:p>
        </w:tc>
      </w:tr>
    </w:tbl>
    <w:p w:rsidR="002914EB" w:rsidRPr="00EB267D" w:rsidRDefault="002914EB" w:rsidP="002914EB">
      <w:pPr>
        <w:tabs>
          <w:tab w:val="left" w:pos="0"/>
        </w:tabs>
        <w:ind w:right="57"/>
        <w:jc w:val="both"/>
        <w:rPr>
          <w:rFonts w:ascii="Times New Roman" w:hAnsi="Times New Roman" w:cs="Times New Roman"/>
          <w:b/>
        </w:rPr>
      </w:pPr>
      <w:r w:rsidRPr="00EB267D">
        <w:rPr>
          <w:rFonts w:ascii="Times New Roman" w:hAnsi="Times New Roman" w:cs="Times New Roman"/>
          <w:bCs/>
          <w:sz w:val="24"/>
          <w:szCs w:val="24"/>
        </w:rPr>
        <w:tab/>
      </w:r>
    </w:p>
    <w:p w:rsidR="002914EB" w:rsidRPr="00047DBB" w:rsidRDefault="002914EB" w:rsidP="00047DBB">
      <w:pPr>
        <w:spacing w:line="240" w:lineRule="auto"/>
        <w:jc w:val="center"/>
        <w:rPr>
          <w:rFonts w:ascii="Times New Roman" w:hAnsi="Times New Roman" w:cs="Times New Roman"/>
          <w:b/>
          <w:sz w:val="24"/>
          <w:szCs w:val="24"/>
        </w:rPr>
      </w:pPr>
      <w:r w:rsidRPr="00047DBB">
        <w:rPr>
          <w:rFonts w:ascii="Times New Roman" w:hAnsi="Times New Roman" w:cs="Times New Roman"/>
          <w:b/>
          <w:sz w:val="24"/>
          <w:szCs w:val="24"/>
        </w:rPr>
        <w:t xml:space="preserve">3.2. Проблемные вопросы при обеспечении санитарно-эпидемиологического благополучия населения г. Пыть-Ях </w:t>
      </w:r>
    </w:p>
    <w:p w:rsidR="002914EB" w:rsidRPr="00047DBB" w:rsidRDefault="002914EB" w:rsidP="006A23B3">
      <w:pPr>
        <w:pStyle w:val="aff"/>
        <w:numPr>
          <w:ilvl w:val="0"/>
          <w:numId w:val="22"/>
        </w:numPr>
        <w:spacing w:after="0" w:line="240" w:lineRule="auto"/>
        <w:ind w:left="0" w:firstLine="567"/>
        <w:jc w:val="both"/>
        <w:rPr>
          <w:rFonts w:ascii="Times New Roman" w:hAnsi="Times New Roman"/>
          <w:sz w:val="24"/>
          <w:szCs w:val="24"/>
        </w:rPr>
      </w:pPr>
      <w:r w:rsidRPr="00047DBB">
        <w:rPr>
          <w:rFonts w:ascii="Times New Roman" w:hAnsi="Times New Roman"/>
          <w:sz w:val="24"/>
          <w:szCs w:val="24"/>
        </w:rPr>
        <w:t>МУП «Управление городского хозяйства» и  АО «Сибур Тюмень Газ» (далее  «Южно-Балыкский ГПК»)  является  поставщиком ресурса централизованного обеспечения питьевой водой объектов, находящихся на  территории города Пыть-Ях. по прежнему ВОС-1, ВОС-2, ВОС-3 и ВОС-4 не имеет необходимого комплекса  водоочистных сооружений  и современных обеззараживающих установок  используемых для  холодного водоснабжения на городском водозаборе. Поступающая из артезианских скважин, несмотря на повышенное содержание железа и несоответствующие органолептические показатели, вода подвергается лишь обеззараживанию и подается населению без улучшения ее физико-химических свойств.</w:t>
      </w:r>
    </w:p>
    <w:p w:rsidR="002914EB" w:rsidRPr="00047DBB" w:rsidRDefault="002914EB" w:rsidP="006A23B3">
      <w:pPr>
        <w:pStyle w:val="aff"/>
        <w:numPr>
          <w:ilvl w:val="0"/>
          <w:numId w:val="22"/>
        </w:numPr>
        <w:spacing w:after="0" w:line="240" w:lineRule="auto"/>
        <w:ind w:left="0" w:firstLine="567"/>
        <w:jc w:val="both"/>
        <w:rPr>
          <w:rFonts w:ascii="Times New Roman" w:hAnsi="Times New Roman"/>
          <w:sz w:val="24"/>
          <w:szCs w:val="24"/>
        </w:rPr>
      </w:pPr>
      <w:r w:rsidRPr="00047DBB">
        <w:rPr>
          <w:rFonts w:ascii="Times New Roman" w:hAnsi="Times New Roman"/>
          <w:sz w:val="24"/>
          <w:szCs w:val="24"/>
        </w:rPr>
        <w:t>До сих пор не решены   проблемы по  обеспечению питьевой водой гарантированного качества населения города Пыть-Ях , а именно:  ВОС-1  по-прежнему находится на реконструкции (проект «Реконструкции ВОС-1(2 очередь)), введённый в эксплуатацию в 2016 году  первый пусковой комплекс на объекте ВОС-1,  не обеспечил нормативное качество очистки воды, существующая технология очистки не позволяет привести питьевую воду соответствующим  требованиям санитарных правил;       не проводится реконструкция ВОС-3   по разработанному и утверждённому проекту «Реконструкция ВОС-3» .</w:t>
      </w:r>
    </w:p>
    <w:p w:rsidR="002914EB" w:rsidRPr="00047DBB" w:rsidRDefault="002914EB" w:rsidP="006A23B3">
      <w:pPr>
        <w:pStyle w:val="aff"/>
        <w:numPr>
          <w:ilvl w:val="0"/>
          <w:numId w:val="22"/>
        </w:numPr>
        <w:spacing w:after="0" w:line="240" w:lineRule="auto"/>
        <w:ind w:left="0" w:firstLine="567"/>
        <w:jc w:val="both"/>
        <w:rPr>
          <w:rFonts w:ascii="Times New Roman" w:hAnsi="Times New Roman"/>
          <w:sz w:val="24"/>
          <w:szCs w:val="24"/>
        </w:rPr>
      </w:pPr>
      <w:r w:rsidRPr="00047DBB">
        <w:rPr>
          <w:rFonts w:ascii="Times New Roman" w:hAnsi="Times New Roman"/>
          <w:sz w:val="24"/>
          <w:szCs w:val="24"/>
        </w:rPr>
        <w:t xml:space="preserve">Очистные сооружения в ряде коммунальных водопроводах не работают.  Вода с ВОС-2, ВОС-3 и ВОС-4 подается потребителям без предварительной водоочистки, в резервуарах запаса воды происходит естественное удаление метана и сероводорода, содержащихся в воде. Водопроводная сеть (ВОС-1, ВОС-2, ВОС-3) закольцована и работает как зона с единым давлением, сети ВОС-4 не закольцованы. Протяженность водопровода гПыть-Ях составляет 76,8 км.и процент изношенности составляет- 50%. </w:t>
      </w:r>
    </w:p>
    <w:p w:rsidR="002914EB" w:rsidRPr="00047DBB" w:rsidRDefault="002914EB" w:rsidP="006A23B3">
      <w:pPr>
        <w:pStyle w:val="aff"/>
        <w:numPr>
          <w:ilvl w:val="0"/>
          <w:numId w:val="22"/>
        </w:numPr>
        <w:spacing w:after="0" w:line="240" w:lineRule="auto"/>
        <w:ind w:left="0" w:firstLine="567"/>
        <w:jc w:val="both"/>
        <w:rPr>
          <w:rFonts w:ascii="Times New Roman" w:hAnsi="Times New Roman"/>
          <w:sz w:val="24"/>
          <w:szCs w:val="24"/>
        </w:rPr>
      </w:pPr>
      <w:r w:rsidRPr="00047DBB">
        <w:rPr>
          <w:rFonts w:ascii="Times New Roman" w:hAnsi="Times New Roman"/>
          <w:sz w:val="24"/>
          <w:szCs w:val="24"/>
        </w:rPr>
        <w:t xml:space="preserve"> Населения города - 39844  человека  использует воду с повышенным содержанием железа и органолептическими показателями, не соответствующими санитарным нормам 100 % населения, в том числе с превышением ПДК по содержанию железа в 5 и более  раз. </w:t>
      </w:r>
      <w:r w:rsidRPr="00047DBB">
        <w:rPr>
          <w:rFonts w:ascii="Times New Roman" w:hAnsi="Times New Roman"/>
          <w:bCs/>
          <w:sz w:val="24"/>
          <w:szCs w:val="24"/>
        </w:rPr>
        <w:t xml:space="preserve">В соответствии с критериями оценки качества питьевой воды в МО гПыть-Ях оценивается как </w:t>
      </w:r>
      <w:r w:rsidRPr="00047DBB">
        <w:rPr>
          <w:rFonts w:ascii="Times New Roman" w:hAnsi="Times New Roman"/>
          <w:bCs/>
          <w:sz w:val="24"/>
          <w:szCs w:val="24"/>
          <w:u w:val="single"/>
        </w:rPr>
        <w:t>недоброкачественное</w:t>
      </w:r>
      <w:r w:rsidRPr="00047DBB">
        <w:rPr>
          <w:rFonts w:ascii="Times New Roman" w:hAnsi="Times New Roman"/>
          <w:bCs/>
          <w:sz w:val="24"/>
          <w:szCs w:val="24"/>
        </w:rPr>
        <w:t xml:space="preserve">, в соответствии с критериями, изложенными письмом ФС Роспотребнадзора от 28.07.2008г. №01/8039-8-32 «О критериях оценки качества питьевой воды» качество питьевой воды» (по результатам лабораторных исследований воды в 2020 г. –производственный контроль </w:t>
      </w:r>
      <w:r w:rsidRPr="00047DBB">
        <w:rPr>
          <w:rFonts w:ascii="Times New Roman" w:hAnsi="Times New Roman"/>
          <w:sz w:val="24"/>
          <w:szCs w:val="24"/>
        </w:rPr>
        <w:t>МУП «УГХ», соцгигмонитринг ФФБУЗ «ЦГиЭ»).</w:t>
      </w:r>
    </w:p>
    <w:p w:rsidR="002914EB" w:rsidRPr="00047DBB" w:rsidRDefault="002914EB" w:rsidP="006A23B3">
      <w:pPr>
        <w:pStyle w:val="aff"/>
        <w:numPr>
          <w:ilvl w:val="0"/>
          <w:numId w:val="22"/>
        </w:numPr>
        <w:spacing w:after="0" w:line="240" w:lineRule="auto"/>
        <w:ind w:left="0" w:firstLine="567"/>
        <w:jc w:val="both"/>
        <w:rPr>
          <w:rFonts w:ascii="Times New Roman" w:hAnsi="Times New Roman"/>
          <w:sz w:val="24"/>
          <w:szCs w:val="24"/>
        </w:rPr>
      </w:pPr>
      <w:r w:rsidRPr="00047DBB">
        <w:rPr>
          <w:rFonts w:ascii="Times New Roman" w:hAnsi="Times New Roman"/>
          <w:sz w:val="24"/>
          <w:szCs w:val="24"/>
        </w:rPr>
        <w:lastRenderedPageBreak/>
        <w:t xml:space="preserve">Отсутствует санитарно-эпидемиологическое заключение </w:t>
      </w:r>
      <w:r w:rsidRPr="00047DBB">
        <w:rPr>
          <w:rFonts w:ascii="Times New Roman" w:hAnsi="Times New Roman"/>
          <w:bCs/>
          <w:sz w:val="24"/>
          <w:szCs w:val="24"/>
        </w:rPr>
        <w:t xml:space="preserve">о соответствии водных объектов г. Пыть-Ях по  причине несоответствия качества воды нормативным требованиям, </w:t>
      </w:r>
      <w:r w:rsidRPr="00047DBB">
        <w:rPr>
          <w:rFonts w:ascii="Times New Roman" w:hAnsi="Times New Roman"/>
          <w:sz w:val="24"/>
          <w:szCs w:val="24"/>
        </w:rPr>
        <w:t>отсутствия комплекса очистных сооружений подземного источника водоснабжения.</w:t>
      </w:r>
    </w:p>
    <w:p w:rsidR="002914EB" w:rsidRPr="00047DBB" w:rsidRDefault="002914EB" w:rsidP="006A23B3">
      <w:pPr>
        <w:pStyle w:val="aff"/>
        <w:numPr>
          <w:ilvl w:val="0"/>
          <w:numId w:val="22"/>
        </w:numPr>
        <w:spacing w:after="0" w:line="240" w:lineRule="auto"/>
        <w:ind w:left="0" w:firstLine="567"/>
        <w:jc w:val="both"/>
        <w:rPr>
          <w:rFonts w:ascii="Times New Roman" w:hAnsi="Times New Roman"/>
          <w:sz w:val="24"/>
          <w:szCs w:val="24"/>
        </w:rPr>
      </w:pPr>
      <w:r w:rsidRPr="00047DBB">
        <w:rPr>
          <w:rFonts w:ascii="Times New Roman" w:hAnsi="Times New Roman"/>
          <w:bCs/>
          <w:sz w:val="24"/>
          <w:szCs w:val="24"/>
        </w:rPr>
        <w:t xml:space="preserve">Не решаются вопросы о снижения тарифов  в сфере холодного водоснабжения  населению города Пыть-Ях, в части  подачи коммунального ресурса холодная вода ненадлежащего качества, и о  снижение населению оплаты за коммунальную услугу  по водоснабжению ненадлежащего качества.  </w:t>
      </w:r>
    </w:p>
    <w:p w:rsidR="002914EB" w:rsidRPr="00047DBB" w:rsidRDefault="002914EB" w:rsidP="006A23B3">
      <w:pPr>
        <w:pStyle w:val="aff"/>
        <w:numPr>
          <w:ilvl w:val="0"/>
          <w:numId w:val="22"/>
        </w:numPr>
        <w:spacing w:after="0" w:line="240" w:lineRule="auto"/>
        <w:ind w:left="0" w:firstLine="567"/>
        <w:jc w:val="both"/>
        <w:rPr>
          <w:rFonts w:ascii="Times New Roman" w:hAnsi="Times New Roman"/>
          <w:sz w:val="24"/>
          <w:szCs w:val="24"/>
        </w:rPr>
      </w:pPr>
      <w:r w:rsidRPr="00047DBB">
        <w:rPr>
          <w:rFonts w:ascii="Times New Roman" w:hAnsi="Times New Roman"/>
          <w:sz w:val="24"/>
          <w:szCs w:val="24"/>
        </w:rPr>
        <w:t xml:space="preserve">МУП «УГХ» является  поставщиком ресурса подачи  тепловой энергии и горячей  </w:t>
      </w:r>
      <w:r w:rsidRPr="00047DBB">
        <w:rPr>
          <w:rFonts w:ascii="Times New Roman" w:hAnsi="Times New Roman"/>
          <w:color w:val="000000"/>
          <w:spacing w:val="-1"/>
          <w:sz w:val="24"/>
          <w:szCs w:val="24"/>
        </w:rPr>
        <w:t>воды,   включая микрорайоны и жилые дома   города Пыть-Ях,  не имеет</w:t>
      </w:r>
      <w:r w:rsidRPr="00047DBB">
        <w:rPr>
          <w:rFonts w:ascii="Times New Roman" w:hAnsi="Times New Roman"/>
          <w:sz w:val="24"/>
          <w:szCs w:val="24"/>
        </w:rPr>
        <w:t xml:space="preserve"> систему доочистки воды,  горячее водоснабжение в городе не соответствует требованиям санитарных правил и норм, принятая в городе система открытого тепловодоснабжения, отсутствие систем доочистки возвратной воды, приводят к тому, что очищенная и доведенная до показателей СанПиН 2.1.4.2496-09 «Питьевая вода….Гигиенические требования к обеспечению безопасности систем горячего водоснабжения» вода, смешиваясь с неочищенной водой,  резко ухудшает свои санитарно-химические свойства, обеспечивая централизованной горячей водой населения города </w:t>
      </w:r>
      <w:r w:rsidRPr="00047DBB">
        <w:rPr>
          <w:rFonts w:ascii="Times New Roman" w:hAnsi="Times New Roman"/>
          <w:bCs/>
          <w:sz w:val="24"/>
          <w:szCs w:val="24"/>
        </w:rPr>
        <w:t xml:space="preserve">несоответствующего качества.  </w:t>
      </w:r>
    </w:p>
    <w:p w:rsidR="002914EB" w:rsidRPr="00047DBB" w:rsidRDefault="002914EB" w:rsidP="006A23B3">
      <w:pPr>
        <w:pStyle w:val="aff"/>
        <w:numPr>
          <w:ilvl w:val="0"/>
          <w:numId w:val="22"/>
        </w:numPr>
        <w:spacing w:after="0" w:line="240" w:lineRule="auto"/>
        <w:ind w:left="0" w:firstLine="567"/>
        <w:jc w:val="both"/>
        <w:rPr>
          <w:rFonts w:ascii="Times New Roman" w:hAnsi="Times New Roman"/>
          <w:sz w:val="24"/>
          <w:szCs w:val="24"/>
        </w:rPr>
      </w:pPr>
      <w:r w:rsidRPr="00047DBB">
        <w:rPr>
          <w:rFonts w:ascii="Times New Roman" w:hAnsi="Times New Roman"/>
          <w:sz w:val="24"/>
          <w:szCs w:val="24"/>
        </w:rPr>
        <w:t xml:space="preserve">Не решаются вопросы исполнения требований действующего санитарного законодательства в отношении </w:t>
      </w:r>
      <w:r w:rsidRPr="00047DBB">
        <w:rPr>
          <w:rFonts w:ascii="Times New Roman" w:hAnsi="Times New Roman"/>
          <w:spacing w:val="-1"/>
          <w:sz w:val="24"/>
          <w:szCs w:val="24"/>
          <w:shd w:val="clear" w:color="auto" w:fill="FFFFFF"/>
        </w:rPr>
        <w:t xml:space="preserve">зон санитарной охраны ( далее ЗСО) подземного </w:t>
      </w:r>
      <w:r w:rsidRPr="00047DBB">
        <w:rPr>
          <w:rFonts w:ascii="Times New Roman" w:hAnsi="Times New Roman"/>
          <w:sz w:val="24"/>
          <w:szCs w:val="24"/>
        </w:rPr>
        <w:t xml:space="preserve"> водозабора ВОС-2, ВОС-3, ВОС-4, разработанные ранее проект (ЗСО) отклонен от согласования УРПН в связи с не соблюдением зон санитарной охраны. В настоящее время ТОУРПН в  2014году  рассмотрено и выдано  2  положительных  заключений на проект  ЗСО  на ВОС ОАО «ЮБ ГПК» и  ВОС -1 МУП «УГХ»..  </w:t>
      </w:r>
    </w:p>
    <w:p w:rsidR="002914EB" w:rsidRPr="00047DBB" w:rsidRDefault="002914EB" w:rsidP="006A23B3">
      <w:pPr>
        <w:pStyle w:val="aff"/>
        <w:numPr>
          <w:ilvl w:val="0"/>
          <w:numId w:val="22"/>
        </w:numPr>
        <w:spacing w:after="0" w:line="240" w:lineRule="auto"/>
        <w:ind w:left="0" w:firstLine="567"/>
        <w:jc w:val="both"/>
        <w:rPr>
          <w:rFonts w:ascii="Times New Roman" w:hAnsi="Times New Roman"/>
          <w:sz w:val="24"/>
          <w:szCs w:val="24"/>
        </w:rPr>
      </w:pPr>
      <w:r w:rsidRPr="00047DBB">
        <w:rPr>
          <w:rFonts w:ascii="Times New Roman" w:hAnsi="Times New Roman"/>
          <w:sz w:val="24"/>
          <w:szCs w:val="24"/>
        </w:rPr>
        <w:t>В рамках муниципальной программы разработан проект  программы по реконструкции, модернизации и развитию систем водоснабжения и водоотведения МУП  «УГХ» МО города Пыть-Ях на 2016-2020 годы,  который возвращен Департаментом жилищно-коммунального комплекса и энергетики автономного округа в адрес ресурсоснабжающей организации на доработку.</w:t>
      </w:r>
    </w:p>
    <w:p w:rsidR="002914EB" w:rsidRPr="00047DBB" w:rsidRDefault="002914EB" w:rsidP="006A23B3">
      <w:pPr>
        <w:pStyle w:val="aff"/>
        <w:numPr>
          <w:ilvl w:val="0"/>
          <w:numId w:val="22"/>
        </w:numPr>
        <w:spacing w:after="0" w:line="240" w:lineRule="auto"/>
        <w:ind w:left="0" w:firstLine="567"/>
        <w:jc w:val="both"/>
        <w:rPr>
          <w:rFonts w:ascii="Times New Roman" w:hAnsi="Times New Roman"/>
          <w:sz w:val="24"/>
          <w:szCs w:val="24"/>
        </w:rPr>
      </w:pPr>
      <w:r w:rsidRPr="00047DBB">
        <w:rPr>
          <w:rFonts w:ascii="Times New Roman" w:hAnsi="Times New Roman"/>
          <w:sz w:val="24"/>
          <w:szCs w:val="24"/>
        </w:rPr>
        <w:t>В вязи с изменениями  в законодательстве, в рамках ФЗ №416 –ФЗ «О водоснабжении и водоотведении …»  отсутствует разработанная и утверждённая инвестиционная  программа города Пыть-Ях.</w:t>
      </w:r>
    </w:p>
    <w:p w:rsidR="002914EB" w:rsidRPr="00047DBB" w:rsidRDefault="002914EB" w:rsidP="006A23B3">
      <w:pPr>
        <w:numPr>
          <w:ilvl w:val="0"/>
          <w:numId w:val="22"/>
        </w:numPr>
        <w:spacing w:after="0" w:line="240" w:lineRule="auto"/>
        <w:ind w:left="0" w:firstLine="567"/>
        <w:jc w:val="both"/>
        <w:rPr>
          <w:rFonts w:ascii="Times New Roman" w:hAnsi="Times New Roman" w:cs="Times New Roman"/>
          <w:sz w:val="24"/>
          <w:szCs w:val="24"/>
        </w:rPr>
      </w:pPr>
      <w:r w:rsidRPr="00047DBB">
        <w:rPr>
          <w:rFonts w:ascii="Times New Roman" w:hAnsi="Times New Roman" w:cs="Times New Roman"/>
          <w:sz w:val="24"/>
          <w:szCs w:val="24"/>
        </w:rPr>
        <w:t>В соответствии ФЗ №416 –ФЗ «О водоснабжении и водоотведении …» планы мероприятий по приведению качества питьевой воды в соответствие с установленными требованиями гарантирующих организаций «ЮБ ГПК»- филиал  АО «Сибур Тюмень газ» и  МУП «УГХ»  разработаны, после рассмотрения ТО УРПН   возвращены на доработку;   разработаны и утверждены программы производственного контроля</w:t>
      </w:r>
      <w:r w:rsidRPr="00047DBB">
        <w:rPr>
          <w:rFonts w:ascii="Times New Roman" w:hAnsi="Times New Roman" w:cs="Times New Roman"/>
          <w:bCs/>
          <w:iCs/>
          <w:sz w:val="24"/>
          <w:szCs w:val="24"/>
        </w:rPr>
        <w:t>.</w:t>
      </w:r>
    </w:p>
    <w:p w:rsidR="002914EB" w:rsidRPr="00047DBB" w:rsidRDefault="002914EB" w:rsidP="006A23B3">
      <w:pPr>
        <w:pStyle w:val="aff"/>
        <w:numPr>
          <w:ilvl w:val="0"/>
          <w:numId w:val="22"/>
        </w:numPr>
        <w:spacing w:after="0" w:line="240" w:lineRule="auto"/>
        <w:ind w:left="0" w:firstLine="567"/>
        <w:jc w:val="both"/>
        <w:rPr>
          <w:rFonts w:ascii="Times New Roman" w:hAnsi="Times New Roman"/>
          <w:sz w:val="24"/>
          <w:szCs w:val="24"/>
        </w:rPr>
      </w:pPr>
      <w:r w:rsidRPr="00047DBB">
        <w:rPr>
          <w:rFonts w:ascii="Times New Roman" w:hAnsi="Times New Roman"/>
          <w:sz w:val="24"/>
          <w:szCs w:val="24"/>
        </w:rPr>
        <w:t>Сооружения по очистке выбросов в атмосферу котельные (8) , КОС-2700, КОС -7000 (2), ВОСы (4) функционируют без проектов организации СЗЗ согласованных в установленном порядке.</w:t>
      </w:r>
    </w:p>
    <w:p w:rsidR="002914EB" w:rsidRPr="00047DBB" w:rsidRDefault="002914EB" w:rsidP="006A23B3">
      <w:pPr>
        <w:pStyle w:val="aff"/>
        <w:numPr>
          <w:ilvl w:val="0"/>
          <w:numId w:val="22"/>
        </w:numPr>
        <w:spacing w:after="0" w:line="240" w:lineRule="auto"/>
        <w:ind w:left="0" w:firstLine="567"/>
        <w:jc w:val="both"/>
        <w:rPr>
          <w:rFonts w:ascii="Times New Roman" w:hAnsi="Times New Roman"/>
          <w:sz w:val="24"/>
          <w:szCs w:val="24"/>
        </w:rPr>
      </w:pPr>
      <w:r w:rsidRPr="00047DBB">
        <w:rPr>
          <w:rFonts w:ascii="Times New Roman" w:hAnsi="Times New Roman"/>
          <w:sz w:val="24"/>
          <w:szCs w:val="24"/>
        </w:rPr>
        <w:t xml:space="preserve">В городе Пыть-Ях  функционирующие канализационные очистное сооружение </w:t>
      </w:r>
      <w:r w:rsidRPr="00047DBB">
        <w:rPr>
          <w:rFonts w:ascii="Times New Roman" w:eastAsia="Arial Unicode MS" w:hAnsi="Times New Roman"/>
          <w:sz w:val="24"/>
          <w:szCs w:val="24"/>
        </w:rPr>
        <w:t>КОС   2700</w:t>
      </w:r>
      <w:r w:rsidRPr="00047DBB">
        <w:rPr>
          <w:rFonts w:ascii="Times New Roman" w:hAnsi="Times New Roman"/>
          <w:sz w:val="24"/>
          <w:szCs w:val="24"/>
        </w:rPr>
        <w:t xml:space="preserve"> м куб. в сутки.</w:t>
      </w:r>
      <w:r w:rsidRPr="00047DBB">
        <w:rPr>
          <w:rFonts w:ascii="Times New Roman" w:eastAsia="Arial Unicode MS" w:hAnsi="Times New Roman"/>
          <w:sz w:val="24"/>
          <w:szCs w:val="24"/>
        </w:rPr>
        <w:t>, 7000</w:t>
      </w:r>
      <w:r w:rsidRPr="00047DBB">
        <w:rPr>
          <w:rFonts w:ascii="Times New Roman" w:hAnsi="Times New Roman"/>
          <w:sz w:val="24"/>
          <w:szCs w:val="24"/>
        </w:rPr>
        <w:t xml:space="preserve"> м куб. в сутки</w:t>
      </w:r>
      <w:r w:rsidRPr="00047DBB">
        <w:rPr>
          <w:rFonts w:ascii="Times New Roman" w:eastAsia="Arial Unicode MS" w:hAnsi="Times New Roman"/>
          <w:sz w:val="24"/>
          <w:szCs w:val="24"/>
        </w:rPr>
        <w:t xml:space="preserve">, 1-  ведомственная </w:t>
      </w:r>
      <w:r w:rsidRPr="00047DBB">
        <w:rPr>
          <w:rFonts w:ascii="Times New Roman" w:hAnsi="Times New Roman"/>
          <w:sz w:val="24"/>
          <w:szCs w:val="24"/>
        </w:rPr>
        <w:t>ОАО «СибурТюмень Газ» (далее</w:t>
      </w:r>
      <w:r w:rsidRPr="00047DBB">
        <w:rPr>
          <w:rFonts w:ascii="Times New Roman" w:eastAsia="Arial Unicode MS" w:hAnsi="Times New Roman"/>
          <w:sz w:val="24"/>
          <w:szCs w:val="24"/>
        </w:rPr>
        <w:t xml:space="preserve"> «ЮБ «ГПК»),  </w:t>
      </w:r>
      <w:r w:rsidRPr="00047DBB">
        <w:rPr>
          <w:rFonts w:ascii="Times New Roman" w:hAnsi="Times New Roman"/>
          <w:sz w:val="24"/>
          <w:szCs w:val="24"/>
        </w:rPr>
        <w:t>не обеспечивают необходимый уровень  и эффективность (</w:t>
      </w:r>
      <w:r w:rsidRPr="00047DBB">
        <w:rPr>
          <w:rFonts w:ascii="Times New Roman" w:hAnsi="Times New Roman"/>
          <w:color w:val="000000"/>
          <w:spacing w:val="3"/>
          <w:sz w:val="24"/>
          <w:szCs w:val="24"/>
        </w:rPr>
        <w:t>Эффективность  очистки  сточных  вод составляет  80-90%)</w:t>
      </w:r>
      <w:r w:rsidRPr="00047DBB">
        <w:rPr>
          <w:rFonts w:ascii="Times New Roman" w:hAnsi="Times New Roman"/>
          <w:sz w:val="24"/>
          <w:szCs w:val="24"/>
        </w:rPr>
        <w:t xml:space="preserve">  очистки сточных вод, что подтверждается и проведенными лабораторными исследованиями сточной воды до очистки и после. </w:t>
      </w:r>
      <w:r w:rsidRPr="00047DBB">
        <w:rPr>
          <w:rFonts w:ascii="Times New Roman" w:eastAsia="Arial Unicode MS" w:hAnsi="Times New Roman"/>
          <w:sz w:val="24"/>
          <w:szCs w:val="24"/>
        </w:rPr>
        <w:t>Для обеззараживания стоков на КОСы города используется УФО и препарат для дезинвазии сточных вод ПУРОЛАТ-БИНГСТИ. Качество сточных вод не удовлетворяет по азоту аммонийному, азоту нитритному, фосфатам, нефтепродуктам, БПК5, КВЧ, АПАВ, из-за недостаточной системы очистки сточных вод.</w:t>
      </w:r>
    </w:p>
    <w:p w:rsidR="002914EB" w:rsidRPr="00047DBB" w:rsidRDefault="002914EB" w:rsidP="006A23B3">
      <w:pPr>
        <w:pStyle w:val="aff"/>
        <w:numPr>
          <w:ilvl w:val="0"/>
          <w:numId w:val="22"/>
        </w:numPr>
        <w:spacing w:after="0" w:line="240" w:lineRule="auto"/>
        <w:ind w:left="0" w:firstLine="567"/>
        <w:jc w:val="both"/>
        <w:rPr>
          <w:rFonts w:ascii="Times New Roman" w:hAnsi="Times New Roman"/>
          <w:sz w:val="24"/>
          <w:szCs w:val="24"/>
        </w:rPr>
      </w:pPr>
      <w:r w:rsidRPr="00047DBB">
        <w:rPr>
          <w:rFonts w:ascii="Times New Roman" w:hAnsi="Times New Roman"/>
          <w:sz w:val="24"/>
          <w:szCs w:val="24"/>
        </w:rPr>
        <w:t>Инфраструктура города не охвачена  ливневыми сооружениями -коллекторами и дождеприёмниками.</w:t>
      </w:r>
    </w:p>
    <w:p w:rsidR="002914EB" w:rsidRPr="00047DBB" w:rsidRDefault="002914EB" w:rsidP="006A23B3">
      <w:pPr>
        <w:widowControl w:val="0"/>
        <w:numPr>
          <w:ilvl w:val="0"/>
          <w:numId w:val="22"/>
        </w:numPr>
        <w:snapToGrid w:val="0"/>
        <w:spacing w:after="0" w:line="240" w:lineRule="auto"/>
        <w:ind w:left="0" w:right="-5" w:firstLine="567"/>
        <w:jc w:val="both"/>
        <w:rPr>
          <w:rFonts w:ascii="Times New Roman" w:eastAsia="Times New Roman" w:hAnsi="Times New Roman" w:cs="Times New Roman"/>
          <w:sz w:val="24"/>
          <w:szCs w:val="24"/>
        </w:rPr>
      </w:pPr>
      <w:r w:rsidRPr="00047DBB">
        <w:rPr>
          <w:rFonts w:ascii="Times New Roman" w:eastAsia="Times New Roman" w:hAnsi="Times New Roman" w:cs="Times New Roman"/>
          <w:sz w:val="24"/>
          <w:szCs w:val="24"/>
        </w:rPr>
        <w:t>С</w:t>
      </w:r>
      <w:r w:rsidRPr="00047DBB">
        <w:rPr>
          <w:rFonts w:ascii="Times New Roman" w:eastAsia="Calibri" w:hAnsi="Times New Roman" w:cs="Times New Roman"/>
          <w:sz w:val="24"/>
          <w:szCs w:val="24"/>
        </w:rPr>
        <w:t xml:space="preserve">бор ЖБО в домах, не подключенных к централизованной системе канализации, осуществляется специализированной машиной по заявке жителей МУП «УГХ» путем откачки жидких отходов из септиков, доставки спецтехникой и сливом в приемный канализационный колодец очистных сооружений МУП «УГХ». </w:t>
      </w:r>
      <w:r w:rsidRPr="00047DBB">
        <w:rPr>
          <w:rFonts w:ascii="Times New Roman" w:eastAsia="Arial Unicode MS" w:hAnsi="Times New Roman" w:cs="Times New Roman"/>
          <w:sz w:val="24"/>
          <w:szCs w:val="24"/>
        </w:rPr>
        <w:t xml:space="preserve">Вопрос по вывозу жидких отходов с временных поселков «Вертолетка», СУ-904, частично в 2 «А» микрорайоне (30 </w:t>
      </w:r>
      <w:r w:rsidRPr="00047DBB">
        <w:rPr>
          <w:rFonts w:ascii="Times New Roman" w:eastAsia="Arial Unicode MS" w:hAnsi="Times New Roman" w:cs="Times New Roman"/>
          <w:sz w:val="24"/>
          <w:szCs w:val="24"/>
        </w:rPr>
        <w:lastRenderedPageBreak/>
        <w:t xml:space="preserve">жилых домов) </w:t>
      </w:r>
      <w:r w:rsidRPr="00047DBB">
        <w:rPr>
          <w:rFonts w:ascii="Times New Roman" w:eastAsia="Times New Roman" w:hAnsi="Times New Roman" w:cs="Times New Roman"/>
          <w:sz w:val="24"/>
          <w:szCs w:val="24"/>
        </w:rPr>
        <w:t xml:space="preserve">остается актуальным, так как не все балки оборудованы емкостями для приема жидких отходов. </w:t>
      </w:r>
      <w:r w:rsidRPr="00047DBB">
        <w:rPr>
          <w:rFonts w:ascii="Times New Roman" w:eastAsia="Arial Unicode MS" w:hAnsi="Times New Roman" w:cs="Times New Roman"/>
          <w:sz w:val="24"/>
          <w:szCs w:val="24"/>
        </w:rPr>
        <w:t>Мероприятия по сбору и обеззараживанию сточных вод с балочных массивов  со стороны администрации не проводятся.</w:t>
      </w:r>
    </w:p>
    <w:p w:rsidR="002914EB" w:rsidRPr="00047DBB" w:rsidRDefault="002914EB" w:rsidP="006A23B3">
      <w:pPr>
        <w:pStyle w:val="aff"/>
        <w:numPr>
          <w:ilvl w:val="0"/>
          <w:numId w:val="22"/>
        </w:numPr>
        <w:spacing w:after="0" w:line="240" w:lineRule="auto"/>
        <w:ind w:left="0" w:firstLine="567"/>
        <w:jc w:val="both"/>
        <w:rPr>
          <w:rFonts w:ascii="Times New Roman" w:hAnsi="Times New Roman"/>
          <w:sz w:val="24"/>
          <w:szCs w:val="24"/>
        </w:rPr>
      </w:pPr>
      <w:r w:rsidRPr="00047DBB">
        <w:rPr>
          <w:rFonts w:ascii="Times New Roman" w:hAnsi="Times New Roman"/>
          <w:sz w:val="24"/>
          <w:szCs w:val="24"/>
        </w:rPr>
        <w:t>В городе не проводится работа по организации санитарно-защитных зон и проектированию предварительных (расчетных) зон   предприятий г. Пыть-Ях.</w:t>
      </w:r>
    </w:p>
    <w:p w:rsidR="002914EB" w:rsidRPr="00047DBB" w:rsidRDefault="002914EB" w:rsidP="006A23B3">
      <w:pPr>
        <w:pStyle w:val="aff"/>
        <w:numPr>
          <w:ilvl w:val="0"/>
          <w:numId w:val="22"/>
        </w:numPr>
        <w:spacing w:after="0" w:line="240" w:lineRule="auto"/>
        <w:ind w:left="0" w:firstLine="567"/>
        <w:jc w:val="both"/>
        <w:rPr>
          <w:rFonts w:ascii="Times New Roman" w:hAnsi="Times New Roman"/>
          <w:sz w:val="24"/>
          <w:szCs w:val="24"/>
        </w:rPr>
      </w:pPr>
      <w:r w:rsidRPr="00047DBB">
        <w:rPr>
          <w:rFonts w:ascii="Times New Roman" w:hAnsi="Times New Roman"/>
          <w:sz w:val="24"/>
          <w:szCs w:val="24"/>
        </w:rPr>
        <w:t>Не  осуществляется ведомственный (производственный) контроль за влиянием предприятий и автотранспорта на окружающую среду.</w:t>
      </w:r>
    </w:p>
    <w:p w:rsidR="002914EB" w:rsidRPr="00047DBB" w:rsidRDefault="002914EB" w:rsidP="006A23B3">
      <w:pPr>
        <w:pStyle w:val="aff"/>
        <w:numPr>
          <w:ilvl w:val="0"/>
          <w:numId w:val="22"/>
        </w:numPr>
        <w:spacing w:after="0" w:line="240" w:lineRule="auto"/>
        <w:ind w:left="0" w:firstLine="567"/>
        <w:jc w:val="both"/>
        <w:rPr>
          <w:rFonts w:ascii="Times New Roman" w:hAnsi="Times New Roman"/>
          <w:sz w:val="24"/>
          <w:szCs w:val="24"/>
        </w:rPr>
      </w:pPr>
      <w:r w:rsidRPr="00047DBB">
        <w:rPr>
          <w:rFonts w:ascii="Times New Roman" w:hAnsi="Times New Roman"/>
          <w:sz w:val="24"/>
          <w:szCs w:val="24"/>
        </w:rPr>
        <w:t>Отсутствуют стационарные посты в городе и не решаются вопросы по организации передвижных постов, в результате не осуществляется    регулярный контроль за качеством атмосферного воздуха на стационарных, маршрутных постах  на территории г.Пыть-Ях со стороны администрации.</w:t>
      </w:r>
    </w:p>
    <w:p w:rsidR="002914EB" w:rsidRPr="00047DBB" w:rsidRDefault="00047DBB" w:rsidP="006A23B3">
      <w:pPr>
        <w:pStyle w:val="aff"/>
        <w:numPr>
          <w:ilvl w:val="0"/>
          <w:numId w:val="22"/>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На предприятиях не применяются </w:t>
      </w:r>
      <w:r w:rsidR="002914EB" w:rsidRPr="00047DBB">
        <w:rPr>
          <w:rFonts w:ascii="Times New Roman" w:hAnsi="Times New Roman"/>
          <w:sz w:val="24"/>
          <w:szCs w:val="24"/>
        </w:rPr>
        <w:t>технологии, исключающие выброс промышленных токсичных веществ, не проводится лабораторный контроль по программам производственного контроля;</w:t>
      </w:r>
    </w:p>
    <w:p w:rsidR="002914EB" w:rsidRPr="00047DBB" w:rsidRDefault="00047DBB" w:rsidP="006A23B3">
      <w:pPr>
        <w:pStyle w:val="aff"/>
        <w:numPr>
          <w:ilvl w:val="0"/>
          <w:numId w:val="22"/>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Не осваивается </w:t>
      </w:r>
      <w:r w:rsidR="002914EB" w:rsidRPr="00047DBB">
        <w:rPr>
          <w:rFonts w:ascii="Times New Roman" w:hAnsi="Times New Roman"/>
          <w:sz w:val="24"/>
          <w:szCs w:val="24"/>
        </w:rPr>
        <w:t>и внедряется  в работу изучение оценки рисков здоровья населения от неблагоприятного воздействия содержания вредных веществ в атмосферном воздухе.</w:t>
      </w:r>
    </w:p>
    <w:p w:rsidR="002914EB" w:rsidRPr="00047DBB" w:rsidRDefault="002914EB" w:rsidP="006A23B3">
      <w:pPr>
        <w:pStyle w:val="aff"/>
        <w:numPr>
          <w:ilvl w:val="0"/>
          <w:numId w:val="22"/>
        </w:numPr>
        <w:spacing w:line="240" w:lineRule="auto"/>
        <w:ind w:left="0" w:firstLine="567"/>
        <w:jc w:val="both"/>
        <w:rPr>
          <w:rFonts w:ascii="Times New Roman" w:hAnsi="Times New Roman"/>
          <w:sz w:val="24"/>
          <w:szCs w:val="24"/>
        </w:rPr>
      </w:pPr>
      <w:r w:rsidRPr="00047DBB">
        <w:rPr>
          <w:rFonts w:ascii="Times New Roman" w:hAnsi="Times New Roman"/>
          <w:sz w:val="24"/>
          <w:szCs w:val="24"/>
        </w:rPr>
        <w:t xml:space="preserve">Отсутствует полноценный механизм осуществления селективного сбора, накопления и транспортирования отходов из жилищ, особенно, энергосберегающих ртутьсодержащих ламп. </w:t>
      </w:r>
    </w:p>
    <w:p w:rsidR="002914EB" w:rsidRPr="00047DBB" w:rsidRDefault="002914EB" w:rsidP="006A23B3">
      <w:pPr>
        <w:pStyle w:val="aff"/>
        <w:numPr>
          <w:ilvl w:val="0"/>
          <w:numId w:val="22"/>
        </w:numPr>
        <w:spacing w:after="120" w:line="240" w:lineRule="auto"/>
        <w:ind w:left="0" w:firstLine="567"/>
        <w:jc w:val="both"/>
        <w:rPr>
          <w:rFonts w:ascii="Times New Roman" w:hAnsi="Times New Roman"/>
          <w:sz w:val="24"/>
          <w:szCs w:val="24"/>
        </w:rPr>
      </w:pPr>
      <w:r w:rsidRPr="00047DBB">
        <w:rPr>
          <w:rFonts w:ascii="Times New Roman" w:hAnsi="Times New Roman"/>
          <w:sz w:val="24"/>
          <w:szCs w:val="24"/>
        </w:rPr>
        <w:t>Превышение проектной мощности полигона ТБО ООО «Спекоммунсервис» Карты полигона заполнены практически на 100% и количество ТБО  приближается к критическому.    По сроку эксплуатации полигон должен проходить процесс рекультивации, т.е. ликвидации. Полигон запущен в 1998 году. Рассчитан он  на 15 лет эксплуатации, проектная мощность  полигона составляет  120000 м куб в год фактическое  поступление порядка 450000 м куб.в год. Соответственно при проектной мощности 3000000 м куб. , фактически полигон заполнен на 8000000 м куб.</w:t>
      </w:r>
    </w:p>
    <w:p w:rsidR="002914EB" w:rsidRPr="00047DBB" w:rsidRDefault="002914EB" w:rsidP="006A23B3">
      <w:pPr>
        <w:pStyle w:val="aff"/>
        <w:numPr>
          <w:ilvl w:val="0"/>
          <w:numId w:val="22"/>
        </w:numPr>
        <w:spacing w:line="240" w:lineRule="auto"/>
        <w:ind w:left="0" w:firstLine="567"/>
        <w:jc w:val="both"/>
        <w:rPr>
          <w:rFonts w:ascii="Times New Roman" w:hAnsi="Times New Roman"/>
          <w:sz w:val="24"/>
          <w:szCs w:val="24"/>
        </w:rPr>
      </w:pPr>
      <w:r w:rsidRPr="00047DBB">
        <w:rPr>
          <w:rFonts w:ascii="Times New Roman" w:hAnsi="Times New Roman"/>
          <w:sz w:val="24"/>
          <w:szCs w:val="24"/>
        </w:rPr>
        <w:t>Отсутствие заинтересованности  юридических лиц и индивидуальных предпринимателей в организации и проведении производственного контроля  за  соблюдением санитарных правил и выполнением санитарно-противоэпидемических мероприятий.</w:t>
      </w:r>
    </w:p>
    <w:p w:rsidR="002914EB" w:rsidRPr="00047DBB" w:rsidRDefault="002914EB" w:rsidP="006A23B3">
      <w:pPr>
        <w:pStyle w:val="aff"/>
        <w:numPr>
          <w:ilvl w:val="0"/>
          <w:numId w:val="22"/>
        </w:numPr>
        <w:spacing w:line="240" w:lineRule="auto"/>
        <w:ind w:left="0" w:firstLine="567"/>
        <w:jc w:val="both"/>
        <w:rPr>
          <w:rFonts w:ascii="Times New Roman" w:hAnsi="Times New Roman"/>
          <w:sz w:val="24"/>
          <w:szCs w:val="24"/>
        </w:rPr>
      </w:pPr>
      <w:r w:rsidRPr="00047DBB">
        <w:rPr>
          <w:rFonts w:ascii="Times New Roman" w:hAnsi="Times New Roman"/>
          <w:sz w:val="24"/>
          <w:szCs w:val="24"/>
        </w:rPr>
        <w:t>Низкий уровень обеспеченности средствами индивидуальной защиты на предприятиях малого и среднего бизнеса.</w:t>
      </w:r>
    </w:p>
    <w:p w:rsidR="002914EB" w:rsidRPr="00047DBB" w:rsidRDefault="002914EB" w:rsidP="006A23B3">
      <w:pPr>
        <w:pStyle w:val="aff"/>
        <w:numPr>
          <w:ilvl w:val="0"/>
          <w:numId w:val="22"/>
        </w:numPr>
        <w:spacing w:line="240" w:lineRule="auto"/>
        <w:ind w:left="0" w:firstLine="567"/>
        <w:jc w:val="both"/>
        <w:rPr>
          <w:rFonts w:ascii="Times New Roman" w:hAnsi="Times New Roman"/>
          <w:sz w:val="24"/>
          <w:szCs w:val="24"/>
        </w:rPr>
      </w:pPr>
      <w:r w:rsidRPr="00047DBB">
        <w:rPr>
          <w:rFonts w:ascii="Times New Roman" w:hAnsi="Times New Roman"/>
          <w:sz w:val="24"/>
          <w:szCs w:val="24"/>
        </w:rPr>
        <w:t xml:space="preserve">Снижение объемов проведения лабораторных исследований на промышленных предприятиях города Пыть-Ях по исследованиям воздуха рабочей зоны, и значительное снижение по исследованиям физических факторов производственной среды.             </w:t>
      </w:r>
    </w:p>
    <w:p w:rsidR="002914EB" w:rsidRPr="00047DBB" w:rsidRDefault="002914EB" w:rsidP="006A23B3">
      <w:pPr>
        <w:pStyle w:val="aff"/>
        <w:numPr>
          <w:ilvl w:val="0"/>
          <w:numId w:val="22"/>
        </w:numPr>
        <w:spacing w:after="0" w:line="240" w:lineRule="auto"/>
        <w:ind w:left="0" w:firstLine="567"/>
        <w:jc w:val="both"/>
        <w:rPr>
          <w:rFonts w:ascii="Times New Roman" w:hAnsi="Times New Roman"/>
          <w:sz w:val="24"/>
          <w:szCs w:val="24"/>
        </w:rPr>
      </w:pPr>
      <w:r w:rsidRPr="00047DBB">
        <w:rPr>
          <w:rFonts w:ascii="Times New Roman" w:hAnsi="Times New Roman"/>
          <w:sz w:val="24"/>
          <w:szCs w:val="24"/>
        </w:rPr>
        <w:t>Ухудшение условий труда работающих на промышленных предприятиях, о чем свидетельствует рост нестандартных исследований (на 100 проб) воздуха рабочей зоны по загазованности, производственной вибрации, микроклимата.</w:t>
      </w:r>
    </w:p>
    <w:p w:rsidR="002914EB" w:rsidRPr="00CD5DF1" w:rsidRDefault="002914EB" w:rsidP="006A23B3">
      <w:pPr>
        <w:numPr>
          <w:ilvl w:val="0"/>
          <w:numId w:val="22"/>
        </w:numPr>
        <w:spacing w:after="0" w:line="240" w:lineRule="auto"/>
        <w:ind w:left="0" w:firstLine="567"/>
        <w:jc w:val="both"/>
        <w:rPr>
          <w:rFonts w:ascii="Times New Roman" w:hAnsi="Times New Roman" w:cs="Times New Roman"/>
          <w:sz w:val="24"/>
          <w:szCs w:val="24"/>
        </w:rPr>
      </w:pPr>
      <w:r w:rsidRPr="00CD5DF1">
        <w:rPr>
          <w:rFonts w:ascii="Times New Roman" w:hAnsi="Times New Roman" w:cs="Times New Roman"/>
          <w:sz w:val="24"/>
          <w:szCs w:val="24"/>
        </w:rPr>
        <w:t>В состояние здоровья школьников отмечается незначительное улучшение, увеличилось число детей, относящихся ко 2 группе  здоровья,  снизилось число детей со снижением остроты зрения, сколиозом  и нарушением осанки, возросло количество   с  нарушением речи</w:t>
      </w:r>
    </w:p>
    <w:p w:rsidR="002914EB" w:rsidRPr="00CD5DF1" w:rsidRDefault="002914EB" w:rsidP="006A23B3">
      <w:pPr>
        <w:numPr>
          <w:ilvl w:val="0"/>
          <w:numId w:val="22"/>
        </w:numPr>
        <w:spacing w:after="0" w:line="240" w:lineRule="auto"/>
        <w:ind w:left="0" w:firstLine="567"/>
        <w:jc w:val="both"/>
        <w:rPr>
          <w:rFonts w:ascii="Times New Roman" w:hAnsi="Times New Roman" w:cs="Times New Roman"/>
          <w:sz w:val="24"/>
          <w:szCs w:val="24"/>
        </w:rPr>
      </w:pPr>
      <w:r w:rsidRPr="00CD5DF1">
        <w:rPr>
          <w:rFonts w:ascii="Times New Roman" w:hAnsi="Times New Roman" w:cs="Times New Roman"/>
          <w:sz w:val="24"/>
          <w:szCs w:val="24"/>
        </w:rPr>
        <w:t>Уменьшилось число детей  и подростков  со снижением остроты зрения, сколиозом и нарушением осанки, что говорит об улучшении состояния искусственного освещения в школах,  обеспеченности  учебной мебелью   соответствующей росто-возрастным особенностям ребенка, организации активного отдыха во время перемен, спортивно-физической нагрузки  на школьника при проведении уроков физкультуры.</w:t>
      </w:r>
    </w:p>
    <w:p w:rsidR="002914EB" w:rsidRPr="00047DBB" w:rsidRDefault="002914EB" w:rsidP="006A23B3">
      <w:pPr>
        <w:numPr>
          <w:ilvl w:val="0"/>
          <w:numId w:val="22"/>
        </w:numPr>
        <w:spacing w:after="0" w:line="240" w:lineRule="auto"/>
        <w:ind w:left="0" w:firstLine="567"/>
        <w:jc w:val="both"/>
        <w:rPr>
          <w:rFonts w:ascii="Times New Roman" w:hAnsi="Times New Roman" w:cs="Times New Roman"/>
          <w:sz w:val="24"/>
          <w:szCs w:val="24"/>
        </w:rPr>
      </w:pPr>
      <w:r w:rsidRPr="00CD5DF1">
        <w:rPr>
          <w:rFonts w:ascii="Times New Roman" w:hAnsi="Times New Roman" w:cs="Times New Roman"/>
          <w:sz w:val="24"/>
          <w:szCs w:val="24"/>
        </w:rPr>
        <w:t xml:space="preserve">Показатель заболеваемости школьников по сравнению с предыдущими годами снизился за счет </w:t>
      </w:r>
      <w:r w:rsidRPr="00047DBB">
        <w:rPr>
          <w:rFonts w:ascii="Times New Roman" w:hAnsi="Times New Roman" w:cs="Times New Roman"/>
          <w:sz w:val="24"/>
          <w:szCs w:val="24"/>
        </w:rPr>
        <w:t xml:space="preserve">уменьшения числа больных болезнями органов дыхания, желудочно-кишечного тракта, болезней уха, горла, носа и травм. Наблюдается рост заболеваемости пневмонией, нервными и фтизиатрическими болезнями. </w:t>
      </w:r>
    </w:p>
    <w:p w:rsidR="002914EB" w:rsidRPr="00047DBB" w:rsidRDefault="002914EB" w:rsidP="006A23B3">
      <w:pPr>
        <w:numPr>
          <w:ilvl w:val="0"/>
          <w:numId w:val="22"/>
        </w:numPr>
        <w:spacing w:after="0" w:line="240" w:lineRule="auto"/>
        <w:ind w:left="0" w:firstLine="567"/>
        <w:jc w:val="both"/>
        <w:rPr>
          <w:rFonts w:ascii="Times New Roman" w:hAnsi="Times New Roman" w:cs="Times New Roman"/>
          <w:sz w:val="24"/>
          <w:szCs w:val="24"/>
        </w:rPr>
      </w:pPr>
      <w:r w:rsidRPr="00047DBB">
        <w:rPr>
          <w:rFonts w:ascii="Times New Roman" w:hAnsi="Times New Roman" w:cs="Times New Roman"/>
          <w:sz w:val="24"/>
          <w:szCs w:val="24"/>
        </w:rPr>
        <w:lastRenderedPageBreak/>
        <w:t xml:space="preserve">Среди детей дошкольного возраста отмечается  снижение патологий с нарушением осанки и болезнями органов дыхания на 1000 детей. Вместе с тем  возросла заболеваемость инфекционными болезнями, ожирением и снижением остроты зрения. </w:t>
      </w:r>
    </w:p>
    <w:p w:rsidR="002914EB" w:rsidRPr="00047DBB" w:rsidRDefault="002914EB" w:rsidP="006A23B3">
      <w:pPr>
        <w:numPr>
          <w:ilvl w:val="0"/>
          <w:numId w:val="22"/>
        </w:numPr>
        <w:spacing w:after="0" w:line="240" w:lineRule="auto"/>
        <w:ind w:left="0" w:firstLine="567"/>
        <w:jc w:val="both"/>
        <w:rPr>
          <w:rFonts w:ascii="Times New Roman" w:hAnsi="Times New Roman" w:cs="Times New Roman"/>
          <w:sz w:val="24"/>
          <w:szCs w:val="24"/>
        </w:rPr>
      </w:pPr>
      <w:r w:rsidRPr="00047DBB">
        <w:rPr>
          <w:rFonts w:ascii="Times New Roman" w:hAnsi="Times New Roman" w:cs="Times New Roman"/>
          <w:sz w:val="24"/>
          <w:szCs w:val="24"/>
        </w:rPr>
        <w:t xml:space="preserve">При анализе обеспеченности местами образовательных учреждений отмечается перегруженность ряда школ и детских садов, в результате чего нарушается комплектование школьной мебелью в соответствии с росто - возрастными особенностями детей, что неудовлетворительно сказывается на состоянии здоровья и физическом развитии школьников и как результат наблюдается рост патологии с нарушением осанки, сколиозом </w:t>
      </w:r>
      <w:r w:rsidRPr="00047DBB">
        <w:rPr>
          <w:rFonts w:ascii="Times New Roman" w:hAnsi="Times New Roman" w:cs="Times New Roman"/>
          <w:color w:val="000000"/>
          <w:sz w:val="24"/>
          <w:szCs w:val="24"/>
        </w:rPr>
        <w:t>в структуре заболеваемости  школьников. В общеобразовательных учреждениях не достаточно создаются условия для удовлетворения биологической потребности обучающихся в движении: организации физкультминуток на уроках, подвижных игр на переменах, спортивного часа  в продленном дне, уроков физкультуры, дней здоровья и.т.д.</w:t>
      </w:r>
    </w:p>
    <w:p w:rsidR="002914EB" w:rsidRPr="00047DBB" w:rsidRDefault="002914EB" w:rsidP="006A23B3">
      <w:pPr>
        <w:pStyle w:val="aff5"/>
        <w:numPr>
          <w:ilvl w:val="0"/>
          <w:numId w:val="22"/>
        </w:numPr>
        <w:tabs>
          <w:tab w:val="left" w:pos="0"/>
        </w:tabs>
        <w:ind w:left="0" w:right="-5" w:firstLine="567"/>
        <w:jc w:val="both"/>
        <w:rPr>
          <w:szCs w:val="24"/>
        </w:rPr>
      </w:pPr>
      <w:r w:rsidRPr="00047DBB">
        <w:rPr>
          <w:szCs w:val="24"/>
        </w:rPr>
        <w:t xml:space="preserve">Среди школьников заболевания органов пищеварения остаются на высоком уровне, что свидетельствует о том, что при  составлении  меню  не учитывается  выполнение норм питания по основным продуктам питания,  занижается вес порций готовых блюд из рыбы, кур, натурального мяса  при расчёте рациона. Ежедневное меню рациона блюд составляется с учётом стоимости продуктов питания,  а не с учётом физиологической потребности  детей в биологически ценных веществах.Калорийность восполняется за счёт углеводсодержащих продуктов.Не соблюдается принцип рационального и сбалансированного школьного  питания. </w:t>
      </w:r>
    </w:p>
    <w:p w:rsidR="002914EB" w:rsidRPr="00047DBB" w:rsidRDefault="002914EB" w:rsidP="006A23B3">
      <w:pPr>
        <w:pStyle w:val="aff5"/>
        <w:numPr>
          <w:ilvl w:val="0"/>
          <w:numId w:val="22"/>
        </w:numPr>
        <w:tabs>
          <w:tab w:val="left" w:pos="0"/>
        </w:tabs>
        <w:ind w:left="0" w:right="-5" w:firstLine="567"/>
        <w:jc w:val="both"/>
        <w:rPr>
          <w:szCs w:val="24"/>
        </w:rPr>
      </w:pPr>
      <w:r w:rsidRPr="00047DBB">
        <w:rPr>
          <w:szCs w:val="24"/>
        </w:rPr>
        <w:t>Основной проблемой при организации питания детей в районе, является,  что в школах района не выполняются требования санитарных правил по  организации 2-х разового горячего питания для всех категорий учащихся.</w:t>
      </w:r>
    </w:p>
    <w:p w:rsidR="002914EB" w:rsidRPr="00047DBB" w:rsidRDefault="002914EB" w:rsidP="006A23B3">
      <w:pPr>
        <w:pStyle w:val="aff5"/>
        <w:numPr>
          <w:ilvl w:val="0"/>
          <w:numId w:val="22"/>
        </w:numPr>
        <w:tabs>
          <w:tab w:val="left" w:pos="0"/>
        </w:tabs>
        <w:ind w:left="0" w:right="-5" w:firstLine="567"/>
        <w:jc w:val="both"/>
        <w:rPr>
          <w:szCs w:val="24"/>
        </w:rPr>
      </w:pPr>
      <w:r w:rsidRPr="00047DBB">
        <w:rPr>
          <w:szCs w:val="24"/>
        </w:rPr>
        <w:t xml:space="preserve">При анализе обеспеченности местами образовательных учреждений отмечается перегруженность ряда школ и детских садов, в результате чего нарушается комплектование школьной мебелью в соответствии с росто - возрастными особенностями детей, что неудовлетворительно сказывается на состоянии здоровья и физическом развитии школьников и как результат наблюдается рост патологии с нарушением осанки, сколиозом </w:t>
      </w:r>
      <w:r w:rsidRPr="00047DBB">
        <w:rPr>
          <w:color w:val="000000"/>
          <w:szCs w:val="24"/>
        </w:rPr>
        <w:t>в структуре заболеваемости  школьников.</w:t>
      </w:r>
    </w:p>
    <w:p w:rsidR="002914EB" w:rsidRPr="00047DBB" w:rsidRDefault="002914EB" w:rsidP="006A23B3">
      <w:pPr>
        <w:pStyle w:val="aff5"/>
        <w:numPr>
          <w:ilvl w:val="0"/>
          <w:numId w:val="22"/>
        </w:numPr>
        <w:tabs>
          <w:tab w:val="left" w:pos="0"/>
        </w:tabs>
        <w:ind w:left="0" w:right="-5" w:firstLine="567"/>
        <w:jc w:val="both"/>
        <w:rPr>
          <w:szCs w:val="24"/>
        </w:rPr>
      </w:pPr>
      <w:r w:rsidRPr="00047DBB">
        <w:rPr>
          <w:szCs w:val="24"/>
        </w:rPr>
        <w:t>Образовательные учреждения города не обеспечены качественной  водопроводной холодной водой для  использования в хозяйственно-питьевых целей.</w:t>
      </w:r>
    </w:p>
    <w:p w:rsidR="002914EB" w:rsidRPr="00047DBB" w:rsidRDefault="002914EB" w:rsidP="006A23B3">
      <w:pPr>
        <w:pStyle w:val="aff5"/>
        <w:numPr>
          <w:ilvl w:val="0"/>
          <w:numId w:val="22"/>
        </w:numPr>
        <w:tabs>
          <w:tab w:val="left" w:pos="0"/>
        </w:tabs>
        <w:ind w:left="0" w:right="-5" w:firstLine="567"/>
        <w:jc w:val="both"/>
        <w:rPr>
          <w:szCs w:val="24"/>
        </w:rPr>
      </w:pPr>
      <w:r w:rsidRPr="00047DBB">
        <w:rPr>
          <w:szCs w:val="24"/>
        </w:rPr>
        <w:t xml:space="preserve">  В г. Пыть-Ях не принимаются  меры по приведению в соответствие норм водопроводной воды, включая вновь построенные здания образовательных учреждений, где одним из требований является обеспечение водой гарантированного качества, данный факт ТОУРПН учитывает при  выдаче СЭЗ  на вид деятельности.</w:t>
      </w:r>
    </w:p>
    <w:p w:rsidR="002914EB" w:rsidRPr="00047DBB" w:rsidRDefault="002914EB" w:rsidP="006A23B3">
      <w:pPr>
        <w:pStyle w:val="aff5"/>
        <w:numPr>
          <w:ilvl w:val="0"/>
          <w:numId w:val="22"/>
        </w:numPr>
        <w:tabs>
          <w:tab w:val="left" w:pos="0"/>
        </w:tabs>
        <w:ind w:left="0" w:right="-5" w:firstLine="567"/>
        <w:jc w:val="both"/>
        <w:rPr>
          <w:szCs w:val="24"/>
        </w:rPr>
      </w:pPr>
      <w:r w:rsidRPr="00047DBB">
        <w:rPr>
          <w:szCs w:val="24"/>
        </w:rPr>
        <w:t>В ряде  школ, детских садах города около 10 лет не  проводились требуемые  капитальные ремонты, в учреждениях требуется замена оконных, дверных блоков, напольного покрытия.</w:t>
      </w:r>
    </w:p>
    <w:p w:rsidR="002914EB" w:rsidRPr="00047DBB" w:rsidRDefault="002914EB" w:rsidP="006A23B3">
      <w:pPr>
        <w:pStyle w:val="aff5"/>
        <w:numPr>
          <w:ilvl w:val="0"/>
          <w:numId w:val="22"/>
        </w:numPr>
        <w:tabs>
          <w:tab w:val="left" w:pos="0"/>
        </w:tabs>
        <w:ind w:left="0" w:right="-5" w:firstLine="567"/>
        <w:jc w:val="both"/>
        <w:rPr>
          <w:szCs w:val="24"/>
        </w:rPr>
      </w:pPr>
      <w:r w:rsidRPr="00047DBB">
        <w:rPr>
          <w:szCs w:val="24"/>
        </w:rPr>
        <w:t>Ряд образовательных учреждениях не оборудованы приточно-вытяжной вентиляцией спортивный, актовый залы, выполнение данных мероприятий включены в план текущего и капитального ремонтов объектов муниципальной собственности.</w:t>
      </w:r>
    </w:p>
    <w:p w:rsidR="002914EB" w:rsidRPr="00047DBB" w:rsidRDefault="002914EB" w:rsidP="006A23B3">
      <w:pPr>
        <w:pStyle w:val="aff5"/>
        <w:numPr>
          <w:ilvl w:val="0"/>
          <w:numId w:val="22"/>
        </w:numPr>
        <w:tabs>
          <w:tab w:val="left" w:pos="0"/>
        </w:tabs>
        <w:ind w:left="0" w:right="-5" w:firstLine="567"/>
        <w:jc w:val="both"/>
        <w:rPr>
          <w:szCs w:val="24"/>
        </w:rPr>
      </w:pPr>
      <w:r w:rsidRPr="00047DBB">
        <w:rPr>
          <w:szCs w:val="24"/>
        </w:rPr>
        <w:t xml:space="preserve">Не решаются вопросы   строительства оздоровительных учреждений санаторного типа и загородного стационарного лагеря. </w:t>
      </w:r>
    </w:p>
    <w:p w:rsidR="002914EB" w:rsidRPr="00047DBB" w:rsidRDefault="002914EB" w:rsidP="006A23B3">
      <w:pPr>
        <w:pStyle w:val="afc"/>
        <w:numPr>
          <w:ilvl w:val="0"/>
          <w:numId w:val="22"/>
        </w:numPr>
        <w:ind w:left="0" w:firstLine="567"/>
        <w:jc w:val="both"/>
        <w:rPr>
          <w:color w:val="000000"/>
          <w:sz w:val="24"/>
          <w:szCs w:val="24"/>
        </w:rPr>
      </w:pPr>
      <w:r w:rsidRPr="00047DBB">
        <w:rPr>
          <w:color w:val="000000"/>
          <w:sz w:val="24"/>
          <w:szCs w:val="24"/>
        </w:rPr>
        <w:t>Н</w:t>
      </w:r>
      <w:r w:rsidRPr="00047DBB">
        <w:rPr>
          <w:sz w:val="24"/>
          <w:szCs w:val="24"/>
        </w:rPr>
        <w:t>е проводится производственный контроль в учреждениях для детей и подростков за состоянием факторов внешней среды (освещение, микроклимат, ЭМИ от ПЭВМ, лабораторные исследования на пищеблоке).</w:t>
      </w:r>
    </w:p>
    <w:p w:rsidR="002914EB" w:rsidRPr="00047DBB" w:rsidRDefault="002914EB" w:rsidP="006A23B3">
      <w:pPr>
        <w:pStyle w:val="afc"/>
        <w:numPr>
          <w:ilvl w:val="0"/>
          <w:numId w:val="22"/>
        </w:numPr>
        <w:ind w:left="0" w:firstLine="567"/>
        <w:jc w:val="both"/>
        <w:rPr>
          <w:color w:val="000000"/>
          <w:sz w:val="24"/>
          <w:szCs w:val="24"/>
        </w:rPr>
      </w:pPr>
      <w:r w:rsidRPr="00047DBB">
        <w:rPr>
          <w:sz w:val="24"/>
          <w:szCs w:val="24"/>
        </w:rPr>
        <w:t>Город Пыть-Ях расположен в эндемической зоне неблагоприятной по йод дефицитным заболеваниям и заболеванию описторхоз. Для предотвращения распространения заболеваний необходимо принять  органами местного самоуправления программу по профилактике заболеваний связанных с дефицитом йода, микронутриентов, заболеваемости описторхозом, для этого требуется:</w:t>
      </w:r>
    </w:p>
    <w:p w:rsidR="002914EB" w:rsidRPr="00047DBB" w:rsidRDefault="002914EB" w:rsidP="006A23B3">
      <w:pPr>
        <w:pStyle w:val="afc"/>
        <w:numPr>
          <w:ilvl w:val="0"/>
          <w:numId w:val="22"/>
        </w:numPr>
        <w:ind w:left="0" w:firstLine="567"/>
        <w:jc w:val="both"/>
        <w:rPr>
          <w:sz w:val="24"/>
          <w:szCs w:val="24"/>
        </w:rPr>
      </w:pPr>
      <w:r w:rsidRPr="00047DBB">
        <w:rPr>
          <w:sz w:val="24"/>
          <w:szCs w:val="24"/>
        </w:rPr>
        <w:t>- Провести оценку эффективности принимаемых мер по насыщению потребительского рынка йодированной солью, а так же пищевыми продуктами, обогащенными микронутриентами, в том числе витаминами;</w:t>
      </w:r>
    </w:p>
    <w:p w:rsidR="002914EB" w:rsidRPr="00047DBB" w:rsidRDefault="002914EB" w:rsidP="006A23B3">
      <w:pPr>
        <w:pStyle w:val="afc"/>
        <w:numPr>
          <w:ilvl w:val="0"/>
          <w:numId w:val="22"/>
        </w:numPr>
        <w:ind w:left="0" w:firstLine="567"/>
        <w:jc w:val="both"/>
        <w:rPr>
          <w:sz w:val="24"/>
          <w:szCs w:val="24"/>
        </w:rPr>
      </w:pPr>
      <w:r w:rsidRPr="00047DBB">
        <w:rPr>
          <w:sz w:val="24"/>
          <w:szCs w:val="24"/>
        </w:rPr>
        <w:lastRenderedPageBreak/>
        <w:t>-  Принять необходимые меры по обеспечению обогащенными пищевыми продуктами, в том числе витаминами, йодом и другими микронутриентами детские дошкольные, образовательные лечебные, лечебно - профилактические учреждения и организации социальной защиты;</w:t>
      </w:r>
    </w:p>
    <w:p w:rsidR="002914EB" w:rsidRPr="00047DBB" w:rsidRDefault="002914EB" w:rsidP="006A23B3">
      <w:pPr>
        <w:pStyle w:val="3f3f3f3f3f3f3f3f3f3f"/>
        <w:numPr>
          <w:ilvl w:val="0"/>
          <w:numId w:val="23"/>
        </w:numPr>
        <w:jc w:val="center"/>
        <w:rPr>
          <w:b/>
          <w:sz w:val="24"/>
          <w:szCs w:val="24"/>
          <w:u w:val="double"/>
        </w:rPr>
      </w:pPr>
      <w:r w:rsidRPr="00047DBB">
        <w:rPr>
          <w:b/>
          <w:sz w:val="24"/>
          <w:szCs w:val="24"/>
          <w:u w:val="double"/>
        </w:rPr>
        <w:t>Заключение. Общие выводы и рекомендации</w:t>
      </w:r>
    </w:p>
    <w:p w:rsidR="002914EB" w:rsidRPr="00047DBB" w:rsidRDefault="002914EB" w:rsidP="00047DBB">
      <w:pPr>
        <w:pStyle w:val="3f3f3f3f3f3f3f3f3f3f"/>
        <w:ind w:left="570"/>
        <w:jc w:val="both"/>
        <w:rPr>
          <w:b/>
          <w:sz w:val="24"/>
          <w:szCs w:val="24"/>
        </w:rPr>
      </w:pPr>
    </w:p>
    <w:p w:rsidR="002914EB" w:rsidRPr="00047DBB" w:rsidRDefault="002914EB" w:rsidP="00047DBB">
      <w:pPr>
        <w:pStyle w:val="3f3f3f3f3f3f3f3f3f3f"/>
        <w:jc w:val="both"/>
        <w:rPr>
          <w:sz w:val="24"/>
          <w:szCs w:val="24"/>
        </w:rPr>
      </w:pPr>
    </w:p>
    <w:p w:rsidR="002914EB" w:rsidRPr="00047DBB" w:rsidRDefault="002914EB" w:rsidP="00047DBB">
      <w:pPr>
        <w:pStyle w:val="aff"/>
        <w:autoSpaceDE w:val="0"/>
        <w:autoSpaceDN w:val="0"/>
        <w:adjustRightInd w:val="0"/>
        <w:spacing w:line="240" w:lineRule="auto"/>
        <w:ind w:hanging="153"/>
        <w:jc w:val="center"/>
        <w:rPr>
          <w:rFonts w:ascii="Times New Roman" w:hAnsi="Times New Roman"/>
          <w:b/>
          <w:bCs/>
          <w:sz w:val="24"/>
          <w:szCs w:val="24"/>
        </w:rPr>
      </w:pPr>
      <w:r w:rsidRPr="00047DBB">
        <w:rPr>
          <w:rFonts w:ascii="Times New Roman" w:hAnsi="Times New Roman"/>
          <w:b/>
          <w:bCs/>
          <w:sz w:val="24"/>
          <w:szCs w:val="24"/>
        </w:rPr>
        <w:t>Рекомендации в области охраны атмосферного воздуха и организации санитарно-защитных зон</w:t>
      </w:r>
    </w:p>
    <w:p w:rsidR="002914EB" w:rsidRPr="00047DBB" w:rsidRDefault="002914EB" w:rsidP="006A23B3">
      <w:pPr>
        <w:pStyle w:val="aff"/>
        <w:numPr>
          <w:ilvl w:val="0"/>
          <w:numId w:val="27"/>
        </w:numPr>
        <w:spacing w:after="0" w:line="240" w:lineRule="auto"/>
        <w:ind w:left="0" w:firstLine="567"/>
        <w:contextualSpacing w:val="0"/>
        <w:jc w:val="both"/>
        <w:rPr>
          <w:rFonts w:ascii="Times New Roman" w:hAnsi="Times New Roman"/>
          <w:sz w:val="24"/>
          <w:szCs w:val="24"/>
        </w:rPr>
      </w:pPr>
      <w:r w:rsidRPr="00047DBB">
        <w:rPr>
          <w:rFonts w:ascii="Times New Roman" w:hAnsi="Times New Roman"/>
          <w:sz w:val="24"/>
          <w:szCs w:val="24"/>
        </w:rPr>
        <w:t xml:space="preserve">В области охраны атмосферного воздуха повысить эффективность федерального государственного санитарно- эпидемиологического надзора за соблюдением санитарного законодательства в части установления и организации санитарно-защитных зон промышленных объектов и производств, оказывающих негативное воздействие на окружающую среду и здоровье населения путём: </w:t>
      </w:r>
    </w:p>
    <w:p w:rsidR="002914EB" w:rsidRPr="00047DBB" w:rsidRDefault="002914EB" w:rsidP="006A23B3">
      <w:pPr>
        <w:numPr>
          <w:ilvl w:val="0"/>
          <w:numId w:val="27"/>
        </w:numPr>
        <w:spacing w:after="0" w:line="240" w:lineRule="auto"/>
        <w:ind w:left="0" w:firstLine="567"/>
        <w:jc w:val="both"/>
        <w:rPr>
          <w:rFonts w:ascii="Times New Roman" w:hAnsi="Times New Roman" w:cs="Times New Roman"/>
          <w:sz w:val="24"/>
          <w:szCs w:val="24"/>
        </w:rPr>
      </w:pPr>
      <w:r w:rsidRPr="00047DBB">
        <w:rPr>
          <w:rFonts w:ascii="Times New Roman" w:hAnsi="Times New Roman" w:cs="Times New Roman"/>
          <w:sz w:val="24"/>
          <w:szCs w:val="24"/>
        </w:rPr>
        <w:t>выявления промышленных объектов и производств, требующих установления границ санитарно-защитной зоны (далее СЗЗ);</w:t>
      </w:r>
    </w:p>
    <w:p w:rsidR="002914EB" w:rsidRPr="00047DBB" w:rsidRDefault="002914EB" w:rsidP="006A23B3">
      <w:pPr>
        <w:numPr>
          <w:ilvl w:val="0"/>
          <w:numId w:val="27"/>
        </w:numPr>
        <w:spacing w:after="0" w:line="240" w:lineRule="auto"/>
        <w:ind w:left="0" w:firstLine="567"/>
        <w:jc w:val="both"/>
        <w:rPr>
          <w:rFonts w:ascii="Times New Roman" w:hAnsi="Times New Roman" w:cs="Times New Roman"/>
          <w:sz w:val="24"/>
          <w:szCs w:val="24"/>
        </w:rPr>
      </w:pPr>
      <w:r w:rsidRPr="00047DBB">
        <w:rPr>
          <w:rFonts w:ascii="Times New Roman" w:hAnsi="Times New Roman" w:cs="Times New Roman"/>
          <w:sz w:val="24"/>
          <w:szCs w:val="24"/>
        </w:rPr>
        <w:t xml:space="preserve">выведение объектов нормирования за пределы границ санитарно-защитных зон промышленных объектов и производств. </w:t>
      </w:r>
    </w:p>
    <w:p w:rsidR="002914EB" w:rsidRPr="00047DBB" w:rsidRDefault="002914EB" w:rsidP="006A23B3">
      <w:pPr>
        <w:numPr>
          <w:ilvl w:val="0"/>
          <w:numId w:val="27"/>
        </w:numPr>
        <w:spacing w:after="0" w:line="240" w:lineRule="auto"/>
        <w:ind w:left="0" w:firstLine="567"/>
        <w:jc w:val="both"/>
        <w:rPr>
          <w:rFonts w:ascii="Times New Roman" w:hAnsi="Times New Roman" w:cs="Times New Roman"/>
          <w:sz w:val="24"/>
          <w:szCs w:val="24"/>
        </w:rPr>
      </w:pPr>
      <w:r w:rsidRPr="00047DBB">
        <w:rPr>
          <w:rFonts w:ascii="Times New Roman" w:hAnsi="Times New Roman" w:cs="Times New Roman"/>
          <w:sz w:val="24"/>
          <w:szCs w:val="24"/>
        </w:rPr>
        <w:t>Обеспечить реализацию мер по обоснованию достаточности размеров санитарно-защитных зон промышленных предприятий и объектов, решению вопросов отселения населения из санитарно-защитных зон</w:t>
      </w:r>
    </w:p>
    <w:p w:rsidR="002914EB" w:rsidRPr="00047DBB" w:rsidRDefault="002914EB" w:rsidP="006A23B3">
      <w:pPr>
        <w:numPr>
          <w:ilvl w:val="0"/>
          <w:numId w:val="27"/>
        </w:numPr>
        <w:spacing w:after="0" w:line="240" w:lineRule="auto"/>
        <w:ind w:left="0" w:firstLine="567"/>
        <w:jc w:val="both"/>
        <w:rPr>
          <w:rFonts w:ascii="Times New Roman" w:hAnsi="Times New Roman" w:cs="Times New Roman"/>
          <w:sz w:val="24"/>
          <w:szCs w:val="24"/>
        </w:rPr>
      </w:pPr>
      <w:r w:rsidRPr="00047DBB">
        <w:rPr>
          <w:rFonts w:ascii="Times New Roman" w:hAnsi="Times New Roman" w:cs="Times New Roman"/>
          <w:sz w:val="24"/>
          <w:szCs w:val="24"/>
        </w:rPr>
        <w:t xml:space="preserve">Активизировать деятельность по надзору для понуждения промышленных объектов и производства к разработке, согласованию и утверждению проектов обоснования границ санитарно-защитных зон вокруг промышленных предприятий, установлению окончательных размеров санитарно-защитных зон. </w:t>
      </w:r>
    </w:p>
    <w:p w:rsidR="002914EB" w:rsidRPr="00047DBB" w:rsidRDefault="002914EB" w:rsidP="006A23B3">
      <w:pPr>
        <w:numPr>
          <w:ilvl w:val="0"/>
          <w:numId w:val="27"/>
        </w:numPr>
        <w:spacing w:after="0" w:line="240" w:lineRule="auto"/>
        <w:ind w:left="0" w:firstLine="567"/>
        <w:jc w:val="both"/>
        <w:rPr>
          <w:rFonts w:ascii="Times New Roman" w:eastAsia="Times New Roman" w:hAnsi="Times New Roman" w:cs="Times New Roman"/>
          <w:sz w:val="24"/>
          <w:szCs w:val="24"/>
        </w:rPr>
      </w:pPr>
      <w:r w:rsidRPr="00047DBB">
        <w:rPr>
          <w:rFonts w:ascii="Times New Roman" w:eastAsia="Times New Roman" w:hAnsi="Times New Roman" w:cs="Times New Roman"/>
          <w:sz w:val="24"/>
          <w:szCs w:val="24"/>
        </w:rPr>
        <w:t>Вынести вопрос  для рассмотрения на заседание администрации МО об обеспечении  мониторинга за качеством атмосферного воздуха на стационарных, маршрутных, передвижных постах расположенных на территории г. Нефтеюганска.</w:t>
      </w:r>
    </w:p>
    <w:p w:rsidR="002914EB" w:rsidRPr="00047DBB" w:rsidRDefault="002914EB" w:rsidP="006A23B3">
      <w:pPr>
        <w:pStyle w:val="a7"/>
        <w:numPr>
          <w:ilvl w:val="0"/>
          <w:numId w:val="27"/>
        </w:numPr>
        <w:ind w:left="0" w:firstLine="567"/>
        <w:jc w:val="both"/>
        <w:rPr>
          <w:sz w:val="24"/>
          <w:szCs w:val="24"/>
        </w:rPr>
      </w:pPr>
      <w:r w:rsidRPr="00047DBB">
        <w:rPr>
          <w:sz w:val="24"/>
          <w:szCs w:val="24"/>
        </w:rPr>
        <w:t>Контроль за применением технологии, исключающей выброс промышленных токсичных веществ.</w:t>
      </w:r>
    </w:p>
    <w:p w:rsidR="002914EB" w:rsidRPr="00047DBB" w:rsidRDefault="002914EB" w:rsidP="006A23B3">
      <w:pPr>
        <w:pStyle w:val="a7"/>
        <w:numPr>
          <w:ilvl w:val="0"/>
          <w:numId w:val="27"/>
        </w:numPr>
        <w:ind w:left="0" w:firstLine="567"/>
        <w:jc w:val="both"/>
        <w:rPr>
          <w:sz w:val="24"/>
          <w:szCs w:val="24"/>
        </w:rPr>
      </w:pPr>
      <w:r w:rsidRPr="00047DBB">
        <w:rPr>
          <w:sz w:val="24"/>
          <w:szCs w:val="24"/>
        </w:rPr>
        <w:t>Освоить и внедрить в работу изучение оценки рисков здоровья населения от неблагоприятного воздействия содержания вредных веществ в атмосферном воздухе.</w:t>
      </w:r>
    </w:p>
    <w:p w:rsidR="002914EB" w:rsidRPr="00047DBB" w:rsidRDefault="002914EB" w:rsidP="00047DBB">
      <w:pPr>
        <w:spacing w:line="240" w:lineRule="auto"/>
        <w:ind w:left="720"/>
        <w:jc w:val="both"/>
        <w:rPr>
          <w:rFonts w:ascii="Times New Roman" w:eastAsia="Times New Roman" w:hAnsi="Times New Roman" w:cs="Times New Roman"/>
          <w:b/>
          <w:iCs/>
          <w:sz w:val="24"/>
          <w:szCs w:val="24"/>
        </w:rPr>
      </w:pPr>
    </w:p>
    <w:p w:rsidR="002914EB" w:rsidRPr="00047DBB" w:rsidRDefault="002914EB" w:rsidP="00047DBB">
      <w:pPr>
        <w:pStyle w:val="aff"/>
        <w:spacing w:line="240" w:lineRule="auto"/>
        <w:jc w:val="center"/>
        <w:rPr>
          <w:rFonts w:ascii="Times New Roman" w:hAnsi="Times New Roman"/>
          <w:b/>
          <w:iCs/>
          <w:sz w:val="24"/>
          <w:szCs w:val="24"/>
        </w:rPr>
      </w:pPr>
      <w:r w:rsidRPr="00047DBB">
        <w:rPr>
          <w:rFonts w:ascii="Times New Roman" w:hAnsi="Times New Roman"/>
          <w:b/>
          <w:iCs/>
          <w:sz w:val="24"/>
          <w:szCs w:val="24"/>
        </w:rPr>
        <w:t>Рекомендации  в области водоснабжения населения:</w:t>
      </w:r>
    </w:p>
    <w:p w:rsidR="002914EB" w:rsidRPr="00047DBB" w:rsidRDefault="002914EB" w:rsidP="006A23B3">
      <w:pPr>
        <w:pStyle w:val="aff"/>
        <w:numPr>
          <w:ilvl w:val="0"/>
          <w:numId w:val="27"/>
        </w:numPr>
        <w:spacing w:after="0" w:line="240" w:lineRule="auto"/>
        <w:ind w:left="0" w:firstLine="567"/>
        <w:jc w:val="both"/>
        <w:rPr>
          <w:rFonts w:ascii="Times New Roman" w:hAnsi="Times New Roman"/>
          <w:b/>
          <w:bCs/>
          <w:sz w:val="24"/>
          <w:szCs w:val="24"/>
        </w:rPr>
      </w:pPr>
      <w:r w:rsidRPr="00047DBB">
        <w:rPr>
          <w:rFonts w:ascii="Times New Roman" w:hAnsi="Times New Roman"/>
          <w:sz w:val="24"/>
          <w:szCs w:val="24"/>
        </w:rPr>
        <w:t xml:space="preserve">Активизировать работу по приведению объектов водоснабжения и водоотведения в соответствие требованиям действующего законодательства (наличие согласованного проекта ЗСО в установленном порядке, наличие  санитарно-эпидемиологическое заключение </w:t>
      </w:r>
      <w:r w:rsidRPr="00047DBB">
        <w:rPr>
          <w:rFonts w:ascii="Times New Roman" w:hAnsi="Times New Roman"/>
          <w:bCs/>
          <w:sz w:val="24"/>
          <w:szCs w:val="24"/>
        </w:rPr>
        <w:t>о соответствии водных объектов, источников водоснабжения,  санитарным правилам и т.п.).</w:t>
      </w:r>
    </w:p>
    <w:p w:rsidR="002914EB" w:rsidRPr="00047DBB" w:rsidRDefault="002914EB" w:rsidP="006A23B3">
      <w:pPr>
        <w:pStyle w:val="aff"/>
        <w:numPr>
          <w:ilvl w:val="0"/>
          <w:numId w:val="27"/>
        </w:numPr>
        <w:spacing w:after="0" w:line="240" w:lineRule="auto"/>
        <w:ind w:left="0" w:firstLine="567"/>
        <w:jc w:val="both"/>
        <w:rPr>
          <w:rFonts w:ascii="Times New Roman" w:hAnsi="Times New Roman"/>
          <w:sz w:val="24"/>
          <w:szCs w:val="24"/>
        </w:rPr>
      </w:pPr>
      <w:r w:rsidRPr="00047DBB">
        <w:rPr>
          <w:rFonts w:ascii="Times New Roman" w:hAnsi="Times New Roman"/>
          <w:sz w:val="24"/>
          <w:szCs w:val="24"/>
        </w:rPr>
        <w:t xml:space="preserve">Принять меры к завершению реконструкции ВОС-1 (2 очередь) и введению в эксплуатацию объекта в запланированные сроки. </w:t>
      </w:r>
    </w:p>
    <w:p w:rsidR="002914EB" w:rsidRPr="00047DBB" w:rsidRDefault="002914EB" w:rsidP="006A23B3">
      <w:pPr>
        <w:pStyle w:val="aff"/>
        <w:numPr>
          <w:ilvl w:val="0"/>
          <w:numId w:val="27"/>
        </w:numPr>
        <w:spacing w:after="0" w:line="240" w:lineRule="auto"/>
        <w:ind w:left="0" w:firstLine="567"/>
        <w:jc w:val="both"/>
        <w:rPr>
          <w:rFonts w:ascii="Times New Roman" w:hAnsi="Times New Roman"/>
          <w:sz w:val="24"/>
          <w:szCs w:val="24"/>
        </w:rPr>
      </w:pPr>
      <w:r w:rsidRPr="00047DBB">
        <w:rPr>
          <w:rFonts w:ascii="Times New Roman" w:hAnsi="Times New Roman"/>
          <w:sz w:val="24"/>
          <w:szCs w:val="24"/>
        </w:rPr>
        <w:t>До сих пор не решены   проблемы по  обеспечению питьевой водой гарантированного качества населения города Пыть-Ях , а именно:  ВОС-1  по-прежнему находится на реконструкции (проект «Реконструкции ВОС-1(2 очередь)), введённый в эксплуатацию в 2016 году  первый пусковой комплекс на объекте ВОС-1,  не обеспечил нормативное качество очистки воды, существующая технология очистки не позволяет привести питьевую воду соответствующим  требованиям санитарных правил;       не проводится реконструкция ВОС-3   по разработанному и утверждённому проекту «Реконструкция ВОС-3» .</w:t>
      </w:r>
    </w:p>
    <w:p w:rsidR="002914EB" w:rsidRPr="00047DBB" w:rsidRDefault="002914EB" w:rsidP="006A23B3">
      <w:pPr>
        <w:pStyle w:val="aff"/>
        <w:numPr>
          <w:ilvl w:val="0"/>
          <w:numId w:val="27"/>
        </w:numPr>
        <w:spacing w:after="0" w:line="240" w:lineRule="auto"/>
        <w:ind w:left="0" w:firstLine="567"/>
        <w:jc w:val="both"/>
        <w:rPr>
          <w:rFonts w:ascii="Times New Roman" w:hAnsi="Times New Roman"/>
          <w:sz w:val="24"/>
          <w:szCs w:val="24"/>
        </w:rPr>
      </w:pPr>
      <w:r w:rsidRPr="00047DBB">
        <w:rPr>
          <w:rFonts w:ascii="Times New Roman" w:hAnsi="Times New Roman"/>
          <w:sz w:val="24"/>
          <w:szCs w:val="24"/>
        </w:rPr>
        <w:t>Активизировать работу по подготовке к  реконструкции водопроводных  очистных сооружений  города, включая ВОС-2, ВОС-3, ВОС-4,  внедрением  современной  технологии водоподготовки и обеззараживания воды; применения эффективных коагулянтов, флокулянтов  и фильтрующих материалов на водопроводных сооружениях.</w:t>
      </w:r>
    </w:p>
    <w:p w:rsidR="002914EB" w:rsidRPr="00047DBB" w:rsidRDefault="002914EB" w:rsidP="006A23B3">
      <w:pPr>
        <w:pStyle w:val="Default"/>
        <w:numPr>
          <w:ilvl w:val="0"/>
          <w:numId w:val="27"/>
        </w:numPr>
        <w:ind w:left="0" w:firstLine="567"/>
        <w:contextualSpacing/>
        <w:jc w:val="both"/>
      </w:pPr>
      <w:r w:rsidRPr="00047DBB">
        <w:lastRenderedPageBreak/>
        <w:t xml:space="preserve">Активизировать работу по подготовке приведения горячего водоснабжения района  в соответствии с требованиями санитарных правил,  </w:t>
      </w:r>
      <w:r w:rsidRPr="00047DBB">
        <w:rPr>
          <w:bCs/>
        </w:rPr>
        <w:t>предусматривающий переход на закрытую систему  теплоснабжения потребителем.</w:t>
      </w:r>
    </w:p>
    <w:p w:rsidR="002914EB" w:rsidRPr="00047DBB" w:rsidRDefault="002914EB" w:rsidP="006A23B3">
      <w:pPr>
        <w:pStyle w:val="Default"/>
        <w:numPr>
          <w:ilvl w:val="0"/>
          <w:numId w:val="27"/>
        </w:numPr>
        <w:ind w:left="0" w:firstLine="567"/>
        <w:jc w:val="both"/>
      </w:pPr>
      <w:r w:rsidRPr="00047DBB">
        <w:t>Осуществление эффективного и целенаправленного государственного санитарно-эпидемиологического надзора в отношении организаций водоснабжения и водоотведения района.</w:t>
      </w:r>
    </w:p>
    <w:p w:rsidR="002914EB" w:rsidRPr="00047DBB" w:rsidRDefault="002914EB" w:rsidP="006A23B3">
      <w:pPr>
        <w:pStyle w:val="aff"/>
        <w:numPr>
          <w:ilvl w:val="0"/>
          <w:numId w:val="27"/>
        </w:numPr>
        <w:spacing w:after="0" w:line="240" w:lineRule="auto"/>
        <w:ind w:left="0" w:firstLine="567"/>
        <w:jc w:val="both"/>
        <w:rPr>
          <w:rFonts w:ascii="Times New Roman" w:hAnsi="Times New Roman"/>
          <w:b/>
          <w:bCs/>
          <w:sz w:val="24"/>
          <w:szCs w:val="24"/>
        </w:rPr>
      </w:pPr>
      <w:r w:rsidRPr="00047DBB">
        <w:rPr>
          <w:rFonts w:ascii="Times New Roman" w:hAnsi="Times New Roman"/>
          <w:sz w:val="24"/>
          <w:szCs w:val="24"/>
        </w:rPr>
        <w:t xml:space="preserve">Проводить последовательную работу по увеличению удельного веса населения, обеспеченного доброкачественной питьевой водой. </w:t>
      </w:r>
    </w:p>
    <w:p w:rsidR="002914EB" w:rsidRPr="00047DBB" w:rsidRDefault="002914EB" w:rsidP="006A23B3">
      <w:pPr>
        <w:pStyle w:val="aff"/>
        <w:numPr>
          <w:ilvl w:val="0"/>
          <w:numId w:val="27"/>
        </w:numPr>
        <w:spacing w:after="0" w:line="240" w:lineRule="auto"/>
        <w:ind w:left="0" w:firstLine="567"/>
        <w:jc w:val="both"/>
        <w:rPr>
          <w:rFonts w:ascii="Times New Roman" w:hAnsi="Times New Roman"/>
          <w:b/>
          <w:bCs/>
          <w:sz w:val="24"/>
          <w:szCs w:val="24"/>
        </w:rPr>
      </w:pPr>
      <w:r w:rsidRPr="00047DBB">
        <w:rPr>
          <w:rFonts w:ascii="Times New Roman" w:hAnsi="Times New Roman"/>
          <w:sz w:val="24"/>
          <w:szCs w:val="24"/>
        </w:rPr>
        <w:t xml:space="preserve">Ужесточить исполнения требования к проведению лабораторного контроль качества водопроводной холодной воды на функционирующих ВОС, распределительных сетей наружных и внутренних водопроводов со стороны юридических лиц. </w:t>
      </w:r>
    </w:p>
    <w:p w:rsidR="002914EB" w:rsidRPr="00047DBB" w:rsidRDefault="002914EB" w:rsidP="006A23B3">
      <w:pPr>
        <w:numPr>
          <w:ilvl w:val="0"/>
          <w:numId w:val="27"/>
        </w:numPr>
        <w:spacing w:after="0" w:line="240" w:lineRule="auto"/>
        <w:ind w:left="0" w:firstLine="567"/>
        <w:jc w:val="both"/>
        <w:rPr>
          <w:rFonts w:ascii="Times New Roman" w:eastAsia="Times New Roman" w:hAnsi="Times New Roman" w:cs="Times New Roman"/>
          <w:color w:val="222222"/>
          <w:sz w:val="24"/>
          <w:szCs w:val="24"/>
        </w:rPr>
      </w:pPr>
      <w:r w:rsidRPr="00047DBB">
        <w:rPr>
          <w:rFonts w:ascii="Times New Roman" w:eastAsia="Times New Roman" w:hAnsi="Times New Roman" w:cs="Times New Roman"/>
          <w:color w:val="222222"/>
          <w:sz w:val="24"/>
          <w:szCs w:val="24"/>
        </w:rPr>
        <w:t>Уд</w:t>
      </w:r>
      <w:r w:rsidRPr="00047DBB">
        <w:rPr>
          <w:rFonts w:ascii="Times New Roman" w:eastAsia="Times New Roman" w:hAnsi="Times New Roman" w:cs="Times New Roman"/>
          <w:sz w:val="24"/>
          <w:szCs w:val="24"/>
        </w:rPr>
        <w:t>елить приоритетное внимание реконструкции и плановой замене систем транспортировки питьевой воды с использованием современных методов санации труб из долговечных материалов.</w:t>
      </w:r>
    </w:p>
    <w:p w:rsidR="002914EB" w:rsidRPr="00047DBB" w:rsidRDefault="002914EB" w:rsidP="006A23B3">
      <w:pPr>
        <w:numPr>
          <w:ilvl w:val="0"/>
          <w:numId w:val="27"/>
        </w:numPr>
        <w:spacing w:after="0" w:line="240" w:lineRule="auto"/>
        <w:ind w:left="0" w:firstLine="567"/>
        <w:jc w:val="both"/>
        <w:rPr>
          <w:rFonts w:ascii="Times New Roman" w:eastAsia="Times New Roman" w:hAnsi="Times New Roman" w:cs="Times New Roman"/>
          <w:color w:val="222222"/>
          <w:sz w:val="24"/>
          <w:szCs w:val="24"/>
        </w:rPr>
      </w:pPr>
      <w:r w:rsidRPr="00047DBB">
        <w:rPr>
          <w:rFonts w:ascii="Times New Roman" w:eastAsia="Times New Roman" w:hAnsi="Times New Roman" w:cs="Times New Roman"/>
          <w:color w:val="222222"/>
          <w:sz w:val="24"/>
          <w:szCs w:val="24"/>
        </w:rPr>
        <w:t>У</w:t>
      </w:r>
      <w:r w:rsidRPr="00047DBB">
        <w:rPr>
          <w:rFonts w:ascii="Times New Roman" w:eastAsia="Times New Roman" w:hAnsi="Times New Roman" w:cs="Times New Roman"/>
          <w:sz w:val="24"/>
          <w:szCs w:val="24"/>
        </w:rPr>
        <w:t>силить надзор за реализацией долгосрочной  целевой программы «Модернизация и реформирование жилищно-коммунального комплекса в  городе Пыть-Ях на 2015-2020 годы»  (далее – Программа).</w:t>
      </w:r>
    </w:p>
    <w:p w:rsidR="002914EB" w:rsidRPr="00047DBB" w:rsidRDefault="002914EB" w:rsidP="006A23B3">
      <w:pPr>
        <w:numPr>
          <w:ilvl w:val="0"/>
          <w:numId w:val="27"/>
        </w:numPr>
        <w:spacing w:after="0" w:line="240" w:lineRule="auto"/>
        <w:ind w:left="0" w:firstLine="567"/>
        <w:jc w:val="both"/>
        <w:rPr>
          <w:rFonts w:ascii="Times New Roman" w:eastAsia="Times New Roman" w:hAnsi="Times New Roman" w:cs="Times New Roman"/>
          <w:color w:val="222222"/>
          <w:sz w:val="24"/>
          <w:szCs w:val="24"/>
        </w:rPr>
      </w:pPr>
      <w:r w:rsidRPr="00047DBB">
        <w:rPr>
          <w:rFonts w:ascii="Times New Roman" w:eastAsia="Times New Roman" w:hAnsi="Times New Roman" w:cs="Times New Roman"/>
          <w:color w:val="222222"/>
          <w:sz w:val="24"/>
          <w:szCs w:val="24"/>
        </w:rPr>
        <w:t>Провести корректировку действующих целевых программ в части определения первоочередных мероприятий по строительству и реконструкции систем водоснабжения (водоотведения) с учетом данных по оценке риска здоровью населения от воздействия водного фактора.</w:t>
      </w:r>
    </w:p>
    <w:p w:rsidR="002914EB" w:rsidRPr="00047DBB" w:rsidRDefault="002914EB" w:rsidP="006A23B3">
      <w:pPr>
        <w:numPr>
          <w:ilvl w:val="0"/>
          <w:numId w:val="27"/>
        </w:numPr>
        <w:spacing w:after="0" w:line="240" w:lineRule="auto"/>
        <w:ind w:left="0" w:firstLine="567"/>
        <w:jc w:val="both"/>
        <w:rPr>
          <w:rFonts w:ascii="Times New Roman" w:eastAsia="Times New Roman" w:hAnsi="Times New Roman" w:cs="Times New Roman"/>
          <w:color w:val="222222"/>
          <w:sz w:val="24"/>
          <w:szCs w:val="24"/>
        </w:rPr>
      </w:pPr>
      <w:r w:rsidRPr="00047DBB">
        <w:rPr>
          <w:rFonts w:ascii="Times New Roman" w:eastAsia="Times New Roman" w:hAnsi="Times New Roman" w:cs="Times New Roman"/>
          <w:color w:val="222222"/>
          <w:sz w:val="24"/>
          <w:szCs w:val="24"/>
        </w:rPr>
        <w:t>Обеспечить приоритетное финансирование программ, включающих в себя мероприятия по строительству, развитию и реконструкции систем водоснабжения (и водоотведения).</w:t>
      </w:r>
    </w:p>
    <w:p w:rsidR="002914EB" w:rsidRPr="00047DBB" w:rsidRDefault="002914EB" w:rsidP="006A23B3">
      <w:pPr>
        <w:numPr>
          <w:ilvl w:val="0"/>
          <w:numId w:val="27"/>
        </w:numPr>
        <w:spacing w:after="0" w:line="240" w:lineRule="auto"/>
        <w:ind w:left="0" w:firstLine="567"/>
        <w:jc w:val="both"/>
        <w:rPr>
          <w:rFonts w:ascii="Times New Roman" w:eastAsia="Times New Roman" w:hAnsi="Times New Roman" w:cs="Times New Roman"/>
          <w:color w:val="222222"/>
          <w:sz w:val="24"/>
          <w:szCs w:val="24"/>
        </w:rPr>
      </w:pPr>
      <w:r w:rsidRPr="00047DBB">
        <w:rPr>
          <w:rFonts w:ascii="Times New Roman" w:eastAsia="Times New Roman" w:hAnsi="Times New Roman" w:cs="Times New Roman"/>
          <w:color w:val="222222"/>
          <w:sz w:val="24"/>
          <w:szCs w:val="24"/>
        </w:rPr>
        <w:t>Обеспечить взаимодействие федеральных, региональных и муниципальных органов в решении вопросов безопасного водоснабжения населения  города Пыть-Ях.</w:t>
      </w:r>
    </w:p>
    <w:p w:rsidR="002914EB" w:rsidRPr="00047DBB" w:rsidRDefault="002914EB" w:rsidP="006A23B3">
      <w:pPr>
        <w:numPr>
          <w:ilvl w:val="0"/>
          <w:numId w:val="27"/>
        </w:numPr>
        <w:spacing w:after="0" w:line="240" w:lineRule="auto"/>
        <w:ind w:left="0" w:firstLine="567"/>
        <w:jc w:val="both"/>
        <w:rPr>
          <w:rFonts w:ascii="Times New Roman" w:eastAsia="Times New Roman" w:hAnsi="Times New Roman" w:cs="Times New Roman"/>
          <w:sz w:val="24"/>
          <w:szCs w:val="24"/>
        </w:rPr>
      </w:pPr>
      <w:r w:rsidRPr="00047DBB">
        <w:rPr>
          <w:rFonts w:ascii="Times New Roman" w:eastAsia="Times New Roman" w:hAnsi="Times New Roman" w:cs="Times New Roman"/>
          <w:color w:val="222222"/>
          <w:sz w:val="24"/>
          <w:szCs w:val="24"/>
        </w:rPr>
        <w:t>Обеспечить функционирование системы государственного регулирования в сфере водоснабжения и водоотведения,  в рамках ФЗ №416 «О водоснабжении и водоотведении», принять меры к исполнению ФЗ №416</w:t>
      </w:r>
      <w:r w:rsidRPr="00047DBB">
        <w:rPr>
          <w:rFonts w:ascii="Times New Roman" w:hAnsi="Times New Roman" w:cs="Times New Roman"/>
          <w:sz w:val="24"/>
          <w:szCs w:val="24"/>
        </w:rPr>
        <w:t>гарантирующими  организациями.</w:t>
      </w:r>
      <w:r w:rsidRPr="00047DBB">
        <w:rPr>
          <w:rFonts w:ascii="Times New Roman" w:eastAsia="Times New Roman" w:hAnsi="Times New Roman" w:cs="Times New Roman"/>
          <w:bCs/>
          <w:sz w:val="24"/>
          <w:szCs w:val="24"/>
        </w:rPr>
        <w:tab/>
      </w:r>
    </w:p>
    <w:p w:rsidR="002914EB" w:rsidRPr="00047DBB" w:rsidRDefault="002914EB" w:rsidP="006A23B3">
      <w:pPr>
        <w:pStyle w:val="aff"/>
        <w:numPr>
          <w:ilvl w:val="0"/>
          <w:numId w:val="27"/>
        </w:numPr>
        <w:spacing w:after="0" w:line="240" w:lineRule="auto"/>
        <w:ind w:left="0" w:firstLine="567"/>
        <w:jc w:val="both"/>
        <w:rPr>
          <w:rFonts w:ascii="Times New Roman" w:hAnsi="Times New Roman"/>
          <w:i/>
          <w:iCs/>
          <w:sz w:val="24"/>
          <w:szCs w:val="24"/>
        </w:rPr>
      </w:pPr>
      <w:r w:rsidRPr="00047DBB">
        <w:rPr>
          <w:rFonts w:ascii="Times New Roman" w:hAnsi="Times New Roman"/>
          <w:sz w:val="24"/>
          <w:szCs w:val="24"/>
        </w:rPr>
        <w:t xml:space="preserve">Ужесточить требования к исполнению требований  санитарного законодательства,  в части исполнения программы производственного контроля  за качеством питьевой воды подаваемой  по разводящим сетям наружных и  внутренних  водопроводов,   ресурсоснабжающих организаций города, для своевременному проведению профилактических работ на водопроводных сетях города и многоквартирных домах, обеспечивающую безопасность в эпидемиологическом, радиационном отношении, безвредную по химическому составу и благоприятные органолептические свойства.    </w:t>
      </w:r>
    </w:p>
    <w:p w:rsidR="002914EB" w:rsidRPr="00047DBB" w:rsidRDefault="002914EB" w:rsidP="00047DBB">
      <w:pPr>
        <w:spacing w:line="240" w:lineRule="auto"/>
        <w:jc w:val="center"/>
        <w:rPr>
          <w:rFonts w:ascii="Times New Roman" w:hAnsi="Times New Roman" w:cs="Times New Roman"/>
          <w:b/>
          <w:iCs/>
          <w:sz w:val="24"/>
          <w:szCs w:val="24"/>
        </w:rPr>
      </w:pPr>
    </w:p>
    <w:p w:rsidR="002914EB" w:rsidRPr="00047DBB" w:rsidRDefault="002914EB" w:rsidP="00047DBB">
      <w:pPr>
        <w:spacing w:line="240" w:lineRule="auto"/>
        <w:jc w:val="center"/>
        <w:rPr>
          <w:rFonts w:ascii="Times New Roman" w:hAnsi="Times New Roman" w:cs="Times New Roman"/>
          <w:b/>
          <w:iCs/>
          <w:sz w:val="24"/>
          <w:szCs w:val="24"/>
        </w:rPr>
      </w:pPr>
      <w:r w:rsidRPr="00047DBB">
        <w:rPr>
          <w:rFonts w:ascii="Times New Roman" w:hAnsi="Times New Roman" w:cs="Times New Roman"/>
          <w:b/>
          <w:iCs/>
          <w:sz w:val="24"/>
          <w:szCs w:val="24"/>
        </w:rPr>
        <w:t>Рекомендации в области гигиены почвы населенных мест</w:t>
      </w:r>
    </w:p>
    <w:p w:rsidR="002914EB" w:rsidRPr="00047DBB" w:rsidRDefault="002914EB" w:rsidP="006A23B3">
      <w:pPr>
        <w:numPr>
          <w:ilvl w:val="0"/>
          <w:numId w:val="28"/>
        </w:numPr>
        <w:spacing w:after="0" w:line="240" w:lineRule="auto"/>
        <w:ind w:left="0" w:firstLine="567"/>
        <w:jc w:val="both"/>
        <w:rPr>
          <w:rFonts w:ascii="Times New Roman" w:hAnsi="Times New Roman" w:cs="Times New Roman"/>
          <w:sz w:val="24"/>
          <w:szCs w:val="24"/>
        </w:rPr>
      </w:pPr>
      <w:r w:rsidRPr="00047DBB">
        <w:rPr>
          <w:rFonts w:ascii="Times New Roman" w:hAnsi="Times New Roman" w:cs="Times New Roman"/>
          <w:sz w:val="24"/>
          <w:szCs w:val="24"/>
        </w:rPr>
        <w:t>Ужесточение требований к исполнению действующего санитарного законодательства, в отношении  порядка обращения с отходами производства и потребления на территории города  в отношении  организации размещения и утилизации ТБО, КТО с дворовых контейнерных площадок, содержание и состояние контейнерных площадок,  в отношении приведения  схемы санитарной очистки города в механизм обеспечения санитарной очистки.</w:t>
      </w:r>
    </w:p>
    <w:p w:rsidR="002914EB" w:rsidRPr="00047DBB" w:rsidRDefault="002914EB" w:rsidP="006A23B3">
      <w:pPr>
        <w:pStyle w:val="aff"/>
        <w:numPr>
          <w:ilvl w:val="0"/>
          <w:numId w:val="28"/>
        </w:numPr>
        <w:spacing w:after="0" w:line="240" w:lineRule="auto"/>
        <w:ind w:left="0" w:firstLine="567"/>
        <w:contextualSpacing w:val="0"/>
        <w:jc w:val="both"/>
        <w:rPr>
          <w:rFonts w:ascii="Times New Roman" w:hAnsi="Times New Roman"/>
          <w:sz w:val="24"/>
          <w:szCs w:val="24"/>
        </w:rPr>
      </w:pPr>
      <w:r w:rsidRPr="00047DBB">
        <w:rPr>
          <w:rFonts w:ascii="Times New Roman" w:hAnsi="Times New Roman"/>
          <w:sz w:val="24"/>
          <w:szCs w:val="24"/>
        </w:rPr>
        <w:t>Принять меры по  соблюдению требований санитарного законодательства  в водоотведение   города, организовать эффективную очистку сточной воды и их осадков</w:t>
      </w:r>
      <w:r w:rsidRPr="00047DBB">
        <w:rPr>
          <w:rFonts w:ascii="Times New Roman" w:hAnsi="Times New Roman"/>
          <w:color w:val="000000"/>
          <w:spacing w:val="1"/>
          <w:sz w:val="24"/>
          <w:szCs w:val="24"/>
        </w:rPr>
        <w:t>на объектах водоотведения   города</w:t>
      </w:r>
      <w:r w:rsidRPr="00047DBB">
        <w:rPr>
          <w:rFonts w:ascii="Times New Roman" w:hAnsi="Times New Roman"/>
          <w:sz w:val="24"/>
          <w:szCs w:val="24"/>
        </w:rPr>
        <w:t>, предусмотреть технологию очистки и обеззараживаниепозволяющее  обеспечить нормативную очистку сточных вод</w:t>
      </w:r>
      <w:r w:rsidRPr="00047DBB">
        <w:rPr>
          <w:rFonts w:ascii="Times New Roman" w:hAnsi="Times New Roman"/>
          <w:color w:val="000000"/>
          <w:spacing w:val="1"/>
          <w:sz w:val="24"/>
          <w:szCs w:val="24"/>
        </w:rPr>
        <w:t>.</w:t>
      </w:r>
    </w:p>
    <w:p w:rsidR="002914EB" w:rsidRPr="00047DBB" w:rsidRDefault="002914EB" w:rsidP="006A23B3">
      <w:pPr>
        <w:numPr>
          <w:ilvl w:val="0"/>
          <w:numId w:val="28"/>
        </w:numPr>
        <w:spacing w:after="0" w:line="240" w:lineRule="auto"/>
        <w:ind w:left="0" w:firstLine="567"/>
        <w:jc w:val="both"/>
        <w:rPr>
          <w:rFonts w:ascii="Times New Roman" w:hAnsi="Times New Roman" w:cs="Times New Roman"/>
          <w:sz w:val="24"/>
          <w:szCs w:val="24"/>
        </w:rPr>
      </w:pPr>
      <w:r w:rsidRPr="00047DBB">
        <w:rPr>
          <w:rFonts w:ascii="Times New Roman" w:hAnsi="Times New Roman" w:cs="Times New Roman"/>
          <w:sz w:val="24"/>
          <w:szCs w:val="24"/>
        </w:rPr>
        <w:t>Обеспечить проведение мероприятий  по контролю сбора, транспортировки, и хранением ТБО и ТПО, за санитарным состоянием полигонов для ТБО населённых мест города.</w:t>
      </w:r>
    </w:p>
    <w:p w:rsidR="002914EB" w:rsidRPr="00047DBB" w:rsidRDefault="002914EB" w:rsidP="006A23B3">
      <w:pPr>
        <w:numPr>
          <w:ilvl w:val="0"/>
          <w:numId w:val="28"/>
        </w:numPr>
        <w:spacing w:after="0" w:line="240" w:lineRule="auto"/>
        <w:ind w:left="0" w:firstLine="567"/>
        <w:jc w:val="both"/>
        <w:rPr>
          <w:rFonts w:ascii="Times New Roman" w:hAnsi="Times New Roman" w:cs="Times New Roman"/>
          <w:sz w:val="24"/>
          <w:szCs w:val="24"/>
        </w:rPr>
      </w:pPr>
      <w:r w:rsidRPr="00047DBB">
        <w:rPr>
          <w:rFonts w:ascii="Times New Roman" w:hAnsi="Times New Roman" w:cs="Times New Roman"/>
          <w:sz w:val="24"/>
          <w:szCs w:val="24"/>
        </w:rPr>
        <w:lastRenderedPageBreak/>
        <w:t>Активизировать работу в проведении ведомственного (производственного) контроля  влияния от деятельности  предприятий  на окружающую среду  (почву и водоёмы).</w:t>
      </w:r>
    </w:p>
    <w:p w:rsidR="002914EB" w:rsidRPr="00047DBB" w:rsidRDefault="002914EB" w:rsidP="006A23B3">
      <w:pPr>
        <w:numPr>
          <w:ilvl w:val="0"/>
          <w:numId w:val="28"/>
        </w:numPr>
        <w:spacing w:after="0" w:line="240" w:lineRule="auto"/>
        <w:ind w:left="0" w:firstLine="567"/>
        <w:jc w:val="both"/>
        <w:rPr>
          <w:rFonts w:ascii="Times New Roman" w:hAnsi="Times New Roman" w:cs="Times New Roman"/>
          <w:sz w:val="24"/>
          <w:szCs w:val="24"/>
        </w:rPr>
      </w:pPr>
      <w:r w:rsidRPr="00047DBB">
        <w:rPr>
          <w:rFonts w:ascii="Times New Roman" w:hAnsi="Times New Roman" w:cs="Times New Roman"/>
          <w:sz w:val="24"/>
          <w:szCs w:val="24"/>
        </w:rPr>
        <w:t>Усилить надзорные мероприятия по контролю очистки и отведения сточных вод с территории в поверхностный водоем и мероприятиям по гигиенической охране поверхностных вод от загрязнения.</w:t>
      </w:r>
    </w:p>
    <w:p w:rsidR="002914EB" w:rsidRPr="00047DBB" w:rsidRDefault="002914EB" w:rsidP="006A23B3">
      <w:pPr>
        <w:numPr>
          <w:ilvl w:val="0"/>
          <w:numId w:val="28"/>
        </w:numPr>
        <w:spacing w:after="0" w:line="240" w:lineRule="auto"/>
        <w:ind w:left="0" w:firstLine="567"/>
        <w:jc w:val="both"/>
        <w:rPr>
          <w:rFonts w:ascii="Times New Roman" w:hAnsi="Times New Roman" w:cs="Times New Roman"/>
          <w:sz w:val="24"/>
          <w:szCs w:val="24"/>
        </w:rPr>
      </w:pPr>
      <w:r w:rsidRPr="00047DBB">
        <w:rPr>
          <w:rFonts w:ascii="Times New Roman" w:hAnsi="Times New Roman" w:cs="Times New Roman"/>
          <w:sz w:val="24"/>
          <w:szCs w:val="24"/>
        </w:rPr>
        <w:t>Активизировать работу к завершению проектирования и строительства нового комплексного межмуниципального полигона для утилизации   бытовых и  промышленных  отходов (с отдельной рабочей картой для утилизации промышленных отходов, с установкой для утилизации медицинских отходов, с мусоросортировочной станцией).</w:t>
      </w:r>
    </w:p>
    <w:p w:rsidR="002914EB" w:rsidRPr="00047DBB" w:rsidRDefault="002914EB" w:rsidP="006A23B3">
      <w:pPr>
        <w:numPr>
          <w:ilvl w:val="0"/>
          <w:numId w:val="28"/>
        </w:numPr>
        <w:spacing w:after="0" w:line="240" w:lineRule="auto"/>
        <w:ind w:left="0" w:firstLine="567"/>
        <w:jc w:val="both"/>
        <w:rPr>
          <w:rFonts w:ascii="Times New Roman" w:hAnsi="Times New Roman" w:cs="Times New Roman"/>
          <w:sz w:val="24"/>
          <w:szCs w:val="24"/>
        </w:rPr>
      </w:pPr>
      <w:r w:rsidRPr="00047DBB">
        <w:rPr>
          <w:rFonts w:ascii="Times New Roman" w:hAnsi="Times New Roman" w:cs="Times New Roman"/>
          <w:sz w:val="24"/>
          <w:szCs w:val="24"/>
        </w:rPr>
        <w:t>Обеспечить проведение мероприятий  по обновлению  парка специальными  мусоровозами  для удаления ТБО.</w:t>
      </w:r>
    </w:p>
    <w:p w:rsidR="002914EB" w:rsidRPr="00047DBB" w:rsidRDefault="002914EB" w:rsidP="006A23B3">
      <w:pPr>
        <w:numPr>
          <w:ilvl w:val="0"/>
          <w:numId w:val="28"/>
        </w:numPr>
        <w:spacing w:after="0" w:line="240" w:lineRule="auto"/>
        <w:ind w:left="0" w:firstLine="567"/>
        <w:jc w:val="both"/>
        <w:rPr>
          <w:rFonts w:ascii="Times New Roman" w:hAnsi="Times New Roman" w:cs="Times New Roman"/>
          <w:sz w:val="24"/>
          <w:szCs w:val="24"/>
        </w:rPr>
      </w:pPr>
      <w:r w:rsidRPr="00047DBB">
        <w:rPr>
          <w:rFonts w:ascii="Times New Roman" w:hAnsi="Times New Roman" w:cs="Times New Roman"/>
          <w:sz w:val="24"/>
          <w:szCs w:val="24"/>
        </w:rPr>
        <w:t>Обеспечить проведение мероприятий  по приобретение спец. автотранспорта для сбора и удаления  медицинских отходов.</w:t>
      </w:r>
    </w:p>
    <w:p w:rsidR="002914EB" w:rsidRPr="00047DBB" w:rsidRDefault="002914EB" w:rsidP="006A23B3">
      <w:pPr>
        <w:numPr>
          <w:ilvl w:val="0"/>
          <w:numId w:val="28"/>
        </w:numPr>
        <w:spacing w:after="0" w:line="240" w:lineRule="auto"/>
        <w:ind w:left="0" w:firstLine="567"/>
        <w:jc w:val="both"/>
        <w:rPr>
          <w:rFonts w:ascii="Times New Roman" w:hAnsi="Times New Roman" w:cs="Times New Roman"/>
          <w:sz w:val="24"/>
          <w:szCs w:val="24"/>
        </w:rPr>
      </w:pPr>
      <w:r w:rsidRPr="00047DBB">
        <w:rPr>
          <w:rFonts w:ascii="Times New Roman" w:hAnsi="Times New Roman" w:cs="Times New Roman"/>
          <w:sz w:val="24"/>
          <w:szCs w:val="24"/>
        </w:rPr>
        <w:t>Активизировать работу в приобретение установки для санитарной обработки контейнеров и спец. автотранспорта   мусоровозов.</w:t>
      </w:r>
    </w:p>
    <w:p w:rsidR="002914EB" w:rsidRPr="00047DBB" w:rsidRDefault="002914EB" w:rsidP="006A23B3">
      <w:pPr>
        <w:numPr>
          <w:ilvl w:val="0"/>
          <w:numId w:val="28"/>
        </w:numPr>
        <w:spacing w:after="0" w:line="240" w:lineRule="auto"/>
        <w:ind w:left="0" w:firstLine="567"/>
        <w:jc w:val="both"/>
        <w:rPr>
          <w:rFonts w:ascii="Times New Roman" w:hAnsi="Times New Roman" w:cs="Times New Roman"/>
          <w:sz w:val="24"/>
          <w:szCs w:val="24"/>
        </w:rPr>
      </w:pPr>
      <w:r w:rsidRPr="00047DBB">
        <w:rPr>
          <w:rFonts w:ascii="Times New Roman" w:hAnsi="Times New Roman" w:cs="Times New Roman"/>
          <w:sz w:val="24"/>
          <w:szCs w:val="24"/>
        </w:rPr>
        <w:t>Активизировать работу по проведению  лабораторно-инструментальных исследований почвы, при отводе земельных участков под жилые одноквартирные, многоквартирные дома, а также детские дошкольные, школьные учреждения .</w:t>
      </w:r>
    </w:p>
    <w:p w:rsidR="002914EB" w:rsidRPr="00047DBB" w:rsidRDefault="002914EB" w:rsidP="006A23B3">
      <w:pPr>
        <w:pStyle w:val="aff"/>
        <w:numPr>
          <w:ilvl w:val="0"/>
          <w:numId w:val="28"/>
        </w:numPr>
        <w:spacing w:after="0" w:line="240" w:lineRule="auto"/>
        <w:ind w:left="0" w:firstLine="567"/>
        <w:jc w:val="both"/>
        <w:rPr>
          <w:rFonts w:ascii="Times New Roman" w:hAnsi="Times New Roman"/>
          <w:sz w:val="24"/>
          <w:szCs w:val="24"/>
        </w:rPr>
      </w:pPr>
      <w:r w:rsidRPr="00047DBB">
        <w:rPr>
          <w:rFonts w:ascii="Times New Roman" w:hAnsi="Times New Roman"/>
          <w:sz w:val="24"/>
          <w:szCs w:val="24"/>
        </w:rPr>
        <w:t>Принимать  меры, по проведению рекультивации   городских земель  включая  несанкционированные свалки   города.</w:t>
      </w:r>
    </w:p>
    <w:p w:rsidR="002914EB" w:rsidRPr="00047DBB" w:rsidRDefault="002914EB" w:rsidP="006A23B3">
      <w:pPr>
        <w:numPr>
          <w:ilvl w:val="0"/>
          <w:numId w:val="28"/>
        </w:numPr>
        <w:spacing w:after="0" w:line="240" w:lineRule="auto"/>
        <w:ind w:left="0" w:firstLine="567"/>
        <w:jc w:val="both"/>
        <w:rPr>
          <w:rFonts w:ascii="Times New Roman" w:hAnsi="Times New Roman" w:cs="Times New Roman"/>
          <w:sz w:val="24"/>
          <w:szCs w:val="24"/>
        </w:rPr>
      </w:pPr>
      <w:r w:rsidRPr="00047DBB">
        <w:rPr>
          <w:rFonts w:ascii="Times New Roman" w:hAnsi="Times New Roman" w:cs="Times New Roman"/>
          <w:sz w:val="24"/>
          <w:szCs w:val="24"/>
        </w:rPr>
        <w:t xml:space="preserve"> Систематически наблюдать за состоянием здоровья населения и факторами среды обитания с целью определения причинно-следственной связи между ними.</w:t>
      </w:r>
    </w:p>
    <w:p w:rsidR="002914EB" w:rsidRPr="00047DBB" w:rsidRDefault="002914EB" w:rsidP="006A23B3">
      <w:pPr>
        <w:widowControl w:val="0"/>
        <w:numPr>
          <w:ilvl w:val="0"/>
          <w:numId w:val="28"/>
        </w:numPr>
        <w:snapToGrid w:val="0"/>
        <w:spacing w:after="0" w:line="240" w:lineRule="auto"/>
        <w:ind w:left="0" w:right="-5" w:firstLine="567"/>
        <w:jc w:val="both"/>
        <w:rPr>
          <w:rFonts w:ascii="Times New Roman" w:hAnsi="Times New Roman" w:cs="Times New Roman"/>
          <w:sz w:val="24"/>
          <w:szCs w:val="24"/>
        </w:rPr>
      </w:pPr>
      <w:r w:rsidRPr="00047DBB">
        <w:rPr>
          <w:rFonts w:ascii="Times New Roman" w:hAnsi="Times New Roman" w:cs="Times New Roman"/>
          <w:sz w:val="24"/>
          <w:szCs w:val="24"/>
        </w:rPr>
        <w:t>Активизировать работу по надзору за приведением в должное санитарно-гигиеническое состояние полигонов твердых бытовых отходов  в МО.</w:t>
      </w:r>
    </w:p>
    <w:p w:rsidR="002914EB" w:rsidRPr="00047DBB" w:rsidRDefault="002914EB" w:rsidP="006A23B3">
      <w:pPr>
        <w:widowControl w:val="0"/>
        <w:numPr>
          <w:ilvl w:val="0"/>
          <w:numId w:val="28"/>
        </w:numPr>
        <w:snapToGrid w:val="0"/>
        <w:spacing w:after="0" w:line="240" w:lineRule="auto"/>
        <w:ind w:left="0" w:right="-5" w:firstLine="567"/>
        <w:jc w:val="both"/>
        <w:rPr>
          <w:rFonts w:ascii="Times New Roman" w:eastAsia="Times New Roman" w:hAnsi="Times New Roman" w:cs="Times New Roman"/>
          <w:sz w:val="24"/>
          <w:szCs w:val="24"/>
        </w:rPr>
      </w:pPr>
      <w:r w:rsidRPr="00047DBB">
        <w:rPr>
          <w:rFonts w:ascii="Times New Roman" w:eastAsia="Times New Roman" w:hAnsi="Times New Roman" w:cs="Times New Roman"/>
          <w:sz w:val="24"/>
          <w:szCs w:val="24"/>
        </w:rPr>
        <w:t xml:space="preserve">Активизировать работу  по сбору жидких отходов в домах, не подключенных к централизованной системе канализации. Вопрос по вывозу жидких отходов с </w:t>
      </w:r>
      <w:r w:rsidRPr="00047DBB">
        <w:rPr>
          <w:rFonts w:ascii="Times New Roman" w:eastAsia="Arial Unicode MS" w:hAnsi="Times New Roman" w:cs="Times New Roman"/>
          <w:sz w:val="24"/>
          <w:szCs w:val="24"/>
        </w:rPr>
        <w:t xml:space="preserve">временных поселков «Вертолетка», СУ-904, частично в 2 «А» микрорайоне (30 жилых домов) </w:t>
      </w:r>
      <w:r w:rsidRPr="00047DBB">
        <w:rPr>
          <w:rFonts w:ascii="Times New Roman" w:eastAsia="Times New Roman" w:hAnsi="Times New Roman" w:cs="Times New Roman"/>
          <w:sz w:val="24"/>
          <w:szCs w:val="24"/>
        </w:rPr>
        <w:t>остается актуальным, так как не все балки оборудованы емкостями для приема жидких отходов.</w:t>
      </w:r>
    </w:p>
    <w:p w:rsidR="002914EB" w:rsidRPr="008E5ED6" w:rsidRDefault="002914EB" w:rsidP="00047DBB">
      <w:pPr>
        <w:ind w:firstLine="567"/>
        <w:jc w:val="both"/>
        <w:rPr>
          <w:rFonts w:ascii="Times New Roman" w:hAnsi="Times New Roman" w:cs="Times New Roman"/>
          <w:sz w:val="24"/>
          <w:szCs w:val="24"/>
        </w:rPr>
      </w:pPr>
    </w:p>
    <w:p w:rsidR="002914EB" w:rsidRPr="006B79E2" w:rsidRDefault="002914EB" w:rsidP="00047DBB">
      <w:pPr>
        <w:widowControl w:val="0"/>
        <w:snapToGrid w:val="0"/>
        <w:ind w:right="-5" w:firstLine="567"/>
        <w:jc w:val="center"/>
        <w:rPr>
          <w:rFonts w:ascii="Times New Roman" w:hAnsi="Times New Roman" w:cs="Times New Roman"/>
          <w:b/>
          <w:iCs/>
          <w:sz w:val="28"/>
          <w:szCs w:val="28"/>
        </w:rPr>
      </w:pPr>
      <w:r w:rsidRPr="006B79E2">
        <w:rPr>
          <w:rFonts w:ascii="Times New Roman" w:hAnsi="Times New Roman" w:cs="Times New Roman"/>
          <w:b/>
          <w:iCs/>
          <w:sz w:val="28"/>
          <w:szCs w:val="28"/>
        </w:rPr>
        <w:t>Рекомендации в области питания населения</w:t>
      </w:r>
    </w:p>
    <w:p w:rsidR="002914EB" w:rsidRPr="008E5ED6" w:rsidRDefault="002914EB" w:rsidP="006A23B3">
      <w:pPr>
        <w:widowControl w:val="0"/>
        <w:numPr>
          <w:ilvl w:val="0"/>
          <w:numId w:val="29"/>
        </w:numPr>
        <w:snapToGrid w:val="0"/>
        <w:spacing w:after="0" w:line="240" w:lineRule="auto"/>
        <w:ind w:left="0" w:right="-5" w:firstLine="567"/>
        <w:jc w:val="both"/>
        <w:rPr>
          <w:rFonts w:ascii="Times New Roman" w:hAnsi="Times New Roman" w:cs="Times New Roman"/>
          <w:sz w:val="24"/>
          <w:szCs w:val="24"/>
        </w:rPr>
      </w:pPr>
      <w:r w:rsidRPr="008E5ED6">
        <w:rPr>
          <w:rFonts w:ascii="Times New Roman" w:hAnsi="Times New Roman" w:cs="Times New Roman"/>
          <w:sz w:val="24"/>
          <w:szCs w:val="24"/>
        </w:rPr>
        <w:t>Участие в реализации мер по выполнению Концепции демографической политики РФ до 2025 года, приоритетного национального проекта «Здоровье», в том числе, направленных на снижение масштабов алкоголизации населения, профилактику табакокурения, пропаганду здорового образа жизни, привитие навыков здорового питания.</w:t>
      </w:r>
    </w:p>
    <w:p w:rsidR="002914EB" w:rsidRPr="008E5ED6" w:rsidRDefault="002914EB" w:rsidP="006A23B3">
      <w:pPr>
        <w:widowControl w:val="0"/>
        <w:numPr>
          <w:ilvl w:val="0"/>
          <w:numId w:val="29"/>
        </w:numPr>
        <w:snapToGrid w:val="0"/>
        <w:spacing w:after="0" w:line="240" w:lineRule="auto"/>
        <w:ind w:left="0" w:right="-5" w:firstLine="567"/>
        <w:jc w:val="both"/>
        <w:rPr>
          <w:rFonts w:ascii="Times New Roman" w:hAnsi="Times New Roman" w:cs="Times New Roman"/>
          <w:sz w:val="24"/>
          <w:szCs w:val="24"/>
        </w:rPr>
      </w:pPr>
      <w:r w:rsidRPr="008E5ED6">
        <w:rPr>
          <w:rFonts w:ascii="Times New Roman" w:hAnsi="Times New Roman" w:cs="Times New Roman"/>
          <w:sz w:val="24"/>
          <w:szCs w:val="24"/>
        </w:rPr>
        <w:t xml:space="preserve">Совершенствование технологии надзора за качеством и безопасностью пищевых продуктов и активизация мер, направленных на снижение заболеваемости населения, обусловленной микронутриентной недостаточностью, в соответствии с Доктриной продовольственной безопасности и Основами государственной политики до 2020 года, а также  в рамках Соглашений Таможенного Союза. </w:t>
      </w:r>
    </w:p>
    <w:p w:rsidR="002914EB" w:rsidRPr="008E5ED6" w:rsidRDefault="002914EB" w:rsidP="006A23B3">
      <w:pPr>
        <w:widowControl w:val="0"/>
        <w:numPr>
          <w:ilvl w:val="0"/>
          <w:numId w:val="29"/>
        </w:numPr>
        <w:snapToGrid w:val="0"/>
        <w:spacing w:after="0" w:line="240" w:lineRule="auto"/>
        <w:ind w:left="0" w:right="-5" w:firstLine="567"/>
        <w:jc w:val="both"/>
        <w:rPr>
          <w:rFonts w:ascii="Times New Roman" w:hAnsi="Times New Roman" w:cs="Times New Roman"/>
          <w:sz w:val="24"/>
          <w:szCs w:val="24"/>
        </w:rPr>
      </w:pPr>
      <w:r w:rsidRPr="008E5ED6">
        <w:rPr>
          <w:rFonts w:ascii="Times New Roman" w:hAnsi="Times New Roman" w:cs="Times New Roman"/>
          <w:sz w:val="24"/>
          <w:szCs w:val="24"/>
        </w:rPr>
        <w:t>Внедрение в практическую деятельность программно-аналитического комплекса по выполнению контрольно-надзорных мероприятий.</w:t>
      </w:r>
    </w:p>
    <w:p w:rsidR="002914EB" w:rsidRPr="008E5ED6" w:rsidRDefault="002914EB" w:rsidP="006A23B3">
      <w:pPr>
        <w:widowControl w:val="0"/>
        <w:numPr>
          <w:ilvl w:val="0"/>
          <w:numId w:val="29"/>
        </w:numPr>
        <w:snapToGrid w:val="0"/>
        <w:spacing w:after="0" w:line="240" w:lineRule="auto"/>
        <w:ind w:left="0" w:right="-5" w:firstLine="567"/>
        <w:jc w:val="both"/>
        <w:rPr>
          <w:rFonts w:ascii="Times New Roman" w:hAnsi="Times New Roman" w:cs="Times New Roman"/>
          <w:sz w:val="24"/>
          <w:szCs w:val="24"/>
        </w:rPr>
      </w:pPr>
      <w:r w:rsidRPr="008E5ED6">
        <w:rPr>
          <w:rFonts w:ascii="Times New Roman" w:hAnsi="Times New Roman" w:cs="Times New Roman"/>
          <w:sz w:val="24"/>
          <w:szCs w:val="24"/>
        </w:rPr>
        <w:t>Совершенствование государственного санитарно-эпидемиологического надзора при реализации контрольно-надзорных полномочий за соответствием товаров (работ, услуг) на предприятиях по производству  пищевых продуктов на территории  города.</w:t>
      </w:r>
    </w:p>
    <w:p w:rsidR="002914EB" w:rsidRPr="008E5ED6" w:rsidRDefault="002914EB" w:rsidP="006A23B3">
      <w:pPr>
        <w:widowControl w:val="0"/>
        <w:numPr>
          <w:ilvl w:val="0"/>
          <w:numId w:val="29"/>
        </w:numPr>
        <w:snapToGrid w:val="0"/>
        <w:spacing w:after="0" w:line="240" w:lineRule="auto"/>
        <w:ind w:left="0" w:right="-5" w:firstLine="567"/>
        <w:jc w:val="both"/>
        <w:rPr>
          <w:rFonts w:ascii="Times New Roman" w:hAnsi="Times New Roman" w:cs="Times New Roman"/>
          <w:sz w:val="24"/>
          <w:szCs w:val="24"/>
        </w:rPr>
      </w:pPr>
      <w:r w:rsidRPr="008E5ED6">
        <w:rPr>
          <w:rFonts w:ascii="Times New Roman" w:hAnsi="Times New Roman" w:cs="Times New Roman"/>
          <w:sz w:val="24"/>
          <w:szCs w:val="24"/>
        </w:rPr>
        <w:t>Совершенствование деятельности по осуществлению государственного санитарно-эпидемиологического надзора в рамках реализации Соглашения таможенного союза по санитарным мерам.</w:t>
      </w:r>
    </w:p>
    <w:p w:rsidR="002914EB" w:rsidRPr="008E5ED6" w:rsidRDefault="002914EB" w:rsidP="006A23B3">
      <w:pPr>
        <w:widowControl w:val="0"/>
        <w:numPr>
          <w:ilvl w:val="0"/>
          <w:numId w:val="29"/>
        </w:numPr>
        <w:snapToGrid w:val="0"/>
        <w:spacing w:after="0" w:line="240" w:lineRule="auto"/>
        <w:ind w:left="0" w:right="-5" w:firstLine="567"/>
        <w:jc w:val="both"/>
        <w:rPr>
          <w:rFonts w:ascii="Times New Roman" w:hAnsi="Times New Roman" w:cs="Times New Roman"/>
          <w:sz w:val="24"/>
          <w:szCs w:val="24"/>
        </w:rPr>
      </w:pPr>
      <w:r w:rsidRPr="008E5ED6">
        <w:rPr>
          <w:rFonts w:ascii="Times New Roman" w:hAnsi="Times New Roman" w:cs="Times New Roman"/>
          <w:sz w:val="24"/>
          <w:szCs w:val="24"/>
        </w:rPr>
        <w:t>Взаимодействие с общественными организациями (ассоциациями, союзами, гильдиями), занимающимися производством и оборотом пищевых продуктов, по вопросам обеспечения безопасности пищевых продуктов.</w:t>
      </w:r>
    </w:p>
    <w:p w:rsidR="002914EB" w:rsidRPr="008E5ED6" w:rsidRDefault="002914EB" w:rsidP="006A23B3">
      <w:pPr>
        <w:numPr>
          <w:ilvl w:val="0"/>
          <w:numId w:val="29"/>
        </w:numPr>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lastRenderedPageBreak/>
        <w:t>По результатам плановых мероприятий на предприятиях пищевой промышленности, общественного питания, постоянно проводить аналитическую работу с целью установления причин производства продукции низкого качества и несоответствующей требованиям безопасности, на основании которой разрабатывать планы санитарно-оздоровительных мероприятий с последующей оценкой их эффективности.</w:t>
      </w:r>
    </w:p>
    <w:p w:rsidR="002914EB" w:rsidRPr="008E5ED6" w:rsidRDefault="002914EB" w:rsidP="006A23B3">
      <w:pPr>
        <w:numPr>
          <w:ilvl w:val="0"/>
          <w:numId w:val="29"/>
        </w:numPr>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Разработать и внедрить систему своевременного и достоверного оповещения населения, заинтересованных структур о  возникновении пищевых отравлений, обнаружении некачественных продуктов и прочих ситуациях.</w:t>
      </w:r>
    </w:p>
    <w:p w:rsidR="002914EB" w:rsidRPr="008E5ED6" w:rsidRDefault="002914EB" w:rsidP="006A23B3">
      <w:pPr>
        <w:numPr>
          <w:ilvl w:val="0"/>
          <w:numId w:val="29"/>
        </w:numPr>
        <w:tabs>
          <w:tab w:val="clear" w:pos="786"/>
          <w:tab w:val="num" w:pos="0"/>
        </w:tabs>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В целях реализации одного из приоритетных направлений деятельности службы, изучения степени распространения генетически модифицированных компонентов в продуктах питания и ее влияния на здоровье населения продолжить осуществление мер по периодическому отбору пищевых продуктов, обеспечив своевременную доставку проб и их лабораторное исследование.</w:t>
      </w:r>
    </w:p>
    <w:p w:rsidR="002914EB" w:rsidRPr="008E5ED6" w:rsidRDefault="002914EB" w:rsidP="006A23B3">
      <w:pPr>
        <w:numPr>
          <w:ilvl w:val="0"/>
          <w:numId w:val="29"/>
        </w:numPr>
        <w:tabs>
          <w:tab w:val="clear" w:pos="786"/>
          <w:tab w:val="num" w:pos="0"/>
        </w:tabs>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Обеспечить дальнейшее п</w:t>
      </w:r>
      <w:r w:rsidRPr="008E5ED6">
        <w:rPr>
          <w:rFonts w:ascii="Times New Roman" w:hAnsi="Times New Roman" w:cs="Times New Roman"/>
          <w:bCs/>
          <w:sz w:val="24"/>
          <w:szCs w:val="24"/>
        </w:rPr>
        <w:t>роведение контроля</w:t>
      </w:r>
      <w:r w:rsidRPr="008E5ED6">
        <w:rPr>
          <w:rFonts w:ascii="Times New Roman" w:hAnsi="Times New Roman" w:cs="Times New Roman"/>
          <w:sz w:val="24"/>
          <w:szCs w:val="24"/>
        </w:rPr>
        <w:t xml:space="preserve"> за</w:t>
      </w:r>
      <w:r w:rsidR="00047DBB">
        <w:rPr>
          <w:rFonts w:ascii="Times New Roman" w:hAnsi="Times New Roman" w:cs="Times New Roman"/>
          <w:sz w:val="24"/>
          <w:szCs w:val="24"/>
        </w:rPr>
        <w:t xml:space="preserve"> </w:t>
      </w:r>
      <w:r w:rsidRPr="008E5ED6">
        <w:rPr>
          <w:rFonts w:ascii="Times New Roman" w:hAnsi="Times New Roman" w:cs="Times New Roman"/>
          <w:bCs/>
          <w:sz w:val="24"/>
          <w:szCs w:val="24"/>
        </w:rPr>
        <w:t>реализацией действующих Технических регламентов на пищевые продукты, организовать работу по внедрению новых нормативно-правовых актов статуса регламента.</w:t>
      </w:r>
    </w:p>
    <w:p w:rsidR="002914EB" w:rsidRPr="008E5ED6" w:rsidRDefault="002914EB" w:rsidP="006A23B3">
      <w:pPr>
        <w:numPr>
          <w:ilvl w:val="0"/>
          <w:numId w:val="29"/>
        </w:numPr>
        <w:tabs>
          <w:tab w:val="clear" w:pos="786"/>
          <w:tab w:val="num" w:pos="0"/>
        </w:tabs>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На основании проведенного анализа административной практики,  принять меры, направленные на усовершенствование правовой деятельности в отношении своевременного и адекватного совершенному нарушению применения мер административного воздействия к нарушителям санитарного законодательства, использования максимально допустимого диапазона статей КоАП РФ,  в рамках обеспечения принципа неотвратимости наказания.</w:t>
      </w:r>
    </w:p>
    <w:p w:rsidR="002914EB" w:rsidRPr="008E5ED6" w:rsidRDefault="002914EB" w:rsidP="002914EB">
      <w:pPr>
        <w:jc w:val="both"/>
        <w:rPr>
          <w:rFonts w:ascii="Times New Roman" w:hAnsi="Times New Roman" w:cs="Times New Roman"/>
          <w:sz w:val="24"/>
          <w:szCs w:val="24"/>
        </w:rPr>
      </w:pPr>
    </w:p>
    <w:p w:rsidR="002914EB" w:rsidRPr="00047DBB" w:rsidRDefault="002914EB" w:rsidP="002914EB">
      <w:pPr>
        <w:jc w:val="center"/>
        <w:rPr>
          <w:rFonts w:ascii="Times New Roman" w:eastAsia="Times New Roman" w:hAnsi="Times New Roman" w:cs="Times New Roman"/>
          <w:b/>
          <w:iCs/>
          <w:sz w:val="24"/>
          <w:szCs w:val="24"/>
        </w:rPr>
      </w:pPr>
      <w:r w:rsidRPr="00047DBB">
        <w:rPr>
          <w:rFonts w:ascii="Times New Roman" w:eastAsia="Times New Roman" w:hAnsi="Times New Roman" w:cs="Times New Roman"/>
          <w:b/>
          <w:iCs/>
          <w:sz w:val="24"/>
          <w:szCs w:val="24"/>
        </w:rPr>
        <w:t>Рекомендации в об</w:t>
      </w:r>
      <w:r w:rsidRPr="00047DBB">
        <w:rPr>
          <w:rFonts w:ascii="Times New Roman" w:hAnsi="Times New Roman" w:cs="Times New Roman"/>
          <w:b/>
          <w:iCs/>
          <w:sz w:val="24"/>
          <w:szCs w:val="24"/>
        </w:rPr>
        <w:t>ласти гигиены труда</w:t>
      </w:r>
      <w:r w:rsidRPr="00047DBB">
        <w:rPr>
          <w:rFonts w:ascii="Times New Roman" w:eastAsia="Times New Roman" w:hAnsi="Times New Roman" w:cs="Times New Roman"/>
          <w:b/>
          <w:iCs/>
          <w:sz w:val="24"/>
          <w:szCs w:val="24"/>
        </w:rPr>
        <w:t>:</w:t>
      </w:r>
    </w:p>
    <w:p w:rsidR="002914EB" w:rsidRPr="008E5ED6" w:rsidRDefault="002914EB" w:rsidP="006A23B3">
      <w:pPr>
        <w:pStyle w:val="Default"/>
        <w:numPr>
          <w:ilvl w:val="0"/>
          <w:numId w:val="30"/>
        </w:numPr>
        <w:spacing w:after="87"/>
        <w:ind w:left="0" w:firstLine="567"/>
        <w:jc w:val="both"/>
        <w:rPr>
          <w:sz w:val="23"/>
          <w:szCs w:val="23"/>
        </w:rPr>
      </w:pPr>
      <w:r w:rsidRPr="008E5ED6">
        <w:t>Реализовать комплекс мер по профилактике заболеваний и травматизма у рабо- тающего населения с целью снижения неблагоприятного влияния на здоровье факто- ров производственной среды (включая работников бюджетной сферы)</w:t>
      </w:r>
    </w:p>
    <w:p w:rsidR="002914EB" w:rsidRPr="008E5ED6" w:rsidRDefault="002914EB" w:rsidP="006A23B3">
      <w:pPr>
        <w:pStyle w:val="Default"/>
        <w:numPr>
          <w:ilvl w:val="0"/>
          <w:numId w:val="30"/>
        </w:numPr>
        <w:spacing w:after="87"/>
        <w:ind w:left="0" w:firstLine="567"/>
        <w:jc w:val="both"/>
        <w:rPr>
          <w:sz w:val="23"/>
          <w:szCs w:val="23"/>
        </w:rPr>
      </w:pPr>
      <w:r w:rsidRPr="008E5ED6">
        <w:t>Обеспечить проведение мероприятий по раннему выявлению и профилактике злокачественных новообразований у населения, снижению канцерогенного риска</w:t>
      </w:r>
    </w:p>
    <w:p w:rsidR="002914EB" w:rsidRPr="008E5ED6" w:rsidRDefault="002914EB" w:rsidP="006A23B3">
      <w:pPr>
        <w:numPr>
          <w:ilvl w:val="0"/>
          <w:numId w:val="30"/>
        </w:numPr>
        <w:suppressAutoHyphens/>
        <w:spacing w:after="0" w:line="240" w:lineRule="auto"/>
        <w:ind w:left="0" w:firstLine="567"/>
        <w:jc w:val="both"/>
        <w:rPr>
          <w:rFonts w:ascii="Times New Roman" w:eastAsia="Times New Roman" w:hAnsi="Times New Roman" w:cs="Times New Roman"/>
          <w:sz w:val="24"/>
          <w:szCs w:val="24"/>
        </w:rPr>
      </w:pPr>
      <w:r w:rsidRPr="008E5ED6">
        <w:rPr>
          <w:rFonts w:ascii="Times New Roman" w:eastAsia="Times New Roman" w:hAnsi="Times New Roman" w:cs="Times New Roman"/>
          <w:sz w:val="24"/>
          <w:szCs w:val="24"/>
        </w:rPr>
        <w:t>Разработка организациями мероприятий по улучшению условий труда по итогам проведения лабораторных исследований на рабочих местах, целенаправленное выделение ассигнований на улучшение условий труда. Усиление контроля за выполнением разработанных мероприятий со стороны администрации и профсоюзных организаций. Контроль  за соблюдением санитарного законодательства на промышленных предприятиях.</w:t>
      </w:r>
    </w:p>
    <w:p w:rsidR="002914EB" w:rsidRPr="008E5ED6" w:rsidRDefault="002914EB" w:rsidP="006A23B3">
      <w:pPr>
        <w:numPr>
          <w:ilvl w:val="0"/>
          <w:numId w:val="30"/>
        </w:numPr>
        <w:suppressAutoHyphens/>
        <w:spacing w:after="0" w:line="240" w:lineRule="auto"/>
        <w:ind w:left="0" w:firstLine="567"/>
        <w:jc w:val="both"/>
        <w:rPr>
          <w:rFonts w:ascii="Times New Roman" w:eastAsia="Times New Roman" w:hAnsi="Times New Roman" w:cs="Times New Roman"/>
          <w:sz w:val="24"/>
          <w:szCs w:val="24"/>
        </w:rPr>
      </w:pPr>
      <w:r w:rsidRPr="008E5ED6">
        <w:rPr>
          <w:rFonts w:ascii="Times New Roman" w:eastAsia="Times New Roman" w:hAnsi="Times New Roman" w:cs="Times New Roman"/>
          <w:sz w:val="24"/>
          <w:szCs w:val="24"/>
        </w:rPr>
        <w:t>Осуществление санитарно-гигиенического контроля за условиями труда  и участие в разработке рекомендаций по их улучшению согласно техническим регламентам и требованиям трудового кодекса.</w:t>
      </w:r>
    </w:p>
    <w:p w:rsidR="002914EB" w:rsidRPr="008E5ED6" w:rsidRDefault="002914EB" w:rsidP="006A23B3">
      <w:pPr>
        <w:numPr>
          <w:ilvl w:val="0"/>
          <w:numId w:val="30"/>
        </w:numPr>
        <w:suppressAutoHyphens/>
        <w:spacing w:after="0" w:line="240" w:lineRule="auto"/>
        <w:ind w:left="0" w:firstLine="567"/>
        <w:jc w:val="both"/>
        <w:rPr>
          <w:rFonts w:ascii="Times New Roman" w:eastAsia="Times New Roman" w:hAnsi="Times New Roman" w:cs="Times New Roman"/>
          <w:b/>
          <w:sz w:val="24"/>
          <w:szCs w:val="24"/>
        </w:rPr>
      </w:pPr>
      <w:r w:rsidRPr="008E5ED6">
        <w:rPr>
          <w:rFonts w:ascii="Times New Roman" w:eastAsia="Times New Roman" w:hAnsi="Times New Roman" w:cs="Times New Roman"/>
          <w:sz w:val="24"/>
          <w:szCs w:val="24"/>
        </w:rPr>
        <w:t>Контроль  за  организацией  периодических медицинских осмотров.</w:t>
      </w:r>
    </w:p>
    <w:p w:rsidR="002914EB" w:rsidRPr="008E5ED6" w:rsidRDefault="002914EB" w:rsidP="006A23B3">
      <w:pPr>
        <w:numPr>
          <w:ilvl w:val="0"/>
          <w:numId w:val="30"/>
        </w:numPr>
        <w:suppressAutoHyphens/>
        <w:spacing w:after="0" w:line="240" w:lineRule="auto"/>
        <w:ind w:left="0" w:firstLine="567"/>
        <w:jc w:val="both"/>
        <w:rPr>
          <w:rFonts w:ascii="Times New Roman" w:eastAsia="Times New Roman" w:hAnsi="Times New Roman" w:cs="Times New Roman"/>
          <w:b/>
          <w:sz w:val="24"/>
          <w:szCs w:val="24"/>
        </w:rPr>
      </w:pPr>
      <w:r w:rsidRPr="008E5ED6">
        <w:rPr>
          <w:rFonts w:ascii="Times New Roman" w:eastAsia="Times New Roman" w:hAnsi="Times New Roman" w:cs="Times New Roman"/>
          <w:sz w:val="24"/>
          <w:szCs w:val="24"/>
        </w:rPr>
        <w:t>Организация и проведение обучающих семинаров для работодателей по организации производственного контроля, периодических медицинских осмотров, паспортизации  канцерогеноопасных производственных факторов.</w:t>
      </w:r>
    </w:p>
    <w:p w:rsidR="002914EB" w:rsidRPr="008E5ED6" w:rsidRDefault="002914EB" w:rsidP="00234321">
      <w:pPr>
        <w:pStyle w:val="Default"/>
        <w:ind w:firstLine="567"/>
        <w:jc w:val="both"/>
        <w:rPr>
          <w:sz w:val="23"/>
          <w:szCs w:val="23"/>
        </w:rPr>
      </w:pPr>
    </w:p>
    <w:p w:rsidR="002914EB" w:rsidRPr="00234321" w:rsidRDefault="002914EB" w:rsidP="002914EB">
      <w:pPr>
        <w:pStyle w:val="Default"/>
        <w:jc w:val="center"/>
        <w:rPr>
          <w:b/>
          <w:bCs/>
        </w:rPr>
      </w:pPr>
      <w:r w:rsidRPr="00234321">
        <w:rPr>
          <w:b/>
          <w:bCs/>
        </w:rPr>
        <w:t>Рекомендации на объектах транспорта и транспортной инфраструктуры</w:t>
      </w:r>
    </w:p>
    <w:p w:rsidR="002914EB" w:rsidRPr="00234321" w:rsidRDefault="002914EB" w:rsidP="002914EB">
      <w:pPr>
        <w:pStyle w:val="Default"/>
        <w:jc w:val="center"/>
      </w:pPr>
    </w:p>
    <w:p w:rsidR="002914EB" w:rsidRPr="008E5ED6" w:rsidRDefault="002914EB" w:rsidP="006A23B3">
      <w:pPr>
        <w:pStyle w:val="Default"/>
        <w:numPr>
          <w:ilvl w:val="0"/>
          <w:numId w:val="31"/>
        </w:numPr>
        <w:spacing w:after="47"/>
        <w:ind w:left="0" w:firstLine="567"/>
        <w:jc w:val="both"/>
        <w:rPr>
          <w:sz w:val="23"/>
          <w:szCs w:val="23"/>
        </w:rPr>
      </w:pPr>
      <w:r w:rsidRPr="008E5ED6">
        <w:rPr>
          <w:sz w:val="23"/>
          <w:szCs w:val="23"/>
        </w:rPr>
        <w:t xml:space="preserve">Дальнейшее совершенствование межведомственного взаимодействия с органами государственной власти, контрольно-надзорными органами, по вопросам санитарно-эпидемиологического благополучия на объектах транспорта и транспортной инфраструктуры. </w:t>
      </w:r>
    </w:p>
    <w:p w:rsidR="002914EB" w:rsidRPr="008E5ED6" w:rsidRDefault="002914EB" w:rsidP="006A23B3">
      <w:pPr>
        <w:pStyle w:val="Default"/>
        <w:numPr>
          <w:ilvl w:val="0"/>
          <w:numId w:val="31"/>
        </w:numPr>
        <w:ind w:left="0" w:firstLine="567"/>
        <w:jc w:val="both"/>
        <w:rPr>
          <w:sz w:val="23"/>
          <w:szCs w:val="23"/>
        </w:rPr>
      </w:pPr>
      <w:r w:rsidRPr="008E5ED6">
        <w:rPr>
          <w:sz w:val="23"/>
          <w:szCs w:val="23"/>
        </w:rPr>
        <w:t xml:space="preserve">Осуществление эффективного и целенаправленного государственного санитарно-эпидемиологического надзора в отношении предприятий транспортной инфраструктуры и объектов транспорта </w:t>
      </w:r>
    </w:p>
    <w:p w:rsidR="002914EB" w:rsidRPr="008E5ED6" w:rsidRDefault="002914EB" w:rsidP="002914EB">
      <w:pPr>
        <w:pStyle w:val="Default"/>
        <w:spacing w:after="47"/>
        <w:ind w:left="780"/>
        <w:jc w:val="both"/>
        <w:rPr>
          <w:sz w:val="23"/>
          <w:szCs w:val="23"/>
        </w:rPr>
      </w:pPr>
    </w:p>
    <w:p w:rsidR="002914EB" w:rsidRPr="008E5ED6" w:rsidRDefault="002914EB" w:rsidP="002914EB">
      <w:pPr>
        <w:pStyle w:val="Default"/>
        <w:jc w:val="both"/>
        <w:rPr>
          <w:sz w:val="23"/>
          <w:szCs w:val="23"/>
        </w:rPr>
      </w:pPr>
    </w:p>
    <w:p w:rsidR="002914EB" w:rsidRPr="00234321" w:rsidRDefault="002914EB" w:rsidP="002914EB">
      <w:pPr>
        <w:pStyle w:val="Default"/>
        <w:jc w:val="center"/>
        <w:rPr>
          <w:rFonts w:eastAsia="Times New Roman"/>
          <w:b/>
          <w:iCs/>
        </w:rPr>
      </w:pPr>
      <w:r w:rsidRPr="00234321">
        <w:rPr>
          <w:rFonts w:eastAsia="Times New Roman"/>
          <w:b/>
          <w:iCs/>
        </w:rPr>
        <w:t xml:space="preserve">Рекомендации в  области обеспечения радиационной безопасности </w:t>
      </w:r>
    </w:p>
    <w:p w:rsidR="002914EB" w:rsidRPr="00234321" w:rsidRDefault="002914EB" w:rsidP="002914EB">
      <w:pPr>
        <w:pStyle w:val="Default"/>
        <w:jc w:val="center"/>
        <w:rPr>
          <w:rFonts w:eastAsia="Times New Roman"/>
          <w:b/>
          <w:iCs/>
        </w:rPr>
      </w:pPr>
      <w:r w:rsidRPr="00234321">
        <w:rPr>
          <w:rFonts w:eastAsia="Times New Roman"/>
          <w:b/>
          <w:iCs/>
        </w:rPr>
        <w:t>населения:</w:t>
      </w:r>
    </w:p>
    <w:p w:rsidR="002914EB" w:rsidRPr="008E5ED6" w:rsidRDefault="002914EB" w:rsidP="002914EB">
      <w:pPr>
        <w:pStyle w:val="Default"/>
        <w:jc w:val="both"/>
        <w:rPr>
          <w:sz w:val="23"/>
          <w:szCs w:val="23"/>
        </w:rPr>
      </w:pPr>
    </w:p>
    <w:p w:rsidR="002914EB" w:rsidRPr="008E5ED6" w:rsidRDefault="002914EB" w:rsidP="006A23B3">
      <w:pPr>
        <w:pStyle w:val="Default"/>
        <w:numPr>
          <w:ilvl w:val="0"/>
          <w:numId w:val="25"/>
        </w:numPr>
        <w:spacing w:after="47"/>
        <w:ind w:left="0" w:firstLine="567"/>
      </w:pPr>
      <w:r w:rsidRPr="008E5ED6">
        <w:t xml:space="preserve">обеспечение 100 % охвата радиационно-гигиенической паспортизацией всех организаций, использующих в своей деятельности источники ионизирующего излучения, повышение достоверности и полноты информации, содержащейся в радиационно-гигиенических паспортах; </w:t>
      </w:r>
    </w:p>
    <w:p w:rsidR="002914EB" w:rsidRPr="008E5ED6" w:rsidRDefault="002914EB" w:rsidP="006A23B3">
      <w:pPr>
        <w:pStyle w:val="Default"/>
        <w:numPr>
          <w:ilvl w:val="0"/>
          <w:numId w:val="25"/>
        </w:numPr>
        <w:spacing w:after="47"/>
        <w:ind w:left="0" w:firstLine="567"/>
      </w:pPr>
      <w:r w:rsidRPr="008E5ED6">
        <w:t xml:space="preserve">ведение радиационно-гигиенического мониторинга территорий, где были применены подземные ядерно-промышленные взрывные технологии; </w:t>
      </w:r>
    </w:p>
    <w:p w:rsidR="002914EB" w:rsidRPr="008E5ED6" w:rsidRDefault="002914EB" w:rsidP="006A23B3">
      <w:pPr>
        <w:pStyle w:val="Default"/>
        <w:numPr>
          <w:ilvl w:val="0"/>
          <w:numId w:val="25"/>
        </w:numPr>
        <w:spacing w:after="47"/>
        <w:ind w:left="0" w:firstLine="567"/>
      </w:pPr>
      <w:r w:rsidRPr="008E5ED6">
        <w:t xml:space="preserve">ведение радиационно-гигиенического мониторинга объектов нефтегазового комплекса; </w:t>
      </w:r>
    </w:p>
    <w:p w:rsidR="002914EB" w:rsidRPr="008E5ED6" w:rsidRDefault="002914EB" w:rsidP="006A23B3">
      <w:pPr>
        <w:pStyle w:val="Default"/>
        <w:numPr>
          <w:ilvl w:val="0"/>
          <w:numId w:val="25"/>
        </w:numPr>
        <w:ind w:left="0" w:firstLine="567"/>
      </w:pPr>
      <w:r w:rsidRPr="008E5ED6">
        <w:t xml:space="preserve">проведение комплексной оценки лучевой нагрузки работников предприятий  </w:t>
      </w:r>
    </w:p>
    <w:p w:rsidR="002914EB" w:rsidRPr="008E5ED6" w:rsidRDefault="002914EB" w:rsidP="00DA7D3C">
      <w:pPr>
        <w:pStyle w:val="Default"/>
        <w:ind w:firstLine="567"/>
        <w:jc w:val="both"/>
      </w:pPr>
      <w:r w:rsidRPr="008E5ED6">
        <w:t xml:space="preserve">             занимающихся добычей, переработкой минерального сырья и материалов с повышенным содержанием природных радионуклидов. </w:t>
      </w:r>
    </w:p>
    <w:p w:rsidR="002914EB" w:rsidRPr="008E5ED6" w:rsidRDefault="002914EB" w:rsidP="006A23B3">
      <w:pPr>
        <w:pStyle w:val="Default"/>
        <w:numPr>
          <w:ilvl w:val="0"/>
          <w:numId w:val="26"/>
        </w:numPr>
        <w:ind w:left="0" w:firstLine="567"/>
        <w:jc w:val="both"/>
        <w:rPr>
          <w:rFonts w:eastAsia="Times New Roman"/>
        </w:rPr>
      </w:pPr>
      <w:r w:rsidRPr="008E5ED6">
        <w:rPr>
          <w:rFonts w:eastAsia="Times New Roman"/>
        </w:rPr>
        <w:t>Продолжить работу по выполнению радиологических и радиометрических  исследований на  территории города и района в целях проведения радиационно-гигиенической паспортизации территории за 2016г. и сбору форм статистического наблюдения 1-ДОЗ, 2-ДОЗ.</w:t>
      </w:r>
    </w:p>
    <w:p w:rsidR="002914EB" w:rsidRPr="008E5ED6" w:rsidRDefault="002914EB" w:rsidP="006A23B3">
      <w:pPr>
        <w:widowControl w:val="0"/>
        <w:numPr>
          <w:ilvl w:val="0"/>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E5ED6">
        <w:rPr>
          <w:rFonts w:ascii="Times New Roman" w:eastAsia="Times New Roman" w:hAnsi="Times New Roman" w:cs="Times New Roman"/>
          <w:sz w:val="24"/>
          <w:szCs w:val="24"/>
        </w:rPr>
        <w:t>Мониторинг  за радиационной безопасностью на территории и определение мониторинговых точек контроля объектов внешней среды и среды обитания людей.</w:t>
      </w:r>
    </w:p>
    <w:p w:rsidR="002914EB" w:rsidRPr="008E5ED6" w:rsidRDefault="002914EB" w:rsidP="006A23B3">
      <w:pPr>
        <w:widowControl w:val="0"/>
        <w:numPr>
          <w:ilvl w:val="0"/>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E5ED6">
        <w:rPr>
          <w:rFonts w:ascii="Times New Roman" w:eastAsia="Times New Roman" w:hAnsi="Times New Roman" w:cs="Times New Roman"/>
          <w:sz w:val="24"/>
          <w:szCs w:val="24"/>
        </w:rPr>
        <w:t>Усилить контроль за ввозом и вывозом источников ионизирующего излучения на территорию Нефтеюганского региона.</w:t>
      </w:r>
    </w:p>
    <w:p w:rsidR="002914EB" w:rsidRPr="006B79E2" w:rsidRDefault="002914EB" w:rsidP="002914EB">
      <w:pPr>
        <w:pStyle w:val="Default"/>
        <w:jc w:val="center"/>
        <w:rPr>
          <w:sz w:val="28"/>
          <w:szCs w:val="28"/>
        </w:rPr>
      </w:pPr>
    </w:p>
    <w:p w:rsidR="002914EB" w:rsidRPr="00DA7D3C" w:rsidRDefault="002914EB" w:rsidP="00DA7D3C">
      <w:pPr>
        <w:ind w:firstLine="567"/>
        <w:jc w:val="center"/>
        <w:rPr>
          <w:rFonts w:ascii="Times New Roman" w:eastAsia="Times New Roman" w:hAnsi="Times New Roman" w:cs="Times New Roman"/>
          <w:b/>
          <w:iCs/>
          <w:sz w:val="24"/>
          <w:szCs w:val="24"/>
        </w:rPr>
      </w:pPr>
      <w:r w:rsidRPr="00DA7D3C">
        <w:rPr>
          <w:rFonts w:ascii="Times New Roman" w:eastAsia="Times New Roman" w:hAnsi="Times New Roman" w:cs="Times New Roman"/>
          <w:b/>
          <w:iCs/>
          <w:sz w:val="24"/>
          <w:szCs w:val="24"/>
        </w:rPr>
        <w:t>Рекомендации по улучшению санитарно-эпидемиологической обстановки в детских дошкольных образовательных и общеобразовательных учреждениях</w:t>
      </w:r>
    </w:p>
    <w:p w:rsidR="002914EB" w:rsidRPr="008E5ED6" w:rsidRDefault="002914EB" w:rsidP="006A23B3">
      <w:pPr>
        <w:numPr>
          <w:ilvl w:val="0"/>
          <w:numId w:val="32"/>
        </w:numPr>
        <w:tabs>
          <w:tab w:val="clear" w:pos="360"/>
          <w:tab w:val="num" w:pos="0"/>
        </w:tabs>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Продолжить строительства современных школ, детских дошкольных учреждений, учреждений начального профессионального образования в МО и  обеспечить  местами в ДОУ, школах  детей и подростков, из-за перегруженности  школ и ДОУ нарушаются гигиенические требования по организации учебного  и воспитательного  процесса, комплектование школьной, детской мебелью, соответствующей росту детей, что влечет  отрицательные последствия физиологического развития.</w:t>
      </w:r>
    </w:p>
    <w:p w:rsidR="002914EB" w:rsidRPr="008E5ED6" w:rsidRDefault="002914EB" w:rsidP="006A23B3">
      <w:pPr>
        <w:numPr>
          <w:ilvl w:val="0"/>
          <w:numId w:val="32"/>
        </w:numPr>
        <w:tabs>
          <w:tab w:val="clear" w:pos="360"/>
          <w:tab w:val="num" w:pos="0"/>
        </w:tabs>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Организовать строительства фабрики-кухни, так как образовательные учреждения построенные по типовым проектам 70-80гг. не соответствуют требованиям санитарных правил по набору помещений пищеблоков.</w:t>
      </w:r>
    </w:p>
    <w:p w:rsidR="002914EB" w:rsidRPr="008E5ED6" w:rsidRDefault="002914EB" w:rsidP="006A23B3">
      <w:pPr>
        <w:numPr>
          <w:ilvl w:val="0"/>
          <w:numId w:val="32"/>
        </w:numPr>
        <w:shd w:val="clear" w:color="auto" w:fill="FFFFFF"/>
        <w:tabs>
          <w:tab w:val="clear" w:pos="360"/>
          <w:tab w:val="num" w:pos="0"/>
        </w:tabs>
        <w:spacing w:after="0" w:line="259" w:lineRule="exact"/>
        <w:ind w:left="0" w:right="29" w:firstLine="567"/>
        <w:jc w:val="both"/>
        <w:rPr>
          <w:rFonts w:ascii="Times New Roman" w:hAnsi="Times New Roman" w:cs="Times New Roman"/>
          <w:color w:val="000000"/>
          <w:spacing w:val="-1"/>
          <w:sz w:val="24"/>
          <w:szCs w:val="24"/>
        </w:rPr>
      </w:pPr>
      <w:r w:rsidRPr="008E5ED6">
        <w:rPr>
          <w:rFonts w:ascii="Times New Roman" w:hAnsi="Times New Roman" w:cs="Times New Roman"/>
          <w:sz w:val="24"/>
          <w:szCs w:val="24"/>
        </w:rPr>
        <w:t>Активизировать строительства учреждений начального профессионального, среднего профессионального образования и обеспечение  местами   вышеуказанных учреждений подростков г. Пыть-Ях.</w:t>
      </w:r>
    </w:p>
    <w:p w:rsidR="002914EB" w:rsidRPr="008E5ED6" w:rsidRDefault="002914EB" w:rsidP="006A23B3">
      <w:pPr>
        <w:numPr>
          <w:ilvl w:val="0"/>
          <w:numId w:val="32"/>
        </w:numPr>
        <w:shd w:val="clear" w:color="auto" w:fill="FFFFFF"/>
        <w:tabs>
          <w:tab w:val="clear" w:pos="360"/>
          <w:tab w:val="num" w:pos="0"/>
        </w:tabs>
        <w:spacing w:after="0" w:line="259" w:lineRule="exact"/>
        <w:ind w:left="0" w:right="29" w:firstLine="567"/>
        <w:jc w:val="both"/>
        <w:rPr>
          <w:rFonts w:ascii="Times New Roman" w:hAnsi="Times New Roman" w:cs="Times New Roman"/>
          <w:color w:val="000000"/>
          <w:spacing w:val="-1"/>
          <w:sz w:val="24"/>
          <w:szCs w:val="24"/>
        </w:rPr>
      </w:pPr>
      <w:r w:rsidRPr="008E5ED6">
        <w:rPr>
          <w:rFonts w:ascii="Times New Roman" w:hAnsi="Times New Roman" w:cs="Times New Roman"/>
          <w:sz w:val="24"/>
          <w:szCs w:val="24"/>
        </w:rPr>
        <w:t>Ужесточить требования по вопросу обеспечения детских и подростковых учреждений доброкачественной питьевой водой для  использования в организации питания и питьевого режима.</w:t>
      </w:r>
    </w:p>
    <w:p w:rsidR="002914EB" w:rsidRPr="008E5ED6" w:rsidRDefault="002914EB" w:rsidP="006A23B3">
      <w:pPr>
        <w:pStyle w:val="aff5"/>
        <w:numPr>
          <w:ilvl w:val="0"/>
          <w:numId w:val="32"/>
        </w:numPr>
        <w:tabs>
          <w:tab w:val="clear" w:pos="360"/>
          <w:tab w:val="num" w:pos="0"/>
        </w:tabs>
        <w:ind w:left="0" w:right="-5" w:firstLine="567"/>
        <w:jc w:val="both"/>
        <w:rPr>
          <w:szCs w:val="24"/>
        </w:rPr>
      </w:pPr>
      <w:r w:rsidRPr="008E5ED6">
        <w:rPr>
          <w:szCs w:val="24"/>
        </w:rPr>
        <w:t>Обеспечить образовательные учреждения  качественной  водопроводной водой в зданиях для  использования в хозяйственно-питьевых целей.</w:t>
      </w:r>
    </w:p>
    <w:p w:rsidR="002914EB" w:rsidRPr="008E5ED6" w:rsidRDefault="002914EB" w:rsidP="006A23B3">
      <w:pPr>
        <w:pStyle w:val="aff5"/>
        <w:numPr>
          <w:ilvl w:val="0"/>
          <w:numId w:val="32"/>
        </w:numPr>
        <w:tabs>
          <w:tab w:val="clear" w:pos="360"/>
          <w:tab w:val="num" w:pos="0"/>
        </w:tabs>
        <w:ind w:left="0" w:right="-5" w:firstLine="567"/>
        <w:jc w:val="both"/>
        <w:rPr>
          <w:szCs w:val="24"/>
        </w:rPr>
      </w:pPr>
      <w:r w:rsidRPr="008E5ED6">
        <w:rPr>
          <w:szCs w:val="24"/>
        </w:rPr>
        <w:t>Принять   меры по приведению в соответствие норм водопроводной воды во вновь построенных зданиях образовательных учреждений, где одним из требований законодательств является обеспечение водой гарантированного качества населения МО.</w:t>
      </w:r>
    </w:p>
    <w:p w:rsidR="002914EB" w:rsidRPr="008E5ED6" w:rsidRDefault="002914EB" w:rsidP="006A23B3">
      <w:pPr>
        <w:pStyle w:val="aff5"/>
        <w:numPr>
          <w:ilvl w:val="0"/>
          <w:numId w:val="32"/>
        </w:numPr>
        <w:tabs>
          <w:tab w:val="clear" w:pos="360"/>
          <w:tab w:val="num" w:pos="0"/>
        </w:tabs>
        <w:ind w:left="0" w:right="-5" w:firstLine="567"/>
        <w:jc w:val="both"/>
        <w:rPr>
          <w:szCs w:val="24"/>
        </w:rPr>
      </w:pPr>
      <w:r w:rsidRPr="008E5ED6">
        <w:rPr>
          <w:szCs w:val="24"/>
        </w:rPr>
        <w:t>Продолжить проведение мониторинга по исполнению мероприятий  планов-заданий по улучшению  материально-технической базы и санитарного состояния общеобразовательных, дошкольных образовательных учреждений, учреждений дополнительного образования и других учреждений МО для воспитания, обучения детей и подростков, способствующих укрепления  здоровья, физиологического развития и предупреждение заболеваемости.</w:t>
      </w:r>
    </w:p>
    <w:p w:rsidR="002914EB" w:rsidRPr="008E5ED6" w:rsidRDefault="002914EB" w:rsidP="006A23B3">
      <w:pPr>
        <w:numPr>
          <w:ilvl w:val="0"/>
          <w:numId w:val="32"/>
        </w:numPr>
        <w:tabs>
          <w:tab w:val="clear" w:pos="360"/>
          <w:tab w:val="num" w:pos="0"/>
        </w:tabs>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lastRenderedPageBreak/>
        <w:t>Активизировать работу по приведению территорий дошкольных, общеобразовательных  учреждений в соответствии с требованиями санитарных правил, оснащению  территорий современным спортивным и игровым оборудованием и др. мероприятия.</w:t>
      </w:r>
    </w:p>
    <w:p w:rsidR="002914EB" w:rsidRPr="008E5ED6" w:rsidRDefault="002914EB" w:rsidP="006A23B3">
      <w:pPr>
        <w:numPr>
          <w:ilvl w:val="0"/>
          <w:numId w:val="32"/>
        </w:numPr>
        <w:tabs>
          <w:tab w:val="clear" w:pos="360"/>
          <w:tab w:val="num" w:pos="0"/>
        </w:tabs>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Продолжить проведение реконструкций и капитальных ремонтов помещений школ, детских учреждений, коррекционных учреждений и учреждений дополнительного образования, учреждений начального и среднего профессионального образования, проведение мероприятий по  оснащению современной учебной  мебелью, учебным оборудованием</w:t>
      </w:r>
    </w:p>
    <w:p w:rsidR="002914EB" w:rsidRPr="008E5ED6" w:rsidRDefault="002914EB" w:rsidP="006A23B3">
      <w:pPr>
        <w:numPr>
          <w:ilvl w:val="0"/>
          <w:numId w:val="32"/>
        </w:numPr>
        <w:tabs>
          <w:tab w:val="clear" w:pos="360"/>
          <w:tab w:val="num" w:pos="0"/>
        </w:tabs>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Обеспечить улучшение показателей уровня искусственной освещённости, микроклимата в детских, подростковых учреждениях района, доводя до нормативных показателей, с целью предупреждения отклонений в состоянии здоровья детей и подростков.</w:t>
      </w:r>
    </w:p>
    <w:p w:rsidR="002914EB" w:rsidRPr="008E5ED6" w:rsidRDefault="002914EB" w:rsidP="006A23B3">
      <w:pPr>
        <w:numPr>
          <w:ilvl w:val="0"/>
          <w:numId w:val="32"/>
        </w:numPr>
        <w:spacing w:after="0" w:line="240" w:lineRule="auto"/>
        <w:ind w:firstLine="207"/>
        <w:jc w:val="both"/>
        <w:rPr>
          <w:rFonts w:ascii="Times New Roman" w:hAnsi="Times New Roman" w:cs="Times New Roman"/>
          <w:sz w:val="24"/>
          <w:szCs w:val="24"/>
        </w:rPr>
      </w:pPr>
      <w:r w:rsidRPr="008E5ED6">
        <w:rPr>
          <w:rFonts w:ascii="Times New Roman" w:hAnsi="Times New Roman" w:cs="Times New Roman"/>
          <w:sz w:val="24"/>
          <w:szCs w:val="24"/>
        </w:rPr>
        <w:t>Ужесточить требования по улучшению организации  питания и соблюдение технологических норм и качества блюд,  соблюдение принципов безопасного, качественного и рационального питания детей в  школах, ДОУ и других образовательных учреждения  района.</w:t>
      </w:r>
    </w:p>
    <w:p w:rsidR="002914EB" w:rsidRPr="008E5ED6" w:rsidRDefault="002914EB" w:rsidP="006A23B3">
      <w:pPr>
        <w:numPr>
          <w:ilvl w:val="0"/>
          <w:numId w:val="32"/>
        </w:numPr>
        <w:spacing w:after="0" w:line="240" w:lineRule="auto"/>
        <w:ind w:firstLine="207"/>
        <w:jc w:val="both"/>
        <w:rPr>
          <w:rFonts w:ascii="Times New Roman" w:hAnsi="Times New Roman" w:cs="Times New Roman"/>
          <w:sz w:val="24"/>
          <w:szCs w:val="24"/>
        </w:rPr>
      </w:pPr>
      <w:r w:rsidRPr="008E5ED6">
        <w:rPr>
          <w:rFonts w:ascii="Times New Roman" w:hAnsi="Times New Roman" w:cs="Times New Roman"/>
          <w:sz w:val="24"/>
          <w:szCs w:val="24"/>
        </w:rPr>
        <w:t>Продолжить работу по выполнению проведение мероприятий по профилактике заболеваний связанных с дефицитом микронутриентов, в питание  использовать   пищевые продукты, обогащённые витаминами и микронутриентами (витаминизированная мука, витаминизированная молочная продукция, хлебобулочные изделия обогащённые содержанием йода, железа и другими витаминизированные  продукты питания).</w:t>
      </w:r>
    </w:p>
    <w:p w:rsidR="002914EB" w:rsidRPr="008E5ED6" w:rsidRDefault="002914EB" w:rsidP="006A23B3">
      <w:pPr>
        <w:numPr>
          <w:ilvl w:val="0"/>
          <w:numId w:val="32"/>
        </w:numPr>
        <w:spacing w:after="0" w:line="240" w:lineRule="auto"/>
        <w:ind w:firstLine="207"/>
        <w:jc w:val="both"/>
        <w:rPr>
          <w:rFonts w:ascii="Times New Roman" w:hAnsi="Times New Roman" w:cs="Times New Roman"/>
          <w:sz w:val="24"/>
          <w:szCs w:val="24"/>
        </w:rPr>
      </w:pPr>
      <w:r w:rsidRPr="008E5ED6">
        <w:rPr>
          <w:rFonts w:ascii="Times New Roman" w:hAnsi="Times New Roman" w:cs="Times New Roman"/>
          <w:sz w:val="24"/>
          <w:szCs w:val="24"/>
        </w:rPr>
        <w:t>Продолжить укрепление материально – технической  базы медицинских кабинетов учреждениях для детей и подростков.</w:t>
      </w:r>
    </w:p>
    <w:p w:rsidR="002914EB" w:rsidRPr="008E5ED6" w:rsidRDefault="002914EB" w:rsidP="006A23B3">
      <w:pPr>
        <w:numPr>
          <w:ilvl w:val="0"/>
          <w:numId w:val="32"/>
        </w:numPr>
        <w:spacing w:after="0" w:line="240" w:lineRule="auto"/>
        <w:ind w:firstLine="207"/>
        <w:jc w:val="both"/>
        <w:rPr>
          <w:rFonts w:ascii="Times New Roman" w:hAnsi="Times New Roman" w:cs="Times New Roman"/>
          <w:sz w:val="24"/>
          <w:szCs w:val="24"/>
        </w:rPr>
      </w:pPr>
      <w:r w:rsidRPr="008E5ED6">
        <w:rPr>
          <w:rFonts w:ascii="Times New Roman" w:hAnsi="Times New Roman" w:cs="Times New Roman"/>
          <w:sz w:val="24"/>
          <w:szCs w:val="24"/>
        </w:rPr>
        <w:t>Улучшение качества и полноты охвата периодическими медицинскими осмотрами декретированных групп, работающих на контролируемых объектах детских учреждениях.</w:t>
      </w:r>
    </w:p>
    <w:p w:rsidR="002914EB" w:rsidRPr="008E5ED6" w:rsidRDefault="002914EB" w:rsidP="006A23B3">
      <w:pPr>
        <w:numPr>
          <w:ilvl w:val="0"/>
          <w:numId w:val="32"/>
        </w:numPr>
        <w:spacing w:after="0" w:line="240" w:lineRule="auto"/>
        <w:ind w:firstLine="207"/>
        <w:jc w:val="both"/>
        <w:rPr>
          <w:rFonts w:ascii="Times New Roman" w:hAnsi="Times New Roman" w:cs="Times New Roman"/>
          <w:sz w:val="24"/>
          <w:szCs w:val="24"/>
        </w:rPr>
      </w:pPr>
      <w:r w:rsidRPr="008E5ED6">
        <w:rPr>
          <w:rFonts w:ascii="Times New Roman" w:hAnsi="Times New Roman" w:cs="Times New Roman"/>
          <w:sz w:val="24"/>
          <w:szCs w:val="24"/>
        </w:rPr>
        <w:t xml:space="preserve">Участие в разработке местных целевых программ с целью укрепления и сохранения здоровья детей и подростков, соблюдения гигиенических норм учебной нагрузки на учащихся. </w:t>
      </w:r>
    </w:p>
    <w:p w:rsidR="002914EB" w:rsidRPr="008E5ED6" w:rsidRDefault="002914EB" w:rsidP="006A23B3">
      <w:pPr>
        <w:numPr>
          <w:ilvl w:val="0"/>
          <w:numId w:val="32"/>
        </w:numPr>
        <w:spacing w:after="0" w:line="240" w:lineRule="auto"/>
        <w:ind w:firstLine="207"/>
        <w:jc w:val="both"/>
        <w:rPr>
          <w:rFonts w:ascii="Times New Roman" w:hAnsi="Times New Roman" w:cs="Times New Roman"/>
          <w:sz w:val="24"/>
          <w:szCs w:val="24"/>
        </w:rPr>
      </w:pPr>
      <w:r w:rsidRPr="008E5ED6">
        <w:rPr>
          <w:rFonts w:ascii="Times New Roman" w:hAnsi="Times New Roman" w:cs="Times New Roman"/>
          <w:sz w:val="24"/>
          <w:szCs w:val="24"/>
        </w:rPr>
        <w:t xml:space="preserve">Открытие загородного стационарного лагеря в г.Пыть-Ях, увеличения оздоровительных учреждений санаторного типа. Улучшение проведений  мероприятий  направленных на эффективность оздоровления детей во время летней оздоровительной компании как пришкольных лагерях, так в стационарных лагерях. </w:t>
      </w:r>
    </w:p>
    <w:p w:rsidR="002914EB" w:rsidRPr="006B79E2" w:rsidRDefault="002914EB" w:rsidP="002914EB">
      <w:pPr>
        <w:jc w:val="center"/>
        <w:rPr>
          <w:rFonts w:ascii="Times New Roman" w:hAnsi="Times New Roman" w:cs="Times New Roman"/>
          <w:sz w:val="28"/>
          <w:szCs w:val="28"/>
          <w:u w:val="single"/>
        </w:rPr>
      </w:pPr>
    </w:p>
    <w:p w:rsidR="002914EB" w:rsidRPr="00DA7D3C" w:rsidRDefault="002914EB" w:rsidP="002914EB">
      <w:pPr>
        <w:jc w:val="center"/>
        <w:rPr>
          <w:rFonts w:ascii="Times New Roman" w:hAnsi="Times New Roman" w:cs="Times New Roman"/>
          <w:b/>
          <w:bCs/>
          <w:sz w:val="24"/>
          <w:szCs w:val="24"/>
        </w:rPr>
      </w:pPr>
      <w:r w:rsidRPr="00DA7D3C">
        <w:rPr>
          <w:rFonts w:ascii="Times New Roman" w:hAnsi="Times New Roman" w:cs="Times New Roman"/>
          <w:b/>
          <w:bCs/>
          <w:sz w:val="24"/>
          <w:szCs w:val="24"/>
        </w:rPr>
        <w:t>Рекомендации в области по предупреждению и снижению инфекционной и паразитарной заболеваемости:</w:t>
      </w:r>
    </w:p>
    <w:p w:rsidR="002914EB" w:rsidRPr="006B79E2" w:rsidRDefault="002914EB" w:rsidP="002914EB">
      <w:pPr>
        <w:tabs>
          <w:tab w:val="left" w:pos="709"/>
        </w:tabs>
        <w:ind w:firstLine="709"/>
        <w:jc w:val="both"/>
        <w:rPr>
          <w:rFonts w:ascii="Times New Roman" w:hAnsi="Times New Roman" w:cs="Times New Roman"/>
          <w:b/>
          <w:iCs/>
          <w:sz w:val="24"/>
          <w:szCs w:val="24"/>
        </w:rPr>
      </w:pPr>
      <w:r w:rsidRPr="006B79E2">
        <w:rPr>
          <w:rFonts w:ascii="Times New Roman" w:hAnsi="Times New Roman" w:cs="Times New Roman"/>
          <w:b/>
          <w:iCs/>
          <w:sz w:val="24"/>
          <w:szCs w:val="24"/>
        </w:rPr>
        <w:t>В области профилактики инфекций, управляемых средствами иммунопрофилактики:</w:t>
      </w:r>
    </w:p>
    <w:p w:rsidR="002914EB" w:rsidRPr="008E5ED6" w:rsidRDefault="002914EB" w:rsidP="006A23B3">
      <w:pPr>
        <w:widowControl w:val="0"/>
        <w:numPr>
          <w:ilvl w:val="0"/>
          <w:numId w:val="33"/>
        </w:numPr>
        <w:tabs>
          <w:tab w:val="clear" w:pos="1429"/>
          <w:tab w:val="num" w:pos="0"/>
          <w:tab w:val="left" w:pos="709"/>
        </w:tabs>
        <w:snapToGrid w:val="0"/>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Поддержание 95% охвата детей иммунизацией в соответствии с национальным календарем прививок, в том числе, возрастными ревакцинациями;</w:t>
      </w:r>
    </w:p>
    <w:p w:rsidR="002914EB" w:rsidRPr="008E5ED6" w:rsidRDefault="002914EB" w:rsidP="006A23B3">
      <w:pPr>
        <w:widowControl w:val="0"/>
        <w:numPr>
          <w:ilvl w:val="0"/>
          <w:numId w:val="33"/>
        </w:numPr>
        <w:tabs>
          <w:tab w:val="clear" w:pos="1429"/>
          <w:tab w:val="num" w:pos="0"/>
          <w:tab w:val="left" w:pos="709"/>
        </w:tabs>
        <w:snapToGrid w:val="0"/>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Обеспечение реализации мероприятий по выполнению программы ликвидации кори в Российской Федерации на территории;</w:t>
      </w:r>
    </w:p>
    <w:p w:rsidR="002914EB" w:rsidRPr="008E5ED6" w:rsidRDefault="002914EB" w:rsidP="006A23B3">
      <w:pPr>
        <w:widowControl w:val="0"/>
        <w:numPr>
          <w:ilvl w:val="0"/>
          <w:numId w:val="33"/>
        </w:numPr>
        <w:tabs>
          <w:tab w:val="clear" w:pos="1429"/>
          <w:tab w:val="num" w:pos="0"/>
          <w:tab w:val="left" w:pos="709"/>
        </w:tabs>
        <w:snapToGrid w:val="0"/>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Обеспечение полного лабораторного обследования всех больных корью и лиц с подозрением на это заболевание;</w:t>
      </w:r>
    </w:p>
    <w:p w:rsidR="002914EB" w:rsidRPr="008E5ED6" w:rsidRDefault="002914EB" w:rsidP="006A23B3">
      <w:pPr>
        <w:widowControl w:val="0"/>
        <w:numPr>
          <w:ilvl w:val="0"/>
          <w:numId w:val="33"/>
        </w:numPr>
        <w:tabs>
          <w:tab w:val="clear" w:pos="1429"/>
          <w:tab w:val="num" w:pos="0"/>
          <w:tab w:val="left" w:pos="709"/>
        </w:tabs>
        <w:snapToGrid w:val="0"/>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Обеспечение полного лабораторного обследования всех больных краснухой, эпидемическим паротитом и лиц с подозрением на это заболевание, а так же беременных женщин,  больных краснухой, детей с синдромом врожденной краснухи в соответствие с СП 3.1.2952-11 «Профилактика кори, краснухи, эпидемического паротита», методическими указаниями МУ 3.1.2.2356-08 «Эпидемиологический надзор за врожденной краснухой»;</w:t>
      </w:r>
    </w:p>
    <w:p w:rsidR="002914EB" w:rsidRPr="008E5ED6" w:rsidRDefault="002914EB" w:rsidP="006A23B3">
      <w:pPr>
        <w:widowControl w:val="0"/>
        <w:numPr>
          <w:ilvl w:val="0"/>
          <w:numId w:val="33"/>
        </w:numPr>
        <w:tabs>
          <w:tab w:val="clear" w:pos="1429"/>
          <w:tab w:val="num" w:pos="0"/>
          <w:tab w:val="left" w:pos="709"/>
        </w:tabs>
        <w:snapToGrid w:val="0"/>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 xml:space="preserve">Обеспечение проведения в первоочередном порядке ревакцинации против </w:t>
      </w:r>
      <w:r w:rsidRPr="008E5ED6">
        <w:rPr>
          <w:rFonts w:ascii="Times New Roman" w:hAnsi="Times New Roman" w:cs="Times New Roman"/>
          <w:sz w:val="24"/>
          <w:szCs w:val="24"/>
        </w:rPr>
        <w:lastRenderedPageBreak/>
        <w:t>кори контингентам из групп риска (работникам организаций здравоохранения, образования, торговли, социальным работникам, студентам средних и высших учебных заведений, призывникам, мигрантам, труднодоступным группам населения) с  охватом не менее 95%.</w:t>
      </w:r>
    </w:p>
    <w:p w:rsidR="002914EB" w:rsidRPr="008E5ED6" w:rsidRDefault="002914EB" w:rsidP="006A23B3">
      <w:pPr>
        <w:widowControl w:val="0"/>
        <w:numPr>
          <w:ilvl w:val="0"/>
          <w:numId w:val="33"/>
        </w:numPr>
        <w:tabs>
          <w:tab w:val="clear" w:pos="1429"/>
          <w:tab w:val="num" w:pos="0"/>
          <w:tab w:val="left" w:pos="709"/>
        </w:tabs>
        <w:snapToGrid w:val="0"/>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Обеспечение двукратной иммунизации против краснухи детей от 1 до 17 лет, и однократной иммунизации девушек и женщин от 18 до 25 лет, не болевших этой инфекцией, не привитых ранее.</w:t>
      </w:r>
    </w:p>
    <w:p w:rsidR="002914EB" w:rsidRPr="008E5ED6" w:rsidRDefault="002914EB" w:rsidP="002914EB">
      <w:pPr>
        <w:pStyle w:val="a7"/>
        <w:tabs>
          <w:tab w:val="num" w:pos="0"/>
          <w:tab w:val="left" w:pos="709"/>
        </w:tabs>
        <w:ind w:firstLine="0"/>
        <w:rPr>
          <w:color w:val="FF0000"/>
        </w:rPr>
      </w:pPr>
    </w:p>
    <w:p w:rsidR="002914EB" w:rsidRPr="006B79E2" w:rsidRDefault="002914EB" w:rsidP="002914EB">
      <w:pPr>
        <w:tabs>
          <w:tab w:val="num" w:pos="0"/>
          <w:tab w:val="left" w:pos="709"/>
        </w:tabs>
        <w:spacing w:after="0"/>
        <w:jc w:val="center"/>
        <w:rPr>
          <w:rFonts w:ascii="Times New Roman" w:hAnsi="Times New Roman" w:cs="Times New Roman"/>
          <w:b/>
          <w:iCs/>
          <w:sz w:val="24"/>
          <w:szCs w:val="24"/>
        </w:rPr>
      </w:pPr>
      <w:r w:rsidRPr="006B79E2">
        <w:rPr>
          <w:rFonts w:ascii="Times New Roman" w:hAnsi="Times New Roman" w:cs="Times New Roman"/>
          <w:b/>
          <w:iCs/>
          <w:sz w:val="24"/>
          <w:szCs w:val="24"/>
        </w:rPr>
        <w:t>В области предупреждения распространения гриппа</w:t>
      </w:r>
    </w:p>
    <w:p w:rsidR="002914EB" w:rsidRPr="008E5ED6" w:rsidRDefault="002914EB" w:rsidP="006A23B3">
      <w:pPr>
        <w:widowControl w:val="0"/>
        <w:numPr>
          <w:ilvl w:val="0"/>
          <w:numId w:val="34"/>
        </w:numPr>
        <w:tabs>
          <w:tab w:val="clear" w:pos="1429"/>
          <w:tab w:val="num" w:pos="0"/>
          <w:tab w:val="left" w:pos="709"/>
        </w:tabs>
        <w:snapToGrid w:val="0"/>
        <w:spacing w:after="0" w:line="240" w:lineRule="auto"/>
        <w:ind w:left="142" w:firstLine="425"/>
        <w:jc w:val="both"/>
        <w:rPr>
          <w:rFonts w:ascii="Times New Roman" w:hAnsi="Times New Roman" w:cs="Times New Roman"/>
          <w:sz w:val="24"/>
          <w:szCs w:val="24"/>
        </w:rPr>
      </w:pPr>
      <w:bookmarkStart w:id="66" w:name="_Toc131226227"/>
      <w:bookmarkStart w:id="67" w:name="_Toc131239245"/>
      <w:bookmarkStart w:id="68" w:name="_Toc131398750"/>
      <w:r w:rsidRPr="008E5ED6">
        <w:rPr>
          <w:rFonts w:ascii="Times New Roman" w:hAnsi="Times New Roman" w:cs="Times New Roman"/>
          <w:sz w:val="24"/>
          <w:szCs w:val="24"/>
        </w:rPr>
        <w:t>Продолжить систематический мониторинг за заболеваемостью гриппом и ОРВИ с расшифровкой этиологии заболеваний гриппом и ОРВИ, особенно у лиц с тяжелым и нетипичным течением и в организованных коллективах детей и взрослых.</w:t>
      </w:r>
    </w:p>
    <w:p w:rsidR="002914EB" w:rsidRPr="00DA7D3C" w:rsidRDefault="002914EB" w:rsidP="006A23B3">
      <w:pPr>
        <w:widowControl w:val="0"/>
        <w:numPr>
          <w:ilvl w:val="0"/>
          <w:numId w:val="34"/>
        </w:numPr>
        <w:tabs>
          <w:tab w:val="clear" w:pos="1429"/>
          <w:tab w:val="num" w:pos="0"/>
          <w:tab w:val="left" w:pos="709"/>
        </w:tabs>
        <w:snapToGrid w:val="0"/>
        <w:spacing w:after="0" w:line="240" w:lineRule="auto"/>
        <w:ind w:left="142" w:firstLine="425"/>
        <w:jc w:val="both"/>
        <w:rPr>
          <w:rFonts w:ascii="Times New Roman" w:hAnsi="Times New Roman" w:cs="Times New Roman"/>
          <w:sz w:val="24"/>
          <w:szCs w:val="24"/>
        </w:rPr>
      </w:pPr>
      <w:r w:rsidRPr="008E5ED6">
        <w:rPr>
          <w:rFonts w:ascii="Times New Roman" w:hAnsi="Times New Roman" w:cs="Times New Roman"/>
          <w:sz w:val="24"/>
          <w:szCs w:val="24"/>
        </w:rPr>
        <w:t xml:space="preserve">Продолжить работу по изучению напряженности иммунитета населения к </w:t>
      </w:r>
      <w:r w:rsidRPr="00DA7D3C">
        <w:rPr>
          <w:rFonts w:ascii="Times New Roman" w:hAnsi="Times New Roman" w:cs="Times New Roman"/>
          <w:sz w:val="24"/>
          <w:szCs w:val="24"/>
        </w:rPr>
        <w:t>гриппу.</w:t>
      </w:r>
    </w:p>
    <w:p w:rsidR="002914EB" w:rsidRPr="00DA7D3C" w:rsidRDefault="002914EB" w:rsidP="006A23B3">
      <w:pPr>
        <w:widowControl w:val="0"/>
        <w:numPr>
          <w:ilvl w:val="0"/>
          <w:numId w:val="34"/>
        </w:numPr>
        <w:tabs>
          <w:tab w:val="clear" w:pos="1429"/>
          <w:tab w:val="num" w:pos="0"/>
          <w:tab w:val="left" w:pos="709"/>
        </w:tabs>
        <w:snapToGrid w:val="0"/>
        <w:spacing w:after="0" w:line="240" w:lineRule="auto"/>
        <w:ind w:left="142" w:firstLine="425"/>
        <w:jc w:val="both"/>
        <w:rPr>
          <w:rFonts w:ascii="Times New Roman" w:hAnsi="Times New Roman" w:cs="Times New Roman"/>
          <w:sz w:val="24"/>
          <w:szCs w:val="24"/>
        </w:rPr>
      </w:pPr>
      <w:r w:rsidRPr="00DA7D3C">
        <w:rPr>
          <w:rFonts w:ascii="Times New Roman" w:hAnsi="Times New Roman" w:cs="Times New Roman"/>
          <w:sz w:val="24"/>
          <w:szCs w:val="24"/>
        </w:rPr>
        <w:t>Проводить оценку эффективности проводимых профилактических и противоэпидемических мероприятий.</w:t>
      </w:r>
    </w:p>
    <w:p w:rsidR="002914EB" w:rsidRPr="00DA7D3C" w:rsidRDefault="002914EB" w:rsidP="006A23B3">
      <w:pPr>
        <w:widowControl w:val="0"/>
        <w:numPr>
          <w:ilvl w:val="0"/>
          <w:numId w:val="34"/>
        </w:numPr>
        <w:tabs>
          <w:tab w:val="clear" w:pos="1429"/>
          <w:tab w:val="num" w:pos="0"/>
          <w:tab w:val="left" w:pos="709"/>
        </w:tabs>
        <w:snapToGrid w:val="0"/>
        <w:spacing w:after="0" w:line="240" w:lineRule="auto"/>
        <w:ind w:left="142" w:firstLine="425"/>
        <w:jc w:val="both"/>
        <w:rPr>
          <w:rFonts w:ascii="Times New Roman" w:hAnsi="Times New Roman" w:cs="Times New Roman"/>
          <w:sz w:val="24"/>
          <w:szCs w:val="24"/>
        </w:rPr>
      </w:pPr>
      <w:r w:rsidRPr="00DA7D3C">
        <w:rPr>
          <w:rFonts w:ascii="Times New Roman" w:hAnsi="Times New Roman" w:cs="Times New Roman"/>
          <w:sz w:val="24"/>
          <w:szCs w:val="24"/>
        </w:rPr>
        <w:t>Проводить систематическую разъяснительную работу с населением о мерах личной и общественной профилактики, необходимости своевременного обращения за медицинской помощью и вреде самолечения.</w:t>
      </w:r>
    </w:p>
    <w:p w:rsidR="002914EB" w:rsidRPr="00DA7D3C" w:rsidRDefault="002914EB" w:rsidP="002914EB">
      <w:pPr>
        <w:tabs>
          <w:tab w:val="num" w:pos="0"/>
          <w:tab w:val="left" w:pos="709"/>
        </w:tabs>
        <w:spacing w:after="0"/>
        <w:ind w:left="142" w:hanging="142"/>
        <w:jc w:val="both"/>
        <w:rPr>
          <w:rFonts w:ascii="Times New Roman" w:hAnsi="Times New Roman" w:cs="Times New Roman"/>
          <w:sz w:val="24"/>
          <w:szCs w:val="24"/>
        </w:rPr>
      </w:pPr>
    </w:p>
    <w:p w:rsidR="002914EB" w:rsidRPr="00DA7D3C" w:rsidRDefault="002914EB" w:rsidP="002914EB">
      <w:pPr>
        <w:tabs>
          <w:tab w:val="left" w:pos="709"/>
        </w:tabs>
        <w:spacing w:after="0"/>
        <w:ind w:firstLine="709"/>
        <w:jc w:val="center"/>
        <w:rPr>
          <w:rFonts w:ascii="Times New Roman" w:hAnsi="Times New Roman" w:cs="Times New Roman"/>
          <w:b/>
          <w:iCs/>
          <w:sz w:val="24"/>
          <w:szCs w:val="24"/>
        </w:rPr>
      </w:pPr>
      <w:r w:rsidRPr="00DA7D3C">
        <w:rPr>
          <w:rFonts w:ascii="Times New Roman" w:hAnsi="Times New Roman" w:cs="Times New Roman"/>
          <w:b/>
          <w:iCs/>
          <w:sz w:val="24"/>
          <w:szCs w:val="24"/>
        </w:rPr>
        <w:t xml:space="preserve">В области реализации Национального плана действий по ликвидации </w:t>
      </w:r>
    </w:p>
    <w:p w:rsidR="002914EB" w:rsidRPr="00DA7D3C" w:rsidRDefault="002914EB" w:rsidP="002914EB">
      <w:pPr>
        <w:tabs>
          <w:tab w:val="left" w:pos="709"/>
        </w:tabs>
        <w:spacing w:after="0"/>
        <w:ind w:firstLine="709"/>
        <w:jc w:val="center"/>
        <w:rPr>
          <w:rFonts w:ascii="Times New Roman" w:hAnsi="Times New Roman" w:cs="Times New Roman"/>
          <w:b/>
          <w:iCs/>
          <w:sz w:val="24"/>
          <w:szCs w:val="24"/>
        </w:rPr>
      </w:pPr>
      <w:r w:rsidRPr="00DA7D3C">
        <w:rPr>
          <w:rFonts w:ascii="Times New Roman" w:hAnsi="Times New Roman" w:cs="Times New Roman"/>
          <w:b/>
          <w:iCs/>
          <w:sz w:val="24"/>
          <w:szCs w:val="24"/>
        </w:rPr>
        <w:t>полиомиелита</w:t>
      </w:r>
      <w:bookmarkEnd w:id="66"/>
      <w:bookmarkEnd w:id="67"/>
      <w:bookmarkEnd w:id="68"/>
    </w:p>
    <w:p w:rsidR="002914EB" w:rsidRPr="00DA7D3C" w:rsidRDefault="002914EB" w:rsidP="006A23B3">
      <w:pPr>
        <w:widowControl w:val="0"/>
        <w:numPr>
          <w:ilvl w:val="0"/>
          <w:numId w:val="35"/>
        </w:numPr>
        <w:tabs>
          <w:tab w:val="clear" w:pos="1429"/>
          <w:tab w:val="num" w:pos="0"/>
          <w:tab w:val="left" w:pos="709"/>
        </w:tabs>
        <w:snapToGrid w:val="0"/>
        <w:spacing w:after="0" w:line="240" w:lineRule="auto"/>
        <w:ind w:left="0" w:firstLine="567"/>
        <w:jc w:val="both"/>
        <w:rPr>
          <w:rFonts w:ascii="Times New Roman" w:hAnsi="Times New Roman" w:cs="Times New Roman"/>
          <w:sz w:val="24"/>
          <w:szCs w:val="24"/>
        </w:rPr>
      </w:pPr>
      <w:r w:rsidRPr="00DA7D3C">
        <w:rPr>
          <w:rFonts w:ascii="Times New Roman" w:hAnsi="Times New Roman" w:cs="Times New Roman"/>
          <w:sz w:val="24"/>
          <w:szCs w:val="24"/>
        </w:rPr>
        <w:t>Обеспечить поддержание рекомендованных ВОЗ показателей качества эпидемиологического надзора за ОВП, в соответствии с СП 3.1.2951-11 «Профилактика полиомиелита»;</w:t>
      </w:r>
    </w:p>
    <w:p w:rsidR="002914EB" w:rsidRPr="00DA7D3C" w:rsidRDefault="002914EB" w:rsidP="006A23B3">
      <w:pPr>
        <w:widowControl w:val="0"/>
        <w:numPr>
          <w:ilvl w:val="0"/>
          <w:numId w:val="35"/>
        </w:numPr>
        <w:tabs>
          <w:tab w:val="clear" w:pos="1429"/>
          <w:tab w:val="num" w:pos="0"/>
          <w:tab w:val="left" w:pos="709"/>
        </w:tabs>
        <w:snapToGrid w:val="0"/>
        <w:spacing w:after="0" w:line="240" w:lineRule="auto"/>
        <w:ind w:left="0" w:firstLine="567"/>
        <w:jc w:val="both"/>
        <w:rPr>
          <w:rFonts w:ascii="Times New Roman" w:hAnsi="Times New Roman" w:cs="Times New Roman"/>
          <w:sz w:val="24"/>
          <w:szCs w:val="24"/>
        </w:rPr>
      </w:pPr>
      <w:r w:rsidRPr="00DA7D3C">
        <w:rPr>
          <w:rFonts w:ascii="Times New Roman" w:hAnsi="Times New Roman" w:cs="Times New Roman"/>
          <w:sz w:val="24"/>
          <w:szCs w:val="24"/>
        </w:rPr>
        <w:t>Обеспечить поддержание высокого уровня (не менее 95%) охвата плановой иммунизацией детей против полиомиелита в каждом районе, городе, врачебном участке и т.д.  Продолжить тактику проведения операций «подчистки».</w:t>
      </w:r>
    </w:p>
    <w:p w:rsidR="002914EB" w:rsidRPr="00DA7D3C" w:rsidRDefault="002914EB" w:rsidP="006A23B3">
      <w:pPr>
        <w:widowControl w:val="0"/>
        <w:numPr>
          <w:ilvl w:val="0"/>
          <w:numId w:val="35"/>
        </w:numPr>
        <w:tabs>
          <w:tab w:val="clear" w:pos="1429"/>
          <w:tab w:val="num" w:pos="0"/>
          <w:tab w:val="left" w:pos="709"/>
        </w:tabs>
        <w:snapToGrid w:val="0"/>
        <w:spacing w:after="0" w:line="240" w:lineRule="auto"/>
        <w:ind w:left="0" w:firstLine="567"/>
        <w:jc w:val="both"/>
        <w:rPr>
          <w:rFonts w:ascii="Times New Roman" w:hAnsi="Times New Roman" w:cs="Times New Roman"/>
          <w:sz w:val="24"/>
          <w:szCs w:val="24"/>
        </w:rPr>
      </w:pPr>
      <w:r w:rsidRPr="00DA7D3C">
        <w:rPr>
          <w:rFonts w:ascii="Times New Roman" w:hAnsi="Times New Roman" w:cs="Times New Roman"/>
          <w:sz w:val="24"/>
          <w:szCs w:val="24"/>
        </w:rPr>
        <w:t>Обеспечить своевременное предоставление карт эпидемиологического расследования случая полиомиелита и острого вялого паралича по формам в соответствии с СП 3.1.2951-11 «Профилактика полиомиелита»;</w:t>
      </w:r>
    </w:p>
    <w:p w:rsidR="002914EB" w:rsidRPr="00DA7D3C" w:rsidRDefault="002914EB" w:rsidP="002914EB">
      <w:pPr>
        <w:tabs>
          <w:tab w:val="num" w:pos="0"/>
          <w:tab w:val="left" w:pos="709"/>
        </w:tabs>
        <w:jc w:val="both"/>
        <w:rPr>
          <w:rFonts w:ascii="Times New Roman" w:hAnsi="Times New Roman" w:cs="Times New Roman"/>
          <w:color w:val="FF0000"/>
          <w:sz w:val="24"/>
          <w:szCs w:val="24"/>
        </w:rPr>
      </w:pPr>
    </w:p>
    <w:p w:rsidR="002914EB" w:rsidRPr="00DA7D3C" w:rsidRDefault="002914EB" w:rsidP="002914EB">
      <w:pPr>
        <w:pStyle w:val="afc"/>
        <w:jc w:val="center"/>
        <w:rPr>
          <w:b/>
          <w:sz w:val="24"/>
          <w:szCs w:val="24"/>
        </w:rPr>
      </w:pPr>
      <w:r w:rsidRPr="00DA7D3C">
        <w:rPr>
          <w:b/>
          <w:sz w:val="24"/>
          <w:szCs w:val="24"/>
        </w:rPr>
        <w:t>В области  реализации Приоритетного национального проекта в сфере</w:t>
      </w:r>
    </w:p>
    <w:p w:rsidR="002914EB" w:rsidRPr="00DA7D3C" w:rsidRDefault="002914EB" w:rsidP="002914EB">
      <w:pPr>
        <w:pStyle w:val="afc"/>
        <w:jc w:val="center"/>
        <w:rPr>
          <w:b/>
          <w:sz w:val="24"/>
          <w:szCs w:val="24"/>
        </w:rPr>
      </w:pPr>
      <w:r w:rsidRPr="00DA7D3C">
        <w:rPr>
          <w:b/>
          <w:sz w:val="24"/>
          <w:szCs w:val="24"/>
        </w:rPr>
        <w:t>здравоохранения</w:t>
      </w:r>
    </w:p>
    <w:p w:rsidR="002914EB" w:rsidRPr="00DA7D3C" w:rsidRDefault="002914EB" w:rsidP="006A23B3">
      <w:pPr>
        <w:numPr>
          <w:ilvl w:val="0"/>
          <w:numId w:val="36"/>
        </w:numPr>
        <w:tabs>
          <w:tab w:val="clear" w:pos="1429"/>
          <w:tab w:val="num" w:pos="0"/>
          <w:tab w:val="left" w:pos="709"/>
        </w:tabs>
        <w:spacing w:after="0" w:line="240" w:lineRule="auto"/>
        <w:ind w:left="0" w:firstLine="0"/>
        <w:jc w:val="both"/>
        <w:rPr>
          <w:rFonts w:ascii="Times New Roman" w:hAnsi="Times New Roman" w:cs="Times New Roman"/>
          <w:sz w:val="24"/>
          <w:szCs w:val="24"/>
        </w:rPr>
      </w:pPr>
      <w:r w:rsidRPr="00DA7D3C">
        <w:rPr>
          <w:rFonts w:ascii="Times New Roman" w:hAnsi="Times New Roman" w:cs="Times New Roman"/>
          <w:sz w:val="24"/>
          <w:szCs w:val="24"/>
        </w:rPr>
        <w:t>Выполнить план иммунизации против вирусного гепатита В, кори, гриппа, полиомиелита населения города.</w:t>
      </w:r>
    </w:p>
    <w:p w:rsidR="002914EB" w:rsidRPr="00DA7D3C" w:rsidRDefault="002914EB" w:rsidP="006A23B3">
      <w:pPr>
        <w:numPr>
          <w:ilvl w:val="0"/>
          <w:numId w:val="36"/>
        </w:numPr>
        <w:tabs>
          <w:tab w:val="clear" w:pos="1429"/>
          <w:tab w:val="num" w:pos="0"/>
          <w:tab w:val="left" w:pos="709"/>
        </w:tabs>
        <w:spacing w:after="0" w:line="240" w:lineRule="auto"/>
        <w:ind w:left="0" w:firstLine="0"/>
        <w:jc w:val="both"/>
        <w:rPr>
          <w:rFonts w:ascii="Times New Roman" w:hAnsi="Times New Roman" w:cs="Times New Roman"/>
          <w:sz w:val="24"/>
          <w:szCs w:val="24"/>
        </w:rPr>
      </w:pPr>
      <w:r w:rsidRPr="00DA7D3C">
        <w:rPr>
          <w:rFonts w:ascii="Times New Roman" w:hAnsi="Times New Roman" w:cs="Times New Roman"/>
          <w:sz w:val="24"/>
          <w:szCs w:val="24"/>
        </w:rPr>
        <w:t>Обеспечить контроль:</w:t>
      </w:r>
    </w:p>
    <w:p w:rsidR="002914EB" w:rsidRPr="00DA7D3C" w:rsidRDefault="002914EB" w:rsidP="002914EB">
      <w:pPr>
        <w:tabs>
          <w:tab w:val="num" w:pos="0"/>
          <w:tab w:val="left" w:pos="709"/>
        </w:tabs>
        <w:spacing w:after="0"/>
        <w:jc w:val="both"/>
        <w:rPr>
          <w:rFonts w:ascii="Times New Roman" w:hAnsi="Times New Roman" w:cs="Times New Roman"/>
          <w:sz w:val="24"/>
          <w:szCs w:val="24"/>
        </w:rPr>
      </w:pPr>
      <w:r w:rsidRPr="00DA7D3C">
        <w:rPr>
          <w:rFonts w:ascii="Times New Roman" w:hAnsi="Times New Roman" w:cs="Times New Roman"/>
          <w:sz w:val="24"/>
          <w:szCs w:val="24"/>
        </w:rPr>
        <w:t>- за реализацией приоритетного национального проекта в области здравоохранения по разделу «Профилактика ВИЧ-инфекции, гепатитов В и С, выявление и лечение больных ВИЧ»;</w:t>
      </w:r>
    </w:p>
    <w:p w:rsidR="002914EB" w:rsidRPr="00DA7D3C" w:rsidRDefault="002914EB" w:rsidP="002914EB">
      <w:pPr>
        <w:tabs>
          <w:tab w:val="num" w:pos="0"/>
          <w:tab w:val="left" w:pos="709"/>
        </w:tabs>
        <w:spacing w:after="0"/>
        <w:jc w:val="both"/>
        <w:rPr>
          <w:rFonts w:ascii="Times New Roman" w:hAnsi="Times New Roman" w:cs="Times New Roman"/>
          <w:sz w:val="24"/>
          <w:szCs w:val="24"/>
        </w:rPr>
      </w:pPr>
      <w:r w:rsidRPr="00DA7D3C">
        <w:rPr>
          <w:rFonts w:ascii="Times New Roman" w:hAnsi="Times New Roman" w:cs="Times New Roman"/>
          <w:sz w:val="24"/>
          <w:szCs w:val="24"/>
        </w:rPr>
        <w:t>- за полнотой охвата обследованиями на ВИЧ-инфекцию населения области;</w:t>
      </w:r>
    </w:p>
    <w:p w:rsidR="002914EB" w:rsidRPr="00DA7D3C" w:rsidRDefault="002914EB" w:rsidP="002914EB">
      <w:pPr>
        <w:tabs>
          <w:tab w:val="num" w:pos="0"/>
          <w:tab w:val="left" w:pos="709"/>
        </w:tabs>
        <w:spacing w:after="0"/>
        <w:jc w:val="both"/>
        <w:rPr>
          <w:rFonts w:ascii="Times New Roman" w:hAnsi="Times New Roman" w:cs="Times New Roman"/>
          <w:sz w:val="24"/>
          <w:szCs w:val="24"/>
        </w:rPr>
      </w:pPr>
      <w:r w:rsidRPr="00DA7D3C">
        <w:rPr>
          <w:rFonts w:ascii="Times New Roman" w:hAnsi="Times New Roman" w:cs="Times New Roman"/>
          <w:sz w:val="24"/>
          <w:szCs w:val="24"/>
        </w:rPr>
        <w:t>- за обеспечением качества и охвата диспансерным наблюдением  ВИЧ-инфицированных;</w:t>
      </w:r>
    </w:p>
    <w:p w:rsidR="002914EB" w:rsidRPr="00DA7D3C" w:rsidRDefault="002914EB" w:rsidP="002914EB">
      <w:pPr>
        <w:tabs>
          <w:tab w:val="num" w:pos="0"/>
          <w:tab w:val="left" w:pos="709"/>
        </w:tabs>
        <w:spacing w:after="0"/>
        <w:jc w:val="both"/>
        <w:rPr>
          <w:rFonts w:ascii="Times New Roman" w:hAnsi="Times New Roman" w:cs="Times New Roman"/>
          <w:sz w:val="24"/>
          <w:szCs w:val="24"/>
        </w:rPr>
      </w:pPr>
      <w:r w:rsidRPr="00DA7D3C">
        <w:rPr>
          <w:rFonts w:ascii="Times New Roman" w:hAnsi="Times New Roman" w:cs="Times New Roman"/>
          <w:sz w:val="24"/>
          <w:szCs w:val="24"/>
        </w:rPr>
        <w:t>- за обеспечением  всех нуждающихся  в антиретровирусной терапии;</w:t>
      </w:r>
    </w:p>
    <w:p w:rsidR="002914EB" w:rsidRPr="00DA7D3C" w:rsidRDefault="002914EB" w:rsidP="002914EB">
      <w:pPr>
        <w:tabs>
          <w:tab w:val="num" w:pos="0"/>
          <w:tab w:val="left" w:pos="709"/>
        </w:tabs>
        <w:spacing w:after="0"/>
        <w:jc w:val="both"/>
        <w:rPr>
          <w:rFonts w:ascii="Times New Roman" w:hAnsi="Times New Roman" w:cs="Times New Roman"/>
          <w:sz w:val="24"/>
          <w:szCs w:val="24"/>
        </w:rPr>
      </w:pPr>
      <w:r w:rsidRPr="00DA7D3C">
        <w:rPr>
          <w:rFonts w:ascii="Times New Roman" w:hAnsi="Times New Roman" w:cs="Times New Roman"/>
          <w:sz w:val="24"/>
          <w:szCs w:val="24"/>
        </w:rPr>
        <w:t>- за проведением дополнительной иммунизации против вирусного гепатита В взрослых в возрасте 18 - 55 лет в рамках приоритетного Национального проекта в сфере здравоохранения;</w:t>
      </w:r>
    </w:p>
    <w:p w:rsidR="002914EB" w:rsidRPr="00DA7D3C" w:rsidRDefault="002914EB" w:rsidP="002914EB">
      <w:pPr>
        <w:tabs>
          <w:tab w:val="num" w:pos="0"/>
          <w:tab w:val="left" w:pos="709"/>
        </w:tabs>
        <w:spacing w:after="0"/>
        <w:jc w:val="both"/>
        <w:rPr>
          <w:rFonts w:ascii="Times New Roman" w:hAnsi="Times New Roman" w:cs="Times New Roman"/>
          <w:sz w:val="24"/>
          <w:szCs w:val="24"/>
        </w:rPr>
      </w:pPr>
      <w:r w:rsidRPr="00DA7D3C">
        <w:rPr>
          <w:rFonts w:ascii="Times New Roman" w:hAnsi="Times New Roman" w:cs="Times New Roman"/>
          <w:sz w:val="24"/>
          <w:szCs w:val="24"/>
        </w:rPr>
        <w:t>- за соблюдением противоэпидемического режима в учреждениях службы крови.</w:t>
      </w:r>
    </w:p>
    <w:p w:rsidR="002914EB" w:rsidRPr="00DA7D3C" w:rsidRDefault="002914EB" w:rsidP="006A23B3">
      <w:pPr>
        <w:pStyle w:val="aff"/>
        <w:numPr>
          <w:ilvl w:val="0"/>
          <w:numId w:val="37"/>
        </w:numPr>
        <w:tabs>
          <w:tab w:val="num" w:pos="0"/>
        </w:tabs>
        <w:spacing w:after="0" w:line="240" w:lineRule="auto"/>
        <w:ind w:left="0" w:firstLine="0"/>
        <w:contextualSpacing w:val="0"/>
        <w:jc w:val="both"/>
        <w:rPr>
          <w:rFonts w:ascii="Times New Roman" w:hAnsi="Times New Roman"/>
          <w:sz w:val="24"/>
          <w:szCs w:val="24"/>
        </w:rPr>
      </w:pPr>
      <w:r w:rsidRPr="00DA7D3C">
        <w:rPr>
          <w:rFonts w:ascii="Times New Roman" w:hAnsi="Times New Roman"/>
          <w:sz w:val="24"/>
          <w:szCs w:val="24"/>
        </w:rPr>
        <w:t>Принять меры к предупреждению случаев внутрибольничного заражения вирусным гепатитом В и С.</w:t>
      </w:r>
    </w:p>
    <w:p w:rsidR="002914EB" w:rsidRPr="00DA7D3C" w:rsidRDefault="002914EB" w:rsidP="002914EB">
      <w:pPr>
        <w:tabs>
          <w:tab w:val="num" w:pos="0"/>
          <w:tab w:val="left" w:pos="709"/>
        </w:tabs>
        <w:spacing w:after="0"/>
        <w:jc w:val="both"/>
        <w:rPr>
          <w:rFonts w:ascii="Times New Roman" w:hAnsi="Times New Roman" w:cs="Times New Roman"/>
          <w:b/>
          <w:bCs/>
          <w:i/>
          <w:iCs/>
          <w:color w:val="FF0000"/>
          <w:sz w:val="24"/>
          <w:szCs w:val="24"/>
        </w:rPr>
      </w:pPr>
    </w:p>
    <w:p w:rsidR="002914EB" w:rsidRPr="009D73A3" w:rsidRDefault="002914EB" w:rsidP="002914EB">
      <w:pPr>
        <w:tabs>
          <w:tab w:val="left" w:pos="709"/>
        </w:tabs>
        <w:ind w:firstLine="709"/>
        <w:jc w:val="center"/>
        <w:rPr>
          <w:rFonts w:ascii="Times New Roman" w:hAnsi="Times New Roman" w:cs="Times New Roman"/>
          <w:b/>
          <w:iCs/>
          <w:sz w:val="24"/>
          <w:szCs w:val="24"/>
        </w:rPr>
      </w:pPr>
      <w:r w:rsidRPr="009D73A3">
        <w:rPr>
          <w:rFonts w:ascii="Times New Roman" w:hAnsi="Times New Roman" w:cs="Times New Roman"/>
          <w:b/>
          <w:iCs/>
          <w:sz w:val="24"/>
          <w:szCs w:val="24"/>
        </w:rPr>
        <w:t>В области профилактики менингококковой инфекции</w:t>
      </w:r>
    </w:p>
    <w:p w:rsidR="002914EB" w:rsidRPr="008E5ED6" w:rsidRDefault="002914EB" w:rsidP="006A23B3">
      <w:pPr>
        <w:widowControl w:val="0"/>
        <w:numPr>
          <w:ilvl w:val="0"/>
          <w:numId w:val="38"/>
        </w:numPr>
        <w:tabs>
          <w:tab w:val="clear" w:pos="1429"/>
          <w:tab w:val="num" w:pos="142"/>
          <w:tab w:val="left" w:pos="709"/>
        </w:tabs>
        <w:snapToGrid w:val="0"/>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 xml:space="preserve">Обеспечить контроль за полным своевременным лабораторным </w:t>
      </w:r>
      <w:r w:rsidRPr="008E5ED6">
        <w:rPr>
          <w:rFonts w:ascii="Times New Roman" w:hAnsi="Times New Roman" w:cs="Times New Roman"/>
          <w:sz w:val="24"/>
          <w:szCs w:val="24"/>
        </w:rPr>
        <w:lastRenderedPageBreak/>
        <w:t>обследованием больных менингококковой инфекцией и серологической идентификацией выделенных культур N. meningitidis согласно приказу МЗ РФ №375от 23.12.98г. «О мерах по усилению эпидемиологического надзора и профилактики менингококковой инфекции и гнойных бактериальных менингитов»;</w:t>
      </w:r>
    </w:p>
    <w:p w:rsidR="002914EB" w:rsidRPr="008E5ED6" w:rsidRDefault="002914EB" w:rsidP="006A23B3">
      <w:pPr>
        <w:widowControl w:val="0"/>
        <w:numPr>
          <w:ilvl w:val="0"/>
          <w:numId w:val="38"/>
        </w:numPr>
        <w:tabs>
          <w:tab w:val="clear" w:pos="1429"/>
          <w:tab w:val="num" w:pos="142"/>
          <w:tab w:val="left" w:pos="709"/>
        </w:tabs>
        <w:snapToGrid w:val="0"/>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Контролировать своевременное выполнение противоэпидемических мероприятий, регламентированных санитарно-эпидемиологическими правилами СП 3.1.2.2512-09 «Профилактика инфекционных болезней. Профилактика менингококковой инфекции», Постановление Главного государственного санитарного врача Российской Федерации от 18.05.2009г. № 33.</w:t>
      </w:r>
    </w:p>
    <w:p w:rsidR="002914EB" w:rsidRPr="008E5ED6" w:rsidRDefault="002914EB" w:rsidP="00DA7D3C">
      <w:pPr>
        <w:tabs>
          <w:tab w:val="num" w:pos="0"/>
          <w:tab w:val="left" w:pos="709"/>
        </w:tabs>
        <w:spacing w:after="0"/>
        <w:ind w:firstLine="567"/>
        <w:jc w:val="both"/>
        <w:rPr>
          <w:rFonts w:ascii="Times New Roman" w:hAnsi="Times New Roman" w:cs="Times New Roman"/>
          <w:sz w:val="24"/>
          <w:szCs w:val="24"/>
        </w:rPr>
      </w:pPr>
    </w:p>
    <w:p w:rsidR="002914EB" w:rsidRPr="009D73A3" w:rsidRDefault="002914EB" w:rsidP="002914EB">
      <w:pPr>
        <w:tabs>
          <w:tab w:val="left" w:pos="709"/>
        </w:tabs>
        <w:spacing w:after="0"/>
        <w:ind w:firstLine="709"/>
        <w:jc w:val="center"/>
        <w:rPr>
          <w:rFonts w:ascii="Times New Roman" w:hAnsi="Times New Roman" w:cs="Times New Roman"/>
          <w:b/>
          <w:iCs/>
          <w:sz w:val="24"/>
          <w:szCs w:val="24"/>
        </w:rPr>
      </w:pPr>
      <w:r w:rsidRPr="009D73A3">
        <w:rPr>
          <w:rFonts w:ascii="Times New Roman" w:hAnsi="Times New Roman" w:cs="Times New Roman"/>
          <w:b/>
          <w:iCs/>
          <w:sz w:val="24"/>
          <w:szCs w:val="24"/>
        </w:rPr>
        <w:t>В области профилактики вирусного гепатита А</w:t>
      </w:r>
    </w:p>
    <w:p w:rsidR="002914EB" w:rsidRPr="008E5ED6" w:rsidRDefault="002914EB" w:rsidP="006A23B3">
      <w:pPr>
        <w:widowControl w:val="0"/>
        <w:numPr>
          <w:ilvl w:val="0"/>
          <w:numId w:val="39"/>
        </w:numPr>
        <w:tabs>
          <w:tab w:val="left" w:pos="709"/>
        </w:tabs>
        <w:snapToGrid w:val="0"/>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Своевременное проведение противоэпидемических мероприятий при выявлении случая заболевания.</w:t>
      </w:r>
    </w:p>
    <w:p w:rsidR="002914EB" w:rsidRPr="008E5ED6" w:rsidRDefault="002914EB" w:rsidP="006A23B3">
      <w:pPr>
        <w:widowControl w:val="0"/>
        <w:numPr>
          <w:ilvl w:val="0"/>
          <w:numId w:val="39"/>
        </w:numPr>
        <w:tabs>
          <w:tab w:val="left" w:pos="709"/>
        </w:tabs>
        <w:snapToGrid w:val="0"/>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Организация и проведение плановой иммунизации против вирусного гепатита А контингентов групп риска и населения, в соответствии с региональным календарем прививок.</w:t>
      </w:r>
    </w:p>
    <w:p w:rsidR="002914EB" w:rsidRPr="008E5ED6" w:rsidRDefault="002914EB" w:rsidP="002914EB">
      <w:pPr>
        <w:tabs>
          <w:tab w:val="left" w:pos="709"/>
        </w:tabs>
        <w:spacing w:after="0"/>
        <w:ind w:firstLine="709"/>
        <w:jc w:val="both"/>
        <w:rPr>
          <w:rFonts w:ascii="Times New Roman" w:hAnsi="Times New Roman" w:cs="Times New Roman"/>
          <w:i/>
          <w:iCs/>
          <w:sz w:val="24"/>
          <w:szCs w:val="24"/>
        </w:rPr>
      </w:pPr>
    </w:p>
    <w:p w:rsidR="002914EB" w:rsidRPr="009D73A3" w:rsidRDefault="002914EB" w:rsidP="002914EB">
      <w:pPr>
        <w:tabs>
          <w:tab w:val="left" w:pos="709"/>
        </w:tabs>
        <w:spacing w:after="0"/>
        <w:ind w:firstLine="709"/>
        <w:jc w:val="center"/>
        <w:rPr>
          <w:rFonts w:ascii="Times New Roman" w:hAnsi="Times New Roman" w:cs="Times New Roman"/>
          <w:b/>
          <w:iCs/>
          <w:sz w:val="24"/>
          <w:szCs w:val="24"/>
        </w:rPr>
      </w:pPr>
      <w:r w:rsidRPr="009D73A3">
        <w:rPr>
          <w:rFonts w:ascii="Times New Roman" w:hAnsi="Times New Roman" w:cs="Times New Roman"/>
          <w:b/>
          <w:iCs/>
          <w:sz w:val="24"/>
          <w:szCs w:val="24"/>
        </w:rPr>
        <w:t>В области профилактики острых кишечных инфекций</w:t>
      </w:r>
    </w:p>
    <w:p w:rsidR="002914EB" w:rsidRPr="008E5ED6" w:rsidRDefault="00DA7D3C" w:rsidP="006A23B3">
      <w:pPr>
        <w:widowControl w:val="0"/>
        <w:numPr>
          <w:ilvl w:val="0"/>
          <w:numId w:val="40"/>
        </w:numPr>
        <w:tabs>
          <w:tab w:val="clear" w:pos="1429"/>
          <w:tab w:val="num" w:pos="0"/>
          <w:tab w:val="left" w:pos="709"/>
        </w:tabs>
        <w:snapToGri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Контроль </w:t>
      </w:r>
      <w:r w:rsidR="002914EB" w:rsidRPr="008E5ED6">
        <w:rPr>
          <w:rFonts w:ascii="Times New Roman" w:hAnsi="Times New Roman" w:cs="Times New Roman"/>
          <w:sz w:val="24"/>
          <w:szCs w:val="24"/>
        </w:rPr>
        <w:t xml:space="preserve">обеспечения населения доброкачественными, безопасными в эпидемическом отношении пищевыми продуктами и водой, безопасными в эпидемическом отношении условиями жизнедеятельности населения; </w:t>
      </w:r>
    </w:p>
    <w:p w:rsidR="002914EB" w:rsidRPr="008E5ED6" w:rsidRDefault="002914EB" w:rsidP="006A23B3">
      <w:pPr>
        <w:widowControl w:val="0"/>
        <w:numPr>
          <w:ilvl w:val="0"/>
          <w:numId w:val="40"/>
        </w:numPr>
        <w:tabs>
          <w:tab w:val="clear" w:pos="1429"/>
          <w:tab w:val="num" w:pos="0"/>
          <w:tab w:val="left" w:pos="709"/>
        </w:tabs>
        <w:snapToGrid w:val="0"/>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Контроль   соблюдения санитарных правил и норм на объектах по производству, хра</w:t>
      </w:r>
      <w:r w:rsidRPr="008E5ED6">
        <w:rPr>
          <w:rFonts w:ascii="Times New Roman" w:hAnsi="Times New Roman" w:cs="Times New Roman"/>
          <w:sz w:val="24"/>
          <w:szCs w:val="24"/>
        </w:rPr>
        <w:softHyphen/>
        <w:t>нению, транспортировке, реализации пищевых продуктов, общественного питания, водоканала независимо от форм собственности и ведомствен</w:t>
      </w:r>
      <w:r w:rsidRPr="008E5ED6">
        <w:rPr>
          <w:rFonts w:ascii="Times New Roman" w:hAnsi="Times New Roman" w:cs="Times New Roman"/>
          <w:sz w:val="24"/>
          <w:szCs w:val="24"/>
        </w:rPr>
        <w:softHyphen/>
        <w:t xml:space="preserve">ной принадлежности; </w:t>
      </w:r>
    </w:p>
    <w:p w:rsidR="002914EB" w:rsidRPr="008E5ED6" w:rsidRDefault="002914EB" w:rsidP="006A23B3">
      <w:pPr>
        <w:widowControl w:val="0"/>
        <w:numPr>
          <w:ilvl w:val="0"/>
          <w:numId w:val="40"/>
        </w:numPr>
        <w:tabs>
          <w:tab w:val="clear" w:pos="1429"/>
          <w:tab w:val="num" w:pos="0"/>
          <w:tab w:val="left" w:pos="709"/>
        </w:tabs>
        <w:snapToGrid w:val="0"/>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 xml:space="preserve">Контроль   соблюдения санитарных правил и норм в организованных коллективах детей и взрослых, лечебно-профилактических учреждениях, санаториях, домах отдыха и др.; </w:t>
      </w:r>
    </w:p>
    <w:p w:rsidR="002914EB" w:rsidRPr="008E5ED6" w:rsidRDefault="002914EB" w:rsidP="006A23B3">
      <w:pPr>
        <w:widowControl w:val="0"/>
        <w:numPr>
          <w:ilvl w:val="0"/>
          <w:numId w:val="40"/>
        </w:numPr>
        <w:tabs>
          <w:tab w:val="clear" w:pos="1429"/>
          <w:tab w:val="num" w:pos="0"/>
          <w:tab w:val="left" w:pos="709"/>
        </w:tabs>
        <w:snapToGrid w:val="0"/>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Своевременное проведение оперативных противоэпидемических мероприятий, направленных на предупреждение распространения острых кишечных инфекций в случае возникновения заболеваний в организованных коллективах и среди населения.</w:t>
      </w:r>
    </w:p>
    <w:p w:rsidR="002914EB" w:rsidRPr="008E5ED6" w:rsidRDefault="002914EB" w:rsidP="006A23B3">
      <w:pPr>
        <w:widowControl w:val="0"/>
        <w:numPr>
          <w:ilvl w:val="0"/>
          <w:numId w:val="40"/>
        </w:numPr>
        <w:tabs>
          <w:tab w:val="clear" w:pos="1429"/>
          <w:tab w:val="num" w:pos="0"/>
          <w:tab w:val="left" w:pos="709"/>
        </w:tabs>
        <w:snapToGrid w:val="0"/>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 xml:space="preserve">Гигиеническое обучение населения и особенно работников отдельных профессий, связанных непосредственно с процессом производства, приготовления, хранения, транспортировки и реализации пищевых продуктов, воспитания детей и подростков. </w:t>
      </w:r>
    </w:p>
    <w:p w:rsidR="002914EB" w:rsidRPr="008E5ED6" w:rsidRDefault="002914EB" w:rsidP="006A23B3">
      <w:pPr>
        <w:widowControl w:val="0"/>
        <w:numPr>
          <w:ilvl w:val="0"/>
          <w:numId w:val="40"/>
        </w:numPr>
        <w:tabs>
          <w:tab w:val="clear" w:pos="1429"/>
          <w:tab w:val="num" w:pos="0"/>
          <w:tab w:val="left" w:pos="709"/>
        </w:tabs>
        <w:snapToGrid w:val="0"/>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Организация и контроль   проведения плановой иммунизации против брюшного тифа контингентам группы риска в соответствии с региональным календарем прививок.</w:t>
      </w:r>
    </w:p>
    <w:p w:rsidR="002914EB" w:rsidRDefault="002914EB" w:rsidP="006A23B3">
      <w:pPr>
        <w:widowControl w:val="0"/>
        <w:numPr>
          <w:ilvl w:val="0"/>
          <w:numId w:val="40"/>
        </w:numPr>
        <w:tabs>
          <w:tab w:val="clear" w:pos="1429"/>
          <w:tab w:val="num" w:pos="0"/>
          <w:tab w:val="left" w:pos="709"/>
        </w:tabs>
        <w:snapToGrid w:val="0"/>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Контроль  циркуляции энтеровирусов во внешней среде в соответствии с СП 3.1.2950-11 «Профилактика энтеровирусной (неполио) инфекции.</w:t>
      </w:r>
    </w:p>
    <w:p w:rsidR="002914EB" w:rsidRPr="008E5ED6" w:rsidRDefault="002914EB" w:rsidP="002914EB">
      <w:pPr>
        <w:widowControl w:val="0"/>
        <w:tabs>
          <w:tab w:val="left" w:pos="709"/>
        </w:tabs>
        <w:snapToGrid w:val="0"/>
        <w:spacing w:after="0" w:line="240" w:lineRule="auto"/>
        <w:jc w:val="both"/>
        <w:rPr>
          <w:rFonts w:ascii="Times New Roman" w:hAnsi="Times New Roman" w:cs="Times New Roman"/>
          <w:sz w:val="24"/>
          <w:szCs w:val="24"/>
        </w:rPr>
      </w:pPr>
    </w:p>
    <w:p w:rsidR="002914EB" w:rsidRPr="009D73A3" w:rsidRDefault="002914EB" w:rsidP="002914EB">
      <w:pPr>
        <w:tabs>
          <w:tab w:val="left" w:pos="709"/>
        </w:tabs>
        <w:ind w:firstLine="709"/>
        <w:jc w:val="center"/>
        <w:rPr>
          <w:rFonts w:ascii="Times New Roman" w:hAnsi="Times New Roman" w:cs="Times New Roman"/>
          <w:b/>
          <w:iCs/>
          <w:sz w:val="24"/>
          <w:szCs w:val="24"/>
        </w:rPr>
      </w:pPr>
      <w:r w:rsidRPr="009D73A3">
        <w:rPr>
          <w:rFonts w:ascii="Times New Roman" w:hAnsi="Times New Roman" w:cs="Times New Roman"/>
          <w:b/>
          <w:iCs/>
          <w:sz w:val="24"/>
          <w:szCs w:val="24"/>
        </w:rPr>
        <w:t>В области профилактики внутрибольничных инфекций</w:t>
      </w:r>
    </w:p>
    <w:p w:rsidR="002914EB" w:rsidRPr="00DA7D3C" w:rsidRDefault="002914EB" w:rsidP="006A23B3">
      <w:pPr>
        <w:pStyle w:val="aff"/>
        <w:numPr>
          <w:ilvl w:val="0"/>
          <w:numId w:val="41"/>
        </w:numPr>
        <w:tabs>
          <w:tab w:val="num" w:pos="0"/>
        </w:tabs>
        <w:spacing w:after="0" w:line="240" w:lineRule="auto"/>
        <w:ind w:left="0" w:firstLine="567"/>
        <w:contextualSpacing w:val="0"/>
        <w:jc w:val="both"/>
        <w:rPr>
          <w:rFonts w:ascii="Times New Roman" w:hAnsi="Times New Roman"/>
          <w:sz w:val="24"/>
          <w:szCs w:val="24"/>
        </w:rPr>
      </w:pPr>
      <w:r w:rsidRPr="00DA7D3C">
        <w:rPr>
          <w:rFonts w:ascii="Times New Roman" w:hAnsi="Times New Roman"/>
          <w:sz w:val="24"/>
          <w:szCs w:val="24"/>
        </w:rPr>
        <w:t>Принять меры к предупреждению групповой заболеваемости.</w:t>
      </w:r>
    </w:p>
    <w:p w:rsidR="002914EB" w:rsidRPr="00DA7D3C" w:rsidRDefault="002914EB" w:rsidP="006A23B3">
      <w:pPr>
        <w:pStyle w:val="aff"/>
        <w:numPr>
          <w:ilvl w:val="0"/>
          <w:numId w:val="41"/>
        </w:numPr>
        <w:tabs>
          <w:tab w:val="left" w:pos="0"/>
        </w:tabs>
        <w:spacing w:after="0" w:line="240" w:lineRule="auto"/>
        <w:ind w:left="0" w:firstLine="567"/>
        <w:contextualSpacing w:val="0"/>
        <w:jc w:val="both"/>
        <w:rPr>
          <w:rFonts w:ascii="Times New Roman" w:hAnsi="Times New Roman"/>
          <w:sz w:val="24"/>
          <w:szCs w:val="24"/>
        </w:rPr>
      </w:pPr>
      <w:r w:rsidRPr="00DA7D3C">
        <w:rPr>
          <w:rFonts w:ascii="Times New Roman" w:hAnsi="Times New Roman"/>
          <w:sz w:val="24"/>
          <w:szCs w:val="24"/>
        </w:rPr>
        <w:t>Обеспечить контроль:</w:t>
      </w:r>
    </w:p>
    <w:p w:rsidR="002914EB" w:rsidRPr="008E5ED6" w:rsidRDefault="002914EB" w:rsidP="00DA7D3C">
      <w:pPr>
        <w:tabs>
          <w:tab w:val="left" w:pos="0"/>
        </w:tabs>
        <w:spacing w:after="0"/>
        <w:ind w:firstLine="567"/>
        <w:jc w:val="both"/>
        <w:rPr>
          <w:rFonts w:ascii="Times New Roman" w:hAnsi="Times New Roman" w:cs="Times New Roman"/>
          <w:sz w:val="24"/>
          <w:szCs w:val="24"/>
        </w:rPr>
      </w:pPr>
      <w:r w:rsidRPr="008E5ED6">
        <w:rPr>
          <w:rFonts w:ascii="Times New Roman" w:hAnsi="Times New Roman" w:cs="Times New Roman"/>
          <w:sz w:val="24"/>
          <w:szCs w:val="24"/>
        </w:rPr>
        <w:t>- за соблюдением</w:t>
      </w:r>
      <w:bookmarkStart w:id="69" w:name="_GoBack"/>
      <w:bookmarkEnd w:id="69"/>
      <w:r w:rsidRPr="008E5ED6">
        <w:rPr>
          <w:rFonts w:ascii="Times New Roman" w:hAnsi="Times New Roman" w:cs="Times New Roman"/>
          <w:sz w:val="24"/>
          <w:szCs w:val="24"/>
        </w:rPr>
        <w:t xml:space="preserve"> санитарно-противоэпидемического режима во всех структурных подразделениях учреждений родовспоможения и учреждений хирургического профиля; </w:t>
      </w:r>
    </w:p>
    <w:p w:rsidR="002914EB" w:rsidRPr="008E5ED6" w:rsidRDefault="002914EB" w:rsidP="00DA7D3C">
      <w:pPr>
        <w:tabs>
          <w:tab w:val="num" w:pos="0"/>
          <w:tab w:val="left" w:pos="709"/>
        </w:tabs>
        <w:spacing w:after="0"/>
        <w:ind w:firstLine="567"/>
        <w:jc w:val="both"/>
        <w:rPr>
          <w:rFonts w:ascii="Times New Roman" w:hAnsi="Times New Roman" w:cs="Times New Roman"/>
          <w:sz w:val="24"/>
          <w:szCs w:val="24"/>
        </w:rPr>
      </w:pPr>
      <w:r w:rsidRPr="008E5ED6">
        <w:rPr>
          <w:rFonts w:ascii="Times New Roman" w:hAnsi="Times New Roman" w:cs="Times New Roman"/>
          <w:sz w:val="24"/>
          <w:szCs w:val="24"/>
        </w:rPr>
        <w:t>- за лабораторной диагностикой каждого случая ВБИ у новорожденных и родильниц, а также больных с ГСИ в хирургических стационарах;</w:t>
      </w:r>
    </w:p>
    <w:p w:rsidR="002914EB" w:rsidRPr="008E5ED6" w:rsidRDefault="002914EB" w:rsidP="00DA7D3C">
      <w:pPr>
        <w:tabs>
          <w:tab w:val="num" w:pos="0"/>
          <w:tab w:val="left" w:pos="709"/>
        </w:tabs>
        <w:spacing w:after="0"/>
        <w:ind w:firstLine="567"/>
        <w:jc w:val="both"/>
        <w:rPr>
          <w:rFonts w:ascii="Times New Roman" w:hAnsi="Times New Roman" w:cs="Times New Roman"/>
          <w:sz w:val="24"/>
          <w:szCs w:val="24"/>
        </w:rPr>
      </w:pPr>
      <w:r w:rsidRPr="008E5ED6">
        <w:rPr>
          <w:rFonts w:ascii="Times New Roman" w:hAnsi="Times New Roman" w:cs="Times New Roman"/>
          <w:sz w:val="24"/>
          <w:szCs w:val="24"/>
        </w:rPr>
        <w:t>- за проведением лабораторной диагностики современными методами (ПЦР) всех случаев внутриутробных состояний у новорожденных.</w:t>
      </w:r>
    </w:p>
    <w:p w:rsidR="002914EB" w:rsidRPr="008E5ED6" w:rsidRDefault="002914EB" w:rsidP="002914EB">
      <w:pPr>
        <w:tabs>
          <w:tab w:val="num" w:pos="0"/>
          <w:tab w:val="left" w:pos="709"/>
        </w:tabs>
        <w:spacing w:after="0"/>
        <w:jc w:val="both"/>
        <w:rPr>
          <w:rFonts w:ascii="Times New Roman" w:hAnsi="Times New Roman" w:cs="Times New Roman"/>
          <w:i/>
          <w:iCs/>
          <w:sz w:val="24"/>
          <w:szCs w:val="24"/>
        </w:rPr>
      </w:pPr>
    </w:p>
    <w:p w:rsidR="002914EB" w:rsidRPr="009D73A3" w:rsidRDefault="002914EB" w:rsidP="002914EB">
      <w:pPr>
        <w:tabs>
          <w:tab w:val="left" w:pos="709"/>
        </w:tabs>
        <w:spacing w:after="0"/>
        <w:ind w:firstLine="709"/>
        <w:jc w:val="center"/>
        <w:rPr>
          <w:rFonts w:ascii="Times New Roman" w:hAnsi="Times New Roman" w:cs="Times New Roman"/>
          <w:b/>
          <w:iCs/>
          <w:sz w:val="24"/>
          <w:szCs w:val="24"/>
        </w:rPr>
      </w:pPr>
      <w:r w:rsidRPr="009D73A3">
        <w:rPr>
          <w:rFonts w:ascii="Times New Roman" w:hAnsi="Times New Roman" w:cs="Times New Roman"/>
          <w:b/>
          <w:iCs/>
          <w:sz w:val="24"/>
          <w:szCs w:val="24"/>
        </w:rPr>
        <w:t>В области профилактики природноочаговых инфекций</w:t>
      </w:r>
    </w:p>
    <w:p w:rsidR="002914EB" w:rsidRPr="008E5ED6" w:rsidRDefault="002914EB" w:rsidP="006A23B3">
      <w:pPr>
        <w:numPr>
          <w:ilvl w:val="0"/>
          <w:numId w:val="42"/>
        </w:numPr>
        <w:tabs>
          <w:tab w:val="clear" w:pos="1429"/>
          <w:tab w:val="left" w:pos="0"/>
        </w:tabs>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lastRenderedPageBreak/>
        <w:t>Обеспечить контроль  иммунизации населения против клещевого энцефалита, проведением специфической и неспецифической профилактики клещевых инфекций.</w:t>
      </w:r>
    </w:p>
    <w:p w:rsidR="002914EB" w:rsidRPr="008E5ED6" w:rsidRDefault="002914EB" w:rsidP="006A23B3">
      <w:pPr>
        <w:numPr>
          <w:ilvl w:val="0"/>
          <w:numId w:val="42"/>
        </w:numPr>
        <w:tabs>
          <w:tab w:val="clear" w:pos="1429"/>
          <w:tab w:val="left" w:pos="0"/>
        </w:tabs>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Обеспечить мониторинг  состояния активности природных очагов клещевых инфекций, контроль   мероприятий, направленных на снижение численности клещей.</w:t>
      </w:r>
    </w:p>
    <w:p w:rsidR="002914EB" w:rsidRPr="008E5ED6" w:rsidRDefault="002914EB" w:rsidP="006A23B3">
      <w:pPr>
        <w:numPr>
          <w:ilvl w:val="0"/>
          <w:numId w:val="42"/>
        </w:numPr>
        <w:tabs>
          <w:tab w:val="clear" w:pos="1429"/>
          <w:tab w:val="left" w:pos="0"/>
        </w:tabs>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Продолжить слежение за динамикой заболеваемости новыми «клещевыми» инфекциями (ГАЧ, МЭЧ), микст-инфекциями в условиях природных очагов.</w:t>
      </w:r>
    </w:p>
    <w:p w:rsidR="002914EB" w:rsidRPr="008E5ED6" w:rsidRDefault="002914EB" w:rsidP="006A23B3">
      <w:pPr>
        <w:numPr>
          <w:ilvl w:val="0"/>
          <w:numId w:val="42"/>
        </w:numPr>
        <w:tabs>
          <w:tab w:val="clear" w:pos="1429"/>
          <w:tab w:val="left" w:pos="0"/>
        </w:tabs>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Обеспечить мониторинг обращаемости населения по поводу нападения и укусов животными и анализ данных по результатам оказания антирабической помощи.</w:t>
      </w:r>
    </w:p>
    <w:p w:rsidR="002914EB" w:rsidRPr="008E5ED6" w:rsidRDefault="002914EB" w:rsidP="006A23B3">
      <w:pPr>
        <w:numPr>
          <w:ilvl w:val="0"/>
          <w:numId w:val="42"/>
        </w:numPr>
        <w:tabs>
          <w:tab w:val="clear" w:pos="1429"/>
          <w:tab w:val="left" w:pos="0"/>
        </w:tabs>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 xml:space="preserve">Проведение санитарно-просветительной работы с населением по профилактике бешенства и обеспечение постоянного информирования населения о состоянии заболеваемости бешенством среди людей и животных, о мерах личной и общественной профилактики бешенства.  </w:t>
      </w:r>
    </w:p>
    <w:p w:rsidR="002914EB" w:rsidRPr="008E5ED6" w:rsidRDefault="002914EB" w:rsidP="006A23B3">
      <w:pPr>
        <w:numPr>
          <w:ilvl w:val="0"/>
          <w:numId w:val="42"/>
        </w:numPr>
        <w:tabs>
          <w:tab w:val="clear" w:pos="1429"/>
          <w:tab w:val="left" w:pos="0"/>
        </w:tabs>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Контроль</w:t>
      </w:r>
      <w:r w:rsidR="00DA7D3C">
        <w:rPr>
          <w:rFonts w:ascii="Times New Roman" w:hAnsi="Times New Roman" w:cs="Times New Roman"/>
          <w:sz w:val="24"/>
          <w:szCs w:val="24"/>
        </w:rPr>
        <w:t xml:space="preserve"> хода </w:t>
      </w:r>
      <w:r w:rsidRPr="008E5ED6">
        <w:rPr>
          <w:rFonts w:ascii="Times New Roman" w:hAnsi="Times New Roman" w:cs="Times New Roman"/>
          <w:sz w:val="24"/>
          <w:szCs w:val="24"/>
        </w:rPr>
        <w:t>иммунизации против сибирской язвы населения, относящегося к группам риска.</w:t>
      </w:r>
    </w:p>
    <w:p w:rsidR="002914EB" w:rsidRPr="008E5ED6" w:rsidRDefault="002914EB" w:rsidP="006A23B3">
      <w:pPr>
        <w:numPr>
          <w:ilvl w:val="0"/>
          <w:numId w:val="42"/>
        </w:numPr>
        <w:tabs>
          <w:tab w:val="clear" w:pos="1429"/>
          <w:tab w:val="left" w:pos="0"/>
        </w:tabs>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Проведение разъяснительной работы среди населения о мерах личной и общественной профилактик сибирской язвы и, прежде всего, о тяжелых последствиях проведения вынужденного убоя больных животных без разрешения и участия специалистов ветеринарной службы.</w:t>
      </w:r>
    </w:p>
    <w:p w:rsidR="002914EB" w:rsidRPr="008E5ED6" w:rsidRDefault="002914EB" w:rsidP="006A23B3">
      <w:pPr>
        <w:numPr>
          <w:ilvl w:val="0"/>
          <w:numId w:val="42"/>
        </w:numPr>
        <w:tabs>
          <w:tab w:val="clear" w:pos="1429"/>
          <w:tab w:val="left" w:pos="0"/>
        </w:tabs>
        <w:spacing w:after="0" w:line="240" w:lineRule="auto"/>
        <w:ind w:left="0" w:firstLine="567"/>
        <w:jc w:val="both"/>
        <w:rPr>
          <w:rFonts w:ascii="Times New Roman" w:hAnsi="Times New Roman" w:cs="Times New Roman"/>
          <w:sz w:val="24"/>
          <w:szCs w:val="24"/>
        </w:rPr>
      </w:pPr>
      <w:r w:rsidRPr="008E5ED6">
        <w:rPr>
          <w:rFonts w:ascii="Times New Roman" w:hAnsi="Times New Roman" w:cs="Times New Roman"/>
          <w:sz w:val="24"/>
          <w:szCs w:val="24"/>
        </w:rPr>
        <w:t>Усилить эпидемиологический надзор за иерсиниозами, в части проведения лабораторной диагностики иерсиниозов  в лечебно-профилактических учреждениях.</w:t>
      </w:r>
    </w:p>
    <w:p w:rsidR="002914EB" w:rsidRPr="008E5ED6" w:rsidRDefault="002914EB" w:rsidP="002914EB">
      <w:pPr>
        <w:tabs>
          <w:tab w:val="num" w:pos="0"/>
          <w:tab w:val="left" w:pos="709"/>
        </w:tabs>
        <w:spacing w:after="0"/>
        <w:jc w:val="both"/>
        <w:rPr>
          <w:rFonts w:ascii="Times New Roman" w:hAnsi="Times New Roman" w:cs="Times New Roman"/>
          <w:sz w:val="24"/>
          <w:szCs w:val="24"/>
        </w:rPr>
      </w:pPr>
    </w:p>
    <w:p w:rsidR="002914EB" w:rsidRPr="009D73A3" w:rsidRDefault="002914EB" w:rsidP="002914EB">
      <w:pPr>
        <w:tabs>
          <w:tab w:val="left" w:pos="709"/>
        </w:tabs>
        <w:spacing w:after="0"/>
        <w:ind w:firstLine="709"/>
        <w:jc w:val="center"/>
        <w:rPr>
          <w:rFonts w:ascii="Times New Roman" w:hAnsi="Times New Roman" w:cs="Times New Roman"/>
          <w:b/>
          <w:iCs/>
          <w:sz w:val="24"/>
          <w:szCs w:val="24"/>
        </w:rPr>
      </w:pPr>
      <w:r w:rsidRPr="009D73A3">
        <w:rPr>
          <w:rFonts w:ascii="Times New Roman" w:hAnsi="Times New Roman" w:cs="Times New Roman"/>
          <w:b/>
          <w:iCs/>
          <w:sz w:val="24"/>
          <w:szCs w:val="24"/>
        </w:rPr>
        <w:t>В области профилактики социально-обусловленных инфекций</w:t>
      </w:r>
    </w:p>
    <w:p w:rsidR="002914EB" w:rsidRPr="00DA7D3C" w:rsidRDefault="002914EB" w:rsidP="006A23B3">
      <w:pPr>
        <w:pStyle w:val="aff"/>
        <w:numPr>
          <w:ilvl w:val="0"/>
          <w:numId w:val="43"/>
        </w:numPr>
        <w:tabs>
          <w:tab w:val="left" w:pos="567"/>
          <w:tab w:val="num" w:pos="1429"/>
        </w:tabs>
        <w:spacing w:after="0" w:line="240" w:lineRule="auto"/>
        <w:ind w:left="0" w:firstLine="567"/>
        <w:contextualSpacing w:val="0"/>
        <w:jc w:val="both"/>
        <w:rPr>
          <w:rFonts w:ascii="Times New Roman" w:hAnsi="Times New Roman"/>
          <w:sz w:val="24"/>
          <w:szCs w:val="24"/>
        </w:rPr>
      </w:pPr>
      <w:r w:rsidRPr="00DA7D3C">
        <w:rPr>
          <w:rFonts w:ascii="Times New Roman" w:hAnsi="Times New Roman"/>
          <w:sz w:val="24"/>
          <w:szCs w:val="24"/>
        </w:rPr>
        <w:t>Обеспечить контроль:</w:t>
      </w:r>
    </w:p>
    <w:p w:rsidR="002914EB" w:rsidRPr="00DA7D3C" w:rsidRDefault="002914EB" w:rsidP="00DA7D3C">
      <w:pPr>
        <w:tabs>
          <w:tab w:val="num" w:pos="0"/>
          <w:tab w:val="left" w:pos="709"/>
        </w:tabs>
        <w:spacing w:after="0"/>
        <w:ind w:firstLine="567"/>
        <w:jc w:val="both"/>
        <w:rPr>
          <w:rFonts w:ascii="Times New Roman" w:hAnsi="Times New Roman" w:cs="Times New Roman"/>
          <w:sz w:val="24"/>
          <w:szCs w:val="24"/>
        </w:rPr>
      </w:pPr>
      <w:r w:rsidRPr="00DA7D3C">
        <w:rPr>
          <w:rFonts w:ascii="Times New Roman" w:hAnsi="Times New Roman" w:cs="Times New Roman"/>
          <w:sz w:val="24"/>
          <w:szCs w:val="24"/>
        </w:rPr>
        <w:t>- за организацией работы по активному выявлению больных инфекциями, передающимися половым путем, среди лиц, обратившихся за медицинской помощью, устраивающихся на работу, лиц декретированных профессий;</w:t>
      </w:r>
    </w:p>
    <w:p w:rsidR="002914EB" w:rsidRPr="00DA7D3C" w:rsidRDefault="002914EB" w:rsidP="00DA7D3C">
      <w:pPr>
        <w:tabs>
          <w:tab w:val="num" w:pos="0"/>
          <w:tab w:val="left" w:pos="709"/>
        </w:tabs>
        <w:spacing w:after="0"/>
        <w:ind w:firstLine="567"/>
        <w:jc w:val="both"/>
        <w:rPr>
          <w:rFonts w:ascii="Times New Roman" w:hAnsi="Times New Roman" w:cs="Times New Roman"/>
          <w:sz w:val="24"/>
          <w:szCs w:val="24"/>
        </w:rPr>
      </w:pPr>
      <w:r w:rsidRPr="00DA7D3C">
        <w:rPr>
          <w:rFonts w:ascii="Times New Roman" w:hAnsi="Times New Roman" w:cs="Times New Roman"/>
          <w:sz w:val="24"/>
          <w:szCs w:val="24"/>
        </w:rPr>
        <w:t>- за проведением осмотров на педикулез, учета заболеваемости, полноты и своевременности передачи экстренных извещений;</w:t>
      </w:r>
    </w:p>
    <w:p w:rsidR="002914EB" w:rsidRPr="00DA7D3C" w:rsidRDefault="002914EB" w:rsidP="00DA7D3C">
      <w:pPr>
        <w:tabs>
          <w:tab w:val="num" w:pos="0"/>
        </w:tabs>
        <w:spacing w:after="0"/>
        <w:ind w:firstLine="567"/>
        <w:jc w:val="both"/>
        <w:rPr>
          <w:rFonts w:ascii="Times New Roman" w:hAnsi="Times New Roman" w:cs="Times New Roman"/>
          <w:sz w:val="24"/>
          <w:szCs w:val="24"/>
        </w:rPr>
      </w:pPr>
      <w:r w:rsidRPr="00DA7D3C">
        <w:rPr>
          <w:rFonts w:ascii="Times New Roman" w:hAnsi="Times New Roman" w:cs="Times New Roman"/>
          <w:sz w:val="24"/>
          <w:szCs w:val="24"/>
        </w:rPr>
        <w:t>- за проведением лабораторной диагностики эпидемического сыпного тифа в учреждениях здравоохранения;</w:t>
      </w:r>
    </w:p>
    <w:p w:rsidR="002914EB" w:rsidRPr="00DA7D3C" w:rsidRDefault="002914EB" w:rsidP="006A23B3">
      <w:pPr>
        <w:pStyle w:val="aff"/>
        <w:numPr>
          <w:ilvl w:val="0"/>
          <w:numId w:val="43"/>
        </w:numPr>
        <w:tabs>
          <w:tab w:val="left" w:pos="0"/>
        </w:tabs>
        <w:spacing w:after="0" w:line="240" w:lineRule="auto"/>
        <w:ind w:left="0" w:firstLine="567"/>
        <w:contextualSpacing w:val="0"/>
        <w:jc w:val="both"/>
        <w:rPr>
          <w:rFonts w:ascii="Times New Roman" w:hAnsi="Times New Roman"/>
          <w:sz w:val="24"/>
          <w:szCs w:val="24"/>
        </w:rPr>
      </w:pPr>
      <w:r w:rsidRPr="00DA7D3C">
        <w:rPr>
          <w:rFonts w:ascii="Times New Roman" w:hAnsi="Times New Roman"/>
          <w:sz w:val="24"/>
          <w:szCs w:val="24"/>
        </w:rPr>
        <w:t>Контроль своевременности проведения периодических профилактических медицинских осмотров населения, в том числе групп высокого риска заболевания туберкулезом.</w:t>
      </w:r>
    </w:p>
    <w:p w:rsidR="002914EB" w:rsidRPr="00DA7D3C" w:rsidRDefault="002914EB" w:rsidP="006A23B3">
      <w:pPr>
        <w:pStyle w:val="aff"/>
        <w:numPr>
          <w:ilvl w:val="0"/>
          <w:numId w:val="43"/>
        </w:numPr>
        <w:tabs>
          <w:tab w:val="left" w:pos="0"/>
        </w:tabs>
        <w:spacing w:after="0" w:line="240" w:lineRule="auto"/>
        <w:ind w:left="0" w:firstLine="567"/>
        <w:contextualSpacing w:val="0"/>
        <w:jc w:val="both"/>
        <w:rPr>
          <w:rFonts w:ascii="Times New Roman" w:hAnsi="Times New Roman"/>
          <w:sz w:val="24"/>
          <w:szCs w:val="24"/>
        </w:rPr>
      </w:pPr>
      <w:r w:rsidRPr="00DA7D3C">
        <w:rPr>
          <w:rFonts w:ascii="Times New Roman" w:hAnsi="Times New Roman"/>
          <w:sz w:val="24"/>
          <w:szCs w:val="24"/>
        </w:rPr>
        <w:t>Контроль за организацией и проведением противоэпидемических мероприятий в очагах туберкулезной инфекции.</w:t>
      </w:r>
    </w:p>
    <w:p w:rsidR="002914EB" w:rsidRPr="008E5ED6" w:rsidRDefault="002914EB" w:rsidP="002914EB">
      <w:pPr>
        <w:tabs>
          <w:tab w:val="left" w:pos="0"/>
        </w:tabs>
        <w:spacing w:after="0"/>
        <w:jc w:val="both"/>
        <w:rPr>
          <w:rFonts w:ascii="Times New Roman" w:hAnsi="Times New Roman" w:cs="Times New Roman"/>
          <w:b/>
          <w:bCs/>
          <w:i/>
          <w:iCs/>
          <w:color w:val="FF0000"/>
          <w:sz w:val="24"/>
          <w:szCs w:val="24"/>
        </w:rPr>
      </w:pPr>
    </w:p>
    <w:p w:rsidR="002914EB" w:rsidRPr="009D73A3" w:rsidRDefault="002914EB" w:rsidP="002914EB">
      <w:pPr>
        <w:tabs>
          <w:tab w:val="left" w:pos="709"/>
        </w:tabs>
        <w:spacing w:after="0"/>
        <w:ind w:firstLine="709"/>
        <w:jc w:val="center"/>
        <w:rPr>
          <w:rFonts w:ascii="Times New Roman" w:hAnsi="Times New Roman" w:cs="Times New Roman"/>
          <w:b/>
          <w:iCs/>
          <w:sz w:val="24"/>
          <w:szCs w:val="24"/>
        </w:rPr>
      </w:pPr>
      <w:r w:rsidRPr="009D73A3">
        <w:rPr>
          <w:rFonts w:ascii="Times New Roman" w:hAnsi="Times New Roman" w:cs="Times New Roman"/>
          <w:b/>
          <w:iCs/>
          <w:sz w:val="24"/>
          <w:szCs w:val="24"/>
        </w:rPr>
        <w:t>В области профилактики паразитарных заболеваний</w:t>
      </w:r>
    </w:p>
    <w:p w:rsidR="002914EB" w:rsidRPr="00DA7D3C" w:rsidRDefault="002914EB" w:rsidP="006A23B3">
      <w:pPr>
        <w:pStyle w:val="aff"/>
        <w:numPr>
          <w:ilvl w:val="0"/>
          <w:numId w:val="44"/>
        </w:numPr>
        <w:tabs>
          <w:tab w:val="left" w:pos="0"/>
        </w:tabs>
        <w:spacing w:after="0" w:line="240" w:lineRule="auto"/>
        <w:ind w:left="0" w:firstLine="567"/>
        <w:contextualSpacing w:val="0"/>
        <w:jc w:val="both"/>
        <w:rPr>
          <w:rFonts w:ascii="Times New Roman" w:hAnsi="Times New Roman"/>
          <w:sz w:val="24"/>
          <w:szCs w:val="24"/>
        </w:rPr>
      </w:pPr>
      <w:r w:rsidRPr="00DA7D3C">
        <w:rPr>
          <w:rFonts w:ascii="Times New Roman" w:hAnsi="Times New Roman"/>
          <w:sz w:val="24"/>
          <w:szCs w:val="24"/>
        </w:rPr>
        <w:t>Продолжить выполнение программных мероприятий по профилактике биогельминтозов.</w:t>
      </w:r>
    </w:p>
    <w:p w:rsidR="002914EB" w:rsidRPr="00DA7D3C" w:rsidRDefault="002914EB" w:rsidP="006A23B3">
      <w:pPr>
        <w:pStyle w:val="aff"/>
        <w:numPr>
          <w:ilvl w:val="0"/>
          <w:numId w:val="44"/>
        </w:numPr>
        <w:tabs>
          <w:tab w:val="left" w:pos="0"/>
        </w:tabs>
        <w:spacing w:after="0" w:line="240" w:lineRule="auto"/>
        <w:ind w:left="0" w:firstLine="567"/>
        <w:contextualSpacing w:val="0"/>
        <w:jc w:val="both"/>
        <w:rPr>
          <w:rFonts w:ascii="Times New Roman" w:hAnsi="Times New Roman"/>
          <w:color w:val="FF0000"/>
          <w:sz w:val="24"/>
          <w:szCs w:val="24"/>
        </w:rPr>
      </w:pPr>
      <w:r w:rsidRPr="00DA7D3C">
        <w:rPr>
          <w:rFonts w:ascii="Times New Roman" w:hAnsi="Times New Roman"/>
          <w:sz w:val="24"/>
          <w:szCs w:val="24"/>
        </w:rPr>
        <w:t>Организация и проведение совещания с заинтересованными службами о  причинах низкой дегильментизаци населения и проблемных вопросах.</w:t>
      </w:r>
    </w:p>
    <w:p w:rsidR="002914EB" w:rsidRPr="008E5ED6" w:rsidRDefault="002914EB" w:rsidP="002914EB">
      <w:pPr>
        <w:tabs>
          <w:tab w:val="left" w:pos="709"/>
        </w:tabs>
        <w:jc w:val="both"/>
        <w:rPr>
          <w:rFonts w:ascii="Times New Roman" w:hAnsi="Times New Roman" w:cs="Times New Roman"/>
          <w:sz w:val="24"/>
          <w:szCs w:val="24"/>
        </w:rPr>
      </w:pPr>
    </w:p>
    <w:p w:rsidR="002914EB" w:rsidRPr="009D73A3" w:rsidRDefault="002914EB" w:rsidP="002914EB">
      <w:pPr>
        <w:pStyle w:val="afc"/>
        <w:jc w:val="center"/>
        <w:rPr>
          <w:b/>
          <w:sz w:val="24"/>
          <w:szCs w:val="24"/>
        </w:rPr>
      </w:pPr>
      <w:r w:rsidRPr="009D73A3">
        <w:rPr>
          <w:b/>
          <w:sz w:val="24"/>
          <w:szCs w:val="24"/>
        </w:rPr>
        <w:t>Рекомендации в области организации социально-гигиенического</w:t>
      </w:r>
    </w:p>
    <w:p w:rsidR="002914EB" w:rsidRPr="009D73A3" w:rsidRDefault="002914EB" w:rsidP="002914EB">
      <w:pPr>
        <w:pStyle w:val="afc"/>
        <w:jc w:val="center"/>
        <w:rPr>
          <w:b/>
          <w:sz w:val="24"/>
          <w:szCs w:val="24"/>
        </w:rPr>
      </w:pPr>
      <w:r w:rsidRPr="009D73A3">
        <w:rPr>
          <w:b/>
          <w:sz w:val="24"/>
          <w:szCs w:val="24"/>
        </w:rPr>
        <w:t>мониторинга:</w:t>
      </w:r>
    </w:p>
    <w:p w:rsidR="002914EB" w:rsidRPr="008E5ED6" w:rsidRDefault="002914EB" w:rsidP="006A23B3">
      <w:pPr>
        <w:widowControl w:val="0"/>
        <w:numPr>
          <w:ilvl w:val="0"/>
          <w:numId w:val="45"/>
        </w:numPr>
        <w:tabs>
          <w:tab w:val="clear" w:pos="1429"/>
          <w:tab w:val="num" w:pos="0"/>
          <w:tab w:val="left" w:pos="709"/>
        </w:tabs>
        <w:suppressAutoHyphens/>
        <w:snapToGrid w:val="0"/>
        <w:spacing w:after="0" w:line="240" w:lineRule="atLeast"/>
        <w:ind w:left="0" w:firstLine="567"/>
        <w:jc w:val="both"/>
        <w:rPr>
          <w:rFonts w:ascii="Times New Roman" w:hAnsi="Times New Roman" w:cs="Times New Roman"/>
          <w:sz w:val="24"/>
          <w:szCs w:val="24"/>
        </w:rPr>
      </w:pPr>
      <w:r w:rsidRPr="008E5ED6">
        <w:rPr>
          <w:rFonts w:ascii="Times New Roman" w:hAnsi="Times New Roman" w:cs="Times New Roman"/>
          <w:sz w:val="24"/>
          <w:szCs w:val="24"/>
        </w:rPr>
        <w:t>Обеспечить эффективное использование аналитических результатов социально-гигиенического мониторинга в принятии управленческих решений на всех уровнях власти.</w:t>
      </w:r>
    </w:p>
    <w:p w:rsidR="002914EB" w:rsidRPr="008E5ED6" w:rsidRDefault="002914EB" w:rsidP="006A23B3">
      <w:pPr>
        <w:widowControl w:val="0"/>
        <w:numPr>
          <w:ilvl w:val="0"/>
          <w:numId w:val="45"/>
        </w:numPr>
        <w:tabs>
          <w:tab w:val="clear" w:pos="1429"/>
          <w:tab w:val="num" w:pos="0"/>
          <w:tab w:val="left" w:pos="709"/>
        </w:tabs>
        <w:suppressAutoHyphens/>
        <w:snapToGrid w:val="0"/>
        <w:spacing w:after="0" w:line="240" w:lineRule="atLeast"/>
        <w:ind w:left="0" w:firstLine="567"/>
        <w:jc w:val="both"/>
        <w:rPr>
          <w:rFonts w:ascii="Times New Roman" w:hAnsi="Times New Roman" w:cs="Times New Roman"/>
          <w:sz w:val="24"/>
          <w:szCs w:val="24"/>
        </w:rPr>
      </w:pPr>
      <w:r w:rsidRPr="008E5ED6">
        <w:rPr>
          <w:rFonts w:ascii="Times New Roman" w:hAnsi="Times New Roman" w:cs="Times New Roman"/>
          <w:sz w:val="24"/>
          <w:szCs w:val="24"/>
        </w:rPr>
        <w:t>Совершенствовать аналитическую обработку показателей социально-гигиенического мониторинга.</w:t>
      </w:r>
    </w:p>
    <w:p w:rsidR="002914EB" w:rsidRPr="008E5ED6" w:rsidRDefault="002914EB" w:rsidP="006A23B3">
      <w:pPr>
        <w:widowControl w:val="0"/>
        <w:numPr>
          <w:ilvl w:val="0"/>
          <w:numId w:val="45"/>
        </w:numPr>
        <w:tabs>
          <w:tab w:val="clear" w:pos="1429"/>
          <w:tab w:val="num" w:pos="0"/>
          <w:tab w:val="left" w:pos="709"/>
        </w:tabs>
        <w:suppressAutoHyphens/>
        <w:snapToGrid w:val="0"/>
        <w:spacing w:after="0" w:line="240" w:lineRule="atLeast"/>
        <w:ind w:left="0" w:firstLine="567"/>
        <w:jc w:val="both"/>
        <w:rPr>
          <w:rFonts w:ascii="Times New Roman" w:hAnsi="Times New Roman" w:cs="Times New Roman"/>
          <w:sz w:val="24"/>
          <w:szCs w:val="24"/>
        </w:rPr>
      </w:pPr>
      <w:r w:rsidRPr="008E5ED6">
        <w:rPr>
          <w:rFonts w:ascii="Times New Roman" w:hAnsi="Times New Roman" w:cs="Times New Roman"/>
          <w:sz w:val="24"/>
          <w:szCs w:val="24"/>
        </w:rPr>
        <w:t>Обеспечить информирование населения и органов власти о  результатах СГМ для принятия ими управленческих решений.</w:t>
      </w:r>
    </w:p>
    <w:p w:rsidR="002914EB" w:rsidRPr="00250992" w:rsidRDefault="002914EB" w:rsidP="002914EB">
      <w:pPr>
        <w:pStyle w:val="aff"/>
        <w:ind w:left="0"/>
        <w:jc w:val="both"/>
      </w:pPr>
    </w:p>
    <w:p w:rsidR="002914EB" w:rsidRPr="00250992" w:rsidRDefault="002914EB" w:rsidP="002914EB">
      <w:pPr>
        <w:pStyle w:val="aff"/>
        <w:ind w:left="0"/>
        <w:jc w:val="both"/>
      </w:pPr>
    </w:p>
    <w:p w:rsidR="002914EB" w:rsidRPr="00250992" w:rsidRDefault="002914EB" w:rsidP="002914EB">
      <w:pPr>
        <w:jc w:val="both"/>
        <w:rPr>
          <w:rFonts w:ascii="Times New Roman" w:hAnsi="Times New Roman" w:cs="Times New Roman"/>
          <w:b/>
          <w:sz w:val="26"/>
          <w:szCs w:val="26"/>
        </w:rPr>
      </w:pPr>
    </w:p>
    <w:p w:rsidR="002914EB" w:rsidRDefault="002914EB" w:rsidP="002914EB">
      <w:pPr>
        <w:pBdr>
          <w:bottom w:val="single" w:sz="4" w:space="3" w:color="auto"/>
        </w:pBdr>
        <w:autoSpaceDE w:val="0"/>
        <w:autoSpaceDN w:val="0"/>
        <w:spacing w:after="0"/>
        <w:ind w:left="60"/>
        <w:contextualSpacing/>
        <w:jc w:val="both"/>
        <w:rPr>
          <w:rFonts w:ascii="Times New Roman" w:hAnsi="Times New Roman" w:cs="Times New Roman"/>
          <w:color w:val="000000"/>
          <w:sz w:val="24"/>
          <w:szCs w:val="24"/>
        </w:rPr>
      </w:pPr>
    </w:p>
    <w:p w:rsidR="002914EB" w:rsidRDefault="002914EB" w:rsidP="002914EB">
      <w:pPr>
        <w:pBdr>
          <w:bottom w:val="single" w:sz="4" w:space="3" w:color="auto"/>
        </w:pBdr>
        <w:autoSpaceDE w:val="0"/>
        <w:autoSpaceDN w:val="0"/>
        <w:spacing w:after="0"/>
        <w:ind w:left="60"/>
        <w:contextualSpacing/>
        <w:jc w:val="both"/>
        <w:rPr>
          <w:rFonts w:ascii="Times New Roman" w:hAnsi="Times New Roman" w:cs="Times New Roman"/>
          <w:color w:val="000000"/>
          <w:sz w:val="24"/>
          <w:szCs w:val="24"/>
        </w:rPr>
      </w:pPr>
    </w:p>
    <w:p w:rsidR="002914EB" w:rsidRPr="002B6BC0" w:rsidRDefault="002914EB" w:rsidP="002914EB">
      <w:pPr>
        <w:widowControl w:val="0"/>
        <w:autoSpaceDE w:val="0"/>
        <w:autoSpaceDN w:val="0"/>
        <w:adjustRightInd w:val="0"/>
        <w:spacing w:after="0"/>
        <w:jc w:val="center"/>
        <w:rPr>
          <w:rFonts w:ascii="Times New Roman" w:hAnsi="Times New Roman" w:cs="Times New Roman"/>
          <w:b/>
          <w:bCs/>
          <w:sz w:val="24"/>
          <w:szCs w:val="24"/>
        </w:rPr>
      </w:pPr>
    </w:p>
    <w:p w:rsidR="002914EB" w:rsidRPr="002B6BC0" w:rsidRDefault="002914EB" w:rsidP="002914EB">
      <w:pPr>
        <w:spacing w:after="0"/>
        <w:ind w:firstLine="708"/>
        <w:jc w:val="both"/>
        <w:rPr>
          <w:rFonts w:ascii="Times New Roman" w:hAnsi="Times New Roman" w:cs="Times New Roman"/>
          <w:sz w:val="24"/>
          <w:szCs w:val="24"/>
        </w:rPr>
      </w:pPr>
    </w:p>
    <w:p w:rsidR="002914EB" w:rsidRPr="00542B6B" w:rsidRDefault="002914EB" w:rsidP="002914EB">
      <w:pPr>
        <w:tabs>
          <w:tab w:val="left" w:pos="1134"/>
        </w:tabs>
        <w:spacing w:after="0" w:line="240" w:lineRule="auto"/>
        <w:ind w:right="-1"/>
        <w:jc w:val="both"/>
        <w:rPr>
          <w:rFonts w:ascii="Times New Roman" w:hAnsi="Times New Roman" w:cs="Times New Roman"/>
          <w:sz w:val="24"/>
          <w:szCs w:val="24"/>
        </w:rPr>
      </w:pPr>
    </w:p>
    <w:p w:rsidR="002914EB" w:rsidRDefault="002914EB" w:rsidP="002914EB">
      <w:pPr>
        <w:spacing w:before="20" w:after="20" w:line="240" w:lineRule="auto"/>
        <w:jc w:val="both"/>
        <w:rPr>
          <w:rFonts w:ascii="Times New Roman" w:eastAsia="Times New Roman" w:hAnsi="Times New Roman"/>
          <w:sz w:val="24"/>
          <w:szCs w:val="24"/>
          <w:lang w:eastAsia="ru-RU"/>
        </w:rPr>
      </w:pPr>
    </w:p>
    <w:p w:rsidR="00630798" w:rsidRPr="00A702CD" w:rsidRDefault="00630798" w:rsidP="00630798">
      <w:pPr>
        <w:spacing w:after="0"/>
        <w:rPr>
          <w:rFonts w:ascii="Times New Roman" w:hAnsi="Times New Roman" w:cs="Times New Roman"/>
          <w:sz w:val="24"/>
          <w:szCs w:val="24"/>
        </w:rPr>
      </w:pPr>
    </w:p>
    <w:p w:rsidR="00AE0A94" w:rsidRPr="008F3AF5" w:rsidRDefault="00AE0A94" w:rsidP="008F3AF5">
      <w:pPr>
        <w:spacing w:after="0" w:line="240" w:lineRule="auto"/>
        <w:rPr>
          <w:sz w:val="24"/>
          <w:szCs w:val="24"/>
        </w:rPr>
      </w:pPr>
    </w:p>
    <w:sectPr w:rsidR="00AE0A94" w:rsidRPr="008F3AF5" w:rsidSect="003864C3">
      <w:footerReference w:type="default" r:id="rId55"/>
      <w:pgSz w:w="11906" w:h="16838"/>
      <w:pgMar w:top="567" w:right="849" w:bottom="1135"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F9A" w:rsidRDefault="00850F9A" w:rsidP="00101249">
      <w:pPr>
        <w:spacing w:after="0" w:line="240" w:lineRule="auto"/>
      </w:pPr>
      <w:r>
        <w:separator/>
      </w:r>
    </w:p>
  </w:endnote>
  <w:endnote w:type="continuationSeparator" w:id="0">
    <w:p w:rsidR="00850F9A" w:rsidRDefault="00850F9A" w:rsidP="0010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523279"/>
      <w:docPartObj>
        <w:docPartGallery w:val="Page Numbers (Bottom of Page)"/>
        <w:docPartUnique/>
      </w:docPartObj>
    </w:sdtPr>
    <w:sdtEndPr/>
    <w:sdtContent>
      <w:p w:rsidR="004F742E" w:rsidRDefault="004F742E">
        <w:pPr>
          <w:pStyle w:val="af"/>
          <w:jc w:val="right"/>
        </w:pPr>
        <w:r>
          <w:fldChar w:fldCharType="begin"/>
        </w:r>
        <w:r>
          <w:instrText>PAGE   \* MERGEFORMAT</w:instrText>
        </w:r>
        <w:r>
          <w:fldChar w:fldCharType="separate"/>
        </w:r>
        <w:r w:rsidR="00766BAB" w:rsidRPr="00766BAB">
          <w:rPr>
            <w:noProof/>
            <w:lang w:val="ru-RU"/>
          </w:rPr>
          <w:t>168</w:t>
        </w:r>
        <w:r>
          <w:fldChar w:fldCharType="end"/>
        </w:r>
      </w:p>
    </w:sdtContent>
  </w:sdt>
  <w:p w:rsidR="004F742E" w:rsidRDefault="004F742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F9A" w:rsidRDefault="00850F9A" w:rsidP="00101249">
      <w:pPr>
        <w:spacing w:after="0" w:line="240" w:lineRule="auto"/>
      </w:pPr>
      <w:r>
        <w:separator/>
      </w:r>
    </w:p>
  </w:footnote>
  <w:footnote w:type="continuationSeparator" w:id="0">
    <w:p w:rsidR="00850F9A" w:rsidRDefault="00850F9A" w:rsidP="001012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C9C4EB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446E1C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5E2503C"/>
    <w:multiLevelType w:val="hybridMultilevel"/>
    <w:tmpl w:val="ABD463CE"/>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15:restartNumberingAfterBreak="0">
    <w:nsid w:val="0635586B"/>
    <w:multiLevelType w:val="singleLevel"/>
    <w:tmpl w:val="30F0F1A8"/>
    <w:lvl w:ilvl="0">
      <w:numFmt w:val="bullet"/>
      <w:lvlText w:val="-"/>
      <w:lvlJc w:val="left"/>
      <w:pPr>
        <w:tabs>
          <w:tab w:val="num" w:pos="1080"/>
        </w:tabs>
        <w:ind w:left="1080" w:hanging="360"/>
      </w:pPr>
      <w:rPr>
        <w:rFonts w:hint="default"/>
      </w:rPr>
    </w:lvl>
  </w:abstractNum>
  <w:abstractNum w:abstractNumId="4" w15:restartNumberingAfterBreak="0">
    <w:nsid w:val="06673B0D"/>
    <w:multiLevelType w:val="hybridMultilevel"/>
    <w:tmpl w:val="219A7374"/>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15:restartNumberingAfterBreak="0">
    <w:nsid w:val="07E4658E"/>
    <w:multiLevelType w:val="singleLevel"/>
    <w:tmpl w:val="30F0F1A8"/>
    <w:lvl w:ilvl="0">
      <w:numFmt w:val="bullet"/>
      <w:lvlText w:val="-"/>
      <w:lvlJc w:val="left"/>
      <w:pPr>
        <w:tabs>
          <w:tab w:val="num" w:pos="786"/>
        </w:tabs>
        <w:ind w:left="786" w:hanging="360"/>
      </w:pPr>
      <w:rPr>
        <w:rFonts w:hint="default"/>
        <w:color w:val="000000"/>
      </w:rPr>
    </w:lvl>
  </w:abstractNum>
  <w:abstractNum w:abstractNumId="6" w15:restartNumberingAfterBreak="0">
    <w:nsid w:val="0D260D8A"/>
    <w:multiLevelType w:val="hybridMultilevel"/>
    <w:tmpl w:val="281C18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5507F3"/>
    <w:multiLevelType w:val="hybridMultilevel"/>
    <w:tmpl w:val="EF8A1952"/>
    <w:lvl w:ilvl="0" w:tplc="E5A6D86A">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1E65C02"/>
    <w:multiLevelType w:val="multilevel"/>
    <w:tmpl w:val="B61005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9703BB"/>
    <w:multiLevelType w:val="hybridMultilevel"/>
    <w:tmpl w:val="84A2DBA6"/>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15:restartNumberingAfterBreak="0">
    <w:nsid w:val="1A0024FA"/>
    <w:multiLevelType w:val="hybridMultilevel"/>
    <w:tmpl w:val="85D82596"/>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15:restartNumberingAfterBreak="0">
    <w:nsid w:val="1BBC255D"/>
    <w:multiLevelType w:val="hybridMultilevel"/>
    <w:tmpl w:val="FB5CA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EC2B59"/>
    <w:multiLevelType w:val="hybridMultilevel"/>
    <w:tmpl w:val="355C8E2E"/>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55E48D8"/>
    <w:multiLevelType w:val="hybridMultilevel"/>
    <w:tmpl w:val="926CE6A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257A77EE"/>
    <w:multiLevelType w:val="hybridMultilevel"/>
    <w:tmpl w:val="99500B58"/>
    <w:lvl w:ilvl="0" w:tplc="3DA06D9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25DB6A86"/>
    <w:multiLevelType w:val="hybridMultilevel"/>
    <w:tmpl w:val="E45AE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F625E9"/>
    <w:multiLevelType w:val="hybridMultilevel"/>
    <w:tmpl w:val="1BCCA7C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07E7C1B"/>
    <w:multiLevelType w:val="hybridMultilevel"/>
    <w:tmpl w:val="DE60A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823712"/>
    <w:multiLevelType w:val="hybridMultilevel"/>
    <w:tmpl w:val="FA9CEE42"/>
    <w:lvl w:ilvl="0" w:tplc="04190001">
      <w:start w:val="1"/>
      <w:numFmt w:val="bullet"/>
      <w:lvlText w:val=""/>
      <w:lvlJc w:val="left"/>
      <w:pPr>
        <w:tabs>
          <w:tab w:val="num" w:pos="1446"/>
        </w:tabs>
        <w:ind w:left="1446" w:hanging="360"/>
      </w:pPr>
      <w:rPr>
        <w:rFonts w:ascii="Symbol" w:hAnsi="Symbol" w:hint="default"/>
      </w:rPr>
    </w:lvl>
    <w:lvl w:ilvl="1" w:tplc="04190003">
      <w:start w:val="1"/>
      <w:numFmt w:val="bullet"/>
      <w:lvlText w:val="o"/>
      <w:lvlJc w:val="left"/>
      <w:pPr>
        <w:tabs>
          <w:tab w:val="num" w:pos="2166"/>
        </w:tabs>
        <w:ind w:left="2166" w:hanging="360"/>
      </w:pPr>
      <w:rPr>
        <w:rFonts w:ascii="Courier New" w:hAnsi="Courier New" w:hint="default"/>
      </w:rPr>
    </w:lvl>
    <w:lvl w:ilvl="2" w:tplc="04190005">
      <w:start w:val="1"/>
      <w:numFmt w:val="bullet"/>
      <w:lvlText w:val=""/>
      <w:lvlJc w:val="left"/>
      <w:pPr>
        <w:tabs>
          <w:tab w:val="num" w:pos="2886"/>
        </w:tabs>
        <w:ind w:left="2886" w:hanging="360"/>
      </w:pPr>
      <w:rPr>
        <w:rFonts w:ascii="Wingdings" w:hAnsi="Wingdings" w:hint="default"/>
      </w:rPr>
    </w:lvl>
    <w:lvl w:ilvl="3" w:tplc="04190001">
      <w:start w:val="1"/>
      <w:numFmt w:val="bullet"/>
      <w:lvlText w:val=""/>
      <w:lvlJc w:val="left"/>
      <w:pPr>
        <w:tabs>
          <w:tab w:val="num" w:pos="3606"/>
        </w:tabs>
        <w:ind w:left="3606" w:hanging="360"/>
      </w:pPr>
      <w:rPr>
        <w:rFonts w:ascii="Symbol" w:hAnsi="Symbol" w:hint="default"/>
      </w:rPr>
    </w:lvl>
    <w:lvl w:ilvl="4" w:tplc="04190003">
      <w:start w:val="1"/>
      <w:numFmt w:val="bullet"/>
      <w:lvlText w:val="o"/>
      <w:lvlJc w:val="left"/>
      <w:pPr>
        <w:tabs>
          <w:tab w:val="num" w:pos="4326"/>
        </w:tabs>
        <w:ind w:left="4326" w:hanging="360"/>
      </w:pPr>
      <w:rPr>
        <w:rFonts w:ascii="Courier New" w:hAnsi="Courier New" w:hint="default"/>
      </w:rPr>
    </w:lvl>
    <w:lvl w:ilvl="5" w:tplc="04190005">
      <w:start w:val="1"/>
      <w:numFmt w:val="bullet"/>
      <w:lvlText w:val=""/>
      <w:lvlJc w:val="left"/>
      <w:pPr>
        <w:tabs>
          <w:tab w:val="num" w:pos="5046"/>
        </w:tabs>
        <w:ind w:left="5046" w:hanging="360"/>
      </w:pPr>
      <w:rPr>
        <w:rFonts w:ascii="Wingdings" w:hAnsi="Wingdings" w:hint="default"/>
      </w:rPr>
    </w:lvl>
    <w:lvl w:ilvl="6" w:tplc="04190001">
      <w:start w:val="1"/>
      <w:numFmt w:val="bullet"/>
      <w:lvlText w:val=""/>
      <w:lvlJc w:val="left"/>
      <w:pPr>
        <w:tabs>
          <w:tab w:val="num" w:pos="5766"/>
        </w:tabs>
        <w:ind w:left="5766" w:hanging="360"/>
      </w:pPr>
      <w:rPr>
        <w:rFonts w:ascii="Symbol" w:hAnsi="Symbol" w:hint="default"/>
      </w:rPr>
    </w:lvl>
    <w:lvl w:ilvl="7" w:tplc="04190003">
      <w:start w:val="1"/>
      <w:numFmt w:val="bullet"/>
      <w:lvlText w:val="o"/>
      <w:lvlJc w:val="left"/>
      <w:pPr>
        <w:tabs>
          <w:tab w:val="num" w:pos="6486"/>
        </w:tabs>
        <w:ind w:left="6486" w:hanging="360"/>
      </w:pPr>
      <w:rPr>
        <w:rFonts w:ascii="Courier New" w:hAnsi="Courier New" w:hint="default"/>
      </w:rPr>
    </w:lvl>
    <w:lvl w:ilvl="8" w:tplc="04190005">
      <w:start w:val="1"/>
      <w:numFmt w:val="bullet"/>
      <w:lvlText w:val=""/>
      <w:lvlJc w:val="left"/>
      <w:pPr>
        <w:tabs>
          <w:tab w:val="num" w:pos="7206"/>
        </w:tabs>
        <w:ind w:left="7206" w:hanging="360"/>
      </w:pPr>
      <w:rPr>
        <w:rFonts w:ascii="Wingdings" w:hAnsi="Wingdings" w:hint="default"/>
      </w:rPr>
    </w:lvl>
  </w:abstractNum>
  <w:abstractNum w:abstractNumId="19" w15:restartNumberingAfterBreak="0">
    <w:nsid w:val="31C1771F"/>
    <w:multiLevelType w:val="singleLevel"/>
    <w:tmpl w:val="30F0F1A8"/>
    <w:lvl w:ilvl="0">
      <w:numFmt w:val="bullet"/>
      <w:lvlText w:val="-"/>
      <w:lvlJc w:val="left"/>
      <w:pPr>
        <w:tabs>
          <w:tab w:val="num" w:pos="1080"/>
        </w:tabs>
        <w:ind w:left="1080" w:hanging="360"/>
      </w:pPr>
      <w:rPr>
        <w:rFonts w:hint="default"/>
      </w:rPr>
    </w:lvl>
  </w:abstractNum>
  <w:abstractNum w:abstractNumId="20" w15:restartNumberingAfterBreak="0">
    <w:nsid w:val="3B127279"/>
    <w:multiLevelType w:val="hybridMultilevel"/>
    <w:tmpl w:val="AAA27A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DD556D7"/>
    <w:multiLevelType w:val="multilevel"/>
    <w:tmpl w:val="7EB68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CF114D"/>
    <w:multiLevelType w:val="hybridMultilevel"/>
    <w:tmpl w:val="058A02B2"/>
    <w:lvl w:ilvl="0" w:tplc="5C327E5A">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5F6A9F"/>
    <w:multiLevelType w:val="hybridMultilevel"/>
    <w:tmpl w:val="58C8502A"/>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15:restartNumberingAfterBreak="0">
    <w:nsid w:val="499B0C6C"/>
    <w:multiLevelType w:val="hybridMultilevel"/>
    <w:tmpl w:val="54769F00"/>
    <w:lvl w:ilvl="0" w:tplc="0419000B">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25" w15:restartNumberingAfterBreak="0">
    <w:nsid w:val="4EB9569A"/>
    <w:multiLevelType w:val="hybridMultilevel"/>
    <w:tmpl w:val="D5EEC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412E42"/>
    <w:multiLevelType w:val="hybridMultilevel"/>
    <w:tmpl w:val="A50A06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EA0C99"/>
    <w:multiLevelType w:val="hybridMultilevel"/>
    <w:tmpl w:val="D54A0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9A5A59"/>
    <w:multiLevelType w:val="hybridMultilevel"/>
    <w:tmpl w:val="82A0DB26"/>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37B558F"/>
    <w:multiLevelType w:val="hybridMultilevel"/>
    <w:tmpl w:val="3D5EA7DA"/>
    <w:lvl w:ilvl="0" w:tplc="F3ACD244">
      <w:start w:val="1"/>
      <w:numFmt w:val="bullet"/>
      <w:lvlText w:val=""/>
      <w:lvlJc w:val="left"/>
      <w:pPr>
        <w:tabs>
          <w:tab w:val="num" w:pos="709"/>
        </w:tabs>
        <w:ind w:left="709" w:hanging="349"/>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8F566D"/>
    <w:multiLevelType w:val="hybridMultilevel"/>
    <w:tmpl w:val="7A6CEA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DC27C7"/>
    <w:multiLevelType w:val="hybridMultilevel"/>
    <w:tmpl w:val="6D722F04"/>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2" w15:restartNumberingAfterBreak="0">
    <w:nsid w:val="57E24E9A"/>
    <w:multiLevelType w:val="hybridMultilevel"/>
    <w:tmpl w:val="735E63C2"/>
    <w:lvl w:ilvl="0" w:tplc="04190001">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33" w15:restartNumberingAfterBreak="0">
    <w:nsid w:val="58CE183C"/>
    <w:multiLevelType w:val="hybridMultilevel"/>
    <w:tmpl w:val="D3C49D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F976D8"/>
    <w:multiLevelType w:val="hybridMultilevel"/>
    <w:tmpl w:val="E1260494"/>
    <w:lvl w:ilvl="0" w:tplc="E7BA847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AD435A"/>
    <w:multiLevelType w:val="hybridMultilevel"/>
    <w:tmpl w:val="362A48E4"/>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6" w15:restartNumberingAfterBreak="0">
    <w:nsid w:val="5CD931B9"/>
    <w:multiLevelType w:val="hybridMultilevel"/>
    <w:tmpl w:val="90245694"/>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7" w15:restartNumberingAfterBreak="0">
    <w:nsid w:val="5D526C50"/>
    <w:multiLevelType w:val="hybridMultilevel"/>
    <w:tmpl w:val="0EAE79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9C3816"/>
    <w:multiLevelType w:val="hybridMultilevel"/>
    <w:tmpl w:val="B37A0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6E4462"/>
    <w:multiLevelType w:val="hybridMultilevel"/>
    <w:tmpl w:val="70667D66"/>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63BA2450"/>
    <w:multiLevelType w:val="hybridMultilevel"/>
    <w:tmpl w:val="8D2C4E7A"/>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1" w15:restartNumberingAfterBreak="0">
    <w:nsid w:val="643E7577"/>
    <w:multiLevelType w:val="hybridMultilevel"/>
    <w:tmpl w:val="4126C05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15:restartNumberingAfterBreak="0">
    <w:nsid w:val="673352B8"/>
    <w:multiLevelType w:val="hybridMultilevel"/>
    <w:tmpl w:val="5E820AAC"/>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43" w15:restartNumberingAfterBreak="0">
    <w:nsid w:val="6DD3095D"/>
    <w:multiLevelType w:val="hybridMultilevel"/>
    <w:tmpl w:val="9E968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1736FF"/>
    <w:multiLevelType w:val="hybridMultilevel"/>
    <w:tmpl w:val="B9521800"/>
    <w:lvl w:ilvl="0" w:tplc="E834C1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5" w15:restartNumberingAfterBreak="0">
    <w:nsid w:val="758426BA"/>
    <w:multiLevelType w:val="hybridMultilevel"/>
    <w:tmpl w:val="69AE9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48779F"/>
    <w:multiLevelType w:val="hybridMultilevel"/>
    <w:tmpl w:val="DC94B8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38"/>
  </w:num>
  <w:num w:numId="3">
    <w:abstractNumId w:val="18"/>
  </w:num>
  <w:num w:numId="4">
    <w:abstractNumId w:val="14"/>
  </w:num>
  <w:num w:numId="5">
    <w:abstractNumId w:val="5"/>
  </w:num>
  <w:num w:numId="6">
    <w:abstractNumId w:val="42"/>
  </w:num>
  <w:num w:numId="7">
    <w:abstractNumId w:val="19"/>
  </w:num>
  <w:num w:numId="8">
    <w:abstractNumId w:val="1"/>
  </w:num>
  <w:num w:numId="9">
    <w:abstractNumId w:val="3"/>
  </w:num>
  <w:num w:numId="10">
    <w:abstractNumId w:val="32"/>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9"/>
  </w:num>
  <w:num w:numId="14">
    <w:abstractNumId w:val="0"/>
  </w:num>
  <w:num w:numId="15">
    <w:abstractNumId w:val="21"/>
  </w:num>
  <w:num w:numId="16">
    <w:abstractNumId w:val="22"/>
  </w:num>
  <w:num w:numId="17">
    <w:abstractNumId w:val="45"/>
  </w:num>
  <w:num w:numId="18">
    <w:abstractNumId w:val="30"/>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7"/>
  </w:num>
  <w:num w:numId="24">
    <w:abstractNumId w:val="15"/>
  </w:num>
  <w:num w:numId="25">
    <w:abstractNumId w:val="11"/>
  </w:num>
  <w:num w:numId="26">
    <w:abstractNumId w:val="27"/>
  </w:num>
  <w:num w:numId="27">
    <w:abstractNumId w:val="37"/>
  </w:num>
  <w:num w:numId="28">
    <w:abstractNumId w:val="6"/>
  </w:num>
  <w:num w:numId="29">
    <w:abstractNumId w:val="24"/>
  </w:num>
  <w:num w:numId="30">
    <w:abstractNumId w:val="33"/>
  </w:num>
  <w:num w:numId="31">
    <w:abstractNumId w:val="41"/>
  </w:num>
  <w:num w:numId="32">
    <w:abstractNumId w:val="28"/>
  </w:num>
  <w:num w:numId="33">
    <w:abstractNumId w:val="2"/>
  </w:num>
  <w:num w:numId="34">
    <w:abstractNumId w:val="10"/>
  </w:num>
  <w:num w:numId="35">
    <w:abstractNumId w:val="9"/>
  </w:num>
  <w:num w:numId="36">
    <w:abstractNumId w:val="36"/>
  </w:num>
  <w:num w:numId="37">
    <w:abstractNumId w:val="13"/>
  </w:num>
  <w:num w:numId="38">
    <w:abstractNumId w:val="40"/>
  </w:num>
  <w:num w:numId="39">
    <w:abstractNumId w:val="35"/>
  </w:num>
  <w:num w:numId="40">
    <w:abstractNumId w:val="31"/>
  </w:num>
  <w:num w:numId="41">
    <w:abstractNumId w:val="26"/>
  </w:num>
  <w:num w:numId="42">
    <w:abstractNumId w:val="4"/>
  </w:num>
  <w:num w:numId="43">
    <w:abstractNumId w:val="25"/>
  </w:num>
  <w:num w:numId="44">
    <w:abstractNumId w:val="34"/>
  </w:num>
  <w:num w:numId="45">
    <w:abstractNumId w:val="23"/>
  </w:num>
  <w:num w:numId="46">
    <w:abstractNumId w:val="43"/>
  </w:num>
  <w:num w:numId="47">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73"/>
    <w:rsid w:val="00047DBB"/>
    <w:rsid w:val="00101249"/>
    <w:rsid w:val="00115EE6"/>
    <w:rsid w:val="0023160C"/>
    <w:rsid w:val="00234321"/>
    <w:rsid w:val="002914EB"/>
    <w:rsid w:val="002E57C5"/>
    <w:rsid w:val="003046B9"/>
    <w:rsid w:val="00335D41"/>
    <w:rsid w:val="003864C3"/>
    <w:rsid w:val="003903BF"/>
    <w:rsid w:val="0043363D"/>
    <w:rsid w:val="004D4D70"/>
    <w:rsid w:val="004F742E"/>
    <w:rsid w:val="005019AD"/>
    <w:rsid w:val="0054564D"/>
    <w:rsid w:val="00630798"/>
    <w:rsid w:val="00663B4E"/>
    <w:rsid w:val="00681EB0"/>
    <w:rsid w:val="006A23B3"/>
    <w:rsid w:val="006D1B8B"/>
    <w:rsid w:val="0071489F"/>
    <w:rsid w:val="007316ED"/>
    <w:rsid w:val="007573E5"/>
    <w:rsid w:val="00766BAB"/>
    <w:rsid w:val="00805632"/>
    <w:rsid w:val="00850F9A"/>
    <w:rsid w:val="008F3AF5"/>
    <w:rsid w:val="00946FE0"/>
    <w:rsid w:val="00964F92"/>
    <w:rsid w:val="00975A29"/>
    <w:rsid w:val="009F1F1F"/>
    <w:rsid w:val="009F28A6"/>
    <w:rsid w:val="00A366B1"/>
    <w:rsid w:val="00A47BC3"/>
    <w:rsid w:val="00A521EB"/>
    <w:rsid w:val="00AA7DFC"/>
    <w:rsid w:val="00AE0A94"/>
    <w:rsid w:val="00B879AE"/>
    <w:rsid w:val="00B92CDF"/>
    <w:rsid w:val="00BC5425"/>
    <w:rsid w:val="00C71F56"/>
    <w:rsid w:val="00CD5DF1"/>
    <w:rsid w:val="00D274B0"/>
    <w:rsid w:val="00D47B73"/>
    <w:rsid w:val="00D66531"/>
    <w:rsid w:val="00D74571"/>
    <w:rsid w:val="00DA7D3C"/>
    <w:rsid w:val="00E43F17"/>
    <w:rsid w:val="00F61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A3BF6C9-7D11-4673-84AC-E38E89AC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AE0A94"/>
    <w:pPr>
      <w:keepNext/>
      <w:spacing w:after="0" w:line="240" w:lineRule="auto"/>
      <w:jc w:val="center"/>
      <w:outlineLvl w:val="0"/>
    </w:pPr>
    <w:rPr>
      <w:rFonts w:ascii="Times New Roman" w:eastAsia="Times New Roman" w:hAnsi="Times New Roman" w:cs="Times New Roman"/>
      <w:sz w:val="28"/>
      <w:szCs w:val="20"/>
      <w:lang w:val="en-US" w:eastAsia="ru-RU"/>
    </w:rPr>
  </w:style>
  <w:style w:type="paragraph" w:styleId="20">
    <w:name w:val="heading 2"/>
    <w:basedOn w:val="a0"/>
    <w:next w:val="a0"/>
    <w:link w:val="21"/>
    <w:uiPriority w:val="99"/>
    <w:qFormat/>
    <w:rsid w:val="008F3AF5"/>
    <w:pPr>
      <w:keepNext/>
      <w:spacing w:after="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0"/>
    <w:uiPriority w:val="99"/>
    <w:qFormat/>
    <w:rsid w:val="008F3AF5"/>
    <w:pPr>
      <w:keepNext/>
      <w:spacing w:after="0" w:line="240" w:lineRule="auto"/>
      <w:outlineLvl w:val="2"/>
    </w:pPr>
    <w:rPr>
      <w:rFonts w:ascii="Cambria" w:eastAsia="Times New Roman" w:hAnsi="Cambria" w:cs="Times New Roman"/>
      <w:b/>
      <w:bCs/>
      <w:sz w:val="26"/>
      <w:szCs w:val="26"/>
      <w:lang w:val="x-none" w:eastAsia="x-none"/>
    </w:rPr>
  </w:style>
  <w:style w:type="paragraph" w:styleId="4">
    <w:name w:val="heading 4"/>
    <w:basedOn w:val="a0"/>
    <w:next w:val="a0"/>
    <w:link w:val="40"/>
    <w:qFormat/>
    <w:rsid w:val="008F3AF5"/>
    <w:pPr>
      <w:keepNext/>
      <w:spacing w:after="0" w:line="240" w:lineRule="auto"/>
      <w:jc w:val="center"/>
      <w:outlineLvl w:val="3"/>
    </w:pPr>
    <w:rPr>
      <w:rFonts w:ascii="Calibri" w:eastAsia="Times New Roman" w:hAnsi="Calibri" w:cs="Times New Roman"/>
      <w:b/>
      <w:bCs/>
      <w:sz w:val="28"/>
      <w:szCs w:val="28"/>
      <w:lang w:val="x-none" w:eastAsia="x-none"/>
    </w:rPr>
  </w:style>
  <w:style w:type="paragraph" w:styleId="5">
    <w:name w:val="heading 5"/>
    <w:basedOn w:val="a0"/>
    <w:next w:val="a0"/>
    <w:link w:val="50"/>
    <w:qFormat/>
    <w:rsid w:val="008F3AF5"/>
    <w:pPr>
      <w:keepNext/>
      <w:spacing w:after="0" w:line="240" w:lineRule="auto"/>
      <w:jc w:val="both"/>
      <w:outlineLvl w:val="4"/>
    </w:pPr>
    <w:rPr>
      <w:rFonts w:ascii="Calibri" w:eastAsia="Times New Roman" w:hAnsi="Calibri" w:cs="Times New Roman"/>
      <w:b/>
      <w:bCs/>
      <w:i/>
      <w:iCs/>
      <w:sz w:val="26"/>
      <w:szCs w:val="26"/>
      <w:lang w:val="x-none" w:eastAsia="x-none"/>
    </w:rPr>
  </w:style>
  <w:style w:type="paragraph" w:styleId="6">
    <w:name w:val="heading 6"/>
    <w:basedOn w:val="a0"/>
    <w:next w:val="a0"/>
    <w:link w:val="60"/>
    <w:uiPriority w:val="99"/>
    <w:qFormat/>
    <w:rsid w:val="008F3AF5"/>
    <w:pPr>
      <w:keepNext/>
      <w:spacing w:after="0" w:line="240" w:lineRule="auto"/>
      <w:jc w:val="right"/>
      <w:outlineLvl w:val="5"/>
    </w:pPr>
    <w:rPr>
      <w:rFonts w:ascii="Calibri" w:eastAsia="Times New Roman" w:hAnsi="Calibri" w:cs="Times New Roman"/>
      <w:b/>
      <w:bCs/>
      <w:lang w:val="x-none" w:eastAsia="x-none"/>
    </w:rPr>
  </w:style>
  <w:style w:type="paragraph" w:styleId="7">
    <w:name w:val="heading 7"/>
    <w:basedOn w:val="a0"/>
    <w:next w:val="a0"/>
    <w:link w:val="70"/>
    <w:uiPriority w:val="99"/>
    <w:qFormat/>
    <w:rsid w:val="008F3AF5"/>
    <w:pPr>
      <w:keepNext/>
      <w:spacing w:after="0" w:line="240" w:lineRule="auto"/>
      <w:jc w:val="center"/>
      <w:outlineLvl w:val="6"/>
    </w:pPr>
    <w:rPr>
      <w:rFonts w:ascii="Calibri" w:eastAsia="Times New Roman" w:hAnsi="Calibri" w:cs="Times New Roman"/>
      <w:sz w:val="24"/>
      <w:szCs w:val="24"/>
      <w:lang w:val="x-none" w:eastAsia="x-none"/>
    </w:rPr>
  </w:style>
  <w:style w:type="paragraph" w:styleId="8">
    <w:name w:val="heading 8"/>
    <w:basedOn w:val="a0"/>
    <w:next w:val="a0"/>
    <w:link w:val="80"/>
    <w:qFormat/>
    <w:rsid w:val="008F3AF5"/>
    <w:pPr>
      <w:keepNext/>
      <w:spacing w:after="0" w:line="240" w:lineRule="auto"/>
      <w:jc w:val="center"/>
      <w:outlineLvl w:val="7"/>
    </w:pPr>
    <w:rPr>
      <w:rFonts w:ascii="Calibri" w:eastAsia="Times New Roman" w:hAnsi="Calibri" w:cs="Times New Roman"/>
      <w:i/>
      <w:iCs/>
      <w:sz w:val="24"/>
      <w:szCs w:val="24"/>
      <w:lang w:val="x-none" w:eastAsia="x-none"/>
    </w:rPr>
  </w:style>
  <w:style w:type="paragraph" w:styleId="9">
    <w:name w:val="heading 9"/>
    <w:basedOn w:val="a0"/>
    <w:next w:val="a0"/>
    <w:link w:val="90"/>
    <w:uiPriority w:val="99"/>
    <w:qFormat/>
    <w:rsid w:val="008F3AF5"/>
    <w:pPr>
      <w:keepNext/>
      <w:spacing w:after="0" w:line="240" w:lineRule="auto"/>
      <w:jc w:val="center"/>
      <w:outlineLvl w:val="8"/>
    </w:pPr>
    <w:rPr>
      <w:rFonts w:ascii="Cambria" w:eastAsia="Times New Roman" w:hAnsi="Cambria"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E0A94"/>
    <w:rPr>
      <w:rFonts w:ascii="Times New Roman" w:eastAsia="Times New Roman" w:hAnsi="Times New Roman" w:cs="Times New Roman"/>
      <w:sz w:val="28"/>
      <w:szCs w:val="20"/>
      <w:lang w:val="en-US" w:eastAsia="ru-RU"/>
    </w:rPr>
  </w:style>
  <w:style w:type="paragraph" w:customStyle="1" w:styleId="11">
    <w:name w:val="Обычный1"/>
    <w:rsid w:val="00AE0A94"/>
    <w:pPr>
      <w:spacing w:after="0" w:line="240" w:lineRule="auto"/>
    </w:pPr>
    <w:rPr>
      <w:rFonts w:ascii="Times New Roman" w:eastAsia="Times New Roman" w:hAnsi="Times New Roman" w:cs="Times New Roman"/>
      <w:sz w:val="20"/>
      <w:szCs w:val="20"/>
      <w:lang w:eastAsia="ru-RU"/>
    </w:rPr>
  </w:style>
  <w:style w:type="paragraph" w:styleId="a4">
    <w:name w:val="Normal (Web)"/>
    <w:basedOn w:val="a0"/>
    <w:uiPriority w:val="99"/>
    <w:rsid w:val="008F3A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F3AF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Заголовок 2 Знак"/>
    <w:basedOn w:val="a1"/>
    <w:link w:val="20"/>
    <w:uiPriority w:val="99"/>
    <w:rsid w:val="008F3AF5"/>
    <w:rPr>
      <w:rFonts w:ascii="Cambria" w:eastAsia="Times New Roman" w:hAnsi="Cambria" w:cs="Times New Roman"/>
      <w:b/>
      <w:bCs/>
      <w:i/>
      <w:iCs/>
      <w:sz w:val="28"/>
      <w:szCs w:val="28"/>
      <w:lang w:val="x-none" w:eastAsia="x-none"/>
    </w:rPr>
  </w:style>
  <w:style w:type="character" w:customStyle="1" w:styleId="30">
    <w:name w:val="Заголовок 3 Знак"/>
    <w:basedOn w:val="a1"/>
    <w:link w:val="3"/>
    <w:uiPriority w:val="99"/>
    <w:rsid w:val="008F3AF5"/>
    <w:rPr>
      <w:rFonts w:ascii="Cambria" w:eastAsia="Times New Roman" w:hAnsi="Cambria" w:cs="Times New Roman"/>
      <w:b/>
      <w:bCs/>
      <w:sz w:val="26"/>
      <w:szCs w:val="26"/>
      <w:lang w:val="x-none" w:eastAsia="x-none"/>
    </w:rPr>
  </w:style>
  <w:style w:type="character" w:customStyle="1" w:styleId="40">
    <w:name w:val="Заголовок 4 Знак"/>
    <w:basedOn w:val="a1"/>
    <w:link w:val="4"/>
    <w:rsid w:val="008F3AF5"/>
    <w:rPr>
      <w:rFonts w:ascii="Calibri" w:eastAsia="Times New Roman" w:hAnsi="Calibri" w:cs="Times New Roman"/>
      <w:b/>
      <w:bCs/>
      <w:sz w:val="28"/>
      <w:szCs w:val="28"/>
      <w:lang w:val="x-none" w:eastAsia="x-none"/>
    </w:rPr>
  </w:style>
  <w:style w:type="character" w:customStyle="1" w:styleId="50">
    <w:name w:val="Заголовок 5 Знак"/>
    <w:basedOn w:val="a1"/>
    <w:link w:val="5"/>
    <w:uiPriority w:val="99"/>
    <w:rsid w:val="008F3AF5"/>
    <w:rPr>
      <w:rFonts w:ascii="Calibri" w:eastAsia="Times New Roman" w:hAnsi="Calibri" w:cs="Times New Roman"/>
      <w:b/>
      <w:bCs/>
      <w:i/>
      <w:iCs/>
      <w:sz w:val="26"/>
      <w:szCs w:val="26"/>
      <w:lang w:val="x-none" w:eastAsia="x-none"/>
    </w:rPr>
  </w:style>
  <w:style w:type="character" w:customStyle="1" w:styleId="60">
    <w:name w:val="Заголовок 6 Знак"/>
    <w:basedOn w:val="a1"/>
    <w:link w:val="6"/>
    <w:uiPriority w:val="99"/>
    <w:rsid w:val="008F3AF5"/>
    <w:rPr>
      <w:rFonts w:ascii="Calibri" w:eastAsia="Times New Roman" w:hAnsi="Calibri" w:cs="Times New Roman"/>
      <w:b/>
      <w:bCs/>
      <w:lang w:val="x-none" w:eastAsia="x-none"/>
    </w:rPr>
  </w:style>
  <w:style w:type="character" w:customStyle="1" w:styleId="70">
    <w:name w:val="Заголовок 7 Знак"/>
    <w:basedOn w:val="a1"/>
    <w:link w:val="7"/>
    <w:uiPriority w:val="99"/>
    <w:rsid w:val="008F3AF5"/>
    <w:rPr>
      <w:rFonts w:ascii="Calibri" w:eastAsia="Times New Roman" w:hAnsi="Calibri" w:cs="Times New Roman"/>
      <w:sz w:val="24"/>
      <w:szCs w:val="24"/>
      <w:lang w:val="x-none" w:eastAsia="x-none"/>
    </w:rPr>
  </w:style>
  <w:style w:type="character" w:customStyle="1" w:styleId="80">
    <w:name w:val="Заголовок 8 Знак"/>
    <w:basedOn w:val="a1"/>
    <w:link w:val="8"/>
    <w:uiPriority w:val="99"/>
    <w:rsid w:val="008F3AF5"/>
    <w:rPr>
      <w:rFonts w:ascii="Calibri" w:eastAsia="Times New Roman" w:hAnsi="Calibri" w:cs="Times New Roman"/>
      <w:i/>
      <w:iCs/>
      <w:sz w:val="24"/>
      <w:szCs w:val="24"/>
      <w:lang w:val="x-none" w:eastAsia="x-none"/>
    </w:rPr>
  </w:style>
  <w:style w:type="character" w:customStyle="1" w:styleId="90">
    <w:name w:val="Заголовок 9 Знак"/>
    <w:basedOn w:val="a1"/>
    <w:link w:val="9"/>
    <w:uiPriority w:val="99"/>
    <w:rsid w:val="008F3AF5"/>
    <w:rPr>
      <w:rFonts w:ascii="Cambria" w:eastAsia="Times New Roman" w:hAnsi="Cambria" w:cs="Times New Roman"/>
      <w:lang w:val="x-none" w:eastAsia="x-none"/>
    </w:rPr>
  </w:style>
  <w:style w:type="paragraph" w:styleId="a5">
    <w:name w:val="Body Text"/>
    <w:basedOn w:val="a0"/>
    <w:link w:val="a6"/>
    <w:rsid w:val="008F3AF5"/>
    <w:pPr>
      <w:spacing w:after="0" w:line="240" w:lineRule="auto"/>
      <w:jc w:val="center"/>
    </w:pPr>
    <w:rPr>
      <w:rFonts w:ascii="Times New Roman" w:eastAsia="Times New Roman" w:hAnsi="Times New Roman" w:cs="Times New Roman"/>
      <w:sz w:val="20"/>
      <w:szCs w:val="20"/>
      <w:lang w:val="x-none" w:eastAsia="x-none"/>
    </w:rPr>
  </w:style>
  <w:style w:type="character" w:customStyle="1" w:styleId="a6">
    <w:name w:val="Основной текст Знак"/>
    <w:basedOn w:val="a1"/>
    <w:link w:val="a5"/>
    <w:uiPriority w:val="99"/>
    <w:rsid w:val="008F3AF5"/>
    <w:rPr>
      <w:rFonts w:ascii="Times New Roman" w:eastAsia="Times New Roman" w:hAnsi="Times New Roman" w:cs="Times New Roman"/>
      <w:sz w:val="20"/>
      <w:szCs w:val="20"/>
      <w:lang w:val="x-none" w:eastAsia="x-none"/>
    </w:rPr>
  </w:style>
  <w:style w:type="paragraph" w:styleId="a7">
    <w:name w:val="Body Text Indent"/>
    <w:basedOn w:val="a0"/>
    <w:link w:val="a8"/>
    <w:rsid w:val="008F3AF5"/>
    <w:pPr>
      <w:spacing w:after="0" w:line="240" w:lineRule="auto"/>
      <w:ind w:firstLine="720"/>
    </w:pPr>
    <w:rPr>
      <w:rFonts w:ascii="Times New Roman" w:eastAsia="Times New Roman" w:hAnsi="Times New Roman" w:cs="Times New Roman"/>
      <w:sz w:val="20"/>
      <w:szCs w:val="20"/>
      <w:lang w:val="x-none" w:eastAsia="x-none"/>
    </w:rPr>
  </w:style>
  <w:style w:type="character" w:customStyle="1" w:styleId="a8">
    <w:name w:val="Основной текст с отступом Знак"/>
    <w:basedOn w:val="a1"/>
    <w:link w:val="a7"/>
    <w:rsid w:val="008F3AF5"/>
    <w:rPr>
      <w:rFonts w:ascii="Times New Roman" w:eastAsia="Times New Roman" w:hAnsi="Times New Roman" w:cs="Times New Roman"/>
      <w:sz w:val="20"/>
      <w:szCs w:val="20"/>
      <w:lang w:val="x-none" w:eastAsia="x-none"/>
    </w:rPr>
  </w:style>
  <w:style w:type="paragraph" w:styleId="a9">
    <w:name w:val="Balloon Text"/>
    <w:basedOn w:val="a0"/>
    <w:link w:val="aa"/>
    <w:rsid w:val="008F3AF5"/>
    <w:pPr>
      <w:spacing w:after="0" w:line="240" w:lineRule="auto"/>
    </w:pPr>
    <w:rPr>
      <w:rFonts w:ascii="Times New Roman" w:eastAsia="Times New Roman" w:hAnsi="Times New Roman" w:cs="Times New Roman"/>
      <w:sz w:val="2"/>
      <w:szCs w:val="2"/>
      <w:lang w:val="x-none" w:eastAsia="x-none"/>
    </w:rPr>
  </w:style>
  <w:style w:type="character" w:customStyle="1" w:styleId="aa">
    <w:name w:val="Текст выноски Знак"/>
    <w:basedOn w:val="a1"/>
    <w:link w:val="a9"/>
    <w:rsid w:val="008F3AF5"/>
    <w:rPr>
      <w:rFonts w:ascii="Times New Roman" w:eastAsia="Times New Roman" w:hAnsi="Times New Roman" w:cs="Times New Roman"/>
      <w:sz w:val="2"/>
      <w:szCs w:val="2"/>
      <w:lang w:val="x-none" w:eastAsia="x-none"/>
    </w:rPr>
  </w:style>
  <w:style w:type="paragraph" w:styleId="ab">
    <w:name w:val="Document Map"/>
    <w:basedOn w:val="a0"/>
    <w:link w:val="ac"/>
    <w:uiPriority w:val="99"/>
    <w:semiHidden/>
    <w:rsid w:val="008F3AF5"/>
    <w:pPr>
      <w:shd w:val="clear" w:color="auto" w:fill="000080"/>
      <w:spacing w:after="0" w:line="240" w:lineRule="auto"/>
    </w:pPr>
    <w:rPr>
      <w:rFonts w:ascii="Times New Roman" w:eastAsia="Times New Roman" w:hAnsi="Times New Roman" w:cs="Times New Roman"/>
      <w:sz w:val="2"/>
      <w:szCs w:val="2"/>
      <w:lang w:val="x-none" w:eastAsia="x-none"/>
    </w:rPr>
  </w:style>
  <w:style w:type="character" w:customStyle="1" w:styleId="ac">
    <w:name w:val="Схема документа Знак"/>
    <w:basedOn w:val="a1"/>
    <w:link w:val="ab"/>
    <w:uiPriority w:val="99"/>
    <w:semiHidden/>
    <w:rsid w:val="008F3AF5"/>
    <w:rPr>
      <w:rFonts w:ascii="Times New Roman" w:eastAsia="Times New Roman" w:hAnsi="Times New Roman" w:cs="Times New Roman"/>
      <w:sz w:val="2"/>
      <w:szCs w:val="2"/>
      <w:shd w:val="clear" w:color="auto" w:fill="000080"/>
      <w:lang w:val="x-none" w:eastAsia="x-none"/>
    </w:rPr>
  </w:style>
  <w:style w:type="paragraph" w:styleId="22">
    <w:name w:val="Body Text 2"/>
    <w:basedOn w:val="a0"/>
    <w:link w:val="23"/>
    <w:rsid w:val="008F3AF5"/>
    <w:pPr>
      <w:spacing w:after="0" w:line="240" w:lineRule="auto"/>
      <w:jc w:val="center"/>
    </w:pPr>
    <w:rPr>
      <w:rFonts w:ascii="Times New Roman" w:eastAsia="Times New Roman" w:hAnsi="Times New Roman" w:cs="Times New Roman"/>
      <w:sz w:val="20"/>
      <w:szCs w:val="20"/>
      <w:lang w:val="x-none" w:eastAsia="x-none"/>
    </w:rPr>
  </w:style>
  <w:style w:type="character" w:customStyle="1" w:styleId="23">
    <w:name w:val="Основной текст 2 Знак"/>
    <w:basedOn w:val="a1"/>
    <w:link w:val="22"/>
    <w:rsid w:val="008F3AF5"/>
    <w:rPr>
      <w:rFonts w:ascii="Times New Roman" w:eastAsia="Times New Roman" w:hAnsi="Times New Roman" w:cs="Times New Roman"/>
      <w:sz w:val="20"/>
      <w:szCs w:val="20"/>
      <w:lang w:val="x-none" w:eastAsia="x-none"/>
    </w:rPr>
  </w:style>
  <w:style w:type="paragraph" w:styleId="31">
    <w:name w:val="Body Text 3"/>
    <w:basedOn w:val="a0"/>
    <w:link w:val="32"/>
    <w:rsid w:val="008F3AF5"/>
    <w:pPr>
      <w:spacing w:after="0" w:line="240" w:lineRule="auto"/>
      <w:jc w:val="center"/>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1"/>
    <w:link w:val="31"/>
    <w:uiPriority w:val="99"/>
    <w:rsid w:val="008F3AF5"/>
    <w:rPr>
      <w:rFonts w:ascii="Times New Roman" w:eastAsia="Times New Roman" w:hAnsi="Times New Roman" w:cs="Times New Roman"/>
      <w:sz w:val="16"/>
      <w:szCs w:val="16"/>
      <w:lang w:val="x-none" w:eastAsia="x-none"/>
    </w:rPr>
  </w:style>
  <w:style w:type="paragraph" w:styleId="ad">
    <w:name w:val="Subtitle"/>
    <w:basedOn w:val="a0"/>
    <w:link w:val="ae"/>
    <w:uiPriority w:val="99"/>
    <w:qFormat/>
    <w:rsid w:val="008F3AF5"/>
    <w:pPr>
      <w:spacing w:after="0" w:line="360" w:lineRule="auto"/>
      <w:ind w:left="1134" w:right="1134"/>
      <w:jc w:val="center"/>
    </w:pPr>
    <w:rPr>
      <w:rFonts w:ascii="Cambria" w:eastAsia="Times New Roman" w:hAnsi="Cambria" w:cs="Times New Roman"/>
      <w:sz w:val="24"/>
      <w:szCs w:val="24"/>
      <w:lang w:val="x-none" w:eastAsia="x-none"/>
    </w:rPr>
  </w:style>
  <w:style w:type="character" w:customStyle="1" w:styleId="ae">
    <w:name w:val="Подзаголовок Знак"/>
    <w:basedOn w:val="a1"/>
    <w:link w:val="ad"/>
    <w:uiPriority w:val="99"/>
    <w:rsid w:val="008F3AF5"/>
    <w:rPr>
      <w:rFonts w:ascii="Cambria" w:eastAsia="Times New Roman" w:hAnsi="Cambria" w:cs="Times New Roman"/>
      <w:sz w:val="24"/>
      <w:szCs w:val="24"/>
      <w:lang w:val="x-none" w:eastAsia="x-none"/>
    </w:rPr>
  </w:style>
  <w:style w:type="paragraph" w:styleId="af">
    <w:name w:val="footer"/>
    <w:basedOn w:val="a0"/>
    <w:link w:val="af0"/>
    <w:uiPriority w:val="99"/>
    <w:rsid w:val="008F3AF5"/>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af0">
    <w:name w:val="Нижний колонтитул Знак"/>
    <w:basedOn w:val="a1"/>
    <w:link w:val="af"/>
    <w:uiPriority w:val="99"/>
    <w:rsid w:val="008F3AF5"/>
    <w:rPr>
      <w:rFonts w:ascii="Times New Roman" w:eastAsia="Times New Roman" w:hAnsi="Times New Roman" w:cs="Times New Roman"/>
      <w:sz w:val="20"/>
      <w:szCs w:val="20"/>
      <w:lang w:val="x-none" w:eastAsia="x-none"/>
    </w:rPr>
  </w:style>
  <w:style w:type="character" w:styleId="af1">
    <w:name w:val="page number"/>
    <w:uiPriority w:val="99"/>
    <w:rsid w:val="008F3AF5"/>
    <w:rPr>
      <w:rFonts w:cs="Times New Roman"/>
    </w:rPr>
  </w:style>
  <w:style w:type="paragraph" w:styleId="33">
    <w:name w:val="Body Text Indent 3"/>
    <w:basedOn w:val="a0"/>
    <w:link w:val="34"/>
    <w:uiPriority w:val="99"/>
    <w:rsid w:val="008F3AF5"/>
    <w:pPr>
      <w:spacing w:after="0" w:line="360" w:lineRule="auto"/>
      <w:ind w:firstLine="720"/>
      <w:jc w:val="both"/>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1"/>
    <w:link w:val="33"/>
    <w:uiPriority w:val="99"/>
    <w:rsid w:val="008F3AF5"/>
    <w:rPr>
      <w:rFonts w:ascii="Times New Roman" w:eastAsia="Times New Roman" w:hAnsi="Times New Roman" w:cs="Times New Roman"/>
      <w:sz w:val="16"/>
      <w:szCs w:val="16"/>
      <w:lang w:val="x-none" w:eastAsia="x-none"/>
    </w:rPr>
  </w:style>
  <w:style w:type="paragraph" w:styleId="24">
    <w:name w:val="Body Text Indent 2"/>
    <w:basedOn w:val="a0"/>
    <w:link w:val="25"/>
    <w:uiPriority w:val="99"/>
    <w:rsid w:val="008F3AF5"/>
    <w:pPr>
      <w:spacing w:after="120" w:line="480" w:lineRule="auto"/>
      <w:ind w:left="283"/>
    </w:pPr>
    <w:rPr>
      <w:rFonts w:ascii="Times New Roman" w:eastAsia="Times New Roman" w:hAnsi="Times New Roman" w:cs="Times New Roman"/>
      <w:sz w:val="20"/>
      <w:szCs w:val="20"/>
      <w:lang w:val="x-none" w:eastAsia="x-none"/>
    </w:rPr>
  </w:style>
  <w:style w:type="character" w:customStyle="1" w:styleId="25">
    <w:name w:val="Основной текст с отступом 2 Знак"/>
    <w:basedOn w:val="a1"/>
    <w:link w:val="24"/>
    <w:uiPriority w:val="99"/>
    <w:rsid w:val="008F3AF5"/>
    <w:rPr>
      <w:rFonts w:ascii="Times New Roman" w:eastAsia="Times New Roman" w:hAnsi="Times New Roman" w:cs="Times New Roman"/>
      <w:sz w:val="20"/>
      <w:szCs w:val="20"/>
      <w:lang w:val="x-none" w:eastAsia="x-none"/>
    </w:rPr>
  </w:style>
  <w:style w:type="paragraph" w:styleId="af2">
    <w:name w:val="header"/>
    <w:basedOn w:val="a0"/>
    <w:link w:val="af3"/>
    <w:uiPriority w:val="99"/>
    <w:rsid w:val="008F3AF5"/>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f3">
    <w:name w:val="Верхний колонтитул Знак"/>
    <w:basedOn w:val="a1"/>
    <w:link w:val="af2"/>
    <w:uiPriority w:val="99"/>
    <w:rsid w:val="008F3AF5"/>
    <w:rPr>
      <w:rFonts w:ascii="Times New Roman" w:eastAsia="Times New Roman" w:hAnsi="Times New Roman" w:cs="Times New Roman"/>
      <w:sz w:val="20"/>
      <w:szCs w:val="20"/>
      <w:lang w:val="x-none" w:eastAsia="x-none"/>
    </w:rPr>
  </w:style>
  <w:style w:type="table" w:styleId="af4">
    <w:name w:val="Table Grid"/>
    <w:basedOn w:val="a2"/>
    <w:rsid w:val="008F3A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0"/>
    <w:next w:val="a0"/>
    <w:uiPriority w:val="99"/>
    <w:qFormat/>
    <w:rsid w:val="008F3AF5"/>
    <w:pPr>
      <w:spacing w:before="120" w:after="120" w:line="240" w:lineRule="auto"/>
    </w:pPr>
    <w:rPr>
      <w:rFonts w:ascii="Arial" w:eastAsia="Times New Roman" w:hAnsi="Arial" w:cs="Arial"/>
      <w:b/>
      <w:bCs/>
      <w:sz w:val="32"/>
      <w:szCs w:val="32"/>
      <w:lang w:val="fr-BE" w:eastAsia="ru-RU"/>
    </w:rPr>
  </w:style>
  <w:style w:type="paragraph" w:styleId="af6">
    <w:name w:val="Title"/>
    <w:basedOn w:val="a0"/>
    <w:link w:val="af7"/>
    <w:uiPriority w:val="99"/>
    <w:qFormat/>
    <w:rsid w:val="008F3AF5"/>
    <w:pPr>
      <w:spacing w:after="0" w:line="360" w:lineRule="auto"/>
      <w:jc w:val="center"/>
    </w:pPr>
    <w:rPr>
      <w:rFonts w:ascii="Times New Roman" w:eastAsia="Times New Roman" w:hAnsi="Times New Roman" w:cs="Times New Roman"/>
      <w:b/>
      <w:bCs/>
      <w:sz w:val="28"/>
      <w:szCs w:val="28"/>
      <w:lang w:val="x-none" w:eastAsia="x-none"/>
    </w:rPr>
  </w:style>
  <w:style w:type="character" w:customStyle="1" w:styleId="af7">
    <w:name w:val="Название Знак"/>
    <w:basedOn w:val="a1"/>
    <w:link w:val="af6"/>
    <w:uiPriority w:val="99"/>
    <w:rsid w:val="008F3AF5"/>
    <w:rPr>
      <w:rFonts w:ascii="Times New Roman" w:eastAsia="Times New Roman" w:hAnsi="Times New Roman" w:cs="Times New Roman"/>
      <w:b/>
      <w:bCs/>
      <w:sz w:val="28"/>
      <w:szCs w:val="28"/>
      <w:lang w:val="x-none" w:eastAsia="x-none"/>
    </w:rPr>
  </w:style>
  <w:style w:type="paragraph" w:styleId="af8">
    <w:name w:val="Plain Text"/>
    <w:basedOn w:val="a0"/>
    <w:link w:val="af9"/>
    <w:uiPriority w:val="99"/>
    <w:rsid w:val="008F3AF5"/>
    <w:pPr>
      <w:autoSpaceDE w:val="0"/>
      <w:autoSpaceDN w:val="0"/>
      <w:spacing w:after="0" w:line="240" w:lineRule="auto"/>
    </w:pPr>
    <w:rPr>
      <w:rFonts w:ascii="Courier New" w:eastAsia="Times New Roman" w:hAnsi="Courier New" w:cs="Times New Roman"/>
      <w:sz w:val="20"/>
      <w:szCs w:val="20"/>
      <w:lang w:val="en-US" w:eastAsia="x-none"/>
    </w:rPr>
  </w:style>
  <w:style w:type="character" w:customStyle="1" w:styleId="af9">
    <w:name w:val="Текст Знак"/>
    <w:basedOn w:val="a1"/>
    <w:link w:val="af8"/>
    <w:uiPriority w:val="99"/>
    <w:rsid w:val="008F3AF5"/>
    <w:rPr>
      <w:rFonts w:ascii="Courier New" w:eastAsia="Times New Roman" w:hAnsi="Courier New" w:cs="Times New Roman"/>
      <w:sz w:val="20"/>
      <w:szCs w:val="20"/>
      <w:lang w:val="en-US" w:eastAsia="x-none"/>
    </w:rPr>
  </w:style>
  <w:style w:type="paragraph" w:customStyle="1" w:styleId="afa">
    <w:name w:val="Знак Знак Знак"/>
    <w:basedOn w:val="a0"/>
    <w:uiPriority w:val="99"/>
    <w:rsid w:val="008F3AF5"/>
    <w:pPr>
      <w:tabs>
        <w:tab w:val="num" w:pos="360"/>
      </w:tabs>
      <w:spacing w:line="240" w:lineRule="exact"/>
    </w:pPr>
    <w:rPr>
      <w:rFonts w:ascii="Verdana" w:eastAsia="Times New Roman" w:hAnsi="Verdana" w:cs="Verdana"/>
      <w:sz w:val="20"/>
      <w:szCs w:val="20"/>
      <w:lang w:val="en-US"/>
    </w:rPr>
  </w:style>
  <w:style w:type="paragraph" w:customStyle="1" w:styleId="ListParagraph1">
    <w:name w:val="List Paragraph1"/>
    <w:basedOn w:val="a0"/>
    <w:link w:val="ListParagraphChar"/>
    <w:uiPriority w:val="99"/>
    <w:rsid w:val="008F3AF5"/>
    <w:pPr>
      <w:autoSpaceDE w:val="0"/>
      <w:autoSpaceDN w:val="0"/>
      <w:spacing w:after="0" w:line="240" w:lineRule="auto"/>
      <w:ind w:left="720"/>
    </w:pPr>
    <w:rPr>
      <w:rFonts w:ascii="Times New Roman" w:eastAsia="Times New Roman" w:hAnsi="Times New Roman" w:cs="Times New Roman"/>
      <w:sz w:val="20"/>
      <w:szCs w:val="20"/>
      <w:lang w:eastAsia="ru-RU"/>
    </w:rPr>
  </w:style>
  <w:style w:type="character" w:customStyle="1" w:styleId="ListParagraphChar">
    <w:name w:val="List Paragraph Char"/>
    <w:link w:val="ListParagraph1"/>
    <w:uiPriority w:val="99"/>
    <w:locked/>
    <w:rsid w:val="008F3AF5"/>
    <w:rPr>
      <w:rFonts w:ascii="Times New Roman" w:eastAsia="Times New Roman" w:hAnsi="Times New Roman" w:cs="Times New Roman"/>
      <w:sz w:val="20"/>
      <w:szCs w:val="20"/>
      <w:lang w:eastAsia="ru-RU"/>
    </w:rPr>
  </w:style>
  <w:style w:type="paragraph" w:customStyle="1" w:styleId="Default">
    <w:name w:val="Default"/>
    <w:rsid w:val="008F3A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b">
    <w:name w:val="Emphasis"/>
    <w:uiPriority w:val="20"/>
    <w:qFormat/>
    <w:rsid w:val="008F3AF5"/>
    <w:rPr>
      <w:i/>
      <w:iCs/>
    </w:rPr>
  </w:style>
  <w:style w:type="paragraph" w:styleId="afc">
    <w:name w:val="No Spacing"/>
    <w:link w:val="afd"/>
    <w:uiPriority w:val="1"/>
    <w:qFormat/>
    <w:rsid w:val="008F3AF5"/>
    <w:pPr>
      <w:spacing w:after="0" w:line="240" w:lineRule="auto"/>
    </w:pPr>
    <w:rPr>
      <w:rFonts w:ascii="Times New Roman" w:eastAsia="Times New Roman" w:hAnsi="Times New Roman" w:cs="Times New Roman"/>
      <w:sz w:val="20"/>
      <w:szCs w:val="20"/>
      <w:lang w:eastAsia="ru-RU"/>
    </w:rPr>
  </w:style>
  <w:style w:type="character" w:styleId="afe">
    <w:name w:val="Hyperlink"/>
    <w:unhideWhenUsed/>
    <w:rsid w:val="008F3AF5"/>
    <w:rPr>
      <w:color w:val="0000FF"/>
      <w:u w:val="single"/>
    </w:rPr>
  </w:style>
  <w:style w:type="paragraph" w:styleId="aff">
    <w:name w:val="List Paragraph"/>
    <w:basedOn w:val="a0"/>
    <w:link w:val="aff0"/>
    <w:uiPriority w:val="34"/>
    <w:qFormat/>
    <w:rsid w:val="008F3AF5"/>
    <w:pPr>
      <w:spacing w:after="200" w:line="276" w:lineRule="auto"/>
      <w:ind w:left="720"/>
      <w:contextualSpacing/>
    </w:pPr>
    <w:rPr>
      <w:rFonts w:ascii="Calibri" w:eastAsia="Times New Roman" w:hAnsi="Calibri" w:cs="Times New Roman"/>
      <w:lang w:eastAsia="ru-RU"/>
    </w:rPr>
  </w:style>
  <w:style w:type="paragraph" w:styleId="a">
    <w:name w:val="List Bullet"/>
    <w:basedOn w:val="a0"/>
    <w:autoRedefine/>
    <w:rsid w:val="008F3AF5"/>
    <w:pPr>
      <w:numPr>
        <w:numId w:val="8"/>
      </w:num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0"/>
    <w:rsid w:val="00630798"/>
    <w:pPr>
      <w:spacing w:after="200" w:line="276" w:lineRule="auto"/>
      <w:ind w:left="720"/>
    </w:pPr>
    <w:rPr>
      <w:rFonts w:ascii="Calibri" w:eastAsia="Times New Roman" w:hAnsi="Calibri" w:cs="Calibri"/>
    </w:rPr>
  </w:style>
  <w:style w:type="character" w:customStyle="1" w:styleId="aff1">
    <w:name w:val="Обычный (веб) Знак"/>
    <w:rsid w:val="00630798"/>
    <w:rPr>
      <w:sz w:val="24"/>
      <w:szCs w:val="24"/>
      <w:lang w:val="ru-RU" w:eastAsia="ar-SA" w:bidi="ar-SA"/>
    </w:rPr>
  </w:style>
  <w:style w:type="paragraph" w:customStyle="1" w:styleId="aff2">
    <w:name w:val="Знак"/>
    <w:basedOn w:val="a0"/>
    <w:rsid w:val="00630798"/>
    <w:pPr>
      <w:spacing w:before="100" w:beforeAutospacing="1" w:after="100" w:afterAutospacing="1" w:line="240" w:lineRule="auto"/>
    </w:pPr>
    <w:rPr>
      <w:rFonts w:ascii="Tahoma" w:eastAsia="Times New Roman" w:hAnsi="Tahoma" w:cs="Tahoma"/>
      <w:sz w:val="20"/>
      <w:szCs w:val="20"/>
      <w:lang w:val="en-US"/>
    </w:rPr>
  </w:style>
  <w:style w:type="character" w:customStyle="1" w:styleId="afd">
    <w:name w:val="Без интервала Знак"/>
    <w:link w:val="afc"/>
    <w:uiPriority w:val="1"/>
    <w:rsid w:val="00630798"/>
    <w:rPr>
      <w:rFonts w:ascii="Times New Roman" w:eastAsia="Times New Roman" w:hAnsi="Times New Roman" w:cs="Times New Roman"/>
      <w:sz w:val="20"/>
      <w:szCs w:val="20"/>
      <w:lang w:eastAsia="ru-RU"/>
    </w:rPr>
  </w:style>
  <w:style w:type="paragraph" w:customStyle="1" w:styleId="ConsNonformat">
    <w:name w:val="ConsNonformat"/>
    <w:rsid w:val="00630798"/>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Cell">
    <w:name w:val="ConsPlusCell"/>
    <w:rsid w:val="0063079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Содержимое таблицы"/>
    <w:basedOn w:val="a0"/>
    <w:rsid w:val="00630798"/>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71">
    <w:name w:val="Знак Знак7"/>
    <w:rsid w:val="00630798"/>
    <w:rPr>
      <w:b/>
      <w:sz w:val="26"/>
      <w:lang w:val="ru-RU" w:eastAsia="ru-RU" w:bidi="ar-SA"/>
    </w:rPr>
  </w:style>
  <w:style w:type="character" w:customStyle="1" w:styleId="100">
    <w:name w:val="Знак Знак10"/>
    <w:rsid w:val="00630798"/>
    <w:rPr>
      <w:sz w:val="28"/>
      <w:lang w:val="ru-RU" w:eastAsia="ru-RU" w:bidi="ar-SA"/>
    </w:rPr>
  </w:style>
  <w:style w:type="paragraph" w:customStyle="1" w:styleId="aff4">
    <w:name w:val="Знак Знак Знак Знак Знак Знак Знак"/>
    <w:basedOn w:val="a0"/>
    <w:rsid w:val="00630798"/>
    <w:pPr>
      <w:spacing w:before="100" w:beforeAutospacing="1" w:after="100" w:afterAutospacing="1" w:line="240" w:lineRule="auto"/>
    </w:pPr>
    <w:rPr>
      <w:rFonts w:ascii="Tahoma" w:eastAsia="Times New Roman" w:hAnsi="Tahoma" w:cs="Times New Roman"/>
      <w:sz w:val="20"/>
      <w:szCs w:val="20"/>
      <w:lang w:val="en-US"/>
    </w:rPr>
  </w:style>
  <w:style w:type="paragraph" w:styleId="HTML">
    <w:name w:val="HTML Preformatted"/>
    <w:basedOn w:val="a0"/>
    <w:link w:val="HTML0"/>
    <w:unhideWhenUsed/>
    <w:rsid w:val="0063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630798"/>
    <w:rPr>
      <w:rFonts w:ascii="Courier New" w:eastAsia="Times New Roman" w:hAnsi="Courier New" w:cs="Times New Roman"/>
      <w:sz w:val="20"/>
      <w:szCs w:val="20"/>
      <w:lang w:val="x-none" w:eastAsia="x-none"/>
    </w:rPr>
  </w:style>
  <w:style w:type="paragraph" w:styleId="aff5">
    <w:name w:val="Block Text"/>
    <w:basedOn w:val="a0"/>
    <w:unhideWhenUsed/>
    <w:rsid w:val="00630798"/>
    <w:pPr>
      <w:spacing w:after="0" w:line="240" w:lineRule="auto"/>
      <w:ind w:left="113" w:right="340"/>
    </w:pPr>
    <w:rPr>
      <w:rFonts w:ascii="Times New Roman" w:eastAsia="Times New Roman" w:hAnsi="Times New Roman" w:cs="Times New Roman"/>
      <w:sz w:val="24"/>
      <w:szCs w:val="20"/>
      <w:lang w:eastAsia="ru-RU"/>
    </w:rPr>
  </w:style>
  <w:style w:type="paragraph" w:customStyle="1" w:styleId="3f3f3f3f3f3f3f3f3f3f">
    <w:name w:val="Н3fо3fр3fм3fа3fл3fь3fн3fы3fй3f"/>
    <w:uiPriority w:val="99"/>
    <w:rsid w:val="0063079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307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Таблицы (моноширинный)"/>
    <w:basedOn w:val="a0"/>
    <w:next w:val="a0"/>
    <w:rsid w:val="00630798"/>
    <w:pPr>
      <w:widowControl w:val="0"/>
      <w:autoSpaceDE w:val="0"/>
      <w:autoSpaceDN w:val="0"/>
      <w:adjustRightInd w:val="0"/>
      <w:spacing w:after="0" w:line="240" w:lineRule="auto"/>
      <w:jc w:val="both"/>
    </w:pPr>
    <w:rPr>
      <w:rFonts w:ascii="Courier New" w:eastAsia="Times New Roman" w:hAnsi="Courier New" w:cs="Courier New"/>
      <w:sz w:val="20"/>
      <w:szCs w:val="20"/>
      <w:lang w:val="en-US" w:bidi="en-US"/>
    </w:rPr>
  </w:style>
  <w:style w:type="character" w:customStyle="1" w:styleId="aff0">
    <w:name w:val="Абзац списка Знак"/>
    <w:link w:val="aff"/>
    <w:uiPriority w:val="34"/>
    <w:locked/>
    <w:rsid w:val="00630798"/>
    <w:rPr>
      <w:rFonts w:ascii="Calibri" w:eastAsia="Times New Roman" w:hAnsi="Calibri" w:cs="Times New Roman"/>
      <w:lang w:eastAsia="ru-RU"/>
    </w:rPr>
  </w:style>
  <w:style w:type="paragraph" w:styleId="2">
    <w:name w:val="List Bullet 2"/>
    <w:basedOn w:val="a0"/>
    <w:autoRedefine/>
    <w:rsid w:val="00630798"/>
    <w:pPr>
      <w:numPr>
        <w:numId w:val="14"/>
      </w:numPr>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0"/>
    <w:rsid w:val="00630798"/>
    <w:pPr>
      <w:widowControl w:val="0"/>
      <w:autoSpaceDE w:val="0"/>
      <w:autoSpaceDN w:val="0"/>
      <w:adjustRightInd w:val="0"/>
      <w:spacing w:after="0" w:line="293" w:lineRule="exact"/>
      <w:ind w:firstLine="528"/>
      <w:jc w:val="both"/>
    </w:pPr>
    <w:rPr>
      <w:rFonts w:ascii="Times New Roman" w:eastAsia="Times New Roman" w:hAnsi="Times New Roman" w:cs="Times New Roman"/>
      <w:sz w:val="24"/>
      <w:szCs w:val="24"/>
      <w:lang w:eastAsia="ru-RU"/>
    </w:rPr>
  </w:style>
  <w:style w:type="paragraph" w:customStyle="1" w:styleId="Style9">
    <w:name w:val="Style9"/>
    <w:basedOn w:val="a0"/>
    <w:rsid w:val="006307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630798"/>
    <w:rPr>
      <w:rFonts w:ascii="Times New Roman" w:hAnsi="Times New Roman" w:cs="Times New Roman"/>
      <w:sz w:val="24"/>
      <w:szCs w:val="24"/>
    </w:rPr>
  </w:style>
  <w:style w:type="paragraph" w:customStyle="1" w:styleId="ConsNormal">
    <w:name w:val="ConsNormal"/>
    <w:rsid w:val="0063079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10">
    <w:name w:val="Основной текст 21"/>
    <w:basedOn w:val="a0"/>
    <w:rsid w:val="00630798"/>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aff7">
    <w:name w:val="Основной текст_"/>
    <w:link w:val="51"/>
    <w:rsid w:val="00630798"/>
    <w:rPr>
      <w:spacing w:val="4"/>
      <w:sz w:val="18"/>
      <w:szCs w:val="18"/>
      <w:shd w:val="clear" w:color="auto" w:fill="FFFFFF"/>
    </w:rPr>
  </w:style>
  <w:style w:type="paragraph" w:customStyle="1" w:styleId="51">
    <w:name w:val="Основной текст5"/>
    <w:basedOn w:val="a0"/>
    <w:link w:val="aff7"/>
    <w:rsid w:val="00630798"/>
    <w:pPr>
      <w:widowControl w:val="0"/>
      <w:shd w:val="clear" w:color="auto" w:fill="FFFFFF"/>
      <w:spacing w:before="180" w:after="180" w:line="274" w:lineRule="exact"/>
      <w:ind w:hanging="1620"/>
      <w:jc w:val="center"/>
    </w:pPr>
    <w:rPr>
      <w:spacing w:val="4"/>
      <w:sz w:val="18"/>
      <w:szCs w:val="18"/>
    </w:rPr>
  </w:style>
  <w:style w:type="character" w:customStyle="1" w:styleId="35">
    <w:name w:val="Основной текст3"/>
    <w:rsid w:val="00630798"/>
    <w:rPr>
      <w:color w:val="000000"/>
      <w:spacing w:val="4"/>
      <w:w w:val="100"/>
      <w:position w:val="0"/>
      <w:sz w:val="18"/>
      <w:szCs w:val="18"/>
      <w:shd w:val="clear" w:color="auto" w:fill="FFFFFF"/>
      <w:lang w:val="ru-RU"/>
    </w:rPr>
  </w:style>
  <w:style w:type="paragraph" w:customStyle="1" w:styleId="36">
    <w:name w:val="Знак3"/>
    <w:basedOn w:val="a0"/>
    <w:rsid w:val="00630798"/>
    <w:pPr>
      <w:spacing w:line="240" w:lineRule="exact"/>
    </w:pPr>
    <w:rPr>
      <w:rFonts w:ascii="Verdana" w:eastAsia="Times New Roman" w:hAnsi="Verdana" w:cs="Times New Roman"/>
      <w:sz w:val="20"/>
      <w:szCs w:val="20"/>
      <w:lang w:val="en-US"/>
    </w:rPr>
  </w:style>
  <w:style w:type="character" w:customStyle="1" w:styleId="description2">
    <w:name w:val="description2"/>
    <w:rsid w:val="00630798"/>
  </w:style>
  <w:style w:type="character" w:customStyle="1" w:styleId="aff8">
    <w:name w:val="Текст концевой сноски Знак"/>
    <w:basedOn w:val="a1"/>
    <w:link w:val="aff9"/>
    <w:rsid w:val="00630798"/>
  </w:style>
  <w:style w:type="paragraph" w:styleId="aff9">
    <w:name w:val="endnote text"/>
    <w:basedOn w:val="a0"/>
    <w:link w:val="aff8"/>
    <w:unhideWhenUsed/>
    <w:rsid w:val="00630798"/>
    <w:pPr>
      <w:spacing w:after="0" w:line="240" w:lineRule="auto"/>
    </w:pPr>
  </w:style>
  <w:style w:type="character" w:customStyle="1" w:styleId="13">
    <w:name w:val="Текст концевой сноски Знак1"/>
    <w:basedOn w:val="a1"/>
    <w:uiPriority w:val="99"/>
    <w:semiHidden/>
    <w:rsid w:val="00630798"/>
    <w:rPr>
      <w:sz w:val="20"/>
      <w:szCs w:val="20"/>
    </w:rPr>
  </w:style>
  <w:style w:type="character" w:customStyle="1" w:styleId="affa">
    <w:name w:val="Не вступил в силу"/>
    <w:uiPriority w:val="99"/>
    <w:rsid w:val="00630798"/>
    <w:rPr>
      <w:b/>
      <w:bCs/>
      <w:color w:val="008080"/>
    </w:rPr>
  </w:style>
  <w:style w:type="character" w:customStyle="1" w:styleId="ConsPlusNormal0">
    <w:name w:val="ConsPlusNormal Знак"/>
    <w:link w:val="ConsPlusNormal"/>
    <w:locked/>
    <w:rsid w:val="00630798"/>
    <w:rPr>
      <w:rFonts w:ascii="Arial" w:eastAsia="Times New Roman" w:hAnsi="Arial" w:cs="Arial"/>
      <w:sz w:val="20"/>
      <w:szCs w:val="20"/>
      <w:lang w:eastAsia="ru-RU"/>
    </w:rPr>
  </w:style>
  <w:style w:type="paragraph" w:customStyle="1" w:styleId="14">
    <w:name w:val="С уважением14пт"/>
    <w:basedOn w:val="a0"/>
    <w:autoRedefine/>
    <w:rsid w:val="00630798"/>
    <w:pPr>
      <w:adjustRightInd w:val="0"/>
      <w:spacing w:before="480" w:after="480" w:line="240" w:lineRule="auto"/>
    </w:pPr>
    <w:rPr>
      <w:rFonts w:ascii="Times New Roman" w:eastAsia="Times New Roman" w:hAnsi="Times New Roman" w:cs="Times New Roman"/>
      <w:sz w:val="28"/>
      <w:szCs w:val="28"/>
      <w:lang w:eastAsia="ru-RU"/>
    </w:rPr>
  </w:style>
  <w:style w:type="numbering" w:customStyle="1" w:styleId="15">
    <w:name w:val="Нет списка1"/>
    <w:next w:val="a3"/>
    <w:uiPriority w:val="99"/>
    <w:semiHidden/>
    <w:unhideWhenUsed/>
    <w:rsid w:val="00630798"/>
  </w:style>
  <w:style w:type="paragraph" w:customStyle="1" w:styleId="Char">
    <w:name w:val="Char"/>
    <w:basedOn w:val="a0"/>
    <w:rsid w:val="00630798"/>
    <w:pPr>
      <w:keepLines/>
      <w:spacing w:line="240" w:lineRule="exact"/>
    </w:pPr>
    <w:rPr>
      <w:rFonts w:ascii="Verdana" w:eastAsia="MS Mincho" w:hAnsi="Verdana" w:cs="Franklin Gothic Book"/>
      <w:sz w:val="20"/>
      <w:szCs w:val="20"/>
      <w:lang w:val="en-US"/>
    </w:rPr>
  </w:style>
  <w:style w:type="paragraph" w:customStyle="1" w:styleId="120">
    <w:name w:val="Нормальный 12"/>
    <w:basedOn w:val="a0"/>
    <w:rsid w:val="00630798"/>
    <w:pPr>
      <w:spacing w:after="0" w:line="360" w:lineRule="auto"/>
      <w:jc w:val="both"/>
    </w:pPr>
    <w:rPr>
      <w:rFonts w:ascii="Times New Roman" w:eastAsia="Times New Roman" w:hAnsi="Times New Roman" w:cs="Times New Roman"/>
      <w:sz w:val="24"/>
      <w:szCs w:val="24"/>
      <w:lang w:eastAsia="ru-RU"/>
    </w:rPr>
  </w:style>
  <w:style w:type="paragraph" w:customStyle="1" w:styleId="affb">
    <w:name w:val="Знак Знак Знак Знак Знак Знак Знак Знак Знак Знак"/>
    <w:basedOn w:val="a0"/>
    <w:rsid w:val="00630798"/>
    <w:pPr>
      <w:keepLines/>
      <w:spacing w:line="240" w:lineRule="exact"/>
    </w:pPr>
    <w:rPr>
      <w:rFonts w:ascii="Verdana" w:eastAsia="MS Mincho" w:hAnsi="Verdana" w:cs="Franklin Gothic Book"/>
      <w:sz w:val="20"/>
      <w:szCs w:val="20"/>
      <w:lang w:val="en-US"/>
    </w:rPr>
  </w:style>
  <w:style w:type="table" w:customStyle="1" w:styleId="16">
    <w:name w:val="Сетка таблицы1"/>
    <w:basedOn w:val="a2"/>
    <w:uiPriority w:val="59"/>
    <w:rsid w:val="006307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6">
    <w:name w:val="Основной текст (2)"/>
    <w:rsid w:val="006307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7">
    <w:name w:val="Сетка таблицы2"/>
    <w:basedOn w:val="a2"/>
    <w:next w:val="af4"/>
    <w:rsid w:val="006307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630798"/>
  </w:style>
  <w:style w:type="numbering" w:customStyle="1" w:styleId="110">
    <w:name w:val="Нет списка11"/>
    <w:next w:val="a3"/>
    <w:uiPriority w:val="99"/>
    <w:semiHidden/>
    <w:unhideWhenUsed/>
    <w:rsid w:val="00630798"/>
  </w:style>
  <w:style w:type="table" w:customStyle="1" w:styleId="111">
    <w:name w:val="Сетка таблицы11"/>
    <w:basedOn w:val="a2"/>
    <w:uiPriority w:val="59"/>
    <w:rsid w:val="006307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aa">
    <w:name w:val="header_aa"/>
    <w:basedOn w:val="a1"/>
    <w:rsid w:val="002914EB"/>
  </w:style>
  <w:style w:type="character" w:customStyle="1" w:styleId="FontStyle22">
    <w:name w:val="Font Style22"/>
    <w:rsid w:val="004F742E"/>
    <w:rPr>
      <w:rFonts w:ascii="Times New Roman" w:hAnsi="Times New Roman" w:cs="Times New Roman"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hyperlink" Target="https://ru.wikipedia.org/wiki/SARS-CoV-2" TargetMode="Externa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0.xml"/><Relationship Id="rId47" Type="http://schemas.openxmlformats.org/officeDocument/2006/relationships/chart" Target="charts/chart35.xml"/><Relationship Id="rId50" Type="http://schemas.openxmlformats.org/officeDocument/2006/relationships/chart" Target="charts/chart38.xml"/><Relationship Id="rId55"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hyperlink" Target="https://ru.wikipedia.org/wiki/%D0%9A%D0%BE%D1%80%D0%BE%D0%BD%D0%B0%D0%B2%D0%B8%D1%80%D1%83%D1%81%D1%8B" TargetMode="External"/><Relationship Id="rId46" Type="http://schemas.openxmlformats.org/officeDocument/2006/relationships/chart" Target="charts/chart34.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29.xml"/><Relationship Id="rId54" Type="http://schemas.openxmlformats.org/officeDocument/2006/relationships/chart" Target="charts/chart4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hyperlink" Target="https://ru.wikipedia.org/wiki/SARS-CoV-2" TargetMode="External"/><Relationship Id="rId40" Type="http://schemas.openxmlformats.org/officeDocument/2006/relationships/chart" Target="charts/chart28.xml"/><Relationship Id="rId45" Type="http://schemas.openxmlformats.org/officeDocument/2006/relationships/chart" Target="charts/chart33.xml"/><Relationship Id="rId53" Type="http://schemas.openxmlformats.org/officeDocument/2006/relationships/chart" Target="charts/chart4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hyperlink" Target="https://ru.wikipedia.org/wiki/%D0%9A%D0%BE%D1%80%D0%BE%D0%BD%D0%B0%D0%B2%D0%B8%D1%80%D1%83%D1%81%D1%8B" TargetMode="External"/><Relationship Id="rId49" Type="http://schemas.openxmlformats.org/officeDocument/2006/relationships/chart" Target="charts/chart37.xml"/><Relationship Id="rId57"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chart" Target="charts/chart32.xml"/><Relationship Id="rId52" Type="http://schemas.openxmlformats.org/officeDocument/2006/relationships/chart" Target="charts/chart40.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1.xml"/><Relationship Id="rId48" Type="http://schemas.openxmlformats.org/officeDocument/2006/relationships/chart" Target="charts/chart36.xml"/><Relationship Id="rId56" Type="http://schemas.openxmlformats.org/officeDocument/2006/relationships/fontTable" Target="fontTable.xml"/><Relationship Id="rId8" Type="http://schemas.openxmlformats.org/officeDocument/2006/relationships/chart" Target="charts/chart2.xml"/><Relationship Id="rId51" Type="http://schemas.openxmlformats.org/officeDocument/2006/relationships/chart" Target="charts/chart39.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openxmlformats.org/officeDocument/2006/relationships/image" Target="../media/image2.png"/><Relationship Id="rId1" Type="http://schemas.openxmlformats.org/officeDocument/2006/relationships/image" Target="../media/image1.png"/></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openxmlformats.org/officeDocument/2006/relationships/image" Target="../media/image2.png"/><Relationship Id="rId1" Type="http://schemas.openxmlformats.org/officeDocument/2006/relationships/image" Target="../media/image1.png"/></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Excel29.xlsx"/></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openxmlformats.org/officeDocument/2006/relationships/image" Target="../media/image4.png"/><Relationship Id="rId1" Type="http://schemas.openxmlformats.org/officeDocument/2006/relationships/image" Target="../media/image3.png"/></Relationships>
</file>

<file path=word/charts/_rels/chart30.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Excel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_____Microsoft_Excel34.xlsx"/></Relationships>
</file>

<file path=word/charts/_rels/chart35.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package" Target="../embeddings/_____Microsoft_Excel35.xlsx"/><Relationship Id="rId5" Type="http://schemas.openxmlformats.org/officeDocument/2006/relationships/image" Target="../media/image13.png"/><Relationship Id="rId4" Type="http://schemas.openxmlformats.org/officeDocument/2006/relationships/image" Target="../media/image12.png"/></Relationships>
</file>

<file path=word/charts/_rels/chart36.xml.rels><?xml version="1.0" encoding="UTF-8" standalone="yes"?>
<Relationships xmlns="http://schemas.openxmlformats.org/package/2006/relationships"><Relationship Id="rId1" Type="http://schemas.openxmlformats.org/officeDocument/2006/relationships/package" Target="../embeddings/_____Microsoft_Excel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_____Microsoft_Excel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_____Microsoft_Excel38.xlsx"/></Relationships>
</file>

<file path=word/charts/_rels/chart39.xml.rels><?xml version="1.0" encoding="UTF-8" standalone="yes"?>
<Relationships xmlns="http://schemas.openxmlformats.org/package/2006/relationships"><Relationship Id="rId2" Type="http://schemas.openxmlformats.org/officeDocument/2006/relationships/package" Target="../embeddings/_____Microsoft_Excel39.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openxmlformats.org/officeDocument/2006/relationships/image" Target="../media/image4.png"/><Relationship Id="rId1" Type="http://schemas.openxmlformats.org/officeDocument/2006/relationships/image" Target="../media/image3.png"/></Relationships>
</file>

<file path=word/charts/_rels/chart40.xml.rels><?xml version="1.0" encoding="UTF-8" standalone="yes"?>
<Relationships xmlns="http://schemas.openxmlformats.org/package/2006/relationships"><Relationship Id="rId1" Type="http://schemas.openxmlformats.org/officeDocument/2006/relationships/package" Target="../embeddings/_____Microsoft_Excel40.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_____Microsoft_Excel41.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_____Microsoft_Excel4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package" Target="../embeddings/_____Microsoft_Excel6.xlsx"/><Relationship Id="rId5" Type="http://schemas.openxmlformats.org/officeDocument/2006/relationships/image" Target="../media/image7.png"/><Relationship Id="rId4" Type="http://schemas.openxmlformats.org/officeDocument/2006/relationships/image" Target="../media/image6.png"/></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7.0539419087136929E-2"/>
          <c:y val="4.2654028436018961E-2"/>
          <c:w val="0.6203319502074689"/>
          <c:h val="0.79620853080568721"/>
        </c:manualLayout>
      </c:layout>
      <c:bar3DChart>
        <c:barDir val="col"/>
        <c:grouping val="clustered"/>
        <c:varyColors val="0"/>
        <c:ser>
          <c:idx val="0"/>
          <c:order val="0"/>
          <c:tx>
            <c:strRef>
              <c:f>Лист1!$A$5</c:f>
              <c:strCache>
                <c:ptCount val="1"/>
                <c:pt idx="0">
                  <c:v>проб</c:v>
                </c:pt>
              </c:strCache>
            </c:strRef>
          </c:tx>
          <c:spPr>
            <a:blipFill dpi="0" rotWithShape="0">
              <a:blip xmlns:r="http://schemas.openxmlformats.org/officeDocument/2006/relationships" r:embed="rId1"/>
              <a:srcRect/>
              <a:tile tx="0" ty="0" sx="100000" sy="100000" flip="none" algn="tl"/>
            </a:blipFill>
            <a:ln w="12684">
              <a:solidFill>
                <a:srgbClr val="000000"/>
              </a:solidFill>
              <a:prstDash val="solid"/>
            </a:ln>
          </c:spPr>
          <c:invertIfNegative val="0"/>
          <c:cat>
            <c:strRef>
              <c:f>Лист1!$B$4:$D$4</c:f>
              <c:strCache>
                <c:ptCount val="3"/>
                <c:pt idx="0">
                  <c:v>2018г</c:v>
                </c:pt>
                <c:pt idx="1">
                  <c:v>2019</c:v>
                </c:pt>
                <c:pt idx="2">
                  <c:v>2020</c:v>
                </c:pt>
              </c:strCache>
            </c:strRef>
          </c:cat>
          <c:val>
            <c:numRef>
              <c:f>Лист1!$B$5:$D$5</c:f>
              <c:numCache>
                <c:formatCode>General</c:formatCode>
                <c:ptCount val="3"/>
                <c:pt idx="0">
                  <c:v>135</c:v>
                </c:pt>
                <c:pt idx="1">
                  <c:v>108</c:v>
                </c:pt>
                <c:pt idx="2">
                  <c:v>468</c:v>
                </c:pt>
              </c:numCache>
            </c:numRef>
          </c:val>
        </c:ser>
        <c:ser>
          <c:idx val="1"/>
          <c:order val="1"/>
          <c:tx>
            <c:strRef>
              <c:f>Лист1!$A$6</c:f>
              <c:strCache>
                <c:ptCount val="1"/>
                <c:pt idx="0">
                  <c:v>не соотв. сан. нормам</c:v>
                </c:pt>
              </c:strCache>
            </c:strRef>
          </c:tx>
          <c:spPr>
            <a:blipFill dpi="0" rotWithShape="0">
              <a:blip xmlns:r="http://schemas.openxmlformats.org/officeDocument/2006/relationships" r:embed="rId2"/>
              <a:srcRect/>
              <a:tile tx="0" ty="0" sx="100000" sy="100000" flip="none" algn="tl"/>
            </a:blipFill>
            <a:ln w="12684">
              <a:solidFill>
                <a:srgbClr val="000000"/>
              </a:solidFill>
              <a:prstDash val="solid"/>
            </a:ln>
          </c:spPr>
          <c:invertIfNegative val="0"/>
          <c:cat>
            <c:strRef>
              <c:f>Лист1!$B$4:$D$4</c:f>
              <c:strCache>
                <c:ptCount val="3"/>
                <c:pt idx="0">
                  <c:v>2018г</c:v>
                </c:pt>
                <c:pt idx="1">
                  <c:v>2019</c:v>
                </c:pt>
                <c:pt idx="2">
                  <c:v>2020</c:v>
                </c:pt>
              </c:strCache>
            </c:strRef>
          </c:cat>
          <c:val>
            <c:numRef>
              <c:f>Лист1!$B$6:$D$6</c:f>
              <c:numCache>
                <c:formatCode>General</c:formatCode>
                <c:ptCount val="3"/>
                <c:pt idx="0">
                  <c:v>0</c:v>
                </c:pt>
                <c:pt idx="1">
                  <c:v>0</c:v>
                </c:pt>
                <c:pt idx="2">
                  <c:v>0</c:v>
                </c:pt>
              </c:numCache>
            </c:numRef>
          </c:val>
        </c:ser>
        <c:dLbls>
          <c:showLegendKey val="0"/>
          <c:showVal val="0"/>
          <c:showCatName val="0"/>
          <c:showSerName val="0"/>
          <c:showPercent val="0"/>
          <c:showBubbleSize val="0"/>
        </c:dLbls>
        <c:gapWidth val="150"/>
        <c:shape val="box"/>
        <c:axId val="546879480"/>
        <c:axId val="546879088"/>
        <c:axId val="0"/>
      </c:bar3DChart>
      <c:catAx>
        <c:axId val="546879480"/>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546879088"/>
        <c:crosses val="autoZero"/>
        <c:auto val="1"/>
        <c:lblAlgn val="ctr"/>
        <c:lblOffset val="100"/>
        <c:tickLblSkip val="1"/>
        <c:tickMarkSkip val="1"/>
        <c:noMultiLvlLbl val="0"/>
      </c:catAx>
      <c:valAx>
        <c:axId val="546879088"/>
        <c:scaling>
          <c:orientation val="minMax"/>
        </c:scaling>
        <c:delete val="0"/>
        <c:axPos val="l"/>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546879480"/>
        <c:crosses val="autoZero"/>
        <c:crossBetween val="between"/>
      </c:valAx>
      <c:spPr>
        <a:noFill/>
        <a:ln w="25369">
          <a:noFill/>
        </a:ln>
      </c:spPr>
    </c:plotArea>
    <c:legend>
      <c:legendPos val="r"/>
      <c:layout>
        <c:manualLayout>
          <c:xMode val="edge"/>
          <c:yMode val="edge"/>
          <c:x val="0.70695913010873646"/>
          <c:y val="0.40758298829667566"/>
          <c:w val="0.27800824896887888"/>
          <c:h val="0.18483402340664862"/>
        </c:manualLayout>
      </c:layout>
      <c:overlay val="0"/>
      <c:spPr>
        <a:solidFill>
          <a:srgbClr val="FFFFFF"/>
        </a:solidFill>
        <a:ln w="3171">
          <a:solidFill>
            <a:srgbClr val="000000"/>
          </a:solidFill>
          <a:prstDash val="solid"/>
        </a:ln>
      </c:spPr>
      <c:txPr>
        <a:bodyPr/>
        <a:lstStyle/>
        <a:p>
          <a:pPr>
            <a:defRPr sz="734"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1">
      <a:solidFill>
        <a:srgbClr val="000000"/>
      </a:solidFill>
      <a:prstDash val="solid"/>
    </a:ln>
  </c:spPr>
  <c:txPr>
    <a:bodyPr/>
    <a:lstStyle/>
    <a:p>
      <a:pPr>
        <a:defRPr sz="799" b="0" i="0" u="none" strike="noStrike" baseline="0">
          <a:solidFill>
            <a:srgbClr val="000000"/>
          </a:solidFill>
          <a:latin typeface="Arial Cyr"/>
          <a:ea typeface="Arial Cyr"/>
          <a:cs typeface="Arial Cy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9645390070921988E-2"/>
          <c:y val="7.575757575757576E-2"/>
          <c:w val="0.65248226950354615"/>
          <c:h val="0.74747474747474751"/>
        </c:manualLayout>
      </c:layout>
      <c:bar3DChart>
        <c:barDir val="col"/>
        <c:grouping val="clustered"/>
        <c:varyColors val="0"/>
        <c:ser>
          <c:idx val="1"/>
          <c:order val="0"/>
          <c:tx>
            <c:strRef>
              <c:f>Sheet1!$A$2</c:f>
              <c:strCache>
                <c:ptCount val="1"/>
                <c:pt idx="0">
                  <c:v>Средняя заработная плата(чел/мес/тыс руб)</c:v>
                </c:pt>
              </c:strCache>
            </c:strRef>
          </c:tx>
          <c:spPr>
            <a:solidFill>
              <a:srgbClr val="808080"/>
            </a:solidFill>
            <a:ln w="12700">
              <a:solidFill>
                <a:srgbClr val="000000"/>
              </a:solidFill>
              <a:prstDash val="solid"/>
            </a:ln>
          </c:spPr>
          <c:invertIfNegative val="0"/>
          <c:cat>
            <c:numRef>
              <c:f>Sheet1!$B$1:$E$1</c:f>
              <c:numCache>
                <c:formatCode>General</c:formatCode>
                <c:ptCount val="4"/>
                <c:pt idx="0">
                  <c:v>2018</c:v>
                </c:pt>
                <c:pt idx="1">
                  <c:v>2019</c:v>
                </c:pt>
                <c:pt idx="2">
                  <c:v>2020</c:v>
                </c:pt>
              </c:numCache>
            </c:numRef>
          </c:cat>
          <c:val>
            <c:numRef>
              <c:f>Sheet1!$B$2:$E$2</c:f>
              <c:numCache>
                <c:formatCode>General</c:formatCode>
                <c:ptCount val="4"/>
                <c:pt idx="0">
                  <c:v>62.043999999999997</c:v>
                </c:pt>
                <c:pt idx="1">
                  <c:v>68.111999999999995</c:v>
                </c:pt>
                <c:pt idx="2">
                  <c:v>70.319999999999993</c:v>
                </c:pt>
              </c:numCache>
            </c:numRef>
          </c:val>
        </c:ser>
        <c:ser>
          <c:idx val="2"/>
          <c:order val="1"/>
          <c:tx>
            <c:strRef>
              <c:f>Sheet1!$A$3</c:f>
              <c:strCache>
                <c:ptCount val="1"/>
                <c:pt idx="0">
                  <c:v>Прожиточный минимум (1чел/мес/тыс.руб)</c:v>
                </c:pt>
              </c:strCache>
            </c:strRef>
          </c:tx>
          <c:spPr>
            <a:pattFill prst="dkHorz">
              <a:fgClr>
                <a:srgbClr xmlns:mc="http://schemas.openxmlformats.org/markup-compatibility/2006" xmlns:a14="http://schemas.microsoft.com/office/drawing/2010/main" val="969696" mc:Ignorable="a14" a14:legacySpreadsheetColorIndex="55"/>
              </a:fgClr>
              <a:bgClr>
                <a:srgbClr xmlns:mc="http://schemas.openxmlformats.org/markup-compatibility/2006" xmlns:a14="http://schemas.microsoft.com/office/drawing/2010/main" val="808080" mc:Ignorable="a14" a14:legacySpreadsheetColorIndex="23"/>
              </a:bgClr>
            </a:pattFill>
            <a:ln w="12700">
              <a:solidFill>
                <a:srgbClr val="000000"/>
              </a:solidFill>
              <a:prstDash val="solid"/>
            </a:ln>
          </c:spPr>
          <c:invertIfNegative val="0"/>
          <c:cat>
            <c:numRef>
              <c:f>Sheet1!$B$1:$E$1</c:f>
              <c:numCache>
                <c:formatCode>General</c:formatCode>
                <c:ptCount val="4"/>
                <c:pt idx="0">
                  <c:v>2018</c:v>
                </c:pt>
                <c:pt idx="1">
                  <c:v>2019</c:v>
                </c:pt>
                <c:pt idx="2">
                  <c:v>2020</c:v>
                </c:pt>
              </c:numCache>
            </c:numRef>
          </c:cat>
          <c:val>
            <c:numRef>
              <c:f>Sheet1!$B$3:$E$3</c:f>
              <c:numCache>
                <c:formatCode>General</c:formatCode>
                <c:ptCount val="4"/>
                <c:pt idx="0">
                  <c:v>14.471</c:v>
                </c:pt>
                <c:pt idx="1">
                  <c:v>14.699</c:v>
                </c:pt>
                <c:pt idx="2">
                  <c:v>16.306000000000001</c:v>
                </c:pt>
              </c:numCache>
            </c:numRef>
          </c:val>
        </c:ser>
        <c:dLbls>
          <c:showLegendKey val="0"/>
          <c:showVal val="0"/>
          <c:showCatName val="0"/>
          <c:showSerName val="0"/>
          <c:showPercent val="0"/>
          <c:showBubbleSize val="0"/>
        </c:dLbls>
        <c:gapWidth val="150"/>
        <c:gapDepth val="0"/>
        <c:shape val="box"/>
        <c:axId val="546888496"/>
        <c:axId val="546888888"/>
        <c:axId val="0"/>
      </c:bar3DChart>
      <c:catAx>
        <c:axId val="5468884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ru-RU"/>
          </a:p>
        </c:txPr>
        <c:crossAx val="546888888"/>
        <c:crosses val="autoZero"/>
        <c:auto val="1"/>
        <c:lblAlgn val="ctr"/>
        <c:lblOffset val="100"/>
        <c:tickLblSkip val="1"/>
        <c:tickMarkSkip val="1"/>
        <c:noMultiLvlLbl val="0"/>
      </c:catAx>
      <c:valAx>
        <c:axId val="54688888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ru-RU"/>
          </a:p>
        </c:txPr>
        <c:crossAx val="546888496"/>
        <c:crosses val="autoZero"/>
        <c:crossBetween val="between"/>
      </c:valAx>
      <c:spPr>
        <a:noFill/>
        <a:ln w="25401">
          <a:noFill/>
        </a:ln>
      </c:spPr>
    </c:plotArea>
    <c:legend>
      <c:legendPos val="r"/>
      <c:layout>
        <c:manualLayout>
          <c:xMode val="edge"/>
          <c:yMode val="edge"/>
          <c:x val="0.72163120567375882"/>
          <c:y val="0.32323232323232326"/>
          <c:w val="0.27127659574468083"/>
          <c:h val="0.35858585858585856"/>
        </c:manualLayout>
      </c:layout>
      <c:overlay val="0"/>
      <c:spPr>
        <a:noFill/>
        <a:ln w="3175">
          <a:solidFill>
            <a:srgbClr val="000000"/>
          </a:solidFill>
          <a:prstDash val="solid"/>
        </a:ln>
      </c:spPr>
      <c:txPr>
        <a:bodyPr/>
        <a:lstStyle/>
        <a:p>
          <a:pPr>
            <a:defRPr sz="805" b="1" i="0" u="none" strike="noStrike" baseline="0">
              <a:solidFill>
                <a:srgbClr val="000000"/>
              </a:solidFill>
              <a:latin typeface="Calibri"/>
              <a:ea typeface="Calibri"/>
              <a:cs typeface="Calibri"/>
            </a:defRPr>
          </a:pPr>
          <a:endParaRPr lang="ru-RU"/>
        </a:p>
      </c:txPr>
    </c:legend>
    <c:plotVisOnly val="1"/>
    <c:dispBlanksAs val="gap"/>
    <c:showDLblsOverMax val="0"/>
  </c:chart>
  <c:spPr>
    <a:pattFill prst="horzBrick">
      <a:fgClr>
        <a:srgbClr val="FFFFFF"/>
      </a:fgClr>
      <a:bgClr>
        <a:srgbClr val="FFFFFF"/>
      </a:bgClr>
    </a:pattFill>
    <a:ln>
      <a:noFill/>
    </a:ln>
  </c:spPr>
  <c:txPr>
    <a:bodyPr/>
    <a:lstStyle/>
    <a:p>
      <a:pPr>
        <a:defRPr sz="8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1"/>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8.6440677966101692E-2"/>
          <c:y val="0.04"/>
          <c:w val="0.89661016949152539"/>
          <c:h val="0.67555555555555558"/>
        </c:manualLayout>
      </c:layout>
      <c:bar3DChart>
        <c:barDir val="col"/>
        <c:grouping val="clustered"/>
        <c:varyColors val="0"/>
        <c:ser>
          <c:idx val="0"/>
          <c:order val="0"/>
          <c:tx>
            <c:strRef>
              <c:f>Sheet1!$A$2</c:f>
              <c:strCache>
                <c:ptCount val="1"/>
                <c:pt idx="0">
                  <c:v>численность населения всего</c:v>
                </c:pt>
              </c:strCache>
            </c:strRef>
          </c:tx>
          <c:spPr>
            <a:solidFill>
              <a:srgbClr val="808080"/>
            </a:solidFill>
            <a:ln w="12700">
              <a:solidFill>
                <a:srgbClr val="000000"/>
              </a:solidFill>
              <a:prstDash val="solid"/>
            </a:ln>
          </c:spPr>
          <c:invertIfNegative val="0"/>
          <c:cat>
            <c:numRef>
              <c:f>Sheet1!$B$1:$D$1</c:f>
              <c:numCache>
                <c:formatCode>General</c:formatCode>
                <c:ptCount val="3"/>
                <c:pt idx="0">
                  <c:v>2018</c:v>
                </c:pt>
                <c:pt idx="1">
                  <c:v>2019</c:v>
                </c:pt>
                <c:pt idx="2">
                  <c:v>2020</c:v>
                </c:pt>
              </c:numCache>
            </c:numRef>
          </c:cat>
          <c:val>
            <c:numRef>
              <c:f>Sheet1!$B$2:$D$2</c:f>
              <c:numCache>
                <c:formatCode>General</c:formatCode>
                <c:ptCount val="3"/>
                <c:pt idx="0">
                  <c:v>42183</c:v>
                </c:pt>
                <c:pt idx="1">
                  <c:v>41223</c:v>
                </c:pt>
                <c:pt idx="2">
                  <c:v>39844</c:v>
                </c:pt>
              </c:numCache>
            </c:numRef>
          </c:val>
        </c:ser>
        <c:dLbls>
          <c:showLegendKey val="0"/>
          <c:showVal val="0"/>
          <c:showCatName val="0"/>
          <c:showSerName val="0"/>
          <c:showPercent val="0"/>
          <c:showBubbleSize val="0"/>
        </c:dLbls>
        <c:gapWidth val="150"/>
        <c:gapDepth val="0"/>
        <c:shape val="box"/>
        <c:axId val="546889672"/>
        <c:axId val="546890064"/>
        <c:axId val="0"/>
      </c:bar3DChart>
      <c:catAx>
        <c:axId val="5468896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546890064"/>
        <c:crosses val="autoZero"/>
        <c:auto val="1"/>
        <c:lblAlgn val="ctr"/>
        <c:lblOffset val="100"/>
        <c:tickLblSkip val="1"/>
        <c:tickMarkSkip val="1"/>
        <c:noMultiLvlLbl val="0"/>
      </c:catAx>
      <c:valAx>
        <c:axId val="54689006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546889672"/>
        <c:crosses val="autoZero"/>
        <c:crossBetween val="between"/>
      </c:valAx>
      <c:spPr>
        <a:noFill/>
        <a:ln w="25400">
          <a:noFill/>
        </a:ln>
      </c:spPr>
    </c:plotArea>
    <c:legend>
      <c:legendPos val="b"/>
      <c:layout>
        <c:manualLayout>
          <c:xMode val="edge"/>
          <c:yMode val="edge"/>
          <c:x val="0.31186440677966104"/>
          <c:y val="0.88"/>
          <c:w val="0.37457627118644066"/>
          <c:h val="0.10666666666666667"/>
        </c:manualLayout>
      </c:layout>
      <c:overlay val="0"/>
      <c:spPr>
        <a:noFill/>
        <a:ln w="3175">
          <a:solidFill>
            <a:srgbClr val="000000"/>
          </a:solidFill>
          <a:prstDash val="solid"/>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458476089537796E-2"/>
          <c:y val="2.3627455278391881E-2"/>
          <c:w val="0.93333333333333335"/>
          <c:h val="0.84042414269084842"/>
        </c:manualLayout>
      </c:layout>
      <c:lineChart>
        <c:grouping val="standard"/>
        <c:varyColors val="0"/>
        <c:ser>
          <c:idx val="0"/>
          <c:order val="0"/>
          <c:tx>
            <c:strRef>
              <c:f>рожд!$A$5</c:f>
              <c:strCache>
                <c:ptCount val="1"/>
                <c:pt idx="0">
                  <c:v>г. Пыть-Ях</c:v>
                </c:pt>
              </c:strCache>
            </c:strRef>
          </c:tx>
          <c:spPr>
            <a:ln w="12700">
              <a:solidFill>
                <a:srgbClr val="000000"/>
              </a:solidFill>
              <a:prstDash val="solid"/>
            </a:ln>
          </c:spPr>
          <c:marker>
            <c:symbol val="diamond"/>
            <c:size val="5"/>
            <c:spPr>
              <a:solidFill>
                <a:srgbClr val="000000"/>
              </a:solidFill>
              <a:ln>
                <a:solidFill>
                  <a:srgbClr val="000000"/>
                </a:solidFill>
                <a:prstDash val="solid"/>
              </a:ln>
            </c:spPr>
          </c:marker>
          <c:dLbls>
            <c:dLbl>
              <c:idx val="0"/>
              <c:layout>
                <c:manualLayout>
                  <c:x val="-3.6935919595416422E-2"/>
                  <c:y val="-2.6997001943794605E-2"/>
                </c:manualLayout>
              </c:layout>
              <c:spPr>
                <a:noFill/>
                <a:ln w="25401">
                  <a:noFill/>
                </a:ln>
              </c:spPr>
              <c:txPr>
                <a:bodyPr/>
                <a:lstStyle/>
                <a:p>
                  <a:pPr>
                    <a:defRPr sz="500"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3078590785907853E-2"/>
                  <c:y val="-4.3733403617434816E-2"/>
                </c:manualLayout>
              </c:layout>
              <c:spPr>
                <a:noFill/>
                <a:ln w="25401">
                  <a:noFill/>
                </a:ln>
              </c:spPr>
              <c:txPr>
                <a:bodyPr/>
                <a:lstStyle/>
                <a:p>
                  <a:pPr>
                    <a:defRPr sz="500"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4099310756887085E-2"/>
                  <c:y val="-4.0745011476075961E-2"/>
                </c:manualLayout>
              </c:layout>
              <c:spPr>
                <a:noFill/>
                <a:ln w="25401">
                  <a:noFill/>
                </a:ln>
              </c:spPr>
              <c:txPr>
                <a:bodyPr/>
                <a:lstStyle/>
                <a:p>
                  <a:pPr>
                    <a:defRPr sz="500"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6.024215265774701E-2"/>
                  <c:y val="-3.5365202780614807E-2"/>
                </c:manualLayout>
              </c:layout>
              <c:spPr>
                <a:noFill/>
                <a:ln w="25401">
                  <a:noFill/>
                </a:ln>
              </c:spPr>
              <c:txPr>
                <a:bodyPr/>
                <a:lstStyle/>
                <a:p>
                  <a:pPr>
                    <a:defRPr sz="500"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5.3376693766937662E-2"/>
                  <c:y val="-4.7320089172953786E-2"/>
                </c:manualLayout>
              </c:layout>
              <c:spPr>
                <a:noFill/>
                <a:ln w="25401">
                  <a:noFill/>
                </a:ln>
              </c:spPr>
              <c:txPr>
                <a:bodyPr/>
                <a:lstStyle/>
                <a:p>
                  <a:pPr>
                    <a:defRPr sz="500"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Mode val="edge"/>
                  <c:yMode val="edge"/>
                  <c:x val="0.56747967479674799"/>
                  <c:y val="0"/>
                </c:manualLayout>
              </c:layout>
              <c:spPr>
                <a:noFill/>
                <a:ln w="25401">
                  <a:noFill/>
                </a:ln>
              </c:spPr>
              <c:txPr>
                <a:bodyPr/>
                <a:lstStyle/>
                <a:p>
                  <a:pPr>
                    <a:defRPr sz="500"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Mode val="edge"/>
                  <c:yMode val="edge"/>
                  <c:x val="0.67804878048780493"/>
                  <c:y val="0"/>
                </c:manualLayout>
              </c:layout>
              <c:spPr>
                <a:noFill/>
                <a:ln w="25401">
                  <a:noFill/>
                </a:ln>
              </c:spPr>
              <c:txPr>
                <a:bodyPr/>
                <a:lstStyle/>
                <a:p>
                  <a:pPr>
                    <a:defRPr sz="500"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Mode val="edge"/>
                  <c:yMode val="edge"/>
                  <c:x val="0.78699186991869918"/>
                  <c:y val="0"/>
                </c:manualLayout>
              </c:layout>
              <c:spPr>
                <a:noFill/>
                <a:ln w="25401">
                  <a:noFill/>
                </a:ln>
              </c:spPr>
              <c:txPr>
                <a:bodyPr/>
                <a:lstStyle/>
                <a:p>
                  <a:pPr>
                    <a:defRPr sz="500"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Mode val="edge"/>
                  <c:yMode val="edge"/>
                  <c:x val="0.90731707317073174"/>
                  <c:y val="0"/>
                </c:manualLayout>
              </c:layout>
              <c:spPr>
                <a:noFill/>
                <a:ln w="25401">
                  <a:noFill/>
                </a:ln>
              </c:spPr>
              <c:txPr>
                <a:bodyPr/>
                <a:lstStyle/>
                <a:p>
                  <a:pPr>
                    <a:defRPr sz="500"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spPr>
              <a:noFill/>
              <a:ln w="25401">
                <a:noFill/>
              </a:ln>
            </c:spPr>
            <c:txPr>
              <a:bodyPr wrap="square" lIns="38100" tIns="19050" rIns="38100" bIns="19050" anchor="ctr">
                <a:spAutoFit/>
              </a:bodyPr>
              <a:lstStyle/>
              <a:p>
                <a:pPr>
                  <a:defRPr sz="5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рожд!$B$4:$D$4</c:f>
              <c:numCache>
                <c:formatCode>General</c:formatCode>
                <c:ptCount val="3"/>
                <c:pt idx="0">
                  <c:v>2018</c:v>
                </c:pt>
                <c:pt idx="1">
                  <c:v>2019</c:v>
                </c:pt>
                <c:pt idx="2">
                  <c:v>2020</c:v>
                </c:pt>
              </c:numCache>
            </c:numRef>
          </c:cat>
          <c:val>
            <c:numRef>
              <c:f>рожд!$B$5:$D$5</c:f>
              <c:numCache>
                <c:formatCode>General</c:formatCode>
                <c:ptCount val="3"/>
                <c:pt idx="0">
                  <c:v>13</c:v>
                </c:pt>
                <c:pt idx="1">
                  <c:v>11</c:v>
                </c:pt>
                <c:pt idx="2">
                  <c:v>10.9</c:v>
                </c:pt>
              </c:numCache>
            </c:numRef>
          </c:val>
          <c:smooth val="0"/>
        </c:ser>
        <c:ser>
          <c:idx val="1"/>
          <c:order val="1"/>
          <c:tx>
            <c:strRef>
              <c:f>рожд!$A$6</c:f>
              <c:strCache>
                <c:ptCount val="1"/>
                <c:pt idx="0">
                  <c:v>ХМАО</c:v>
                </c:pt>
              </c:strCache>
            </c:strRef>
          </c:tx>
          <c:spPr>
            <a:ln w="12700">
              <a:solidFill>
                <a:srgbClr val="000000"/>
              </a:solidFill>
              <a:prstDash val="solid"/>
            </a:ln>
          </c:spPr>
          <c:marker>
            <c:symbol val="square"/>
            <c:size val="5"/>
            <c:spPr>
              <a:solidFill>
                <a:srgbClr val="000000"/>
              </a:solidFill>
              <a:ln>
                <a:solidFill>
                  <a:srgbClr val="000000"/>
                </a:solidFill>
                <a:prstDash val="solid"/>
              </a:ln>
            </c:spPr>
          </c:marker>
          <c:dLbls>
            <c:dLbl>
              <c:idx val="0"/>
              <c:layout>
                <c:manualLayout>
                  <c:x val="-3.6935919595416422E-2"/>
                  <c:y val="0"/>
                </c:manualLayout>
              </c:layout>
              <c:spPr>
                <a:noFill/>
                <a:ln w="25401">
                  <a:noFill/>
                </a:ln>
              </c:spPr>
              <c:txPr>
                <a:bodyPr/>
                <a:lstStyle/>
                <a:p>
                  <a:pPr>
                    <a:defRPr sz="500"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4460704607046065E-2"/>
                  <c:y val="0"/>
                </c:manualLayout>
              </c:layout>
              <c:spPr>
                <a:noFill/>
                <a:ln w="25401">
                  <a:noFill/>
                </a:ln>
              </c:spPr>
              <c:txPr>
                <a:bodyPr/>
                <a:lstStyle/>
                <a:p>
                  <a:pPr>
                    <a:defRPr sz="500"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084727823656187E-2"/>
                  <c:y val="0"/>
                </c:manualLayout>
              </c:layout>
              <c:spPr>
                <a:noFill/>
                <a:ln w="25401">
                  <a:noFill/>
                </a:ln>
              </c:spPr>
              <c:txPr>
                <a:bodyPr/>
                <a:lstStyle/>
                <a:p>
                  <a:pPr>
                    <a:defRPr sz="500"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6.6746217698397475E-2"/>
                  <c:y val="0"/>
                </c:manualLayout>
              </c:layout>
              <c:spPr>
                <a:noFill/>
                <a:ln w="25401">
                  <a:noFill/>
                </a:ln>
              </c:spPr>
              <c:txPr>
                <a:bodyPr/>
                <a:lstStyle/>
                <a:p>
                  <a:pPr>
                    <a:defRPr sz="500"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061246612466121E-2"/>
                  <c:y val="0"/>
                </c:manualLayout>
              </c:layout>
              <c:spPr>
                <a:noFill/>
                <a:ln w="25401">
                  <a:noFill/>
                </a:ln>
              </c:spPr>
              <c:txPr>
                <a:bodyPr/>
                <a:lstStyle/>
                <a:p>
                  <a:pPr>
                    <a:defRPr sz="500"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4.1633186095640477E-2"/>
                  <c:y val="0"/>
                </c:manualLayout>
              </c:layout>
              <c:spPr>
                <a:noFill/>
                <a:ln w="25401">
                  <a:noFill/>
                </a:ln>
              </c:spPr>
              <c:txPr>
                <a:bodyPr/>
                <a:lstStyle/>
                <a:p>
                  <a:pPr>
                    <a:defRPr sz="500"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4.2897979216012641E-2"/>
                  <c:y val="0"/>
                </c:manualLayout>
              </c:layout>
              <c:spPr>
                <a:noFill/>
                <a:ln w="25401">
                  <a:noFill/>
                </a:ln>
              </c:spPr>
              <c:txPr>
                <a:bodyPr/>
                <a:lstStyle/>
                <a:p>
                  <a:pPr>
                    <a:defRPr sz="500"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5.5544715447154475E-2"/>
                  <c:y val="0"/>
                </c:manualLayout>
              </c:layout>
              <c:spPr>
                <a:noFill/>
                <a:ln w="25401">
                  <a:noFill/>
                </a:ln>
              </c:spPr>
              <c:txPr>
                <a:bodyPr/>
                <a:lstStyle/>
                <a:p>
                  <a:pPr>
                    <a:defRPr sz="500"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4.2175191515694696E-2"/>
                  <c:y val="0"/>
                </c:manualLayout>
              </c:layout>
              <c:spPr>
                <a:noFill/>
                <a:ln w="25401">
                  <a:noFill/>
                </a:ln>
              </c:spPr>
              <c:txPr>
                <a:bodyPr/>
                <a:lstStyle/>
                <a:p>
                  <a:pPr>
                    <a:defRPr sz="500"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spPr>
              <a:noFill/>
              <a:ln w="25401">
                <a:noFill/>
              </a:ln>
            </c:spPr>
            <c:txPr>
              <a:bodyPr wrap="square" lIns="38100" tIns="19050" rIns="38100" bIns="19050" anchor="ctr">
                <a:spAutoFit/>
              </a:bodyPr>
              <a:lstStyle/>
              <a:p>
                <a:pPr>
                  <a:defRPr sz="5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рожд!$B$4:$D$4</c:f>
              <c:numCache>
                <c:formatCode>General</c:formatCode>
                <c:ptCount val="3"/>
                <c:pt idx="0">
                  <c:v>2018</c:v>
                </c:pt>
                <c:pt idx="1">
                  <c:v>2019</c:v>
                </c:pt>
                <c:pt idx="2">
                  <c:v>2020</c:v>
                </c:pt>
              </c:numCache>
            </c:numRef>
          </c:cat>
          <c:val>
            <c:numRef>
              <c:f>рожд!$B$6:$D$6</c:f>
              <c:numCache>
                <c:formatCode>General</c:formatCode>
                <c:ptCount val="3"/>
              </c:numCache>
            </c:numRef>
          </c:val>
          <c:smooth val="0"/>
        </c:ser>
        <c:ser>
          <c:idx val="2"/>
          <c:order val="2"/>
          <c:tx>
            <c:strRef>
              <c:f>рожд!$A$7</c:f>
              <c:strCache>
                <c:ptCount val="1"/>
                <c:pt idx="0">
                  <c:v>РФ</c:v>
                </c:pt>
              </c:strCache>
            </c:strRef>
          </c:tx>
          <c:spPr>
            <a:ln w="12700">
              <a:solidFill>
                <a:srgbClr val="000000"/>
              </a:solidFill>
              <a:prstDash val="solid"/>
            </a:ln>
          </c:spPr>
          <c:marker>
            <c:symbol val="triangle"/>
            <c:size val="5"/>
            <c:spPr>
              <a:solidFill>
                <a:srgbClr val="000000"/>
              </a:solidFill>
              <a:ln>
                <a:solidFill>
                  <a:srgbClr val="000000"/>
                </a:solidFill>
                <a:prstDash val="solid"/>
              </a:ln>
            </c:spPr>
          </c:marker>
          <c:dLbls>
            <c:dLbl>
              <c:idx val="0"/>
              <c:layout>
                <c:manualLayout>
                  <c:x val="-4.8318033416554634E-2"/>
                  <c:y val="0"/>
                </c:manualLayout>
              </c:layout>
              <c:spPr>
                <a:noFill/>
                <a:ln w="25401">
                  <a:noFill/>
                </a:ln>
              </c:spPr>
              <c:txPr>
                <a:bodyPr/>
                <a:lstStyle/>
                <a:p>
                  <a:pPr>
                    <a:defRPr sz="800" b="0"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2.2482384823848268E-2"/>
                  <c:y val="0"/>
                </c:manualLayout>
              </c:layout>
              <c:spPr>
                <a:noFill/>
                <a:ln w="25401">
                  <a:noFill/>
                </a:ln>
              </c:spPr>
              <c:txPr>
                <a:bodyPr/>
                <a:lstStyle/>
                <a:p>
                  <a:pPr>
                    <a:defRPr sz="800" b="0"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2.0494974713526671E-2"/>
                  <c:y val="0"/>
                </c:manualLayout>
              </c:layout>
              <c:spPr>
                <a:noFill/>
                <a:ln w="25401">
                  <a:noFill/>
                </a:ln>
              </c:spPr>
              <c:txPr>
                <a:bodyPr/>
                <a:lstStyle/>
                <a:p>
                  <a:pPr>
                    <a:defRPr sz="800" b="0"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2.5011800354223974E-2"/>
                  <c:y val="0"/>
                </c:manualLayout>
              </c:layout>
              <c:spPr>
                <a:noFill/>
                <a:ln w="25401">
                  <a:noFill/>
                </a:ln>
              </c:spPr>
              <c:txPr>
                <a:bodyPr/>
                <a:lstStyle/>
                <a:p>
                  <a:pPr>
                    <a:defRPr sz="500"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spPr>
              <a:noFill/>
              <a:ln w="25401">
                <a:noFill/>
              </a:ln>
            </c:spPr>
            <c:txPr>
              <a:bodyPr wrap="square" lIns="38100" tIns="19050" rIns="38100" bIns="19050" anchor="ctr">
                <a:spAutoFit/>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рожд!$B$4:$D$4</c:f>
              <c:numCache>
                <c:formatCode>General</c:formatCode>
                <c:ptCount val="3"/>
                <c:pt idx="0">
                  <c:v>2018</c:v>
                </c:pt>
                <c:pt idx="1">
                  <c:v>2019</c:v>
                </c:pt>
                <c:pt idx="2">
                  <c:v>2020</c:v>
                </c:pt>
              </c:numCache>
            </c:numRef>
          </c:cat>
          <c:val>
            <c:numRef>
              <c:f>рожд!$B$7:$D$7</c:f>
              <c:numCache>
                <c:formatCode>General</c:formatCode>
                <c:ptCount val="3"/>
              </c:numCache>
            </c:numRef>
          </c:val>
          <c:smooth val="0"/>
        </c:ser>
        <c:dLbls>
          <c:showLegendKey val="0"/>
          <c:showVal val="0"/>
          <c:showCatName val="0"/>
          <c:showSerName val="0"/>
          <c:showPercent val="0"/>
          <c:showBubbleSize val="0"/>
        </c:dLbls>
        <c:marker val="1"/>
        <c:smooth val="0"/>
        <c:axId val="546890848"/>
        <c:axId val="546891240"/>
      </c:lineChart>
      <c:catAx>
        <c:axId val="546890848"/>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550" b="0" i="0" u="none" strike="noStrike" baseline="0">
                <a:solidFill>
                  <a:srgbClr val="000000"/>
                </a:solidFill>
                <a:latin typeface="Arial Cyr"/>
                <a:ea typeface="Arial Cyr"/>
                <a:cs typeface="Arial Cyr"/>
              </a:defRPr>
            </a:pPr>
            <a:endParaRPr lang="ru-RU"/>
          </a:p>
        </c:txPr>
        <c:crossAx val="546891240"/>
        <c:crosses val="autoZero"/>
        <c:auto val="1"/>
        <c:lblAlgn val="ctr"/>
        <c:lblOffset val="100"/>
        <c:tickLblSkip val="1"/>
        <c:tickMarkSkip val="1"/>
        <c:noMultiLvlLbl val="0"/>
      </c:catAx>
      <c:valAx>
        <c:axId val="54689124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550" b="0" i="0" u="none" strike="noStrike" baseline="0">
                <a:solidFill>
                  <a:srgbClr val="000000"/>
                </a:solidFill>
                <a:latin typeface="Arial Cyr"/>
                <a:ea typeface="Arial Cyr"/>
                <a:cs typeface="Arial Cyr"/>
              </a:defRPr>
            </a:pPr>
            <a:endParaRPr lang="ru-RU"/>
          </a:p>
        </c:txPr>
        <c:crossAx val="546890848"/>
        <c:crosses val="autoZero"/>
        <c:crossBetween val="between"/>
      </c:valAx>
      <c:spPr>
        <a:solidFill>
          <a:srgbClr val="FFFFFF"/>
        </a:solidFill>
        <a:ln w="12700">
          <a:solidFill>
            <a:srgbClr val="FFFFFF"/>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1" i="0" u="none" strike="noStrike" baseline="0">
                <a:solidFill>
                  <a:srgbClr val="000000"/>
                </a:solidFill>
                <a:latin typeface="Arial"/>
                <a:ea typeface="Arial"/>
                <a:cs typeface="Arial"/>
              </a:defRPr>
            </a:pPr>
            <a:r>
              <a:rPr lang="ru-RU"/>
              <a:t>Динамика показателей смертности населения г. Пыть-Ях (на 1000 нас.).</a:t>
            </a:r>
          </a:p>
        </c:rich>
      </c:tx>
      <c:layout>
        <c:manualLayout>
          <c:xMode val="edge"/>
          <c:yMode val="edge"/>
          <c:x val="0.12110716343383907"/>
          <c:y val="1.9531685176907471E-2"/>
        </c:manualLayout>
      </c:layout>
      <c:overlay val="0"/>
      <c:spPr>
        <a:noFill/>
        <a:ln w="25400">
          <a:noFill/>
        </a:ln>
      </c:spPr>
    </c:title>
    <c:autoTitleDeleted val="0"/>
    <c:plotArea>
      <c:layout/>
      <c:lineChart>
        <c:grouping val="standard"/>
        <c:varyColors val="0"/>
        <c:ser>
          <c:idx val="0"/>
          <c:order val="0"/>
          <c:tx>
            <c:strRef>
              <c:f>смертн!$A$4</c:f>
              <c:strCache>
                <c:ptCount val="1"/>
                <c:pt idx="0">
                  <c:v>г. Пыть-Ях</c:v>
                </c:pt>
              </c:strCache>
            </c:strRef>
          </c:tx>
          <c:spPr>
            <a:ln w="12700">
              <a:solidFill>
                <a:srgbClr val="000000"/>
              </a:solidFill>
              <a:prstDash val="solid"/>
            </a:ln>
          </c:spPr>
          <c:marker>
            <c:symbol val="diamond"/>
            <c:size val="4"/>
            <c:spPr>
              <a:solidFill>
                <a:srgbClr val="000080"/>
              </a:solidFill>
              <a:ln>
                <a:solidFill>
                  <a:srgbClr val="000000"/>
                </a:solidFill>
                <a:prstDash val="solid"/>
              </a:ln>
            </c:spPr>
          </c:marker>
          <c:dLbls>
            <c:dLbl>
              <c:idx val="0"/>
              <c:layout>
                <c:manualLayout>
                  <c:x val="-4.5032467827334728E-2"/>
                  <c:y val="2.3203330052493421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5759111425950685E-2"/>
                  <c:y val="2.4765830052493422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0914820768511206E-2"/>
                  <c:y val="1.565124671916009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4721049142213561E-2"/>
                  <c:y val="3.9088746719160086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4.9876758484774138E-2"/>
                  <c:y val="2.346374671916009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Mode val="edge"/>
                  <c:yMode val="edge"/>
                  <c:x val="0.55882352941176472"/>
                  <c:y val="0"/>
                </c:manualLayout>
              </c:layout>
              <c:spPr>
                <a:noFill/>
                <a:ln w="25400">
                  <a:noFill/>
                </a:ln>
              </c:spPr>
              <c:txPr>
                <a:bodyPr/>
                <a:lstStyle/>
                <a:p>
                  <a:pPr>
                    <a:defRPr sz="62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Mode val="edge"/>
                  <c:yMode val="edge"/>
                  <c:x val="0.66262975778546718"/>
                  <c:y val="0"/>
                </c:manualLayout>
              </c:layout>
              <c:spPr>
                <a:noFill/>
                <a:ln w="25400">
                  <a:noFill/>
                </a:ln>
              </c:spPr>
              <c:txPr>
                <a:bodyPr/>
                <a:lstStyle/>
                <a:p>
                  <a:pPr>
                    <a:defRPr sz="62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Mode val="edge"/>
                  <c:yMode val="edge"/>
                  <c:x val="0.75605536332179935"/>
                  <c:y val="1.171875E-2"/>
                </c:manualLayout>
              </c:layout>
              <c:spPr>
                <a:noFill/>
                <a:ln w="25400">
                  <a:noFill/>
                </a:ln>
              </c:spPr>
              <c:txPr>
                <a:bodyPr/>
                <a:lstStyle/>
                <a:p>
                  <a:pPr>
                    <a:defRPr sz="62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Mode val="edge"/>
                  <c:yMode val="edge"/>
                  <c:x val="0.88235294117647056"/>
                  <c:y val="0"/>
                </c:manualLayout>
              </c:layout>
              <c:spPr>
                <a:noFill/>
                <a:ln w="25400">
                  <a:noFill/>
                </a:ln>
              </c:spPr>
              <c:txPr>
                <a:bodyPr/>
                <a:lstStyle/>
                <a:p>
                  <a:pPr>
                    <a:defRPr sz="62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97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смертн!$B$3:$D$3</c:f>
              <c:numCache>
                <c:formatCode>General</c:formatCode>
                <c:ptCount val="3"/>
                <c:pt idx="0">
                  <c:v>2018</c:v>
                </c:pt>
                <c:pt idx="1">
                  <c:v>2019</c:v>
                </c:pt>
                <c:pt idx="2">
                  <c:v>2020</c:v>
                </c:pt>
              </c:numCache>
            </c:numRef>
          </c:cat>
          <c:val>
            <c:numRef>
              <c:f>смертн!$B$4:$D$4</c:f>
              <c:numCache>
                <c:formatCode>0.0</c:formatCode>
                <c:ptCount val="3"/>
                <c:pt idx="0">
                  <c:v>6</c:v>
                </c:pt>
                <c:pt idx="1">
                  <c:v>4.8</c:v>
                </c:pt>
                <c:pt idx="2">
                  <c:v>6.7</c:v>
                </c:pt>
              </c:numCache>
            </c:numRef>
          </c:val>
          <c:smooth val="0"/>
        </c:ser>
        <c:ser>
          <c:idx val="1"/>
          <c:order val="1"/>
          <c:tx>
            <c:strRef>
              <c:f>смертн!$A$5</c:f>
              <c:strCache>
                <c:ptCount val="1"/>
              </c:strCache>
            </c:strRef>
          </c:tx>
          <c:spPr>
            <a:ln w="12700">
              <a:solidFill>
                <a:srgbClr val="000000"/>
              </a:solidFill>
              <a:prstDash val="solid"/>
            </a:ln>
          </c:spPr>
          <c:marker>
            <c:symbol val="square"/>
            <c:size val="4"/>
            <c:spPr>
              <a:solidFill>
                <a:srgbClr val="000000"/>
              </a:solidFill>
              <a:ln>
                <a:solidFill>
                  <a:srgbClr val="000000"/>
                </a:solidFill>
                <a:prstDash val="solid"/>
              </a:ln>
            </c:spPr>
          </c:marker>
          <c:dLbls>
            <c:dLbl>
              <c:idx val="0"/>
              <c:layout>
                <c:manualLayout>
                  <c:x val="-5.0222779246019859E-2"/>
                  <c:y val="0"/>
                </c:manualLayout>
              </c:layout>
              <c:spPr>
                <a:noFill/>
                <a:ln w="25400">
                  <a:noFill/>
                </a:ln>
              </c:spPr>
              <c:txPr>
                <a:bodyPr/>
                <a:lstStyle/>
                <a:p>
                  <a:pPr>
                    <a:defRPr sz="62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9219319038407402E-2"/>
                  <c:y val="0"/>
                </c:manualLayout>
              </c:layout>
              <c:spPr>
                <a:noFill/>
                <a:ln w="25400">
                  <a:noFill/>
                </a:ln>
              </c:spPr>
              <c:txPr>
                <a:bodyPr/>
                <a:lstStyle/>
                <a:p>
                  <a:pPr>
                    <a:defRPr sz="62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4375028380967923E-2"/>
                  <c:y val="0"/>
                </c:manualLayout>
              </c:layout>
              <c:spPr>
                <a:noFill/>
                <a:ln w="25400">
                  <a:noFill/>
                </a:ln>
              </c:spPr>
              <c:txPr>
                <a:bodyPr/>
                <a:lstStyle/>
                <a:p>
                  <a:pPr>
                    <a:defRPr sz="62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12608415297569E-2"/>
                  <c:y val="0"/>
                </c:manualLayout>
              </c:layout>
              <c:spPr>
                <a:noFill/>
                <a:ln w="25400">
                  <a:noFill/>
                </a:ln>
              </c:spPr>
              <c:txPr>
                <a:bodyPr/>
                <a:lstStyle/>
                <a:p>
                  <a:pPr>
                    <a:defRPr sz="62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5.1606862291002573E-2"/>
                  <c:y val="0"/>
                </c:manualLayout>
              </c:layout>
              <c:spPr>
                <a:noFill/>
                <a:ln w="25400">
                  <a:noFill/>
                </a:ln>
              </c:spPr>
              <c:txPr>
                <a:bodyPr/>
                <a:lstStyle/>
                <a:p>
                  <a:pPr>
                    <a:defRPr sz="62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Mode val="edge"/>
                  <c:yMode val="edge"/>
                  <c:x val="0.56401384083044981"/>
                  <c:y val="0"/>
                </c:manualLayout>
              </c:layout>
              <c:spPr>
                <a:noFill/>
                <a:ln w="25400">
                  <a:noFill/>
                </a:ln>
              </c:spPr>
              <c:txPr>
                <a:bodyPr/>
                <a:lstStyle/>
                <a:p>
                  <a:pPr>
                    <a:defRPr sz="62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Mode val="edge"/>
                  <c:yMode val="edge"/>
                  <c:x val="0.66262975778546718"/>
                  <c:y val="0"/>
                </c:manualLayout>
              </c:layout>
              <c:spPr>
                <a:noFill/>
                <a:ln w="25400">
                  <a:noFill/>
                </a:ln>
              </c:spPr>
              <c:txPr>
                <a:bodyPr/>
                <a:lstStyle/>
                <a:p>
                  <a:pPr>
                    <a:defRPr sz="62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Mode val="edge"/>
                  <c:yMode val="edge"/>
                  <c:x val="0.75605536332179935"/>
                  <c:y val="0"/>
                </c:manualLayout>
              </c:layout>
              <c:spPr>
                <a:noFill/>
                <a:ln w="25400">
                  <a:noFill/>
                </a:ln>
              </c:spPr>
              <c:txPr>
                <a:bodyPr/>
                <a:lstStyle/>
                <a:p>
                  <a:pPr>
                    <a:defRPr sz="62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Mode val="edge"/>
                  <c:yMode val="edge"/>
                  <c:x val="0.87024221453287198"/>
                  <c:y val="0"/>
                </c:manualLayout>
              </c:layout>
              <c:spPr>
                <a:noFill/>
                <a:ln w="25400">
                  <a:noFill/>
                </a:ln>
              </c:spPr>
              <c:txPr>
                <a:bodyPr/>
                <a:lstStyle/>
                <a:p>
                  <a:pPr>
                    <a:defRPr sz="62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62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смертн!$B$3:$D$3</c:f>
              <c:numCache>
                <c:formatCode>General</c:formatCode>
                <c:ptCount val="3"/>
                <c:pt idx="0">
                  <c:v>2018</c:v>
                </c:pt>
                <c:pt idx="1">
                  <c:v>2019</c:v>
                </c:pt>
                <c:pt idx="2">
                  <c:v>2020</c:v>
                </c:pt>
              </c:numCache>
            </c:numRef>
          </c:cat>
          <c:val>
            <c:numRef>
              <c:f>смертн!$B$5:$D$5</c:f>
              <c:numCache>
                <c:formatCode>General</c:formatCode>
                <c:ptCount val="3"/>
              </c:numCache>
            </c:numRef>
          </c:val>
          <c:smooth val="0"/>
        </c:ser>
        <c:ser>
          <c:idx val="2"/>
          <c:order val="2"/>
          <c:tx>
            <c:strRef>
              <c:f>смертн!$A$6</c:f>
              <c:strCache>
                <c:ptCount val="1"/>
              </c:strCache>
            </c:strRef>
          </c:tx>
          <c:spPr>
            <a:ln w="12700">
              <a:solidFill>
                <a:srgbClr val="000000"/>
              </a:solidFill>
              <a:prstDash val="solid"/>
            </a:ln>
          </c:spPr>
          <c:marker>
            <c:symbol val="triangle"/>
            <c:size val="4"/>
            <c:spPr>
              <a:solidFill>
                <a:srgbClr val="000000"/>
              </a:solidFill>
              <a:ln>
                <a:solidFill>
                  <a:srgbClr val="000000"/>
                </a:solidFill>
                <a:prstDash val="solid"/>
              </a:ln>
            </c:spPr>
          </c:marker>
          <c:dLbls>
            <c:dLbl>
              <c:idx val="0"/>
              <c:layout>
                <c:manualLayout>
                  <c:x val="-5.0222779246019859E-2"/>
                  <c:y val="0"/>
                </c:manualLayout>
              </c:layout>
              <c:spPr>
                <a:noFill/>
                <a:ln w="25400">
                  <a:noFill/>
                </a:ln>
              </c:spPr>
              <c:txPr>
                <a:bodyPr/>
                <a:lstStyle/>
                <a:p>
                  <a:pPr>
                    <a:defRPr sz="62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0568800007265512E-2"/>
                  <c:y val="0"/>
                </c:manualLayout>
              </c:layout>
              <c:spPr>
                <a:noFill/>
                <a:ln w="25400">
                  <a:noFill/>
                </a:ln>
              </c:spPr>
              <c:txPr>
                <a:bodyPr/>
                <a:lstStyle/>
                <a:p>
                  <a:pPr>
                    <a:defRPr sz="62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3994405543597688E-2"/>
                  <c:y val="0"/>
                </c:manualLayout>
              </c:layout>
              <c:spPr>
                <a:noFill/>
                <a:ln w="25400">
                  <a:noFill/>
                </a:ln>
              </c:spPr>
              <c:txPr>
                <a:bodyPr/>
                <a:lstStyle/>
                <a:p>
                  <a:pPr>
                    <a:defRPr sz="62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6451152948441989E-2"/>
                  <c:y val="0"/>
                </c:manualLayout>
              </c:layout>
              <c:spPr>
                <a:noFill/>
                <a:ln w="25400">
                  <a:noFill/>
                </a:ln>
              </c:spPr>
              <c:txPr>
                <a:bodyPr/>
                <a:lstStyle/>
                <a:p>
                  <a:pPr>
                    <a:defRPr sz="62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6.0257381322144463E-2"/>
                  <c:y val="0"/>
                </c:manualLayout>
              </c:layout>
              <c:spPr>
                <a:noFill/>
                <a:ln w="25400">
                  <a:noFill/>
                </a:ln>
              </c:spPr>
              <c:txPr>
                <a:bodyPr/>
                <a:lstStyle/>
                <a:p>
                  <a:pPr>
                    <a:defRPr sz="62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Mode val="edge"/>
                  <c:yMode val="edge"/>
                  <c:x val="0.56228373702422141"/>
                  <c:y val="0"/>
                </c:manualLayout>
              </c:layout>
              <c:spPr>
                <a:noFill/>
                <a:ln w="25400">
                  <a:noFill/>
                </a:ln>
              </c:spPr>
              <c:txPr>
                <a:bodyPr/>
                <a:lstStyle/>
                <a:p>
                  <a:pPr>
                    <a:defRPr sz="62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Mode val="edge"/>
                  <c:yMode val="edge"/>
                  <c:x val="0.65570934256055369"/>
                  <c:y val="0"/>
                </c:manualLayout>
              </c:layout>
              <c:spPr>
                <a:noFill/>
                <a:ln w="25400">
                  <a:noFill/>
                </a:ln>
              </c:spPr>
              <c:txPr>
                <a:bodyPr/>
                <a:lstStyle/>
                <a:p>
                  <a:pPr>
                    <a:defRPr sz="62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62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смертн!$B$3:$D$3</c:f>
              <c:numCache>
                <c:formatCode>General</c:formatCode>
                <c:ptCount val="3"/>
                <c:pt idx="0">
                  <c:v>2018</c:v>
                </c:pt>
                <c:pt idx="1">
                  <c:v>2019</c:v>
                </c:pt>
                <c:pt idx="2">
                  <c:v>2020</c:v>
                </c:pt>
              </c:numCache>
            </c:numRef>
          </c:cat>
          <c:val>
            <c:numRef>
              <c:f>смертн!$B$6:$D$6</c:f>
              <c:numCache>
                <c:formatCode>General</c:formatCode>
                <c:ptCount val="3"/>
              </c:numCache>
            </c:numRef>
          </c:val>
          <c:smooth val="0"/>
        </c:ser>
        <c:dLbls>
          <c:showLegendKey val="0"/>
          <c:showVal val="0"/>
          <c:showCatName val="0"/>
          <c:showSerName val="0"/>
          <c:showPercent val="0"/>
          <c:showBubbleSize val="0"/>
        </c:dLbls>
        <c:marker val="1"/>
        <c:smooth val="0"/>
        <c:axId val="546892024"/>
        <c:axId val="546892416"/>
      </c:lineChart>
      <c:catAx>
        <c:axId val="546892024"/>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ru-RU"/>
          </a:p>
        </c:txPr>
        <c:crossAx val="546892416"/>
        <c:crosses val="autoZero"/>
        <c:auto val="1"/>
        <c:lblAlgn val="ctr"/>
        <c:lblOffset val="100"/>
        <c:tickLblSkip val="1"/>
        <c:tickMarkSkip val="1"/>
        <c:noMultiLvlLbl val="0"/>
      </c:catAx>
      <c:valAx>
        <c:axId val="546892416"/>
        <c:scaling>
          <c:orientation val="minMax"/>
        </c:scaling>
        <c:delete val="0"/>
        <c:axPos val="l"/>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625" b="0" i="0" u="none" strike="noStrike" baseline="0">
                <a:solidFill>
                  <a:srgbClr val="000000"/>
                </a:solidFill>
                <a:latin typeface="Arial Cyr"/>
                <a:ea typeface="Arial Cyr"/>
                <a:cs typeface="Arial Cyr"/>
              </a:defRPr>
            </a:pPr>
            <a:endParaRPr lang="ru-RU"/>
          </a:p>
        </c:txPr>
        <c:crossAx val="546892024"/>
        <c:crosses val="autoZero"/>
        <c:crossBetween val="between"/>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42779783393501802"/>
          <c:y val="0.18211920529801323"/>
          <c:w val="0.43862815884476536"/>
          <c:h val="0.31788079470198677"/>
        </c:manualLayout>
      </c:layout>
      <c:pie3DChart>
        <c:varyColors val="1"/>
        <c:ser>
          <c:idx val="0"/>
          <c:order val="0"/>
          <c:tx>
            <c:strRef>
              <c:f>Sheet1!$A$2</c:f>
              <c:strCache>
                <c:ptCount val="1"/>
                <c:pt idx="0">
                  <c:v>Восток</c:v>
                </c:pt>
              </c:strCache>
            </c:strRef>
          </c:tx>
          <c:spPr>
            <a:solidFill>
              <a:srgbClr val="9999FF"/>
            </a:solidFill>
            <a:ln w="12632">
              <a:solidFill>
                <a:srgbClr val="000000"/>
              </a:solidFill>
              <a:prstDash val="solid"/>
            </a:ln>
          </c:spPr>
          <c:explosion val="30"/>
          <c:dPt>
            <c:idx val="0"/>
            <c:bubble3D val="0"/>
            <c:spPr>
              <a:solidFill>
                <a:srgbClr val="969696"/>
              </a:solidFill>
              <a:ln w="12632">
                <a:solidFill>
                  <a:srgbClr val="000000"/>
                </a:solidFill>
                <a:prstDash val="solid"/>
              </a:ln>
            </c:spPr>
          </c:dPt>
          <c:dPt>
            <c:idx val="1"/>
            <c:bubble3D val="0"/>
            <c:spPr>
              <a:solidFill>
                <a:srgbClr val="808080"/>
              </a:solidFill>
              <a:ln w="12632">
                <a:solidFill>
                  <a:srgbClr val="000000"/>
                </a:solidFill>
                <a:prstDash val="solid"/>
              </a:ln>
            </c:spPr>
          </c:dPt>
          <c:dPt>
            <c:idx val="2"/>
            <c:bubble3D val="0"/>
            <c:spPr>
              <a:pattFill prst="zigZ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32">
                <a:solidFill>
                  <a:srgbClr val="000000"/>
                </a:solidFill>
                <a:prstDash val="solid"/>
              </a:ln>
            </c:spPr>
          </c:dPt>
          <c:dPt>
            <c:idx val="3"/>
            <c:bubble3D val="0"/>
            <c:spPr>
              <a:pattFill prst="zigZag">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12632">
                <a:solidFill>
                  <a:srgbClr val="000000"/>
                </a:solidFill>
                <a:prstDash val="solid"/>
              </a:ln>
            </c:spPr>
          </c:dPt>
          <c:dPt>
            <c:idx val="4"/>
            <c:bubble3D val="0"/>
            <c:spPr>
              <a:pattFill prst="dashDnDiag">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12632">
                <a:solidFill>
                  <a:srgbClr val="000000"/>
                </a:solidFill>
                <a:prstDash val="solid"/>
              </a:ln>
            </c:spPr>
          </c:dPt>
          <c:dPt>
            <c:idx val="5"/>
            <c:bubble3D val="0"/>
            <c:spPr>
              <a:pattFill prst="ltUpDiag">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12632">
                <a:solidFill>
                  <a:srgbClr val="000000"/>
                </a:solidFill>
                <a:prstDash val="solid"/>
              </a:ln>
            </c:spPr>
          </c:dPt>
          <c:dPt>
            <c:idx val="6"/>
            <c:bubble3D val="0"/>
            <c:spPr>
              <a:pattFill prst="smGrid">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12632">
                <a:solidFill>
                  <a:srgbClr val="000000"/>
                </a:solidFill>
                <a:prstDash val="solid"/>
              </a:ln>
            </c:spPr>
          </c:dPt>
          <c:dPt>
            <c:idx val="7"/>
            <c:bubble3D val="0"/>
            <c:spPr>
              <a:pattFill prst="plaid">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32">
                <a:solidFill>
                  <a:srgbClr val="000000"/>
                </a:solidFill>
                <a:prstDash val="solid"/>
              </a:ln>
            </c:spPr>
          </c:dPt>
          <c:dPt>
            <c:idx val="8"/>
            <c:bubble3D val="0"/>
            <c:spPr>
              <a:pattFill prst="weave">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32">
                <a:solidFill>
                  <a:srgbClr val="000000"/>
                </a:solidFill>
                <a:prstDash val="solid"/>
              </a:ln>
            </c:spPr>
          </c:dPt>
          <c:dLbls>
            <c:dLbl>
              <c:idx val="0"/>
              <c:layout>
                <c:manualLayout>
                  <c:x val="-7.7717890526335376E-3"/>
                  <c:y val="-4.1500602350839605E-2"/>
                </c:manualLayout>
              </c:layout>
              <c:spPr>
                <a:noFill/>
                <a:ln w="25265">
                  <a:noFill/>
                </a:ln>
              </c:spPr>
              <c:txPr>
                <a:bodyPr/>
                <a:lstStyle/>
                <a:p>
                  <a:pPr>
                    <a:defRPr sz="796" b="1" i="0" u="none" strike="noStrike" baseline="0">
                      <a:solidFill>
                        <a:srgbClr val="000000"/>
                      </a:solidFill>
                      <a:latin typeface="Arial Cyr"/>
                      <a:ea typeface="Arial Cyr"/>
                      <a:cs typeface="Arial Cy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spPr>
              <a:noFill/>
              <a:ln w="25265">
                <a:noFill/>
              </a:ln>
            </c:spPr>
            <c:txPr>
              <a:bodyPr wrap="square" lIns="38100" tIns="19050" rIns="38100" bIns="19050" anchor="ctr">
                <a:spAutoFit/>
              </a:bodyPr>
              <a:lstStyle/>
              <a:p>
                <a:pPr>
                  <a:defRPr sz="79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Sheet1!$B$1:$J$1</c:f>
              <c:strCache>
                <c:ptCount val="9"/>
                <c:pt idx="0">
                  <c:v>Болезни органов дыхания</c:v>
                </c:pt>
                <c:pt idx="1">
                  <c:v>Другие заболевания</c:v>
                </c:pt>
                <c:pt idx="2">
                  <c:v>Болезни органов пищеварения</c:v>
                </c:pt>
                <c:pt idx="3">
                  <c:v>Новообразования</c:v>
                </c:pt>
                <c:pt idx="4">
                  <c:v>Травмы</c:v>
                </c:pt>
                <c:pt idx="5">
                  <c:v>Болезни эндокринной системы, расстройства пищеварения и нарушения обмена веществ</c:v>
                </c:pt>
                <c:pt idx="6">
                  <c:v>болезни  нервной системы</c:v>
                </c:pt>
                <c:pt idx="7">
                  <c:v>Некоторые инфекционные и паразитарные заболевания, в том числе ковид-19</c:v>
                </c:pt>
                <c:pt idx="8">
                  <c:v>Болезни системы кровообращения</c:v>
                </c:pt>
              </c:strCache>
            </c:strRef>
          </c:cat>
          <c:val>
            <c:numRef>
              <c:f>Sheet1!$B$2:$J$2</c:f>
              <c:numCache>
                <c:formatCode>General</c:formatCode>
                <c:ptCount val="9"/>
                <c:pt idx="0">
                  <c:v>1.4</c:v>
                </c:pt>
                <c:pt idx="1">
                  <c:v>4.5</c:v>
                </c:pt>
                <c:pt idx="2">
                  <c:v>6.1</c:v>
                </c:pt>
                <c:pt idx="3">
                  <c:v>18</c:v>
                </c:pt>
                <c:pt idx="4">
                  <c:v>14.4</c:v>
                </c:pt>
                <c:pt idx="5">
                  <c:v>7.2</c:v>
                </c:pt>
                <c:pt idx="6">
                  <c:v>1.4</c:v>
                </c:pt>
                <c:pt idx="7">
                  <c:v>8.6999999999999993</c:v>
                </c:pt>
                <c:pt idx="8">
                  <c:v>39.9</c:v>
                </c:pt>
              </c:numCache>
            </c:numRef>
          </c:val>
        </c:ser>
        <c:ser>
          <c:idx val="1"/>
          <c:order val="1"/>
          <c:tx>
            <c:strRef>
              <c:f>Sheet1!$A$3</c:f>
              <c:strCache>
                <c:ptCount val="1"/>
                <c:pt idx="0">
                  <c:v> </c:v>
                </c:pt>
              </c:strCache>
            </c:strRef>
          </c:tx>
          <c:spPr>
            <a:solidFill>
              <a:srgbClr val="993366"/>
            </a:solidFill>
            <a:ln w="12632">
              <a:solidFill>
                <a:srgbClr val="000000"/>
              </a:solidFill>
              <a:prstDash val="solid"/>
            </a:ln>
          </c:spPr>
          <c:explosion val="30"/>
          <c:dPt>
            <c:idx val="0"/>
            <c:bubble3D val="0"/>
            <c:spPr>
              <a:solidFill>
                <a:srgbClr val="9999FF"/>
              </a:solidFill>
              <a:ln w="12632">
                <a:solidFill>
                  <a:srgbClr val="000000"/>
                </a:solidFill>
                <a:prstDash val="solid"/>
              </a:ln>
            </c:spPr>
          </c:dPt>
          <c:dPt>
            <c:idx val="1"/>
            <c:bubble3D val="0"/>
          </c:dPt>
          <c:dPt>
            <c:idx val="2"/>
            <c:bubble3D val="0"/>
            <c:spPr>
              <a:solidFill>
                <a:srgbClr val="FFFFCC"/>
              </a:solidFill>
              <a:ln w="12632">
                <a:solidFill>
                  <a:srgbClr val="000000"/>
                </a:solidFill>
                <a:prstDash val="solid"/>
              </a:ln>
            </c:spPr>
          </c:dPt>
          <c:dPt>
            <c:idx val="3"/>
            <c:bubble3D val="0"/>
            <c:spPr>
              <a:solidFill>
                <a:srgbClr val="CCFFFF"/>
              </a:solidFill>
              <a:ln w="12632">
                <a:solidFill>
                  <a:srgbClr val="000000"/>
                </a:solidFill>
                <a:prstDash val="solid"/>
              </a:ln>
            </c:spPr>
          </c:dPt>
          <c:dPt>
            <c:idx val="4"/>
            <c:bubble3D val="0"/>
            <c:spPr>
              <a:solidFill>
                <a:srgbClr val="660066"/>
              </a:solidFill>
              <a:ln w="12632">
                <a:solidFill>
                  <a:srgbClr val="000000"/>
                </a:solidFill>
                <a:prstDash val="solid"/>
              </a:ln>
            </c:spPr>
          </c:dPt>
          <c:dPt>
            <c:idx val="5"/>
            <c:bubble3D val="0"/>
            <c:spPr>
              <a:solidFill>
                <a:srgbClr val="FF8080"/>
              </a:solidFill>
              <a:ln w="12632">
                <a:solidFill>
                  <a:srgbClr val="000000"/>
                </a:solidFill>
                <a:prstDash val="solid"/>
              </a:ln>
            </c:spPr>
          </c:dPt>
          <c:dPt>
            <c:idx val="6"/>
            <c:bubble3D val="0"/>
            <c:spPr>
              <a:solidFill>
                <a:srgbClr val="0066CC"/>
              </a:solidFill>
              <a:ln w="12632">
                <a:solidFill>
                  <a:srgbClr val="000000"/>
                </a:solidFill>
                <a:prstDash val="solid"/>
              </a:ln>
            </c:spPr>
          </c:dPt>
          <c:dPt>
            <c:idx val="7"/>
            <c:bubble3D val="0"/>
            <c:spPr>
              <a:solidFill>
                <a:srgbClr val="CCCCFF"/>
              </a:solidFill>
              <a:ln w="12632">
                <a:solidFill>
                  <a:srgbClr val="000000"/>
                </a:solidFill>
                <a:prstDash val="solid"/>
              </a:ln>
            </c:spPr>
          </c:dPt>
          <c:dPt>
            <c:idx val="8"/>
            <c:bubble3D val="0"/>
            <c:spPr>
              <a:solidFill>
                <a:srgbClr val="000080"/>
              </a:solidFill>
              <a:ln w="12632">
                <a:solidFill>
                  <a:srgbClr val="000000"/>
                </a:solidFill>
                <a:prstDash val="solid"/>
              </a:ln>
            </c:spPr>
          </c:dPt>
          <c:dLbls>
            <c:spPr>
              <a:noFill/>
              <a:ln w="25265">
                <a:noFill/>
              </a:ln>
            </c:spPr>
            <c:txPr>
              <a:bodyPr wrap="square" lIns="38100" tIns="19050" rIns="38100" bIns="19050" anchor="ctr">
                <a:spAutoFit/>
              </a:bodyPr>
              <a:lstStyle/>
              <a:p>
                <a:pPr>
                  <a:defRPr sz="308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Sheet1!$B$1:$J$1</c:f>
              <c:strCache>
                <c:ptCount val="9"/>
                <c:pt idx="0">
                  <c:v>Болезни органов дыхания</c:v>
                </c:pt>
                <c:pt idx="1">
                  <c:v>Другие заболевания</c:v>
                </c:pt>
                <c:pt idx="2">
                  <c:v>Болезни органов пищеварения</c:v>
                </c:pt>
                <c:pt idx="3">
                  <c:v>Новообразования</c:v>
                </c:pt>
                <c:pt idx="4">
                  <c:v>Травмы</c:v>
                </c:pt>
                <c:pt idx="5">
                  <c:v>Болезни эндокринной системы, расстройства пищеварения и нарушения обмена веществ</c:v>
                </c:pt>
                <c:pt idx="6">
                  <c:v>болезни  нервной системы</c:v>
                </c:pt>
                <c:pt idx="7">
                  <c:v>Некоторые инфекционные и паразитарные заболевания, в том числе ковид-19</c:v>
                </c:pt>
                <c:pt idx="8">
                  <c:v>Болезни системы кровообращения</c:v>
                </c:pt>
              </c:strCache>
            </c:strRef>
          </c:cat>
          <c:val>
            <c:numRef>
              <c:f>Sheet1!$B$3:$J$3</c:f>
              <c:numCache>
                <c:formatCode>General</c:formatCode>
                <c:ptCount val="9"/>
                <c:pt idx="0">
                  <c:v>0</c:v>
                </c:pt>
                <c:pt idx="1">
                  <c:v>0</c:v>
                </c:pt>
                <c:pt idx="2">
                  <c:v>0</c:v>
                </c:pt>
                <c:pt idx="3">
                  <c:v>0</c:v>
                </c:pt>
              </c:numCache>
            </c:numRef>
          </c:val>
        </c:ser>
        <c:ser>
          <c:idx val="2"/>
          <c:order val="2"/>
          <c:tx>
            <c:strRef>
              <c:f>Sheet1!$A$4</c:f>
              <c:strCache>
                <c:ptCount val="1"/>
                <c:pt idx="0">
                  <c:v> </c:v>
                </c:pt>
              </c:strCache>
            </c:strRef>
          </c:tx>
          <c:spPr>
            <a:solidFill>
              <a:srgbClr val="FFFFCC"/>
            </a:solidFill>
            <a:ln w="12632">
              <a:solidFill>
                <a:srgbClr val="000000"/>
              </a:solidFill>
              <a:prstDash val="solid"/>
            </a:ln>
          </c:spPr>
          <c:explosion val="30"/>
          <c:dPt>
            <c:idx val="0"/>
            <c:bubble3D val="0"/>
            <c:spPr>
              <a:solidFill>
                <a:srgbClr val="9999FF"/>
              </a:solidFill>
              <a:ln w="12632">
                <a:solidFill>
                  <a:srgbClr val="000000"/>
                </a:solidFill>
                <a:prstDash val="solid"/>
              </a:ln>
            </c:spPr>
          </c:dPt>
          <c:dPt>
            <c:idx val="1"/>
            <c:bubble3D val="0"/>
            <c:spPr>
              <a:solidFill>
                <a:srgbClr val="993366"/>
              </a:solidFill>
              <a:ln w="12632">
                <a:solidFill>
                  <a:srgbClr val="000000"/>
                </a:solidFill>
                <a:prstDash val="solid"/>
              </a:ln>
            </c:spPr>
          </c:dPt>
          <c:dPt>
            <c:idx val="2"/>
            <c:bubble3D val="0"/>
          </c:dPt>
          <c:dPt>
            <c:idx val="3"/>
            <c:bubble3D val="0"/>
            <c:spPr>
              <a:solidFill>
                <a:srgbClr val="CCFFFF"/>
              </a:solidFill>
              <a:ln w="12632">
                <a:solidFill>
                  <a:srgbClr val="000000"/>
                </a:solidFill>
                <a:prstDash val="solid"/>
              </a:ln>
            </c:spPr>
          </c:dPt>
          <c:dPt>
            <c:idx val="4"/>
            <c:bubble3D val="0"/>
            <c:spPr>
              <a:solidFill>
                <a:srgbClr val="660066"/>
              </a:solidFill>
              <a:ln w="12632">
                <a:solidFill>
                  <a:srgbClr val="000000"/>
                </a:solidFill>
                <a:prstDash val="solid"/>
              </a:ln>
            </c:spPr>
          </c:dPt>
          <c:dPt>
            <c:idx val="5"/>
            <c:bubble3D val="0"/>
            <c:spPr>
              <a:solidFill>
                <a:srgbClr val="FF8080"/>
              </a:solidFill>
              <a:ln w="12632">
                <a:solidFill>
                  <a:srgbClr val="000000"/>
                </a:solidFill>
                <a:prstDash val="solid"/>
              </a:ln>
            </c:spPr>
          </c:dPt>
          <c:dPt>
            <c:idx val="6"/>
            <c:bubble3D val="0"/>
            <c:spPr>
              <a:solidFill>
                <a:srgbClr val="0066CC"/>
              </a:solidFill>
              <a:ln w="12632">
                <a:solidFill>
                  <a:srgbClr val="000000"/>
                </a:solidFill>
                <a:prstDash val="solid"/>
              </a:ln>
            </c:spPr>
          </c:dPt>
          <c:dPt>
            <c:idx val="7"/>
            <c:bubble3D val="0"/>
            <c:spPr>
              <a:solidFill>
                <a:srgbClr val="CCCCFF"/>
              </a:solidFill>
              <a:ln w="12632">
                <a:solidFill>
                  <a:srgbClr val="000000"/>
                </a:solidFill>
                <a:prstDash val="solid"/>
              </a:ln>
            </c:spPr>
          </c:dPt>
          <c:dPt>
            <c:idx val="8"/>
            <c:bubble3D val="0"/>
            <c:spPr>
              <a:solidFill>
                <a:srgbClr val="000080"/>
              </a:solidFill>
              <a:ln w="12632">
                <a:solidFill>
                  <a:srgbClr val="000000"/>
                </a:solidFill>
                <a:prstDash val="solid"/>
              </a:ln>
            </c:spPr>
          </c:dPt>
          <c:dLbls>
            <c:spPr>
              <a:noFill/>
              <a:ln w="25265">
                <a:noFill/>
              </a:ln>
            </c:spPr>
            <c:txPr>
              <a:bodyPr wrap="square" lIns="38100" tIns="19050" rIns="38100" bIns="19050" anchor="ctr">
                <a:spAutoFit/>
              </a:bodyPr>
              <a:lstStyle/>
              <a:p>
                <a:pPr>
                  <a:defRPr sz="308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Sheet1!$B$1:$J$1</c:f>
              <c:strCache>
                <c:ptCount val="9"/>
                <c:pt idx="0">
                  <c:v>Болезни органов дыхания</c:v>
                </c:pt>
                <c:pt idx="1">
                  <c:v>Другие заболевания</c:v>
                </c:pt>
                <c:pt idx="2">
                  <c:v>Болезни органов пищеварения</c:v>
                </c:pt>
                <c:pt idx="3">
                  <c:v>Новообразования</c:v>
                </c:pt>
                <c:pt idx="4">
                  <c:v>Травмы</c:v>
                </c:pt>
                <c:pt idx="5">
                  <c:v>Болезни эндокринной системы, расстройства пищеварения и нарушения обмена веществ</c:v>
                </c:pt>
                <c:pt idx="6">
                  <c:v>болезни  нервной системы</c:v>
                </c:pt>
                <c:pt idx="7">
                  <c:v>Некоторые инфекционные и паразитарные заболевания, в том числе ковид-19</c:v>
                </c:pt>
                <c:pt idx="8">
                  <c:v>Болезни системы кровообращения</c:v>
                </c:pt>
              </c:strCache>
            </c:strRef>
          </c:cat>
          <c:val>
            <c:numRef>
              <c:f>Sheet1!$B$4:$J$4</c:f>
              <c:numCache>
                <c:formatCode>General</c:formatCode>
                <c:ptCount val="9"/>
                <c:pt idx="0">
                  <c:v>0</c:v>
                </c:pt>
                <c:pt idx="1">
                  <c:v>0</c:v>
                </c:pt>
                <c:pt idx="2">
                  <c:v>0</c:v>
                </c:pt>
                <c:pt idx="3">
                  <c:v>0</c:v>
                </c:pt>
              </c:numCache>
            </c:numRef>
          </c:val>
        </c:ser>
        <c:dLbls>
          <c:showLegendKey val="0"/>
          <c:showVal val="1"/>
          <c:showCatName val="0"/>
          <c:showSerName val="0"/>
          <c:showPercent val="0"/>
          <c:showBubbleSize val="0"/>
          <c:showLeaderLines val="1"/>
        </c:dLbls>
      </c:pie3DChart>
      <c:spPr>
        <a:solidFill>
          <a:srgbClr val="FFFFFF"/>
        </a:solidFill>
        <a:ln w="12632">
          <a:solidFill>
            <a:srgbClr val="FFFFFF"/>
          </a:solidFill>
          <a:prstDash val="solid"/>
        </a:ln>
      </c:spPr>
    </c:plotArea>
    <c:legend>
      <c:legendPos val="r"/>
      <c:layout>
        <c:manualLayout>
          <c:xMode val="edge"/>
          <c:yMode val="edge"/>
          <c:x val="0.1263537906137184"/>
          <c:y val="0.42384105960264901"/>
          <c:w val="0.87184115523465699"/>
          <c:h val="0.50331125827814571"/>
        </c:manualLayout>
      </c:layout>
      <c:overlay val="0"/>
      <c:spPr>
        <a:noFill/>
        <a:ln w="25265">
          <a:noFill/>
        </a:ln>
      </c:spPr>
      <c:txPr>
        <a:bodyPr/>
        <a:lstStyle/>
        <a:p>
          <a:pPr>
            <a:defRPr sz="751" b="0"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119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554455445544552E-2"/>
          <c:y val="0.11731843575418995"/>
          <c:w val="0.94059405940594054"/>
          <c:h val="0.55307262569832405"/>
        </c:manualLayout>
      </c:layout>
      <c:lineChart>
        <c:grouping val="standard"/>
        <c:varyColors val="0"/>
        <c:ser>
          <c:idx val="0"/>
          <c:order val="0"/>
          <c:tx>
            <c:strRef>
              <c:f>Sheet1!$A$2</c:f>
              <c:strCache>
                <c:ptCount val="1"/>
                <c:pt idx="0">
                  <c:v>Показатель младенческой смертности</c:v>
                </c:pt>
              </c:strCache>
            </c:strRef>
          </c:tx>
          <c:spPr>
            <a:ln w="12617">
              <a:solidFill>
                <a:srgbClr val="333333"/>
              </a:solidFill>
              <a:prstDash val="solid"/>
            </a:ln>
          </c:spPr>
          <c:marker>
            <c:symbol val="diamond"/>
            <c:size val="4"/>
            <c:spPr>
              <a:solidFill>
                <a:srgbClr val="333333"/>
              </a:solidFill>
              <a:ln>
                <a:solidFill>
                  <a:srgbClr val="333333"/>
                </a:solidFill>
                <a:prstDash val="solid"/>
              </a:ln>
            </c:spPr>
          </c:marker>
          <c:cat>
            <c:numRef>
              <c:f>Sheet1!$B$1:$D$1</c:f>
              <c:numCache>
                <c:formatCode>General</c:formatCode>
                <c:ptCount val="3"/>
                <c:pt idx="0">
                  <c:v>2018</c:v>
                </c:pt>
                <c:pt idx="1">
                  <c:v>2019</c:v>
                </c:pt>
                <c:pt idx="2">
                  <c:v>2020</c:v>
                </c:pt>
              </c:numCache>
            </c:numRef>
          </c:cat>
          <c:val>
            <c:numRef>
              <c:f>Sheet1!$B$2:$D$2</c:f>
              <c:numCache>
                <c:formatCode>General</c:formatCode>
                <c:ptCount val="3"/>
                <c:pt idx="0">
                  <c:v>7.5</c:v>
                </c:pt>
                <c:pt idx="1">
                  <c:v>2</c:v>
                </c:pt>
                <c:pt idx="2">
                  <c:v>0</c:v>
                </c:pt>
              </c:numCache>
            </c:numRef>
          </c:val>
          <c:smooth val="0"/>
        </c:ser>
        <c:dLbls>
          <c:showLegendKey val="0"/>
          <c:showVal val="0"/>
          <c:showCatName val="0"/>
          <c:showSerName val="0"/>
          <c:showPercent val="0"/>
          <c:showBubbleSize val="0"/>
        </c:dLbls>
        <c:marker val="1"/>
        <c:smooth val="0"/>
        <c:axId val="714685264"/>
        <c:axId val="714683696"/>
      </c:lineChart>
      <c:catAx>
        <c:axId val="714685264"/>
        <c:scaling>
          <c:orientation val="minMax"/>
        </c:scaling>
        <c:delete val="0"/>
        <c:axPos val="b"/>
        <c:numFmt formatCode="General" sourceLinked="1"/>
        <c:majorTickMark val="out"/>
        <c:minorTickMark val="none"/>
        <c:tickLblPos val="nextTo"/>
        <c:spPr>
          <a:ln w="3154">
            <a:solidFill>
              <a:srgbClr val="000000"/>
            </a:solidFill>
            <a:prstDash val="solid"/>
          </a:ln>
        </c:spPr>
        <c:txPr>
          <a:bodyPr rot="0" vert="horz"/>
          <a:lstStyle/>
          <a:p>
            <a:pPr>
              <a:defRPr sz="795" b="1" i="0" u="none" strike="noStrike" baseline="0">
                <a:solidFill>
                  <a:srgbClr val="000000"/>
                </a:solidFill>
                <a:latin typeface="Calibri"/>
                <a:ea typeface="Calibri"/>
                <a:cs typeface="Calibri"/>
              </a:defRPr>
            </a:pPr>
            <a:endParaRPr lang="ru-RU"/>
          </a:p>
        </c:txPr>
        <c:crossAx val="714683696"/>
        <c:crosses val="autoZero"/>
        <c:auto val="1"/>
        <c:lblAlgn val="ctr"/>
        <c:lblOffset val="100"/>
        <c:tickLblSkip val="1"/>
        <c:tickMarkSkip val="1"/>
        <c:noMultiLvlLbl val="0"/>
      </c:catAx>
      <c:valAx>
        <c:axId val="714683696"/>
        <c:scaling>
          <c:orientation val="minMax"/>
        </c:scaling>
        <c:delete val="0"/>
        <c:axPos val="l"/>
        <c:majorGridlines>
          <c:spPr>
            <a:ln w="12617">
              <a:solidFill>
                <a:srgbClr val="000000"/>
              </a:solidFill>
              <a:prstDash val="solid"/>
            </a:ln>
          </c:spPr>
        </c:majorGridlines>
        <c:numFmt formatCode="General" sourceLinked="1"/>
        <c:majorTickMark val="out"/>
        <c:minorTickMark val="none"/>
        <c:tickLblPos val="nextTo"/>
        <c:spPr>
          <a:ln w="3154">
            <a:solidFill>
              <a:srgbClr val="000000"/>
            </a:solidFill>
            <a:prstDash val="solid"/>
          </a:ln>
        </c:spPr>
        <c:txPr>
          <a:bodyPr rot="0" vert="horz"/>
          <a:lstStyle/>
          <a:p>
            <a:pPr>
              <a:defRPr sz="795" b="1" i="0" u="none" strike="noStrike" baseline="0">
                <a:solidFill>
                  <a:srgbClr val="000000"/>
                </a:solidFill>
                <a:latin typeface="Calibri"/>
                <a:ea typeface="Calibri"/>
                <a:cs typeface="Calibri"/>
              </a:defRPr>
            </a:pPr>
            <a:endParaRPr lang="ru-RU"/>
          </a:p>
        </c:txPr>
        <c:crossAx val="714685264"/>
        <c:crosses val="autoZero"/>
        <c:crossBetween val="between"/>
      </c:valAx>
      <c:spPr>
        <a:solidFill>
          <a:srgbClr val="FFFFFF"/>
        </a:solidFill>
        <a:ln w="12617">
          <a:solidFill>
            <a:srgbClr val="808080"/>
          </a:solidFill>
          <a:prstDash val="solid"/>
        </a:ln>
      </c:spPr>
    </c:plotArea>
    <c:legend>
      <c:legendPos val="b"/>
      <c:layout>
        <c:manualLayout>
          <c:xMode val="edge"/>
          <c:yMode val="edge"/>
          <c:x val="0.33003300330033003"/>
          <c:y val="0.87709497206703912"/>
          <c:w val="0.36633663366336633"/>
          <c:h val="0.11173184357541899"/>
        </c:manualLayout>
      </c:layout>
      <c:overlay val="0"/>
      <c:spPr>
        <a:noFill/>
        <a:ln w="25235">
          <a:noFill/>
        </a:ln>
      </c:spPr>
      <c:txPr>
        <a:bodyPr/>
        <a:lstStyle/>
        <a:p>
          <a:pPr>
            <a:defRPr sz="73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371024734982339E-2"/>
          <c:y val="0.10256410256410256"/>
          <c:w val="0.91872791519434627"/>
          <c:h val="0.62393162393162394"/>
        </c:manualLayout>
      </c:layout>
      <c:lineChart>
        <c:grouping val="standard"/>
        <c:varyColors val="0"/>
        <c:ser>
          <c:idx val="0"/>
          <c:order val="0"/>
          <c:tx>
            <c:strRef>
              <c:f>Sheet1!$A$2</c:f>
              <c:strCache>
                <c:ptCount val="1"/>
                <c:pt idx="0">
                  <c:v>Показатель  мертворождаемости</c:v>
                </c:pt>
              </c:strCache>
            </c:strRef>
          </c:tx>
          <c:spPr>
            <a:ln w="12634">
              <a:solidFill>
                <a:srgbClr val="333333"/>
              </a:solidFill>
              <a:prstDash val="solid"/>
            </a:ln>
          </c:spPr>
          <c:marker>
            <c:symbol val="diamond"/>
            <c:size val="4"/>
            <c:spPr>
              <a:solidFill>
                <a:srgbClr val="333333"/>
              </a:solidFill>
              <a:ln>
                <a:solidFill>
                  <a:srgbClr val="333333"/>
                </a:solidFill>
                <a:prstDash val="solid"/>
              </a:ln>
            </c:spPr>
          </c:marker>
          <c:cat>
            <c:numRef>
              <c:f>Sheet1!$B$1:$D$1</c:f>
              <c:numCache>
                <c:formatCode>General</c:formatCode>
                <c:ptCount val="3"/>
                <c:pt idx="0">
                  <c:v>2018</c:v>
                </c:pt>
                <c:pt idx="1">
                  <c:v>2019</c:v>
                </c:pt>
                <c:pt idx="2">
                  <c:v>2020</c:v>
                </c:pt>
              </c:numCache>
            </c:numRef>
          </c:cat>
          <c:val>
            <c:numRef>
              <c:f>Sheet1!$B$2:$D$2</c:f>
              <c:numCache>
                <c:formatCode>General</c:formatCode>
                <c:ptCount val="3"/>
                <c:pt idx="0">
                  <c:v>1.9</c:v>
                </c:pt>
                <c:pt idx="1">
                  <c:v>2.2000000000000002</c:v>
                </c:pt>
                <c:pt idx="2">
                  <c:v>9.1</c:v>
                </c:pt>
              </c:numCache>
            </c:numRef>
          </c:val>
          <c:smooth val="0"/>
        </c:ser>
        <c:dLbls>
          <c:showLegendKey val="0"/>
          <c:showVal val="0"/>
          <c:showCatName val="0"/>
          <c:showSerName val="0"/>
          <c:showPercent val="0"/>
          <c:showBubbleSize val="0"/>
        </c:dLbls>
        <c:marker val="1"/>
        <c:smooth val="0"/>
        <c:axId val="714683304"/>
        <c:axId val="714686048"/>
      </c:lineChart>
      <c:catAx>
        <c:axId val="714683304"/>
        <c:scaling>
          <c:orientation val="minMax"/>
        </c:scaling>
        <c:delete val="0"/>
        <c:axPos val="b"/>
        <c:numFmt formatCode="General" sourceLinked="1"/>
        <c:majorTickMark val="out"/>
        <c:minorTickMark val="none"/>
        <c:tickLblPos val="nextTo"/>
        <c:spPr>
          <a:ln w="3158">
            <a:solidFill>
              <a:srgbClr val="000000"/>
            </a:solidFill>
            <a:prstDash val="solid"/>
          </a:ln>
        </c:spPr>
        <c:txPr>
          <a:bodyPr rot="0" vert="horz"/>
          <a:lstStyle/>
          <a:p>
            <a:pPr>
              <a:defRPr sz="1020" b="1" i="0" u="none" strike="noStrike" baseline="0">
                <a:solidFill>
                  <a:srgbClr val="000000"/>
                </a:solidFill>
                <a:latin typeface="Calibri"/>
                <a:ea typeface="Calibri"/>
                <a:cs typeface="Calibri"/>
              </a:defRPr>
            </a:pPr>
            <a:endParaRPr lang="ru-RU"/>
          </a:p>
        </c:txPr>
        <c:crossAx val="714686048"/>
        <c:crosses val="autoZero"/>
        <c:auto val="1"/>
        <c:lblAlgn val="ctr"/>
        <c:lblOffset val="100"/>
        <c:tickLblSkip val="1"/>
        <c:tickMarkSkip val="1"/>
        <c:noMultiLvlLbl val="0"/>
      </c:catAx>
      <c:valAx>
        <c:axId val="714686048"/>
        <c:scaling>
          <c:orientation val="minMax"/>
        </c:scaling>
        <c:delete val="0"/>
        <c:axPos val="l"/>
        <c:majorGridlines>
          <c:spPr>
            <a:ln w="12634">
              <a:solidFill>
                <a:srgbClr val="000000"/>
              </a:solidFill>
              <a:prstDash val="solid"/>
            </a:ln>
          </c:spPr>
        </c:majorGridlines>
        <c:numFmt formatCode="General" sourceLinked="1"/>
        <c:majorTickMark val="out"/>
        <c:minorTickMark val="none"/>
        <c:tickLblPos val="nextTo"/>
        <c:spPr>
          <a:ln w="3158">
            <a:solidFill>
              <a:srgbClr val="000000"/>
            </a:solidFill>
            <a:prstDash val="solid"/>
          </a:ln>
        </c:spPr>
        <c:txPr>
          <a:bodyPr rot="0" vert="horz"/>
          <a:lstStyle/>
          <a:p>
            <a:pPr>
              <a:defRPr sz="1020" b="1" i="0" u="none" strike="noStrike" baseline="0">
                <a:solidFill>
                  <a:srgbClr val="000000"/>
                </a:solidFill>
                <a:latin typeface="Calibri"/>
                <a:ea typeface="Calibri"/>
                <a:cs typeface="Calibri"/>
              </a:defRPr>
            </a:pPr>
            <a:endParaRPr lang="ru-RU"/>
          </a:p>
        </c:txPr>
        <c:crossAx val="714683304"/>
        <c:crosses val="autoZero"/>
        <c:crossBetween val="between"/>
      </c:valAx>
      <c:spPr>
        <a:solidFill>
          <a:srgbClr val="FFFFFF"/>
        </a:solidFill>
        <a:ln w="12634">
          <a:solidFill>
            <a:srgbClr val="808080"/>
          </a:solidFill>
          <a:prstDash val="solid"/>
        </a:ln>
      </c:spPr>
    </c:plotArea>
    <c:legend>
      <c:legendPos val="b"/>
      <c:layout>
        <c:manualLayout>
          <c:xMode val="edge"/>
          <c:yMode val="edge"/>
          <c:x val="0.33392226148409893"/>
          <c:y val="0.91880341880341876"/>
          <c:w val="0.37809187279151946"/>
          <c:h val="7.2649572649572655E-2"/>
        </c:manualLayout>
      </c:layout>
      <c:overlay val="0"/>
      <c:spPr>
        <a:noFill/>
        <a:ln w="25268">
          <a:noFill/>
        </a:ln>
      </c:spPr>
      <c:txPr>
        <a:bodyPr/>
        <a:lstStyle/>
        <a:p>
          <a:pPr>
            <a:defRPr sz="731"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2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051948051948049E-2"/>
          <c:y val="8.9361702127659579E-2"/>
          <c:w val="0.91233766233766234"/>
          <c:h val="0.65106382978723409"/>
        </c:manualLayout>
      </c:layout>
      <c:lineChart>
        <c:grouping val="standard"/>
        <c:varyColors val="0"/>
        <c:ser>
          <c:idx val="0"/>
          <c:order val="0"/>
          <c:tx>
            <c:strRef>
              <c:f>Sheet1!$A$2</c:f>
              <c:strCache>
                <c:ptCount val="1"/>
                <c:pt idx="0">
                  <c:v>Дети (0-14)</c:v>
                </c:pt>
              </c:strCache>
            </c:strRef>
          </c:tx>
          <c:spPr>
            <a:ln w="12699">
              <a:solidFill>
                <a:srgbClr val="333333"/>
              </a:solidFill>
              <a:prstDash val="solid"/>
            </a:ln>
          </c:spPr>
          <c:marker>
            <c:symbol val="square"/>
            <c:size val="4"/>
            <c:spPr>
              <a:solidFill>
                <a:srgbClr val="333333"/>
              </a:solidFill>
              <a:ln>
                <a:solidFill>
                  <a:srgbClr val="333333"/>
                </a:solidFill>
                <a:prstDash val="solid"/>
              </a:ln>
            </c:spPr>
          </c:marker>
          <c:cat>
            <c:numRef>
              <c:f>Sheet1!$B$1:$D$1</c:f>
              <c:numCache>
                <c:formatCode>General</c:formatCode>
                <c:ptCount val="3"/>
                <c:pt idx="0">
                  <c:v>2018</c:v>
                </c:pt>
                <c:pt idx="1">
                  <c:v>2019</c:v>
                </c:pt>
                <c:pt idx="2">
                  <c:v>2029</c:v>
                </c:pt>
              </c:numCache>
            </c:numRef>
          </c:cat>
          <c:val>
            <c:numRef>
              <c:f>Sheet1!$B$2:$D$2</c:f>
              <c:numCache>
                <c:formatCode>General</c:formatCode>
                <c:ptCount val="3"/>
                <c:pt idx="0">
                  <c:v>2363.5300000000002</c:v>
                </c:pt>
                <c:pt idx="1">
                  <c:v>2296.58</c:v>
                </c:pt>
                <c:pt idx="2">
                  <c:v>2222.67</c:v>
                </c:pt>
              </c:numCache>
            </c:numRef>
          </c:val>
          <c:smooth val="0"/>
        </c:ser>
        <c:ser>
          <c:idx val="1"/>
          <c:order val="1"/>
          <c:tx>
            <c:strRef>
              <c:f>Sheet1!$A$3</c:f>
              <c:strCache>
                <c:ptCount val="1"/>
                <c:pt idx="0">
                  <c:v>Подростки</c:v>
                </c:pt>
              </c:strCache>
            </c:strRef>
          </c:tx>
          <c:spPr>
            <a:ln w="12699">
              <a:solidFill>
                <a:srgbClr val="808080"/>
              </a:solidFill>
              <a:prstDash val="solid"/>
            </a:ln>
          </c:spPr>
          <c:marker>
            <c:symbol val="triangle"/>
            <c:size val="4"/>
            <c:spPr>
              <a:solidFill>
                <a:srgbClr val="333333"/>
              </a:solidFill>
              <a:ln>
                <a:solidFill>
                  <a:srgbClr val="333333"/>
                </a:solidFill>
                <a:prstDash val="solid"/>
              </a:ln>
            </c:spPr>
          </c:marker>
          <c:cat>
            <c:numRef>
              <c:f>Sheet1!$B$1:$D$1</c:f>
              <c:numCache>
                <c:formatCode>General</c:formatCode>
                <c:ptCount val="3"/>
                <c:pt idx="0">
                  <c:v>2018</c:v>
                </c:pt>
                <c:pt idx="1">
                  <c:v>2019</c:v>
                </c:pt>
                <c:pt idx="2">
                  <c:v>2029</c:v>
                </c:pt>
              </c:numCache>
            </c:numRef>
          </c:cat>
          <c:val>
            <c:numRef>
              <c:f>Sheet1!$B$3:$D$3</c:f>
              <c:numCache>
                <c:formatCode>General</c:formatCode>
                <c:ptCount val="3"/>
                <c:pt idx="0">
                  <c:v>2277.7800000000002</c:v>
                </c:pt>
                <c:pt idx="1">
                  <c:v>2158.36</c:v>
                </c:pt>
                <c:pt idx="2">
                  <c:v>2577.6</c:v>
                </c:pt>
              </c:numCache>
            </c:numRef>
          </c:val>
          <c:smooth val="0"/>
        </c:ser>
        <c:ser>
          <c:idx val="2"/>
          <c:order val="2"/>
          <c:tx>
            <c:strRef>
              <c:f>Sheet1!$A$4</c:f>
              <c:strCache>
                <c:ptCount val="1"/>
                <c:pt idx="0">
                  <c:v>Взрослые</c:v>
                </c:pt>
              </c:strCache>
            </c:strRef>
          </c:tx>
          <c:spPr>
            <a:ln w="12699">
              <a:solidFill>
                <a:srgbClr val="333333"/>
              </a:solidFill>
              <a:prstDash val="solid"/>
            </a:ln>
          </c:spPr>
          <c:marker>
            <c:symbol val="circle"/>
            <c:size val="4"/>
            <c:spPr>
              <a:solidFill>
                <a:srgbClr val="333333"/>
              </a:solidFill>
              <a:ln>
                <a:solidFill>
                  <a:srgbClr val="333333"/>
                </a:solidFill>
                <a:prstDash val="solid"/>
              </a:ln>
            </c:spPr>
          </c:marker>
          <c:cat>
            <c:numRef>
              <c:f>Sheet1!$B$1:$D$1</c:f>
              <c:numCache>
                <c:formatCode>General</c:formatCode>
                <c:ptCount val="3"/>
                <c:pt idx="0">
                  <c:v>2018</c:v>
                </c:pt>
                <c:pt idx="1">
                  <c:v>2019</c:v>
                </c:pt>
                <c:pt idx="2">
                  <c:v>2029</c:v>
                </c:pt>
              </c:numCache>
            </c:numRef>
          </c:cat>
          <c:val>
            <c:numRef>
              <c:f>Sheet1!$B$4:$D$4</c:f>
              <c:numCache>
                <c:formatCode>General</c:formatCode>
                <c:ptCount val="3"/>
                <c:pt idx="0">
                  <c:v>1918.75</c:v>
                </c:pt>
                <c:pt idx="1">
                  <c:v>2083.06</c:v>
                </c:pt>
                <c:pt idx="2">
                  <c:v>1986.54</c:v>
                </c:pt>
              </c:numCache>
            </c:numRef>
          </c:val>
          <c:smooth val="0"/>
        </c:ser>
        <c:dLbls>
          <c:showLegendKey val="0"/>
          <c:showVal val="0"/>
          <c:showCatName val="0"/>
          <c:showSerName val="0"/>
          <c:showPercent val="0"/>
          <c:showBubbleSize val="0"/>
        </c:dLbls>
        <c:marker val="1"/>
        <c:smooth val="0"/>
        <c:axId val="710208360"/>
        <c:axId val="546920720"/>
      </c:lineChart>
      <c:catAx>
        <c:axId val="71020836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Times New Roman"/>
                <a:ea typeface="Times New Roman"/>
                <a:cs typeface="Times New Roman"/>
              </a:defRPr>
            </a:pPr>
            <a:endParaRPr lang="ru-RU"/>
          </a:p>
        </c:txPr>
        <c:crossAx val="546920720"/>
        <c:crosses val="autoZero"/>
        <c:auto val="1"/>
        <c:lblAlgn val="ctr"/>
        <c:lblOffset val="100"/>
        <c:tickLblSkip val="1"/>
        <c:tickMarkSkip val="1"/>
        <c:noMultiLvlLbl val="0"/>
      </c:catAx>
      <c:valAx>
        <c:axId val="5469207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Times New Roman"/>
                <a:ea typeface="Times New Roman"/>
                <a:cs typeface="Times New Roman"/>
              </a:defRPr>
            </a:pPr>
            <a:endParaRPr lang="ru-RU"/>
          </a:p>
        </c:txPr>
        <c:crossAx val="710208360"/>
        <c:crosses val="autoZero"/>
        <c:crossBetween val="between"/>
      </c:valAx>
      <c:spPr>
        <a:solidFill>
          <a:srgbClr val="FFFFFF"/>
        </a:solidFill>
        <a:ln w="12699">
          <a:solidFill>
            <a:srgbClr val="808080"/>
          </a:solidFill>
          <a:prstDash val="solid"/>
        </a:ln>
      </c:spPr>
    </c:plotArea>
    <c:legend>
      <c:legendPos val="b"/>
      <c:layout>
        <c:manualLayout>
          <c:xMode val="edge"/>
          <c:yMode val="edge"/>
          <c:x val="0.29220779220779219"/>
          <c:y val="0.89787234042553188"/>
          <c:w val="0.4707792207792208"/>
          <c:h val="9.3617021276595741E-2"/>
        </c:manualLayout>
      </c:layout>
      <c:overlay val="0"/>
      <c:spPr>
        <a:noFill/>
        <a:ln w="25398">
          <a:noFill/>
        </a:ln>
      </c:spPr>
      <c:txPr>
        <a:bodyPr/>
        <a:lstStyle/>
        <a:p>
          <a:pPr>
            <a:defRPr sz="92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4324324324324326"/>
          <c:y val="5.4285714285714284E-2"/>
          <c:w val="0.5067567567567568"/>
          <c:h val="0.34"/>
        </c:manualLayout>
      </c:layout>
      <c:pie3DChart>
        <c:varyColors val="1"/>
        <c:ser>
          <c:idx val="0"/>
          <c:order val="0"/>
          <c:tx>
            <c:strRef>
              <c:f>Sheet1!$A$2</c:f>
              <c:strCache>
                <c:ptCount val="1"/>
                <c:pt idx="0">
                  <c:v>Восток</c:v>
                </c:pt>
              </c:strCache>
            </c:strRef>
          </c:tx>
          <c:spPr>
            <a:solidFill>
              <a:srgbClr val="9999FF"/>
            </a:solidFill>
            <a:ln w="12616">
              <a:solidFill>
                <a:srgbClr val="000000"/>
              </a:solidFill>
              <a:prstDash val="solid"/>
            </a:ln>
          </c:spPr>
          <c:explosion val="25"/>
          <c:dPt>
            <c:idx val="0"/>
            <c:bubble3D val="0"/>
            <c:spPr>
              <a:pattFill prst="ltDnDi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16">
                <a:solidFill>
                  <a:srgbClr val="000000"/>
                </a:solidFill>
                <a:prstDash val="solid"/>
              </a:ln>
            </c:spPr>
          </c:dPt>
          <c:dPt>
            <c:idx val="1"/>
            <c:bubble3D val="0"/>
            <c:spPr>
              <a:pattFill prst="horzBrick">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16">
                <a:solidFill>
                  <a:srgbClr val="000000"/>
                </a:solidFill>
                <a:prstDash val="solid"/>
              </a:ln>
            </c:spPr>
          </c:dPt>
          <c:dPt>
            <c:idx val="2"/>
            <c:bubble3D val="0"/>
            <c:spPr>
              <a:pattFill prst="wave">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16">
                <a:solidFill>
                  <a:srgbClr val="000000"/>
                </a:solidFill>
                <a:prstDash val="solid"/>
              </a:ln>
            </c:spPr>
          </c:dPt>
          <c:dPt>
            <c:idx val="3"/>
            <c:bubble3D val="0"/>
            <c:spPr>
              <a:pattFill prst="sphere">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16">
                <a:solidFill>
                  <a:srgbClr val="000000"/>
                </a:solidFill>
                <a:prstDash val="solid"/>
              </a:ln>
            </c:spPr>
          </c:dPt>
          <c:dPt>
            <c:idx val="4"/>
            <c:bubble3D val="0"/>
            <c:spPr>
              <a:pattFill prst="lgCheck">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16">
                <a:solidFill>
                  <a:srgbClr val="000000"/>
                </a:solidFill>
                <a:prstDash val="solid"/>
              </a:ln>
            </c:spPr>
          </c:dPt>
          <c:dPt>
            <c:idx val="5"/>
            <c:bubble3D val="0"/>
            <c:spPr>
              <a:pattFill prst="zigZ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16">
                <a:solidFill>
                  <a:srgbClr val="000000"/>
                </a:solidFill>
                <a:prstDash val="solid"/>
              </a:ln>
            </c:spPr>
          </c:dPt>
          <c:dPt>
            <c:idx val="6"/>
            <c:bubble3D val="0"/>
            <c:spPr>
              <a:pattFill prst="smGrid">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16">
                <a:solidFill>
                  <a:srgbClr val="000000"/>
                </a:solidFill>
                <a:prstDash val="solid"/>
              </a:ln>
            </c:spPr>
          </c:dPt>
          <c:dPt>
            <c:idx val="7"/>
            <c:bubble3D val="0"/>
            <c:spPr>
              <a:pattFill prst="dkHorz">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12616">
                <a:solidFill>
                  <a:srgbClr val="000000"/>
                </a:solidFill>
                <a:prstDash val="solid"/>
              </a:ln>
            </c:spPr>
          </c:dPt>
          <c:dPt>
            <c:idx val="8"/>
            <c:bubble3D val="0"/>
            <c:spPr>
              <a:solidFill>
                <a:srgbClr val="969696"/>
              </a:solidFill>
              <a:ln w="12616">
                <a:solidFill>
                  <a:srgbClr val="000000"/>
                </a:solidFill>
                <a:prstDash val="solid"/>
              </a:ln>
            </c:spPr>
          </c:dPt>
          <c:dPt>
            <c:idx val="9"/>
            <c:bubble3D val="0"/>
            <c:spPr>
              <a:pattFill prst="weav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16">
                <a:solidFill>
                  <a:srgbClr val="000000"/>
                </a:solidFill>
                <a:prstDash val="solid"/>
              </a:ln>
            </c:spPr>
          </c:dPt>
          <c:dLbls>
            <c:dLbl>
              <c:idx val="0"/>
              <c:layout>
                <c:manualLayout>
                  <c:x val="8.6974012829884595E-3"/>
                  <c:y val="9.1846435862183995E-3"/>
                </c:manualLayout>
              </c:layout>
              <c:spPr>
                <a:noFill/>
                <a:ln w="25231">
                  <a:noFill/>
                </a:ln>
              </c:spPr>
              <c:txPr>
                <a:bodyPr/>
                <a:lstStyle/>
                <a:p>
                  <a:pPr>
                    <a:defRPr sz="795" b="0" i="0" u="none" strike="noStrike" baseline="0">
                      <a:solidFill>
                        <a:srgbClr val="000000"/>
                      </a:solidFill>
                      <a:latin typeface="Arial Cyr"/>
                      <a:ea typeface="Arial Cyr"/>
                      <a:cs typeface="Arial Cy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spPr>
              <a:noFill/>
              <a:ln w="25231">
                <a:noFill/>
              </a:ln>
            </c:spPr>
            <c:txPr>
              <a:bodyPr wrap="square" lIns="38100" tIns="19050" rIns="38100" bIns="19050" anchor="ctr">
                <a:spAutoFit/>
              </a:bodyPr>
              <a:lstStyle/>
              <a:p>
                <a:pPr>
                  <a:defRPr sz="79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Sheet1!$B$1:$K$1</c:f>
              <c:strCache>
                <c:ptCount val="10"/>
                <c:pt idx="0">
                  <c:v>Болезни органов дыхания</c:v>
                </c:pt>
                <c:pt idx="1">
                  <c:v>некоторые неинфекционные и паразитарные болезни</c:v>
                </c:pt>
                <c:pt idx="2">
                  <c:v>Болезни органов пищеварения</c:v>
                </c:pt>
                <c:pt idx="3">
                  <c:v>Болезни кожи и подкожной клетчатки</c:v>
                </c:pt>
                <c:pt idx="4">
                  <c:v>Болезни глаза и его придаточного аппарата</c:v>
                </c:pt>
                <c:pt idx="5">
                  <c:v>Травмы, отравления и некоторые другие последствия воздействия внешних причин</c:v>
                </c:pt>
                <c:pt idx="6">
                  <c:v>Болезни нервной системы</c:v>
                </c:pt>
                <c:pt idx="7">
                  <c:v>Болезни мочеполовой системы</c:v>
                </c:pt>
                <c:pt idx="8">
                  <c:v>Болезни уха и сосцевидного отростка</c:v>
                </c:pt>
                <c:pt idx="9">
                  <c:v>другие заболевания</c:v>
                </c:pt>
              </c:strCache>
            </c:strRef>
          </c:cat>
          <c:val>
            <c:numRef>
              <c:f>Sheet1!$B$2:$K$2</c:f>
              <c:numCache>
                <c:formatCode>General</c:formatCode>
                <c:ptCount val="10"/>
                <c:pt idx="0">
                  <c:v>59.96</c:v>
                </c:pt>
                <c:pt idx="1">
                  <c:v>3.89</c:v>
                </c:pt>
                <c:pt idx="2">
                  <c:v>4.38</c:v>
                </c:pt>
                <c:pt idx="3">
                  <c:v>4.72</c:v>
                </c:pt>
                <c:pt idx="4">
                  <c:v>4.72</c:v>
                </c:pt>
                <c:pt idx="5">
                  <c:v>6.66</c:v>
                </c:pt>
                <c:pt idx="6">
                  <c:v>5.24</c:v>
                </c:pt>
                <c:pt idx="7">
                  <c:v>1.96</c:v>
                </c:pt>
                <c:pt idx="8">
                  <c:v>2.1</c:v>
                </c:pt>
                <c:pt idx="9">
                  <c:v>6.37</c:v>
                </c:pt>
              </c:numCache>
            </c:numRef>
          </c:val>
        </c:ser>
        <c:ser>
          <c:idx val="1"/>
          <c:order val="1"/>
          <c:tx>
            <c:strRef>
              <c:f>Sheet1!$A$3</c:f>
              <c:strCache>
                <c:ptCount val="1"/>
                <c:pt idx="0">
                  <c:v> </c:v>
                </c:pt>
              </c:strCache>
            </c:strRef>
          </c:tx>
          <c:spPr>
            <a:solidFill>
              <a:srgbClr val="993366"/>
            </a:solidFill>
            <a:ln w="12616">
              <a:solidFill>
                <a:srgbClr val="000000"/>
              </a:solidFill>
              <a:prstDash val="solid"/>
            </a:ln>
          </c:spPr>
          <c:explosion val="25"/>
          <c:dPt>
            <c:idx val="0"/>
            <c:bubble3D val="0"/>
            <c:spPr>
              <a:solidFill>
                <a:srgbClr val="9999FF"/>
              </a:solidFill>
              <a:ln w="12616">
                <a:solidFill>
                  <a:srgbClr val="000000"/>
                </a:solidFill>
                <a:prstDash val="solid"/>
              </a:ln>
            </c:spPr>
          </c:dPt>
          <c:dPt>
            <c:idx val="1"/>
            <c:bubble3D val="0"/>
          </c:dPt>
          <c:dPt>
            <c:idx val="2"/>
            <c:bubble3D val="0"/>
            <c:spPr>
              <a:solidFill>
                <a:srgbClr val="FFFFCC"/>
              </a:solidFill>
              <a:ln w="12616">
                <a:solidFill>
                  <a:srgbClr val="000000"/>
                </a:solidFill>
                <a:prstDash val="solid"/>
              </a:ln>
            </c:spPr>
          </c:dPt>
          <c:dPt>
            <c:idx val="3"/>
            <c:bubble3D val="0"/>
            <c:spPr>
              <a:solidFill>
                <a:srgbClr val="CCFFFF"/>
              </a:solidFill>
              <a:ln w="12616">
                <a:solidFill>
                  <a:srgbClr val="000000"/>
                </a:solidFill>
                <a:prstDash val="solid"/>
              </a:ln>
            </c:spPr>
          </c:dPt>
          <c:dPt>
            <c:idx val="4"/>
            <c:bubble3D val="0"/>
            <c:spPr>
              <a:solidFill>
                <a:srgbClr val="660066"/>
              </a:solidFill>
              <a:ln w="12616">
                <a:solidFill>
                  <a:srgbClr val="000000"/>
                </a:solidFill>
                <a:prstDash val="solid"/>
              </a:ln>
            </c:spPr>
          </c:dPt>
          <c:dPt>
            <c:idx val="5"/>
            <c:bubble3D val="0"/>
            <c:spPr>
              <a:solidFill>
                <a:srgbClr val="FF8080"/>
              </a:solidFill>
              <a:ln w="12616">
                <a:solidFill>
                  <a:srgbClr val="000000"/>
                </a:solidFill>
                <a:prstDash val="solid"/>
              </a:ln>
            </c:spPr>
          </c:dPt>
          <c:dPt>
            <c:idx val="6"/>
            <c:bubble3D val="0"/>
            <c:spPr>
              <a:solidFill>
                <a:srgbClr val="0066CC"/>
              </a:solidFill>
              <a:ln w="12616">
                <a:solidFill>
                  <a:srgbClr val="000000"/>
                </a:solidFill>
                <a:prstDash val="solid"/>
              </a:ln>
            </c:spPr>
          </c:dPt>
          <c:dPt>
            <c:idx val="7"/>
            <c:bubble3D val="0"/>
            <c:spPr>
              <a:solidFill>
                <a:srgbClr val="CCCCFF"/>
              </a:solidFill>
              <a:ln w="12616">
                <a:solidFill>
                  <a:srgbClr val="000000"/>
                </a:solidFill>
                <a:prstDash val="solid"/>
              </a:ln>
            </c:spPr>
          </c:dPt>
          <c:dPt>
            <c:idx val="8"/>
            <c:bubble3D val="0"/>
            <c:spPr>
              <a:solidFill>
                <a:srgbClr val="000080"/>
              </a:solidFill>
              <a:ln w="12616">
                <a:solidFill>
                  <a:srgbClr val="000000"/>
                </a:solidFill>
                <a:prstDash val="solid"/>
              </a:ln>
            </c:spPr>
          </c:dPt>
          <c:dPt>
            <c:idx val="9"/>
            <c:bubble3D val="0"/>
            <c:spPr>
              <a:solidFill>
                <a:srgbClr val="FF00FF"/>
              </a:solidFill>
              <a:ln w="12616">
                <a:solidFill>
                  <a:srgbClr val="000000"/>
                </a:solidFill>
                <a:prstDash val="solid"/>
              </a:ln>
            </c:spPr>
          </c:dPt>
          <c:dLbls>
            <c:spPr>
              <a:noFill/>
              <a:ln w="25231">
                <a:noFill/>
              </a:ln>
            </c:spPr>
            <c:txPr>
              <a:bodyPr wrap="square" lIns="38100" tIns="19050" rIns="38100" bIns="19050" anchor="ctr">
                <a:spAutoFit/>
              </a:bodyPr>
              <a:lstStyle/>
              <a:p>
                <a:pPr>
                  <a:defRPr sz="658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Sheet1!$B$1:$K$1</c:f>
              <c:strCache>
                <c:ptCount val="10"/>
                <c:pt idx="0">
                  <c:v>Болезни органов дыхания</c:v>
                </c:pt>
                <c:pt idx="1">
                  <c:v>некоторые неинфекционные и паразитарные болезни</c:v>
                </c:pt>
                <c:pt idx="2">
                  <c:v>Болезни органов пищеварения</c:v>
                </c:pt>
                <c:pt idx="3">
                  <c:v>Болезни кожи и подкожной клетчатки</c:v>
                </c:pt>
                <c:pt idx="4">
                  <c:v>Болезни глаза и его придаточного аппарата</c:v>
                </c:pt>
                <c:pt idx="5">
                  <c:v>Травмы, отравления и некоторые другие последствия воздействия внешних причин</c:v>
                </c:pt>
                <c:pt idx="6">
                  <c:v>Болезни нервной системы</c:v>
                </c:pt>
                <c:pt idx="7">
                  <c:v>Болезни мочеполовой системы</c:v>
                </c:pt>
                <c:pt idx="8">
                  <c:v>Болезни уха и сосцевидного отростка</c:v>
                </c:pt>
                <c:pt idx="9">
                  <c:v>другие заболевания</c:v>
                </c:pt>
              </c:strCache>
            </c:strRef>
          </c:cat>
          <c:val>
            <c:numRef>
              <c:f>Sheet1!$B$3:$K$3</c:f>
              <c:numCache>
                <c:formatCode>General</c:formatCode>
                <c:ptCount val="10"/>
                <c:pt idx="0">
                  <c:v>0</c:v>
                </c:pt>
                <c:pt idx="1">
                  <c:v>0</c:v>
                </c:pt>
                <c:pt idx="2">
                  <c:v>0</c:v>
                </c:pt>
                <c:pt idx="3">
                  <c:v>0</c:v>
                </c:pt>
              </c:numCache>
            </c:numRef>
          </c:val>
        </c:ser>
        <c:ser>
          <c:idx val="2"/>
          <c:order val="2"/>
          <c:tx>
            <c:strRef>
              <c:f>Sheet1!$A$4</c:f>
              <c:strCache>
                <c:ptCount val="1"/>
                <c:pt idx="0">
                  <c:v> </c:v>
                </c:pt>
              </c:strCache>
            </c:strRef>
          </c:tx>
          <c:spPr>
            <a:solidFill>
              <a:srgbClr val="FFFFCC"/>
            </a:solidFill>
            <a:ln w="12616">
              <a:solidFill>
                <a:srgbClr val="000000"/>
              </a:solidFill>
              <a:prstDash val="solid"/>
            </a:ln>
          </c:spPr>
          <c:explosion val="25"/>
          <c:dPt>
            <c:idx val="0"/>
            <c:bubble3D val="0"/>
            <c:spPr>
              <a:solidFill>
                <a:srgbClr val="9999FF"/>
              </a:solidFill>
              <a:ln w="12616">
                <a:solidFill>
                  <a:srgbClr val="000000"/>
                </a:solidFill>
                <a:prstDash val="solid"/>
              </a:ln>
            </c:spPr>
          </c:dPt>
          <c:dPt>
            <c:idx val="1"/>
            <c:bubble3D val="0"/>
            <c:spPr>
              <a:solidFill>
                <a:srgbClr val="993366"/>
              </a:solidFill>
              <a:ln w="12616">
                <a:solidFill>
                  <a:srgbClr val="000000"/>
                </a:solidFill>
                <a:prstDash val="solid"/>
              </a:ln>
            </c:spPr>
          </c:dPt>
          <c:dPt>
            <c:idx val="2"/>
            <c:bubble3D val="0"/>
          </c:dPt>
          <c:dPt>
            <c:idx val="3"/>
            <c:bubble3D val="0"/>
            <c:spPr>
              <a:solidFill>
                <a:srgbClr val="CCFFFF"/>
              </a:solidFill>
              <a:ln w="12616">
                <a:solidFill>
                  <a:srgbClr val="000000"/>
                </a:solidFill>
                <a:prstDash val="solid"/>
              </a:ln>
            </c:spPr>
          </c:dPt>
          <c:dPt>
            <c:idx val="4"/>
            <c:bubble3D val="0"/>
            <c:spPr>
              <a:solidFill>
                <a:srgbClr val="660066"/>
              </a:solidFill>
              <a:ln w="12616">
                <a:solidFill>
                  <a:srgbClr val="000000"/>
                </a:solidFill>
                <a:prstDash val="solid"/>
              </a:ln>
            </c:spPr>
          </c:dPt>
          <c:dPt>
            <c:idx val="5"/>
            <c:bubble3D val="0"/>
            <c:spPr>
              <a:solidFill>
                <a:srgbClr val="FF8080"/>
              </a:solidFill>
              <a:ln w="12616">
                <a:solidFill>
                  <a:srgbClr val="000000"/>
                </a:solidFill>
                <a:prstDash val="solid"/>
              </a:ln>
            </c:spPr>
          </c:dPt>
          <c:dPt>
            <c:idx val="6"/>
            <c:bubble3D val="0"/>
            <c:spPr>
              <a:solidFill>
                <a:srgbClr val="0066CC"/>
              </a:solidFill>
              <a:ln w="12616">
                <a:solidFill>
                  <a:srgbClr val="000000"/>
                </a:solidFill>
                <a:prstDash val="solid"/>
              </a:ln>
            </c:spPr>
          </c:dPt>
          <c:dPt>
            <c:idx val="7"/>
            <c:bubble3D val="0"/>
            <c:spPr>
              <a:solidFill>
                <a:srgbClr val="CCCCFF"/>
              </a:solidFill>
              <a:ln w="12616">
                <a:solidFill>
                  <a:srgbClr val="000000"/>
                </a:solidFill>
                <a:prstDash val="solid"/>
              </a:ln>
            </c:spPr>
          </c:dPt>
          <c:dPt>
            <c:idx val="8"/>
            <c:bubble3D val="0"/>
            <c:spPr>
              <a:solidFill>
                <a:srgbClr val="000080"/>
              </a:solidFill>
              <a:ln w="12616">
                <a:solidFill>
                  <a:srgbClr val="000000"/>
                </a:solidFill>
                <a:prstDash val="solid"/>
              </a:ln>
            </c:spPr>
          </c:dPt>
          <c:dPt>
            <c:idx val="9"/>
            <c:bubble3D val="0"/>
            <c:spPr>
              <a:solidFill>
                <a:srgbClr val="FF00FF"/>
              </a:solidFill>
              <a:ln w="12616">
                <a:solidFill>
                  <a:srgbClr val="000000"/>
                </a:solidFill>
                <a:prstDash val="solid"/>
              </a:ln>
            </c:spPr>
          </c:dPt>
          <c:dLbls>
            <c:spPr>
              <a:noFill/>
              <a:ln w="25231">
                <a:noFill/>
              </a:ln>
            </c:spPr>
            <c:txPr>
              <a:bodyPr wrap="square" lIns="38100" tIns="19050" rIns="38100" bIns="19050" anchor="ctr">
                <a:spAutoFit/>
              </a:bodyPr>
              <a:lstStyle/>
              <a:p>
                <a:pPr>
                  <a:defRPr sz="658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Sheet1!$B$1:$K$1</c:f>
              <c:strCache>
                <c:ptCount val="10"/>
                <c:pt idx="0">
                  <c:v>Болезни органов дыхания</c:v>
                </c:pt>
                <c:pt idx="1">
                  <c:v>некоторые неинфекционные и паразитарные болезни</c:v>
                </c:pt>
                <c:pt idx="2">
                  <c:v>Болезни органов пищеварения</c:v>
                </c:pt>
                <c:pt idx="3">
                  <c:v>Болезни кожи и подкожной клетчатки</c:v>
                </c:pt>
                <c:pt idx="4">
                  <c:v>Болезни глаза и его придаточного аппарата</c:v>
                </c:pt>
                <c:pt idx="5">
                  <c:v>Травмы, отравления и некоторые другие последствия воздействия внешних причин</c:v>
                </c:pt>
                <c:pt idx="6">
                  <c:v>Болезни нервной системы</c:v>
                </c:pt>
                <c:pt idx="7">
                  <c:v>Болезни мочеполовой системы</c:v>
                </c:pt>
                <c:pt idx="8">
                  <c:v>Болезни уха и сосцевидного отростка</c:v>
                </c:pt>
                <c:pt idx="9">
                  <c:v>другие заболевания</c:v>
                </c:pt>
              </c:strCache>
            </c:strRef>
          </c:cat>
          <c:val>
            <c:numRef>
              <c:f>Sheet1!$B$4:$K$4</c:f>
              <c:numCache>
                <c:formatCode>General</c:formatCode>
                <c:ptCount val="10"/>
                <c:pt idx="0">
                  <c:v>0</c:v>
                </c:pt>
                <c:pt idx="1">
                  <c:v>0</c:v>
                </c:pt>
                <c:pt idx="2">
                  <c:v>0</c:v>
                </c:pt>
                <c:pt idx="3">
                  <c:v>0</c:v>
                </c:pt>
              </c:numCache>
            </c:numRef>
          </c:val>
        </c:ser>
        <c:dLbls>
          <c:showLegendKey val="0"/>
          <c:showVal val="1"/>
          <c:showCatName val="0"/>
          <c:showSerName val="0"/>
          <c:showPercent val="0"/>
          <c:showBubbleSize val="0"/>
          <c:showLeaderLines val="1"/>
        </c:dLbls>
      </c:pie3DChart>
      <c:spPr>
        <a:solidFill>
          <a:srgbClr val="FFFFFF"/>
        </a:solidFill>
        <a:ln w="12616">
          <a:solidFill>
            <a:srgbClr val="FFFFFF"/>
          </a:solidFill>
          <a:prstDash val="solid"/>
        </a:ln>
      </c:spPr>
    </c:plotArea>
    <c:legend>
      <c:legendPos val="b"/>
      <c:layout>
        <c:manualLayout>
          <c:xMode val="edge"/>
          <c:yMode val="edge"/>
          <c:x val="0.16385135135135134"/>
          <c:y val="0.49142857142857144"/>
          <c:w val="0.76689189189189189"/>
          <c:h val="0.50285714285714289"/>
        </c:manualLayout>
      </c:layout>
      <c:overlay val="0"/>
      <c:spPr>
        <a:solidFill>
          <a:srgbClr val="FFFFFF"/>
        </a:solidFill>
        <a:ln w="25231">
          <a:noFill/>
        </a:ln>
      </c:spPr>
      <c:txPr>
        <a:bodyPr/>
        <a:lstStyle/>
        <a:p>
          <a:pPr>
            <a:defRPr sz="775" b="0"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154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33271719038817005"/>
          <c:y val="0.15233415233415235"/>
          <c:w val="0.6247689463955638"/>
          <c:h val="0.32678132678132676"/>
        </c:manualLayout>
      </c:layout>
      <c:pie3DChart>
        <c:varyColors val="1"/>
        <c:ser>
          <c:idx val="0"/>
          <c:order val="0"/>
          <c:tx>
            <c:strRef>
              <c:f>Sheet1!$A$2</c:f>
              <c:strCache>
                <c:ptCount val="1"/>
                <c:pt idx="0">
                  <c:v>Восток</c:v>
                </c:pt>
              </c:strCache>
            </c:strRef>
          </c:tx>
          <c:spPr>
            <a:solidFill>
              <a:srgbClr val="9999FF"/>
            </a:solidFill>
            <a:ln w="12608">
              <a:solidFill>
                <a:srgbClr val="000000"/>
              </a:solidFill>
              <a:prstDash val="solid"/>
            </a:ln>
          </c:spPr>
          <c:explosion val="25"/>
          <c:dPt>
            <c:idx val="0"/>
            <c:bubble3D val="0"/>
            <c:spPr>
              <a:solidFill>
                <a:srgbClr val="969696"/>
              </a:solidFill>
              <a:ln w="12608">
                <a:solidFill>
                  <a:srgbClr val="000000"/>
                </a:solidFill>
                <a:prstDash val="solid"/>
              </a:ln>
            </c:spPr>
          </c:dPt>
          <c:dPt>
            <c:idx val="1"/>
            <c:bubble3D val="0"/>
            <c:spPr>
              <a:solidFill>
                <a:srgbClr val="808080"/>
              </a:solidFill>
              <a:ln w="12608">
                <a:solidFill>
                  <a:srgbClr val="000000"/>
                </a:solidFill>
                <a:prstDash val="solid"/>
              </a:ln>
            </c:spPr>
          </c:dPt>
          <c:dPt>
            <c:idx val="2"/>
            <c:bubble3D val="0"/>
            <c:spPr>
              <a:pattFill prst="zigZ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08">
                <a:solidFill>
                  <a:srgbClr val="000000"/>
                </a:solidFill>
                <a:prstDash val="solid"/>
              </a:ln>
            </c:spPr>
          </c:dPt>
          <c:dPt>
            <c:idx val="3"/>
            <c:bubble3D val="0"/>
            <c:spPr>
              <a:pattFill prst="zigZag">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12608">
                <a:solidFill>
                  <a:srgbClr val="000000"/>
                </a:solidFill>
                <a:prstDash val="solid"/>
              </a:ln>
            </c:spPr>
          </c:dPt>
          <c:dPt>
            <c:idx val="4"/>
            <c:bubble3D val="0"/>
            <c:spPr>
              <a:pattFill prst="dashDnDiag">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12608">
                <a:solidFill>
                  <a:srgbClr val="000000"/>
                </a:solidFill>
                <a:prstDash val="solid"/>
              </a:ln>
            </c:spPr>
          </c:dPt>
          <c:dPt>
            <c:idx val="5"/>
            <c:bubble3D val="0"/>
            <c:spPr>
              <a:pattFill prst="ltUpDiag">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12608">
                <a:solidFill>
                  <a:srgbClr val="000000"/>
                </a:solidFill>
                <a:prstDash val="solid"/>
              </a:ln>
            </c:spPr>
          </c:dPt>
          <c:dPt>
            <c:idx val="6"/>
            <c:bubble3D val="0"/>
            <c:spPr>
              <a:pattFill prst="smGrid">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12608">
                <a:solidFill>
                  <a:srgbClr val="000000"/>
                </a:solidFill>
                <a:prstDash val="solid"/>
              </a:ln>
            </c:spPr>
          </c:dPt>
          <c:dPt>
            <c:idx val="7"/>
            <c:bubble3D val="0"/>
            <c:spPr>
              <a:pattFill prst="plaid">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08">
                <a:solidFill>
                  <a:srgbClr val="000000"/>
                </a:solidFill>
                <a:prstDash val="solid"/>
              </a:ln>
            </c:spPr>
          </c:dPt>
          <c:dPt>
            <c:idx val="8"/>
            <c:bubble3D val="0"/>
            <c:spPr>
              <a:pattFill prst="weave">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08">
                <a:solidFill>
                  <a:srgbClr val="000000"/>
                </a:solidFill>
                <a:prstDash val="solid"/>
              </a:ln>
            </c:spPr>
          </c:dPt>
          <c:dPt>
            <c:idx val="9"/>
            <c:bubble3D val="0"/>
            <c:spPr>
              <a:pattFill prst="dashHorz">
                <a:fgClr>
                  <a:srgbClr xmlns:mc="http://schemas.openxmlformats.org/markup-compatibility/2006" xmlns:a14="http://schemas.microsoft.com/office/drawing/2010/main" val="C0C0C0" mc:Ignorable="a14" a14:legacySpreadsheetColorIndex="22"/>
                </a:fgClr>
                <a:bgClr>
                  <a:srgbClr xmlns:mc="http://schemas.openxmlformats.org/markup-compatibility/2006" xmlns:a14="http://schemas.microsoft.com/office/drawing/2010/main" val="FFFFFF" mc:Ignorable="a14" a14:legacySpreadsheetColorIndex="9"/>
                </a:bgClr>
              </a:pattFill>
              <a:ln w="12608">
                <a:solidFill>
                  <a:srgbClr val="000000"/>
                </a:solidFill>
                <a:prstDash val="solid"/>
              </a:ln>
            </c:spPr>
          </c:dPt>
          <c:dPt>
            <c:idx val="10"/>
            <c:bubble3D val="0"/>
            <c:spPr>
              <a:pattFill prst="solidDmnd">
                <a:fgClr>
                  <a:srgbClr xmlns:mc="http://schemas.openxmlformats.org/markup-compatibility/2006" xmlns:a14="http://schemas.microsoft.com/office/drawing/2010/main" val="C0C0C0" mc:Ignorable="a14" a14:legacySpreadsheetColorIndex="22"/>
                </a:fgClr>
                <a:bgClr>
                  <a:srgbClr xmlns:mc="http://schemas.openxmlformats.org/markup-compatibility/2006" xmlns:a14="http://schemas.microsoft.com/office/drawing/2010/main" val="FFFFFF" mc:Ignorable="a14" a14:legacySpreadsheetColorIndex="9"/>
                </a:bgClr>
              </a:pattFill>
              <a:ln w="12608">
                <a:solidFill>
                  <a:srgbClr val="000000"/>
                </a:solidFill>
                <a:prstDash val="solid"/>
              </a:ln>
            </c:spPr>
          </c:dPt>
          <c:dLbls>
            <c:dLbl>
              <c:idx val="0"/>
              <c:layout>
                <c:manualLayout>
                  <c:x val="1.3263255754170089E-2"/>
                  <c:y val="-2.575989625216385E-2"/>
                </c:manualLayout>
              </c:layout>
              <c:spPr>
                <a:noFill/>
                <a:ln w="25215">
                  <a:noFill/>
                </a:ln>
              </c:spPr>
              <c:txPr>
                <a:bodyPr/>
                <a:lstStyle/>
                <a:p>
                  <a:pPr>
                    <a:defRPr sz="397" b="1" i="0" u="none" strike="noStrike" baseline="0">
                      <a:solidFill>
                        <a:srgbClr val="000000"/>
                      </a:solidFill>
                      <a:latin typeface="Arial Cyr"/>
                      <a:ea typeface="Arial Cyr"/>
                      <a:cs typeface="Arial Cy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spPr>
              <a:noFill/>
              <a:ln w="25215">
                <a:noFill/>
              </a:ln>
            </c:spPr>
            <c:txPr>
              <a:bodyPr wrap="square" lIns="38100" tIns="19050" rIns="38100" bIns="19050" anchor="ctr">
                <a:spAutoFit/>
              </a:bodyPr>
              <a:lstStyle/>
              <a:p>
                <a:pPr>
                  <a:defRPr sz="39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Sheet1!$B$1:$L$1</c:f>
              <c:strCache>
                <c:ptCount val="11"/>
                <c:pt idx="0">
                  <c:v>Болезни органов дыхания</c:v>
                </c:pt>
                <c:pt idx="1">
                  <c:v>Болезни органов пищеварения</c:v>
                </c:pt>
                <c:pt idx="2">
                  <c:v>Болезни кожи и подкожной клетчатки</c:v>
                </c:pt>
                <c:pt idx="3">
                  <c:v>Болезни глаза и его придаточного аппарата</c:v>
                </c:pt>
                <c:pt idx="4">
                  <c:v>Травмы, отравления и некоторые другие последствия воздействия внешних причин</c:v>
                </c:pt>
                <c:pt idx="5">
                  <c:v>Болезни костно-мышечной системы и соед. ткани</c:v>
                </c:pt>
                <c:pt idx="6">
                  <c:v>Болезни мочеполовой системы</c:v>
                </c:pt>
                <c:pt idx="7">
                  <c:v>другие заболевания</c:v>
                </c:pt>
                <c:pt idx="8">
                  <c:v>Болезни нервной системы</c:v>
                </c:pt>
                <c:pt idx="9">
                  <c:v>Болезни эндокринной системы, нарушения питания и нарушения обмена веществ</c:v>
                </c:pt>
                <c:pt idx="10">
                  <c:v>Психические расстройства и растройства поведения</c:v>
                </c:pt>
              </c:strCache>
            </c:strRef>
          </c:cat>
          <c:val>
            <c:numRef>
              <c:f>Sheet1!$B$2:$L$2</c:f>
              <c:numCache>
                <c:formatCode>General</c:formatCode>
                <c:ptCount val="11"/>
                <c:pt idx="0">
                  <c:v>43.48</c:v>
                </c:pt>
                <c:pt idx="1">
                  <c:v>5.53</c:v>
                </c:pt>
                <c:pt idx="2">
                  <c:v>5.53</c:v>
                </c:pt>
                <c:pt idx="3">
                  <c:v>10.52</c:v>
                </c:pt>
                <c:pt idx="4">
                  <c:v>5.22</c:v>
                </c:pt>
                <c:pt idx="5">
                  <c:v>5.49</c:v>
                </c:pt>
                <c:pt idx="6">
                  <c:v>4.2300000000000004</c:v>
                </c:pt>
                <c:pt idx="7">
                  <c:v>6.59</c:v>
                </c:pt>
                <c:pt idx="8">
                  <c:v>6.21</c:v>
                </c:pt>
                <c:pt idx="9">
                  <c:v>4.6100000000000003</c:v>
                </c:pt>
                <c:pt idx="10">
                  <c:v>2.59</c:v>
                </c:pt>
              </c:numCache>
            </c:numRef>
          </c:val>
        </c:ser>
        <c:ser>
          <c:idx val="1"/>
          <c:order val="1"/>
          <c:tx>
            <c:strRef>
              <c:f>Sheet1!$A$3</c:f>
              <c:strCache>
                <c:ptCount val="1"/>
                <c:pt idx="0">
                  <c:v> </c:v>
                </c:pt>
              </c:strCache>
            </c:strRef>
          </c:tx>
          <c:spPr>
            <a:solidFill>
              <a:srgbClr val="993366"/>
            </a:solidFill>
            <a:ln w="12608">
              <a:solidFill>
                <a:srgbClr val="000000"/>
              </a:solidFill>
              <a:prstDash val="solid"/>
            </a:ln>
          </c:spPr>
          <c:explosion val="25"/>
          <c:dPt>
            <c:idx val="0"/>
            <c:bubble3D val="0"/>
            <c:spPr>
              <a:solidFill>
                <a:srgbClr val="9999FF"/>
              </a:solidFill>
              <a:ln w="12608">
                <a:solidFill>
                  <a:srgbClr val="000000"/>
                </a:solidFill>
                <a:prstDash val="solid"/>
              </a:ln>
            </c:spPr>
          </c:dPt>
          <c:dPt>
            <c:idx val="1"/>
            <c:bubble3D val="0"/>
          </c:dPt>
          <c:dPt>
            <c:idx val="2"/>
            <c:bubble3D val="0"/>
            <c:spPr>
              <a:solidFill>
                <a:srgbClr val="FFFFCC"/>
              </a:solidFill>
              <a:ln w="12608">
                <a:solidFill>
                  <a:srgbClr val="000000"/>
                </a:solidFill>
                <a:prstDash val="solid"/>
              </a:ln>
            </c:spPr>
          </c:dPt>
          <c:dPt>
            <c:idx val="3"/>
            <c:bubble3D val="0"/>
            <c:spPr>
              <a:solidFill>
                <a:srgbClr val="CCFFFF"/>
              </a:solidFill>
              <a:ln w="12608">
                <a:solidFill>
                  <a:srgbClr val="000000"/>
                </a:solidFill>
                <a:prstDash val="solid"/>
              </a:ln>
            </c:spPr>
          </c:dPt>
          <c:dPt>
            <c:idx val="4"/>
            <c:bubble3D val="0"/>
            <c:spPr>
              <a:solidFill>
                <a:srgbClr val="660066"/>
              </a:solidFill>
              <a:ln w="12608">
                <a:solidFill>
                  <a:srgbClr val="000000"/>
                </a:solidFill>
                <a:prstDash val="solid"/>
              </a:ln>
            </c:spPr>
          </c:dPt>
          <c:dPt>
            <c:idx val="5"/>
            <c:bubble3D val="0"/>
            <c:spPr>
              <a:solidFill>
                <a:srgbClr val="FF8080"/>
              </a:solidFill>
              <a:ln w="12608">
                <a:solidFill>
                  <a:srgbClr val="000000"/>
                </a:solidFill>
                <a:prstDash val="solid"/>
              </a:ln>
            </c:spPr>
          </c:dPt>
          <c:dPt>
            <c:idx val="6"/>
            <c:bubble3D val="0"/>
            <c:spPr>
              <a:solidFill>
                <a:srgbClr val="0066CC"/>
              </a:solidFill>
              <a:ln w="12608">
                <a:solidFill>
                  <a:srgbClr val="000000"/>
                </a:solidFill>
                <a:prstDash val="solid"/>
              </a:ln>
            </c:spPr>
          </c:dPt>
          <c:dPt>
            <c:idx val="7"/>
            <c:bubble3D val="0"/>
            <c:spPr>
              <a:solidFill>
                <a:srgbClr val="CCCCFF"/>
              </a:solidFill>
              <a:ln w="12608">
                <a:solidFill>
                  <a:srgbClr val="000000"/>
                </a:solidFill>
                <a:prstDash val="solid"/>
              </a:ln>
            </c:spPr>
          </c:dPt>
          <c:dPt>
            <c:idx val="8"/>
            <c:bubble3D val="0"/>
            <c:spPr>
              <a:solidFill>
                <a:srgbClr val="000080"/>
              </a:solidFill>
              <a:ln w="12608">
                <a:solidFill>
                  <a:srgbClr val="000000"/>
                </a:solidFill>
                <a:prstDash val="solid"/>
              </a:ln>
            </c:spPr>
          </c:dPt>
          <c:dPt>
            <c:idx val="9"/>
            <c:bubble3D val="0"/>
            <c:spPr>
              <a:solidFill>
                <a:srgbClr val="FF00FF"/>
              </a:solidFill>
              <a:ln w="12608">
                <a:solidFill>
                  <a:srgbClr val="000000"/>
                </a:solidFill>
                <a:prstDash val="solid"/>
              </a:ln>
            </c:spPr>
          </c:dPt>
          <c:dPt>
            <c:idx val="10"/>
            <c:bubble3D val="0"/>
            <c:spPr>
              <a:solidFill>
                <a:srgbClr val="FFFF00"/>
              </a:solidFill>
              <a:ln w="12608">
                <a:solidFill>
                  <a:srgbClr val="000000"/>
                </a:solidFill>
                <a:prstDash val="solid"/>
              </a:ln>
            </c:spPr>
          </c:dPt>
          <c:dLbls>
            <c:spPr>
              <a:noFill/>
              <a:ln w="25215">
                <a:noFill/>
              </a:ln>
            </c:spPr>
            <c:txPr>
              <a:bodyPr wrap="square" lIns="38100" tIns="19050" rIns="38100" bIns="19050" anchor="ctr">
                <a:spAutoFit/>
              </a:bodyPr>
              <a:lstStyle/>
              <a:p>
                <a:pPr>
                  <a:defRPr sz="153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Sheet1!$B$1:$L$1</c:f>
              <c:strCache>
                <c:ptCount val="11"/>
                <c:pt idx="0">
                  <c:v>Болезни органов дыхания</c:v>
                </c:pt>
                <c:pt idx="1">
                  <c:v>Болезни органов пищеварения</c:v>
                </c:pt>
                <c:pt idx="2">
                  <c:v>Болезни кожи и подкожной клетчатки</c:v>
                </c:pt>
                <c:pt idx="3">
                  <c:v>Болезни глаза и его придаточного аппарата</c:v>
                </c:pt>
                <c:pt idx="4">
                  <c:v>Травмы, отравления и некоторые другие последствия воздействия внешних причин</c:v>
                </c:pt>
                <c:pt idx="5">
                  <c:v>Болезни костно-мышечной системы и соед. ткани</c:v>
                </c:pt>
                <c:pt idx="6">
                  <c:v>Болезни мочеполовой системы</c:v>
                </c:pt>
                <c:pt idx="7">
                  <c:v>другие заболевания</c:v>
                </c:pt>
                <c:pt idx="8">
                  <c:v>Болезни нервной системы</c:v>
                </c:pt>
                <c:pt idx="9">
                  <c:v>Болезни эндокринной системы, нарушения питания и нарушения обмена веществ</c:v>
                </c:pt>
                <c:pt idx="10">
                  <c:v>Психические расстройства и растройства поведения</c:v>
                </c:pt>
              </c:strCache>
            </c:strRef>
          </c:cat>
          <c:val>
            <c:numRef>
              <c:f>Sheet1!$B$3:$L$3</c:f>
              <c:numCache>
                <c:formatCode>General</c:formatCode>
                <c:ptCount val="11"/>
                <c:pt idx="0">
                  <c:v>0</c:v>
                </c:pt>
                <c:pt idx="1">
                  <c:v>0</c:v>
                </c:pt>
                <c:pt idx="2">
                  <c:v>0</c:v>
                </c:pt>
              </c:numCache>
            </c:numRef>
          </c:val>
        </c:ser>
        <c:ser>
          <c:idx val="2"/>
          <c:order val="2"/>
          <c:tx>
            <c:strRef>
              <c:f>Sheet1!$A$4</c:f>
              <c:strCache>
                <c:ptCount val="1"/>
                <c:pt idx="0">
                  <c:v> </c:v>
                </c:pt>
              </c:strCache>
            </c:strRef>
          </c:tx>
          <c:spPr>
            <a:solidFill>
              <a:srgbClr val="FFFFCC"/>
            </a:solidFill>
            <a:ln w="12608">
              <a:solidFill>
                <a:srgbClr val="000000"/>
              </a:solidFill>
              <a:prstDash val="solid"/>
            </a:ln>
          </c:spPr>
          <c:explosion val="25"/>
          <c:dPt>
            <c:idx val="0"/>
            <c:bubble3D val="0"/>
            <c:spPr>
              <a:solidFill>
                <a:srgbClr val="9999FF"/>
              </a:solidFill>
              <a:ln w="12608">
                <a:solidFill>
                  <a:srgbClr val="000000"/>
                </a:solidFill>
                <a:prstDash val="solid"/>
              </a:ln>
            </c:spPr>
          </c:dPt>
          <c:dPt>
            <c:idx val="1"/>
            <c:bubble3D val="0"/>
            <c:spPr>
              <a:solidFill>
                <a:srgbClr val="993366"/>
              </a:solidFill>
              <a:ln w="12608">
                <a:solidFill>
                  <a:srgbClr val="000000"/>
                </a:solidFill>
                <a:prstDash val="solid"/>
              </a:ln>
            </c:spPr>
          </c:dPt>
          <c:dPt>
            <c:idx val="2"/>
            <c:bubble3D val="0"/>
          </c:dPt>
          <c:dPt>
            <c:idx val="3"/>
            <c:bubble3D val="0"/>
            <c:spPr>
              <a:solidFill>
                <a:srgbClr val="CCFFFF"/>
              </a:solidFill>
              <a:ln w="12608">
                <a:solidFill>
                  <a:srgbClr val="000000"/>
                </a:solidFill>
                <a:prstDash val="solid"/>
              </a:ln>
            </c:spPr>
          </c:dPt>
          <c:dPt>
            <c:idx val="4"/>
            <c:bubble3D val="0"/>
            <c:spPr>
              <a:solidFill>
                <a:srgbClr val="660066"/>
              </a:solidFill>
              <a:ln w="12608">
                <a:solidFill>
                  <a:srgbClr val="000000"/>
                </a:solidFill>
                <a:prstDash val="solid"/>
              </a:ln>
            </c:spPr>
          </c:dPt>
          <c:dPt>
            <c:idx val="5"/>
            <c:bubble3D val="0"/>
            <c:spPr>
              <a:solidFill>
                <a:srgbClr val="FF8080"/>
              </a:solidFill>
              <a:ln w="12608">
                <a:solidFill>
                  <a:srgbClr val="000000"/>
                </a:solidFill>
                <a:prstDash val="solid"/>
              </a:ln>
            </c:spPr>
          </c:dPt>
          <c:dPt>
            <c:idx val="6"/>
            <c:bubble3D val="0"/>
            <c:spPr>
              <a:solidFill>
                <a:srgbClr val="0066CC"/>
              </a:solidFill>
              <a:ln w="12608">
                <a:solidFill>
                  <a:srgbClr val="000000"/>
                </a:solidFill>
                <a:prstDash val="solid"/>
              </a:ln>
            </c:spPr>
          </c:dPt>
          <c:dPt>
            <c:idx val="7"/>
            <c:bubble3D val="0"/>
            <c:spPr>
              <a:solidFill>
                <a:srgbClr val="CCCCFF"/>
              </a:solidFill>
              <a:ln w="12608">
                <a:solidFill>
                  <a:srgbClr val="000000"/>
                </a:solidFill>
                <a:prstDash val="solid"/>
              </a:ln>
            </c:spPr>
          </c:dPt>
          <c:dPt>
            <c:idx val="8"/>
            <c:bubble3D val="0"/>
            <c:spPr>
              <a:solidFill>
                <a:srgbClr val="000080"/>
              </a:solidFill>
              <a:ln w="12608">
                <a:solidFill>
                  <a:srgbClr val="000000"/>
                </a:solidFill>
                <a:prstDash val="solid"/>
              </a:ln>
            </c:spPr>
          </c:dPt>
          <c:dPt>
            <c:idx val="9"/>
            <c:bubble3D val="0"/>
            <c:spPr>
              <a:solidFill>
                <a:srgbClr val="FF00FF"/>
              </a:solidFill>
              <a:ln w="12608">
                <a:solidFill>
                  <a:srgbClr val="000000"/>
                </a:solidFill>
                <a:prstDash val="solid"/>
              </a:ln>
            </c:spPr>
          </c:dPt>
          <c:dPt>
            <c:idx val="10"/>
            <c:bubble3D val="0"/>
            <c:spPr>
              <a:solidFill>
                <a:srgbClr val="FFFF00"/>
              </a:solidFill>
              <a:ln w="12608">
                <a:solidFill>
                  <a:srgbClr val="000000"/>
                </a:solidFill>
                <a:prstDash val="solid"/>
              </a:ln>
            </c:spPr>
          </c:dPt>
          <c:dLbls>
            <c:spPr>
              <a:noFill/>
              <a:ln w="25215">
                <a:noFill/>
              </a:ln>
            </c:spPr>
            <c:txPr>
              <a:bodyPr wrap="square" lIns="38100" tIns="19050" rIns="38100" bIns="19050" anchor="ctr">
                <a:spAutoFit/>
              </a:bodyPr>
              <a:lstStyle/>
              <a:p>
                <a:pPr>
                  <a:defRPr sz="153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Sheet1!$B$1:$L$1</c:f>
              <c:strCache>
                <c:ptCount val="11"/>
                <c:pt idx="0">
                  <c:v>Болезни органов дыхания</c:v>
                </c:pt>
                <c:pt idx="1">
                  <c:v>Болезни органов пищеварения</c:v>
                </c:pt>
                <c:pt idx="2">
                  <c:v>Болезни кожи и подкожной клетчатки</c:v>
                </c:pt>
                <c:pt idx="3">
                  <c:v>Болезни глаза и его придаточного аппарата</c:v>
                </c:pt>
                <c:pt idx="4">
                  <c:v>Травмы, отравления и некоторые другие последствия воздействия внешних причин</c:v>
                </c:pt>
                <c:pt idx="5">
                  <c:v>Болезни костно-мышечной системы и соед. ткани</c:v>
                </c:pt>
                <c:pt idx="6">
                  <c:v>Болезни мочеполовой системы</c:v>
                </c:pt>
                <c:pt idx="7">
                  <c:v>другие заболевания</c:v>
                </c:pt>
                <c:pt idx="8">
                  <c:v>Болезни нервной системы</c:v>
                </c:pt>
                <c:pt idx="9">
                  <c:v>Болезни эндокринной системы, нарушения питания и нарушения обмена веществ</c:v>
                </c:pt>
                <c:pt idx="10">
                  <c:v>Психические расстройства и растройства поведения</c:v>
                </c:pt>
              </c:strCache>
            </c:strRef>
          </c:cat>
          <c:val>
            <c:numRef>
              <c:f>Sheet1!$B$4:$L$4</c:f>
              <c:numCache>
                <c:formatCode>General</c:formatCode>
                <c:ptCount val="11"/>
                <c:pt idx="0">
                  <c:v>0</c:v>
                </c:pt>
                <c:pt idx="1">
                  <c:v>0</c:v>
                </c:pt>
                <c:pt idx="2">
                  <c:v>0</c:v>
                </c:pt>
              </c:numCache>
            </c:numRef>
          </c:val>
        </c:ser>
        <c:dLbls>
          <c:showLegendKey val="0"/>
          <c:showVal val="1"/>
          <c:showCatName val="0"/>
          <c:showSerName val="0"/>
          <c:showPercent val="0"/>
          <c:showBubbleSize val="0"/>
          <c:showLeaderLines val="1"/>
        </c:dLbls>
      </c:pie3DChart>
      <c:spPr>
        <a:solidFill>
          <a:srgbClr val="FFFFFF"/>
        </a:solidFill>
        <a:ln w="12608">
          <a:solidFill>
            <a:srgbClr val="FFFFFF"/>
          </a:solidFill>
          <a:prstDash val="solid"/>
        </a:ln>
      </c:spPr>
    </c:plotArea>
    <c:legend>
      <c:legendPos val="r"/>
      <c:layout>
        <c:manualLayout>
          <c:xMode val="edge"/>
          <c:yMode val="edge"/>
          <c:x val="0.10536044362292052"/>
          <c:y val="0.42997542997542998"/>
          <c:w val="0.83918669131238444"/>
          <c:h val="0.50122850122850127"/>
        </c:manualLayout>
      </c:layout>
      <c:overlay val="0"/>
      <c:spPr>
        <a:noFill/>
        <a:ln w="25215">
          <a:noFill/>
        </a:ln>
      </c:spPr>
      <c:txPr>
        <a:bodyPr/>
        <a:lstStyle/>
        <a:p>
          <a:pPr>
            <a:defRPr sz="730" b="0"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153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6.4761904761904757E-2"/>
          <c:y val="5.3254437869822487E-2"/>
          <c:w val="0.74095238095238092"/>
          <c:h val="0.73964497041420119"/>
        </c:manualLayout>
      </c:layout>
      <c:bar3DChart>
        <c:barDir val="col"/>
        <c:grouping val="clustered"/>
        <c:varyColors val="0"/>
        <c:ser>
          <c:idx val="0"/>
          <c:order val="0"/>
          <c:tx>
            <c:strRef>
              <c:f>Лист1!$A$11</c:f>
              <c:strCache>
                <c:ptCount val="1"/>
                <c:pt idx="0">
                  <c:v>проб</c:v>
                </c:pt>
              </c:strCache>
            </c:strRef>
          </c:tx>
          <c:spPr>
            <a:blipFill dpi="0" rotWithShape="0">
              <a:blip xmlns:r="http://schemas.openxmlformats.org/officeDocument/2006/relationships" r:embed="rId1"/>
              <a:srcRect/>
              <a:tile tx="0" ty="0" sx="100000" sy="100000" flip="none" algn="tl"/>
            </a:blipFill>
            <a:ln w="12679">
              <a:solidFill>
                <a:srgbClr val="000000"/>
              </a:solidFill>
              <a:prstDash val="solid"/>
            </a:ln>
          </c:spPr>
          <c:invertIfNegative val="0"/>
          <c:cat>
            <c:strRef>
              <c:f>Лист1!$B$10:$D$10</c:f>
              <c:strCache>
                <c:ptCount val="3"/>
                <c:pt idx="0">
                  <c:v>2018г</c:v>
                </c:pt>
                <c:pt idx="1">
                  <c:v>2019г</c:v>
                </c:pt>
                <c:pt idx="2">
                  <c:v>2020г</c:v>
                </c:pt>
              </c:strCache>
            </c:strRef>
          </c:cat>
          <c:val>
            <c:numRef>
              <c:f>Лист1!$B$11:$D$11</c:f>
              <c:numCache>
                <c:formatCode>General</c:formatCode>
                <c:ptCount val="3"/>
                <c:pt idx="0">
                  <c:v>566</c:v>
                </c:pt>
                <c:pt idx="1">
                  <c:v>286</c:v>
                </c:pt>
                <c:pt idx="2">
                  <c:v>220</c:v>
                </c:pt>
              </c:numCache>
            </c:numRef>
          </c:val>
        </c:ser>
        <c:ser>
          <c:idx val="1"/>
          <c:order val="1"/>
          <c:tx>
            <c:strRef>
              <c:f>Лист1!$A$12</c:f>
              <c:strCache>
                <c:ptCount val="1"/>
                <c:pt idx="0">
                  <c:v>не соотв. сан. нормам</c:v>
                </c:pt>
              </c:strCache>
            </c:strRef>
          </c:tx>
          <c:spPr>
            <a:blipFill dpi="0" rotWithShape="0">
              <a:blip xmlns:r="http://schemas.openxmlformats.org/officeDocument/2006/relationships" r:embed="rId2"/>
              <a:srcRect/>
              <a:tile tx="0" ty="0" sx="100000" sy="100000" flip="none" algn="tl"/>
            </a:blipFill>
            <a:ln w="12679">
              <a:solidFill>
                <a:srgbClr val="000000"/>
              </a:solidFill>
              <a:prstDash val="solid"/>
            </a:ln>
          </c:spPr>
          <c:invertIfNegative val="0"/>
          <c:cat>
            <c:strRef>
              <c:f>Лист1!$B$10:$D$10</c:f>
              <c:strCache>
                <c:ptCount val="3"/>
                <c:pt idx="0">
                  <c:v>2018г</c:v>
                </c:pt>
                <c:pt idx="1">
                  <c:v>2019г</c:v>
                </c:pt>
                <c:pt idx="2">
                  <c:v>2020г</c:v>
                </c:pt>
              </c:strCache>
            </c:strRef>
          </c:cat>
          <c:val>
            <c:numRef>
              <c:f>Лист1!$B$12:$D$12</c:f>
              <c:numCache>
                <c:formatCode>General</c:formatCode>
                <c:ptCount val="3"/>
                <c:pt idx="0">
                  <c:v>7</c:v>
                </c:pt>
                <c:pt idx="1">
                  <c:v>0</c:v>
                </c:pt>
                <c:pt idx="2">
                  <c:v>3</c:v>
                </c:pt>
              </c:numCache>
            </c:numRef>
          </c:val>
        </c:ser>
        <c:dLbls>
          <c:showLegendKey val="0"/>
          <c:showVal val="0"/>
          <c:showCatName val="0"/>
          <c:showSerName val="0"/>
          <c:showPercent val="0"/>
          <c:showBubbleSize val="0"/>
        </c:dLbls>
        <c:gapWidth val="150"/>
        <c:shape val="box"/>
        <c:axId val="546880264"/>
        <c:axId val="546878696"/>
        <c:axId val="0"/>
      </c:bar3DChart>
      <c:catAx>
        <c:axId val="546880264"/>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874" b="0" i="0" u="none" strike="noStrike" baseline="0">
                <a:solidFill>
                  <a:srgbClr val="000000"/>
                </a:solidFill>
                <a:latin typeface="Arial Cyr"/>
                <a:ea typeface="Arial Cyr"/>
                <a:cs typeface="Arial Cyr"/>
              </a:defRPr>
            </a:pPr>
            <a:endParaRPr lang="ru-RU"/>
          </a:p>
        </c:txPr>
        <c:crossAx val="546878696"/>
        <c:crosses val="autoZero"/>
        <c:auto val="1"/>
        <c:lblAlgn val="ctr"/>
        <c:lblOffset val="100"/>
        <c:tickLblSkip val="1"/>
        <c:tickMarkSkip val="1"/>
        <c:noMultiLvlLbl val="0"/>
      </c:catAx>
      <c:valAx>
        <c:axId val="546878696"/>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546880264"/>
        <c:crosses val="autoZero"/>
        <c:crossBetween val="between"/>
      </c:valAx>
      <c:spPr>
        <a:noFill/>
        <a:ln w="25357">
          <a:noFill/>
        </a:ln>
      </c:spPr>
    </c:plotArea>
    <c:legend>
      <c:legendPos val="r"/>
      <c:layout>
        <c:manualLayout>
          <c:xMode val="edge"/>
          <c:yMode val="edge"/>
          <c:x val="0.77714299348945015"/>
          <c:y val="0.44378685222486725"/>
          <c:w val="0.20380952380952377"/>
          <c:h val="0.36094671305621684"/>
        </c:manualLayout>
      </c:layout>
      <c:overlay val="0"/>
      <c:spPr>
        <a:solidFill>
          <a:srgbClr val="FFFFFF"/>
        </a:solidFill>
        <a:ln w="3170">
          <a:solidFill>
            <a:srgbClr val="000000"/>
          </a:solidFill>
          <a:prstDash val="solid"/>
        </a:ln>
      </c:spPr>
      <c:txPr>
        <a:bodyPr/>
        <a:lstStyle/>
        <a:p>
          <a:pPr>
            <a:defRPr sz="734"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0">
      <a:solidFill>
        <a:srgbClr val="000000"/>
      </a:solidFill>
      <a:prstDash val="solid"/>
    </a:ln>
  </c:spPr>
  <c:txPr>
    <a:bodyPr/>
    <a:lstStyle/>
    <a:p>
      <a:pPr>
        <a:defRPr sz="799" b="0" i="0" u="none" strike="noStrike" baseline="0">
          <a:solidFill>
            <a:srgbClr val="000000"/>
          </a:solidFill>
          <a:latin typeface="Arial Cyr"/>
          <a:ea typeface="Arial Cyr"/>
          <a:cs typeface="Arial Cy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3642732049036777"/>
          <c:y val="2.0771513353115726E-2"/>
          <c:w val="0.70402802101576178"/>
          <c:h val="0.47477744807121663"/>
        </c:manualLayout>
      </c:layout>
      <c:pie3DChart>
        <c:varyColors val="1"/>
        <c:ser>
          <c:idx val="0"/>
          <c:order val="0"/>
          <c:tx>
            <c:strRef>
              <c:f>Sheet1!$A$2</c:f>
              <c:strCache>
                <c:ptCount val="1"/>
                <c:pt idx="0">
                  <c:v>Восток</c:v>
                </c:pt>
              </c:strCache>
            </c:strRef>
          </c:tx>
          <c:spPr>
            <a:solidFill>
              <a:srgbClr val="9999FF"/>
            </a:solidFill>
            <a:ln w="12635">
              <a:solidFill>
                <a:srgbClr val="000000"/>
              </a:solidFill>
              <a:prstDash val="solid"/>
            </a:ln>
          </c:spPr>
          <c:explosion val="25"/>
          <c:dPt>
            <c:idx val="0"/>
            <c:bubble3D val="0"/>
            <c:spPr>
              <a:solidFill>
                <a:srgbClr val="969696"/>
              </a:solidFill>
              <a:ln w="12635">
                <a:solidFill>
                  <a:srgbClr val="000000"/>
                </a:solidFill>
                <a:prstDash val="solid"/>
              </a:ln>
            </c:spPr>
          </c:dPt>
          <c:dPt>
            <c:idx val="1"/>
            <c:bubble3D val="0"/>
            <c:spPr>
              <a:solidFill>
                <a:srgbClr val="808080"/>
              </a:solidFill>
              <a:ln w="12635">
                <a:solidFill>
                  <a:srgbClr val="000000"/>
                </a:solidFill>
                <a:prstDash val="solid"/>
              </a:ln>
            </c:spPr>
          </c:dPt>
          <c:dPt>
            <c:idx val="2"/>
            <c:bubble3D val="0"/>
            <c:spPr>
              <a:pattFill prst="zigZ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35">
                <a:solidFill>
                  <a:srgbClr val="000000"/>
                </a:solidFill>
                <a:prstDash val="solid"/>
              </a:ln>
            </c:spPr>
          </c:dPt>
          <c:dPt>
            <c:idx val="3"/>
            <c:bubble3D val="0"/>
            <c:spPr>
              <a:pattFill prst="zigZag">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12635">
                <a:solidFill>
                  <a:srgbClr val="000000"/>
                </a:solidFill>
                <a:prstDash val="solid"/>
              </a:ln>
            </c:spPr>
          </c:dPt>
          <c:dPt>
            <c:idx val="4"/>
            <c:bubble3D val="0"/>
            <c:spPr>
              <a:pattFill prst="dashDnDiag">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12635">
                <a:solidFill>
                  <a:srgbClr val="000000"/>
                </a:solidFill>
                <a:prstDash val="solid"/>
              </a:ln>
            </c:spPr>
          </c:dPt>
          <c:dPt>
            <c:idx val="5"/>
            <c:bubble3D val="0"/>
            <c:spPr>
              <a:pattFill prst="ltUpDiag">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12635">
                <a:solidFill>
                  <a:srgbClr val="000000"/>
                </a:solidFill>
                <a:prstDash val="solid"/>
              </a:ln>
            </c:spPr>
          </c:dPt>
          <c:dPt>
            <c:idx val="6"/>
            <c:bubble3D val="0"/>
            <c:spPr>
              <a:pattFill prst="smGrid">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12635">
                <a:solidFill>
                  <a:srgbClr val="000000"/>
                </a:solidFill>
                <a:prstDash val="solid"/>
              </a:ln>
            </c:spPr>
          </c:dPt>
          <c:dPt>
            <c:idx val="7"/>
            <c:bubble3D val="0"/>
            <c:explosion val="23"/>
            <c:spPr>
              <a:pattFill prst="plaid">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35">
                <a:solidFill>
                  <a:srgbClr val="000000"/>
                </a:solidFill>
                <a:prstDash val="solid"/>
              </a:ln>
            </c:spPr>
          </c:dPt>
          <c:dPt>
            <c:idx val="8"/>
            <c:bubble3D val="0"/>
            <c:explosion val="16"/>
            <c:spPr>
              <a:pattFill prst="weave">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35">
                <a:solidFill>
                  <a:srgbClr val="000000"/>
                </a:solidFill>
                <a:prstDash val="solid"/>
              </a:ln>
            </c:spPr>
          </c:dPt>
          <c:dPt>
            <c:idx val="9"/>
            <c:bubble3D val="0"/>
            <c:explosion val="23"/>
            <c:spPr>
              <a:pattFill prst="spher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35">
                <a:solidFill>
                  <a:srgbClr val="000000"/>
                </a:solidFill>
                <a:prstDash val="solid"/>
              </a:ln>
            </c:spPr>
          </c:dPt>
          <c:dPt>
            <c:idx val="10"/>
            <c:bubble3D val="0"/>
            <c:spPr>
              <a:solidFill>
                <a:srgbClr val="C0C0C0"/>
              </a:solidFill>
              <a:ln w="12635">
                <a:solidFill>
                  <a:srgbClr val="000000"/>
                </a:solidFill>
                <a:prstDash val="solid"/>
              </a:ln>
            </c:spPr>
          </c:dPt>
          <c:dPt>
            <c:idx val="11"/>
            <c:bubble3D val="0"/>
            <c:spPr>
              <a:solidFill>
                <a:srgbClr val="808080"/>
              </a:solidFill>
              <a:ln w="12635">
                <a:solidFill>
                  <a:srgbClr val="000000"/>
                </a:solidFill>
                <a:prstDash val="solid"/>
              </a:ln>
            </c:spPr>
          </c:dPt>
          <c:dLbls>
            <c:dLbl>
              <c:idx val="0"/>
              <c:spPr>
                <a:noFill/>
                <a:ln w="25269">
                  <a:noFill/>
                </a:ln>
              </c:spPr>
              <c:txPr>
                <a:bodyPr/>
                <a:lstStyle/>
                <a:p>
                  <a:pPr>
                    <a:defRPr sz="821" b="1" i="0" u="none" strike="noStrike" baseline="0">
                      <a:solidFill>
                        <a:srgbClr val="000000"/>
                      </a:solidFill>
                      <a:latin typeface="Arial Cyr"/>
                      <a:ea typeface="Arial Cyr"/>
                      <a:cs typeface="Arial Cy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spPr>
              <a:noFill/>
              <a:ln w="25269">
                <a:noFill/>
              </a:ln>
            </c:spPr>
            <c:txPr>
              <a:bodyPr wrap="square" lIns="38100" tIns="19050" rIns="38100" bIns="19050" anchor="ctr">
                <a:spAutoFit/>
              </a:bodyPr>
              <a:lstStyle/>
              <a:p>
                <a:pPr>
                  <a:defRPr sz="82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Sheet1!$B$1:$M$1</c:f>
              <c:strCache>
                <c:ptCount val="12"/>
                <c:pt idx="0">
                  <c:v>Болезни органов дыхания</c:v>
                </c:pt>
                <c:pt idx="1">
                  <c:v>Другие заболевания</c:v>
                </c:pt>
                <c:pt idx="2">
                  <c:v>Болезни органов пищеварения</c:v>
                </c:pt>
                <c:pt idx="3">
                  <c:v>Новообразования</c:v>
                </c:pt>
                <c:pt idx="4">
                  <c:v>Болезни костно-мышечной системы и соединительной ткани</c:v>
                </c:pt>
                <c:pt idx="5">
                  <c:v>Травмы, отравления и некоторые другие последствия воздействия внешних причин</c:v>
                </c:pt>
                <c:pt idx="6">
                  <c:v>Болезни эндокринной системы, расстройства пищеварения и нарушения обмена веществ</c:v>
                </c:pt>
                <c:pt idx="7">
                  <c:v>Болезни мочеполовой системы</c:v>
                </c:pt>
                <c:pt idx="8">
                  <c:v>Некоторые инфекционные и паразитарные заболевания</c:v>
                </c:pt>
                <c:pt idx="9">
                  <c:v>Болезни системы кровообращения</c:v>
                </c:pt>
                <c:pt idx="10">
                  <c:v>Болезни глаза и его придаточного аппарата</c:v>
                </c:pt>
                <c:pt idx="11">
                  <c:v>Болезни кожи и подкожной клетчатки</c:v>
                </c:pt>
              </c:strCache>
            </c:strRef>
          </c:cat>
          <c:val>
            <c:numRef>
              <c:f>Sheet1!$B$2:$M$2</c:f>
              <c:numCache>
                <c:formatCode>General</c:formatCode>
                <c:ptCount val="12"/>
                <c:pt idx="0">
                  <c:v>13.72</c:v>
                </c:pt>
                <c:pt idx="1">
                  <c:v>8.3000000000000007</c:v>
                </c:pt>
                <c:pt idx="2">
                  <c:v>12.8</c:v>
                </c:pt>
                <c:pt idx="3">
                  <c:v>4.62</c:v>
                </c:pt>
                <c:pt idx="4" formatCode="@">
                  <c:v>0</c:v>
                </c:pt>
                <c:pt idx="5">
                  <c:v>5.17</c:v>
                </c:pt>
                <c:pt idx="6">
                  <c:v>6.24</c:v>
                </c:pt>
                <c:pt idx="7">
                  <c:v>15.63</c:v>
                </c:pt>
                <c:pt idx="8">
                  <c:v>5.51</c:v>
                </c:pt>
                <c:pt idx="9">
                  <c:v>15.4</c:v>
                </c:pt>
                <c:pt idx="10">
                  <c:v>2.93</c:v>
                </c:pt>
                <c:pt idx="11">
                  <c:v>3.33</c:v>
                </c:pt>
              </c:numCache>
            </c:numRef>
          </c:val>
        </c:ser>
        <c:ser>
          <c:idx val="1"/>
          <c:order val="1"/>
          <c:tx>
            <c:strRef>
              <c:f>Sheet1!$A$3</c:f>
              <c:strCache>
                <c:ptCount val="1"/>
                <c:pt idx="0">
                  <c:v> </c:v>
                </c:pt>
              </c:strCache>
            </c:strRef>
          </c:tx>
          <c:spPr>
            <a:solidFill>
              <a:srgbClr val="993366"/>
            </a:solidFill>
            <a:ln w="12635">
              <a:solidFill>
                <a:srgbClr val="000000"/>
              </a:solidFill>
              <a:prstDash val="solid"/>
            </a:ln>
          </c:spPr>
          <c:explosion val="25"/>
          <c:dPt>
            <c:idx val="0"/>
            <c:bubble3D val="0"/>
            <c:spPr>
              <a:solidFill>
                <a:srgbClr val="9999FF"/>
              </a:solidFill>
              <a:ln w="12635">
                <a:solidFill>
                  <a:srgbClr val="000000"/>
                </a:solidFill>
                <a:prstDash val="solid"/>
              </a:ln>
            </c:spPr>
          </c:dPt>
          <c:dPt>
            <c:idx val="1"/>
            <c:bubble3D val="0"/>
          </c:dPt>
          <c:dPt>
            <c:idx val="2"/>
            <c:bubble3D val="0"/>
            <c:spPr>
              <a:solidFill>
                <a:srgbClr val="FFFFCC"/>
              </a:solidFill>
              <a:ln w="12635">
                <a:solidFill>
                  <a:srgbClr val="000000"/>
                </a:solidFill>
                <a:prstDash val="solid"/>
              </a:ln>
            </c:spPr>
          </c:dPt>
          <c:dPt>
            <c:idx val="3"/>
            <c:bubble3D val="0"/>
            <c:spPr>
              <a:solidFill>
                <a:srgbClr val="CCFFFF"/>
              </a:solidFill>
              <a:ln w="12635">
                <a:solidFill>
                  <a:srgbClr val="000000"/>
                </a:solidFill>
                <a:prstDash val="solid"/>
              </a:ln>
            </c:spPr>
          </c:dPt>
          <c:dPt>
            <c:idx val="4"/>
            <c:bubble3D val="0"/>
            <c:spPr>
              <a:solidFill>
                <a:srgbClr val="660066"/>
              </a:solidFill>
              <a:ln w="12635">
                <a:solidFill>
                  <a:srgbClr val="000000"/>
                </a:solidFill>
                <a:prstDash val="solid"/>
              </a:ln>
            </c:spPr>
          </c:dPt>
          <c:dPt>
            <c:idx val="5"/>
            <c:bubble3D val="0"/>
            <c:spPr>
              <a:solidFill>
                <a:srgbClr val="FF8080"/>
              </a:solidFill>
              <a:ln w="12635">
                <a:solidFill>
                  <a:srgbClr val="000000"/>
                </a:solidFill>
                <a:prstDash val="solid"/>
              </a:ln>
            </c:spPr>
          </c:dPt>
          <c:dPt>
            <c:idx val="6"/>
            <c:bubble3D val="0"/>
            <c:spPr>
              <a:solidFill>
                <a:srgbClr val="0066CC"/>
              </a:solidFill>
              <a:ln w="12635">
                <a:solidFill>
                  <a:srgbClr val="000000"/>
                </a:solidFill>
                <a:prstDash val="solid"/>
              </a:ln>
            </c:spPr>
          </c:dPt>
          <c:dPt>
            <c:idx val="7"/>
            <c:bubble3D val="0"/>
            <c:spPr>
              <a:solidFill>
                <a:srgbClr val="CCCCFF"/>
              </a:solidFill>
              <a:ln w="12635">
                <a:solidFill>
                  <a:srgbClr val="000000"/>
                </a:solidFill>
                <a:prstDash val="solid"/>
              </a:ln>
            </c:spPr>
          </c:dPt>
          <c:dPt>
            <c:idx val="8"/>
            <c:bubble3D val="0"/>
            <c:spPr>
              <a:solidFill>
                <a:srgbClr val="000080"/>
              </a:solidFill>
              <a:ln w="12635">
                <a:solidFill>
                  <a:srgbClr val="000000"/>
                </a:solidFill>
                <a:prstDash val="solid"/>
              </a:ln>
            </c:spPr>
          </c:dPt>
          <c:dPt>
            <c:idx val="9"/>
            <c:bubble3D val="0"/>
            <c:spPr>
              <a:solidFill>
                <a:srgbClr val="FF00FF"/>
              </a:solidFill>
              <a:ln w="12635">
                <a:solidFill>
                  <a:srgbClr val="000000"/>
                </a:solidFill>
                <a:prstDash val="solid"/>
              </a:ln>
            </c:spPr>
          </c:dPt>
          <c:dPt>
            <c:idx val="10"/>
            <c:bubble3D val="0"/>
            <c:spPr>
              <a:solidFill>
                <a:srgbClr val="FFFF00"/>
              </a:solidFill>
              <a:ln w="12635">
                <a:solidFill>
                  <a:srgbClr val="000000"/>
                </a:solidFill>
                <a:prstDash val="solid"/>
              </a:ln>
            </c:spPr>
          </c:dPt>
          <c:dPt>
            <c:idx val="11"/>
            <c:bubble3D val="0"/>
            <c:spPr>
              <a:solidFill>
                <a:srgbClr val="00FFFF"/>
              </a:solidFill>
              <a:ln w="12635">
                <a:solidFill>
                  <a:srgbClr val="000000"/>
                </a:solidFill>
                <a:prstDash val="solid"/>
              </a:ln>
            </c:spPr>
          </c:dPt>
          <c:dLbls>
            <c:spPr>
              <a:noFill/>
              <a:ln w="25269">
                <a:noFill/>
              </a:ln>
            </c:spPr>
            <c:txPr>
              <a:bodyPr wrap="square" lIns="38100" tIns="19050" rIns="38100" bIns="19050" anchor="ctr">
                <a:spAutoFit/>
              </a:bodyPr>
              <a:lstStyle/>
              <a:p>
                <a:pPr>
                  <a:defRPr sz="174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Sheet1!$B$1:$M$1</c:f>
              <c:strCache>
                <c:ptCount val="12"/>
                <c:pt idx="0">
                  <c:v>Болезни органов дыхания</c:v>
                </c:pt>
                <c:pt idx="1">
                  <c:v>Другие заболевания</c:v>
                </c:pt>
                <c:pt idx="2">
                  <c:v>Болезни органов пищеварения</c:v>
                </c:pt>
                <c:pt idx="3">
                  <c:v>Новообразования</c:v>
                </c:pt>
                <c:pt idx="4">
                  <c:v>Болезни костно-мышечной системы и соединительной ткани</c:v>
                </c:pt>
                <c:pt idx="5">
                  <c:v>Травмы, отравления и некоторые другие последствия воздействия внешних причин</c:v>
                </c:pt>
                <c:pt idx="6">
                  <c:v>Болезни эндокринной системы, расстройства пищеварения и нарушения обмена веществ</c:v>
                </c:pt>
                <c:pt idx="7">
                  <c:v>Болезни мочеполовой системы</c:v>
                </c:pt>
                <c:pt idx="8">
                  <c:v>Некоторые инфекционные и паразитарные заболевания</c:v>
                </c:pt>
                <c:pt idx="9">
                  <c:v>Болезни системы кровообращения</c:v>
                </c:pt>
                <c:pt idx="10">
                  <c:v>Болезни глаза и его придаточного аппарата</c:v>
                </c:pt>
                <c:pt idx="11">
                  <c:v>Болезни кожи и подкожной клетчатки</c:v>
                </c:pt>
              </c:strCache>
            </c:strRef>
          </c:cat>
          <c:val>
            <c:numRef>
              <c:f>Sheet1!$B$3:$M$3</c:f>
              <c:numCache>
                <c:formatCode>General</c:formatCode>
                <c:ptCount val="12"/>
                <c:pt idx="0">
                  <c:v>0</c:v>
                </c:pt>
                <c:pt idx="1">
                  <c:v>0</c:v>
                </c:pt>
                <c:pt idx="2">
                  <c:v>0</c:v>
                </c:pt>
                <c:pt idx="3">
                  <c:v>0</c:v>
                </c:pt>
              </c:numCache>
            </c:numRef>
          </c:val>
        </c:ser>
        <c:ser>
          <c:idx val="2"/>
          <c:order val="2"/>
          <c:tx>
            <c:strRef>
              <c:f>Sheet1!$A$4</c:f>
              <c:strCache>
                <c:ptCount val="1"/>
                <c:pt idx="0">
                  <c:v> </c:v>
                </c:pt>
              </c:strCache>
            </c:strRef>
          </c:tx>
          <c:spPr>
            <a:solidFill>
              <a:srgbClr val="FFFFCC"/>
            </a:solidFill>
            <a:ln w="12635">
              <a:solidFill>
                <a:srgbClr val="000000"/>
              </a:solidFill>
              <a:prstDash val="solid"/>
            </a:ln>
          </c:spPr>
          <c:explosion val="25"/>
          <c:dPt>
            <c:idx val="0"/>
            <c:bubble3D val="0"/>
            <c:spPr>
              <a:solidFill>
                <a:srgbClr val="9999FF"/>
              </a:solidFill>
              <a:ln w="12635">
                <a:solidFill>
                  <a:srgbClr val="000000"/>
                </a:solidFill>
                <a:prstDash val="solid"/>
              </a:ln>
            </c:spPr>
          </c:dPt>
          <c:dPt>
            <c:idx val="1"/>
            <c:bubble3D val="0"/>
            <c:spPr>
              <a:solidFill>
                <a:srgbClr val="993366"/>
              </a:solidFill>
              <a:ln w="12635">
                <a:solidFill>
                  <a:srgbClr val="000000"/>
                </a:solidFill>
                <a:prstDash val="solid"/>
              </a:ln>
            </c:spPr>
          </c:dPt>
          <c:dPt>
            <c:idx val="2"/>
            <c:bubble3D val="0"/>
          </c:dPt>
          <c:dPt>
            <c:idx val="3"/>
            <c:bubble3D val="0"/>
            <c:spPr>
              <a:solidFill>
                <a:srgbClr val="CCFFFF"/>
              </a:solidFill>
              <a:ln w="12635">
                <a:solidFill>
                  <a:srgbClr val="000000"/>
                </a:solidFill>
                <a:prstDash val="solid"/>
              </a:ln>
            </c:spPr>
          </c:dPt>
          <c:dPt>
            <c:idx val="4"/>
            <c:bubble3D val="0"/>
            <c:spPr>
              <a:solidFill>
                <a:srgbClr val="660066"/>
              </a:solidFill>
              <a:ln w="12635">
                <a:solidFill>
                  <a:srgbClr val="000000"/>
                </a:solidFill>
                <a:prstDash val="solid"/>
              </a:ln>
            </c:spPr>
          </c:dPt>
          <c:dPt>
            <c:idx val="5"/>
            <c:bubble3D val="0"/>
            <c:spPr>
              <a:solidFill>
                <a:srgbClr val="FF8080"/>
              </a:solidFill>
              <a:ln w="12635">
                <a:solidFill>
                  <a:srgbClr val="000000"/>
                </a:solidFill>
                <a:prstDash val="solid"/>
              </a:ln>
            </c:spPr>
          </c:dPt>
          <c:dPt>
            <c:idx val="6"/>
            <c:bubble3D val="0"/>
            <c:spPr>
              <a:solidFill>
                <a:srgbClr val="0066CC"/>
              </a:solidFill>
              <a:ln w="12635">
                <a:solidFill>
                  <a:srgbClr val="000000"/>
                </a:solidFill>
                <a:prstDash val="solid"/>
              </a:ln>
            </c:spPr>
          </c:dPt>
          <c:dPt>
            <c:idx val="7"/>
            <c:bubble3D val="0"/>
            <c:spPr>
              <a:solidFill>
                <a:srgbClr val="CCCCFF"/>
              </a:solidFill>
              <a:ln w="12635">
                <a:solidFill>
                  <a:srgbClr val="000000"/>
                </a:solidFill>
                <a:prstDash val="solid"/>
              </a:ln>
            </c:spPr>
          </c:dPt>
          <c:dPt>
            <c:idx val="8"/>
            <c:bubble3D val="0"/>
            <c:spPr>
              <a:solidFill>
                <a:srgbClr val="000080"/>
              </a:solidFill>
              <a:ln w="12635">
                <a:solidFill>
                  <a:srgbClr val="000000"/>
                </a:solidFill>
                <a:prstDash val="solid"/>
              </a:ln>
            </c:spPr>
          </c:dPt>
          <c:dPt>
            <c:idx val="9"/>
            <c:bubble3D val="0"/>
            <c:spPr>
              <a:solidFill>
                <a:srgbClr val="FF00FF"/>
              </a:solidFill>
              <a:ln w="12635">
                <a:solidFill>
                  <a:srgbClr val="000000"/>
                </a:solidFill>
                <a:prstDash val="solid"/>
              </a:ln>
            </c:spPr>
          </c:dPt>
          <c:dPt>
            <c:idx val="10"/>
            <c:bubble3D val="0"/>
            <c:spPr>
              <a:solidFill>
                <a:srgbClr val="FFFF00"/>
              </a:solidFill>
              <a:ln w="12635">
                <a:solidFill>
                  <a:srgbClr val="000000"/>
                </a:solidFill>
                <a:prstDash val="solid"/>
              </a:ln>
            </c:spPr>
          </c:dPt>
          <c:dPt>
            <c:idx val="11"/>
            <c:bubble3D val="0"/>
            <c:spPr>
              <a:solidFill>
                <a:srgbClr val="00FFFF"/>
              </a:solidFill>
              <a:ln w="12635">
                <a:solidFill>
                  <a:srgbClr val="000000"/>
                </a:solidFill>
                <a:prstDash val="solid"/>
              </a:ln>
            </c:spPr>
          </c:dPt>
          <c:dLbls>
            <c:spPr>
              <a:noFill/>
              <a:ln w="25269">
                <a:noFill/>
              </a:ln>
            </c:spPr>
            <c:txPr>
              <a:bodyPr wrap="square" lIns="38100" tIns="19050" rIns="38100" bIns="19050" anchor="ctr">
                <a:spAutoFit/>
              </a:bodyPr>
              <a:lstStyle/>
              <a:p>
                <a:pPr>
                  <a:defRPr sz="174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Sheet1!$B$1:$M$1</c:f>
              <c:strCache>
                <c:ptCount val="12"/>
                <c:pt idx="0">
                  <c:v>Болезни органов дыхания</c:v>
                </c:pt>
                <c:pt idx="1">
                  <c:v>Другие заболевания</c:v>
                </c:pt>
                <c:pt idx="2">
                  <c:v>Болезни органов пищеварения</c:v>
                </c:pt>
                <c:pt idx="3">
                  <c:v>Новообразования</c:v>
                </c:pt>
                <c:pt idx="4">
                  <c:v>Болезни костно-мышечной системы и соединительной ткани</c:v>
                </c:pt>
                <c:pt idx="5">
                  <c:v>Травмы, отравления и некоторые другие последствия воздействия внешних причин</c:v>
                </c:pt>
                <c:pt idx="6">
                  <c:v>Болезни эндокринной системы, расстройства пищеварения и нарушения обмена веществ</c:v>
                </c:pt>
                <c:pt idx="7">
                  <c:v>Болезни мочеполовой системы</c:v>
                </c:pt>
                <c:pt idx="8">
                  <c:v>Некоторые инфекционные и паразитарные заболевания</c:v>
                </c:pt>
                <c:pt idx="9">
                  <c:v>Болезни системы кровообращения</c:v>
                </c:pt>
                <c:pt idx="10">
                  <c:v>Болезни глаза и его придаточного аппарата</c:v>
                </c:pt>
                <c:pt idx="11">
                  <c:v>Болезни кожи и подкожной клетчатки</c:v>
                </c:pt>
              </c:strCache>
            </c:strRef>
          </c:cat>
          <c:val>
            <c:numRef>
              <c:f>Sheet1!$B$4:$M$4</c:f>
              <c:numCache>
                <c:formatCode>General</c:formatCode>
                <c:ptCount val="12"/>
                <c:pt idx="0">
                  <c:v>0</c:v>
                </c:pt>
                <c:pt idx="1">
                  <c:v>0</c:v>
                </c:pt>
                <c:pt idx="2">
                  <c:v>0</c:v>
                </c:pt>
                <c:pt idx="3">
                  <c:v>0</c:v>
                </c:pt>
              </c:numCache>
            </c:numRef>
          </c:val>
        </c:ser>
        <c:dLbls>
          <c:showLegendKey val="0"/>
          <c:showVal val="1"/>
          <c:showCatName val="0"/>
          <c:showSerName val="0"/>
          <c:showPercent val="0"/>
          <c:showBubbleSize val="0"/>
          <c:showLeaderLines val="1"/>
        </c:dLbls>
      </c:pie3DChart>
      <c:spPr>
        <a:solidFill>
          <a:srgbClr val="FFFFFF"/>
        </a:solidFill>
        <a:ln w="12635">
          <a:solidFill>
            <a:srgbClr val="FFFFFF"/>
          </a:solidFill>
          <a:prstDash val="solid"/>
        </a:ln>
      </c:spPr>
    </c:plotArea>
    <c:legend>
      <c:legendPos val="r"/>
      <c:layout>
        <c:manualLayout>
          <c:xMode val="edge"/>
          <c:yMode val="edge"/>
          <c:x val="0.10507880910683012"/>
          <c:y val="0.44510385756676557"/>
          <c:w val="0.84588441330998254"/>
          <c:h val="0.50148367952522255"/>
        </c:manualLayout>
      </c:layout>
      <c:overlay val="0"/>
      <c:spPr>
        <a:noFill/>
        <a:ln w="25269">
          <a:noFill/>
        </a:ln>
      </c:spPr>
      <c:txPr>
        <a:bodyPr/>
        <a:lstStyle/>
        <a:p>
          <a:pPr>
            <a:defRPr sz="776" b="0"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146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8.5173501577287064E-2"/>
          <c:y val="0.19111969111969113"/>
          <c:w val="0.74290220820189279"/>
          <c:h val="0.361003861003861"/>
        </c:manualLayout>
      </c:layout>
      <c:pie3DChart>
        <c:varyColors val="1"/>
        <c:ser>
          <c:idx val="3"/>
          <c:order val="0"/>
          <c:tx>
            <c:strRef>
              <c:f>Sheet1!$A$2</c:f>
              <c:strCache>
                <c:ptCount val="1"/>
              </c:strCache>
            </c:strRef>
          </c:tx>
          <c:spPr>
            <a:solidFill>
              <a:srgbClr val="CCFFFF"/>
            </a:solidFill>
            <a:ln w="12690">
              <a:solidFill>
                <a:srgbClr val="000000"/>
              </a:solidFill>
              <a:prstDash val="solid"/>
            </a:ln>
          </c:spPr>
          <c:explosion val="9"/>
          <c:dPt>
            <c:idx val="0"/>
            <c:bubble3D val="0"/>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0">
                <a:solidFill>
                  <a:srgbClr val="000000"/>
                </a:solidFill>
                <a:prstDash val="solid"/>
              </a:ln>
            </c:spPr>
          </c:dPt>
          <c:dPt>
            <c:idx val="1"/>
            <c:bubble3D val="0"/>
            <c:spPr>
              <a:pattFill prst="solid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0">
                <a:solidFill>
                  <a:srgbClr val="000000"/>
                </a:solidFill>
                <a:prstDash val="solid"/>
              </a:ln>
            </c:spPr>
          </c:dPt>
          <c:dPt>
            <c:idx val="2"/>
            <c:bubble3D val="0"/>
            <c:spPr>
              <a:pattFill prst="zigZ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0">
                <a:solidFill>
                  <a:srgbClr val="000000"/>
                </a:solidFill>
                <a:prstDash val="solid"/>
              </a:ln>
            </c:spPr>
          </c:dPt>
          <c:dPt>
            <c:idx val="3"/>
            <c:bubble3D val="0"/>
            <c:spPr>
              <a:pattFill prst="dash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0">
                <a:solidFill>
                  <a:srgbClr val="000000"/>
                </a:solidFill>
                <a:prstDash val="solid"/>
              </a:ln>
            </c:spPr>
          </c:dPt>
          <c:dPt>
            <c:idx val="4"/>
            <c:bubble3D val="0"/>
            <c:spPr>
              <a:pattFill prst="spher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0">
                <a:solidFill>
                  <a:srgbClr val="000000"/>
                </a:solidFill>
                <a:prstDash val="solid"/>
              </a:ln>
            </c:spPr>
          </c:dPt>
          <c:dPt>
            <c:idx val="5"/>
            <c:bubble3D val="0"/>
            <c:spPr>
              <a:pattFill prst="horzBri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0">
                <a:solidFill>
                  <a:srgbClr val="000000"/>
                </a:solidFill>
                <a:prstDash val="solid"/>
              </a:ln>
            </c:spPr>
          </c:dPt>
          <c:dPt>
            <c:idx val="6"/>
            <c:bubble3D val="0"/>
            <c:spPr>
              <a:pattFill prst="nar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0">
                <a:solidFill>
                  <a:srgbClr val="000000"/>
                </a:solidFill>
                <a:prstDash val="solid"/>
              </a:ln>
            </c:spPr>
          </c:dPt>
          <c:dPt>
            <c:idx val="7"/>
            <c:bubble3D val="0"/>
            <c:spPr>
              <a:pattFill prst="weav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0">
                <a:solidFill>
                  <a:srgbClr val="000000"/>
                </a:solidFill>
                <a:prstDash val="solid"/>
              </a:ln>
            </c:spPr>
          </c:dPt>
          <c:dPt>
            <c:idx val="8"/>
            <c:bubble3D val="0"/>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0">
                <a:solidFill>
                  <a:srgbClr val="000000"/>
                </a:solidFill>
                <a:prstDash val="solid"/>
              </a:ln>
            </c:spPr>
          </c:dPt>
          <c:dPt>
            <c:idx val="9"/>
            <c:bubble3D val="0"/>
            <c:spPr>
              <a:pattFill prst="pct8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0">
                <a:solidFill>
                  <a:srgbClr val="000000"/>
                </a:solidFill>
                <a:prstDash val="solid"/>
              </a:ln>
            </c:spPr>
          </c:dPt>
          <c:dPt>
            <c:idx val="10"/>
            <c:bubble3D val="0"/>
            <c:spPr>
              <a:pattFill prst="pct2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0">
                <a:solidFill>
                  <a:srgbClr val="000000"/>
                </a:solidFill>
                <a:prstDash val="solid"/>
              </a:ln>
            </c:spPr>
          </c:dPt>
          <c:dPt>
            <c:idx val="11"/>
            <c:bubble3D val="0"/>
            <c:spPr>
              <a:pattFill prst="sm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0">
                <a:solidFill>
                  <a:srgbClr val="000000"/>
                </a:solidFill>
                <a:prstDash val="solid"/>
              </a:ln>
            </c:spPr>
          </c:dPt>
          <c:dPt>
            <c:idx val="12"/>
            <c:bubble3D val="0"/>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0">
                <a:solidFill>
                  <a:srgbClr val="000000"/>
                </a:solidFill>
                <a:prstDash val="solid"/>
              </a:ln>
            </c:spPr>
          </c:dPt>
          <c:dLbls>
            <c:dLbl>
              <c:idx val="0"/>
              <c:layout>
                <c:manualLayout>
                  <c:x val="-1.0544058998522843E-2"/>
                  <c:y val="-3.0917335361766551E-2"/>
                </c:manualLayout>
              </c:layout>
              <c:spPr>
                <a:noFill/>
                <a:ln w="25381">
                  <a:noFill/>
                </a:ln>
              </c:spPr>
              <c:txPr>
                <a:bodyPr/>
                <a:lstStyle/>
                <a:p>
                  <a:pPr>
                    <a:defRPr sz="999" b="0" i="0" u="none" strike="noStrike" baseline="0">
                      <a:solidFill>
                        <a:srgbClr val="000000"/>
                      </a:solidFill>
                      <a:latin typeface="Times New Roman"/>
                      <a:ea typeface="Times New Roman"/>
                      <a:cs typeface="Times New Roman"/>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3.6419874891857607E-4"/>
                  <c:y val="-2.9223924463696899E-2"/>
                </c:manualLayout>
              </c:layout>
              <c:spPr>
                <a:noFill/>
                <a:ln w="25381">
                  <a:noFill/>
                </a:ln>
              </c:spPr>
              <c:txPr>
                <a:bodyPr/>
                <a:lstStyle/>
                <a:p>
                  <a:pPr>
                    <a:defRPr sz="999" b="0" i="0" u="none" strike="noStrike" baseline="0">
                      <a:solidFill>
                        <a:srgbClr val="000000"/>
                      </a:solidFill>
                      <a:latin typeface="Times New Roman"/>
                      <a:ea typeface="Times New Roman"/>
                      <a:cs typeface="Times New Roman"/>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11"/>
              <c:layout>
                <c:manualLayout>
                  <c:x val="-4.9657417497068757E-3"/>
                  <c:y val="-2.5125829570260744E-2"/>
                </c:manualLayout>
              </c:layout>
              <c:spPr>
                <a:noFill/>
                <a:ln w="25381">
                  <a:noFill/>
                </a:ln>
              </c:spPr>
              <c:txPr>
                <a:bodyPr/>
                <a:lstStyle/>
                <a:p>
                  <a:pPr>
                    <a:defRPr sz="999" b="0" i="0" u="none" strike="noStrike" baseline="0">
                      <a:solidFill>
                        <a:srgbClr val="000000"/>
                      </a:solidFill>
                      <a:latin typeface="Times New Roman"/>
                      <a:ea typeface="Times New Roman"/>
                      <a:cs typeface="Times New Roman"/>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spPr>
              <a:noFill/>
              <a:ln w="25381">
                <a:noFill/>
              </a:ln>
            </c:spPr>
            <c:txPr>
              <a:bodyPr wrap="square" lIns="38100" tIns="19050" rIns="38100" bIns="19050" anchor="ctr">
                <a:spAutoFit/>
              </a:bodyPr>
              <a:lstStyle/>
              <a:p>
                <a:pPr>
                  <a:defRPr sz="9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Sheet1!$B$1:$N$1</c:f>
              <c:strCache>
                <c:ptCount val="12"/>
                <c:pt idx="0">
                  <c:v>Некоторые инфекционные и паразитарные заболевания</c:v>
                </c:pt>
                <c:pt idx="1">
                  <c:v>болезни  глаза и  придаточного аппарата</c:v>
                </c:pt>
                <c:pt idx="2">
                  <c:v>болезни  кожи  и  подкожнойклетчатки</c:v>
                </c:pt>
                <c:pt idx="3">
                  <c:v>новообразования</c:v>
                </c:pt>
                <c:pt idx="4">
                  <c:v>Травмы, отравления и  др.внешние  воздействия</c:v>
                </c:pt>
                <c:pt idx="5">
                  <c:v>Болезни костно-мыш. системы</c:v>
                </c:pt>
                <c:pt idx="6">
                  <c:v>Болезни мочепол системы</c:v>
                </c:pt>
                <c:pt idx="7">
                  <c:v>болезни органов пищеварения</c:v>
                </c:pt>
                <c:pt idx="8">
                  <c:v>болезни  системы  кровообращения</c:v>
                </c:pt>
                <c:pt idx="9">
                  <c:v>Болезни эндокринной системы </c:v>
                </c:pt>
                <c:pt idx="10">
                  <c:v>Болезни органов  дыхания</c:v>
                </c:pt>
                <c:pt idx="11">
                  <c:v>Болезни нервной системы</c:v>
                </c:pt>
              </c:strCache>
            </c:strRef>
          </c:cat>
          <c:val>
            <c:numRef>
              <c:f>Sheet1!$B$2:$N$2</c:f>
              <c:numCache>
                <c:formatCode>General</c:formatCode>
                <c:ptCount val="13"/>
                <c:pt idx="0">
                  <c:v>2.8</c:v>
                </c:pt>
                <c:pt idx="1">
                  <c:v>0.6</c:v>
                </c:pt>
                <c:pt idx="2">
                  <c:v>1.8</c:v>
                </c:pt>
                <c:pt idx="3">
                  <c:v>2.4</c:v>
                </c:pt>
                <c:pt idx="4">
                  <c:v>5.5</c:v>
                </c:pt>
                <c:pt idx="5">
                  <c:v>20</c:v>
                </c:pt>
                <c:pt idx="6">
                  <c:v>5.0999999999999996</c:v>
                </c:pt>
                <c:pt idx="7">
                  <c:v>4</c:v>
                </c:pt>
                <c:pt idx="8">
                  <c:v>6.1</c:v>
                </c:pt>
                <c:pt idx="10">
                  <c:v>43</c:v>
                </c:pt>
                <c:pt idx="12">
                  <c:v>0.45</c:v>
                </c:pt>
              </c:numCache>
            </c:numRef>
          </c:val>
        </c:ser>
        <c:ser>
          <c:idx val="4"/>
          <c:order val="1"/>
          <c:tx>
            <c:strRef>
              <c:f>Sheet1!$A$3</c:f>
              <c:strCache>
                <c:ptCount val="1"/>
              </c:strCache>
            </c:strRef>
          </c:tx>
          <c:spPr>
            <a:solidFill>
              <a:srgbClr val="660066"/>
            </a:solidFill>
            <a:ln w="12690">
              <a:solidFill>
                <a:srgbClr val="000000"/>
              </a:solidFill>
              <a:prstDash val="solid"/>
            </a:ln>
          </c:spPr>
          <c:explosion val="9"/>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dPt>
          <c:dPt>
            <c:idx val="5"/>
            <c:bubble3D val="0"/>
            <c:spPr>
              <a:solidFill>
                <a:srgbClr val="FF8080"/>
              </a:solidFill>
              <a:ln w="12690">
                <a:solidFill>
                  <a:srgbClr val="000000"/>
                </a:solidFill>
                <a:prstDash val="solid"/>
              </a:ln>
            </c:spPr>
          </c:dPt>
          <c:dPt>
            <c:idx val="6"/>
            <c:bubble3D val="0"/>
            <c:spPr>
              <a:solidFill>
                <a:srgbClr val="0066CC"/>
              </a:solidFill>
              <a:ln w="12690">
                <a:solidFill>
                  <a:srgbClr val="000000"/>
                </a:solidFill>
                <a:prstDash val="solid"/>
              </a:ln>
            </c:spPr>
          </c:dPt>
          <c:dPt>
            <c:idx val="7"/>
            <c:bubble3D val="0"/>
            <c:spPr>
              <a:solidFill>
                <a:srgbClr val="CCCCFF"/>
              </a:solidFill>
              <a:ln w="12690">
                <a:solidFill>
                  <a:srgbClr val="000000"/>
                </a:solidFill>
                <a:prstDash val="solid"/>
              </a:ln>
            </c:spPr>
          </c:dPt>
          <c:dPt>
            <c:idx val="8"/>
            <c:bubble3D val="0"/>
            <c:spPr>
              <a:solidFill>
                <a:srgbClr val="000080"/>
              </a:solidFill>
              <a:ln w="12690">
                <a:solidFill>
                  <a:srgbClr val="000000"/>
                </a:solidFill>
                <a:prstDash val="solid"/>
              </a:ln>
            </c:spPr>
          </c:dPt>
          <c:dPt>
            <c:idx val="9"/>
            <c:bubble3D val="0"/>
            <c:spPr>
              <a:solidFill>
                <a:srgbClr val="FF00FF"/>
              </a:solidFill>
              <a:ln w="12690">
                <a:solidFill>
                  <a:srgbClr val="000000"/>
                </a:solidFill>
                <a:prstDash val="solid"/>
              </a:ln>
            </c:spPr>
          </c:dPt>
          <c:dPt>
            <c:idx val="10"/>
            <c:bubble3D val="0"/>
            <c:spPr>
              <a:solidFill>
                <a:srgbClr val="FFFF00"/>
              </a:solidFill>
              <a:ln w="12690">
                <a:solidFill>
                  <a:srgbClr val="000000"/>
                </a:solidFill>
                <a:prstDash val="solid"/>
              </a:ln>
            </c:spPr>
          </c:dPt>
          <c:dPt>
            <c:idx val="11"/>
            <c:bubble3D val="0"/>
            <c:spPr>
              <a:solidFill>
                <a:srgbClr val="00FFFF"/>
              </a:solidFill>
              <a:ln w="12690">
                <a:solidFill>
                  <a:srgbClr val="000000"/>
                </a:solidFill>
                <a:prstDash val="solid"/>
              </a:ln>
            </c:spPr>
          </c:dPt>
          <c:dPt>
            <c:idx val="12"/>
            <c:bubble3D val="0"/>
            <c:spPr>
              <a:solidFill>
                <a:srgbClr val="800080"/>
              </a:solidFill>
              <a:ln w="12690">
                <a:solidFill>
                  <a:srgbClr val="000000"/>
                </a:solidFill>
                <a:prstDash val="solid"/>
              </a:ln>
            </c:spPr>
          </c:dPt>
          <c:dLbls>
            <c:spPr>
              <a:noFill/>
              <a:ln w="25381">
                <a:noFill/>
              </a:ln>
            </c:spPr>
            <c:txPr>
              <a:bodyPr wrap="square" lIns="38100" tIns="19050" rIns="38100" bIns="19050" anchor="ctr">
                <a:spAutoFit/>
              </a:bodyPr>
              <a:lstStyle/>
              <a:p>
                <a:pPr>
                  <a:defRPr sz="11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Sheet1!$B$1:$N$1</c:f>
              <c:strCache>
                <c:ptCount val="12"/>
                <c:pt idx="0">
                  <c:v>Некоторые инфекционные и паразитарные заболевания</c:v>
                </c:pt>
                <c:pt idx="1">
                  <c:v>болезни  глаза и  придаточного аппарата</c:v>
                </c:pt>
                <c:pt idx="2">
                  <c:v>болезни  кожи  и  подкожнойклетчатки</c:v>
                </c:pt>
                <c:pt idx="3">
                  <c:v>новообразования</c:v>
                </c:pt>
                <c:pt idx="4">
                  <c:v>Травмы, отравления и  др.внешние  воздействия</c:v>
                </c:pt>
                <c:pt idx="5">
                  <c:v>Болезни костно-мыш. системы</c:v>
                </c:pt>
                <c:pt idx="6">
                  <c:v>Болезни мочепол системы</c:v>
                </c:pt>
                <c:pt idx="7">
                  <c:v>болезни органов пищеварения</c:v>
                </c:pt>
                <c:pt idx="8">
                  <c:v>болезни  системы  кровообращения</c:v>
                </c:pt>
                <c:pt idx="9">
                  <c:v>Болезни эндокринной системы </c:v>
                </c:pt>
                <c:pt idx="10">
                  <c:v>Болезни органов  дыхания</c:v>
                </c:pt>
                <c:pt idx="11">
                  <c:v>Болезни нервной системы</c:v>
                </c:pt>
              </c:strCache>
            </c:strRef>
          </c:cat>
          <c:val>
            <c:numRef>
              <c:f>Sheet1!$B$3:$N$3</c:f>
              <c:numCache>
                <c:formatCode>General</c:formatCode>
                <c:ptCount val="13"/>
              </c:numCache>
            </c:numRef>
          </c:val>
        </c:ser>
        <c:ser>
          <c:idx val="5"/>
          <c:order val="2"/>
          <c:tx>
            <c:strRef>
              <c:f>Sheet1!$A$4</c:f>
              <c:strCache>
                <c:ptCount val="1"/>
              </c:strCache>
            </c:strRef>
          </c:tx>
          <c:spPr>
            <a:solidFill>
              <a:srgbClr val="FF8080"/>
            </a:solidFill>
            <a:ln w="12690">
              <a:solidFill>
                <a:srgbClr val="000000"/>
              </a:solidFill>
              <a:prstDash val="solid"/>
            </a:ln>
          </c:spPr>
          <c:explosion val="9"/>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dPt>
          <c:dPt>
            <c:idx val="6"/>
            <c:bubble3D val="0"/>
            <c:spPr>
              <a:solidFill>
                <a:srgbClr val="0066CC"/>
              </a:solidFill>
              <a:ln w="12690">
                <a:solidFill>
                  <a:srgbClr val="000000"/>
                </a:solidFill>
                <a:prstDash val="solid"/>
              </a:ln>
            </c:spPr>
          </c:dPt>
          <c:dPt>
            <c:idx val="7"/>
            <c:bubble3D val="0"/>
            <c:spPr>
              <a:solidFill>
                <a:srgbClr val="CCCCFF"/>
              </a:solidFill>
              <a:ln w="12690">
                <a:solidFill>
                  <a:srgbClr val="000000"/>
                </a:solidFill>
                <a:prstDash val="solid"/>
              </a:ln>
            </c:spPr>
          </c:dPt>
          <c:dPt>
            <c:idx val="8"/>
            <c:bubble3D val="0"/>
            <c:spPr>
              <a:solidFill>
                <a:srgbClr val="000080"/>
              </a:solidFill>
              <a:ln w="12690">
                <a:solidFill>
                  <a:srgbClr val="000000"/>
                </a:solidFill>
                <a:prstDash val="solid"/>
              </a:ln>
            </c:spPr>
          </c:dPt>
          <c:dPt>
            <c:idx val="9"/>
            <c:bubble3D val="0"/>
            <c:spPr>
              <a:solidFill>
                <a:srgbClr val="FF00FF"/>
              </a:solidFill>
              <a:ln w="12690">
                <a:solidFill>
                  <a:srgbClr val="000000"/>
                </a:solidFill>
                <a:prstDash val="solid"/>
              </a:ln>
            </c:spPr>
          </c:dPt>
          <c:dPt>
            <c:idx val="10"/>
            <c:bubble3D val="0"/>
            <c:spPr>
              <a:solidFill>
                <a:srgbClr val="FFFF00"/>
              </a:solidFill>
              <a:ln w="12690">
                <a:solidFill>
                  <a:srgbClr val="000000"/>
                </a:solidFill>
                <a:prstDash val="solid"/>
              </a:ln>
            </c:spPr>
          </c:dPt>
          <c:dPt>
            <c:idx val="11"/>
            <c:bubble3D val="0"/>
            <c:spPr>
              <a:solidFill>
                <a:srgbClr val="00FFFF"/>
              </a:solidFill>
              <a:ln w="12690">
                <a:solidFill>
                  <a:srgbClr val="000000"/>
                </a:solidFill>
                <a:prstDash val="solid"/>
              </a:ln>
            </c:spPr>
          </c:dPt>
          <c:dPt>
            <c:idx val="12"/>
            <c:bubble3D val="0"/>
            <c:spPr>
              <a:solidFill>
                <a:srgbClr val="800080"/>
              </a:solidFill>
              <a:ln w="12690">
                <a:solidFill>
                  <a:srgbClr val="000000"/>
                </a:solidFill>
                <a:prstDash val="solid"/>
              </a:ln>
            </c:spPr>
          </c:dPt>
          <c:dLbls>
            <c:spPr>
              <a:noFill/>
              <a:ln w="25381">
                <a:noFill/>
              </a:ln>
            </c:spPr>
            <c:txPr>
              <a:bodyPr wrap="square" lIns="38100" tIns="19050" rIns="38100" bIns="19050" anchor="ctr">
                <a:spAutoFit/>
              </a:bodyPr>
              <a:lstStyle/>
              <a:p>
                <a:pPr>
                  <a:defRPr sz="11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Sheet1!$B$1:$N$1</c:f>
              <c:strCache>
                <c:ptCount val="12"/>
                <c:pt idx="0">
                  <c:v>Некоторые инфекционные и паразитарные заболевания</c:v>
                </c:pt>
                <c:pt idx="1">
                  <c:v>болезни  глаза и  придаточного аппарата</c:v>
                </c:pt>
                <c:pt idx="2">
                  <c:v>болезни  кожи  и  подкожнойклетчатки</c:v>
                </c:pt>
                <c:pt idx="3">
                  <c:v>новообразования</c:v>
                </c:pt>
                <c:pt idx="4">
                  <c:v>Травмы, отравления и  др.внешние  воздействия</c:v>
                </c:pt>
                <c:pt idx="5">
                  <c:v>Болезни костно-мыш. системы</c:v>
                </c:pt>
                <c:pt idx="6">
                  <c:v>Болезни мочепол системы</c:v>
                </c:pt>
                <c:pt idx="7">
                  <c:v>болезни органов пищеварения</c:v>
                </c:pt>
                <c:pt idx="8">
                  <c:v>болезни  системы  кровообращения</c:v>
                </c:pt>
                <c:pt idx="9">
                  <c:v>Болезни эндокринной системы </c:v>
                </c:pt>
                <c:pt idx="10">
                  <c:v>Болезни органов  дыхания</c:v>
                </c:pt>
                <c:pt idx="11">
                  <c:v>Болезни нервной системы</c:v>
                </c:pt>
              </c:strCache>
            </c:strRef>
          </c:cat>
          <c:val>
            <c:numRef>
              <c:f>Sheet1!$B$4:$N$4</c:f>
              <c:numCache>
                <c:formatCode>General</c:formatCode>
                <c:ptCount val="13"/>
              </c:numCache>
            </c:numRef>
          </c:val>
        </c:ser>
        <c:ser>
          <c:idx val="6"/>
          <c:order val="3"/>
          <c:tx>
            <c:strRef>
              <c:f>Sheet1!$A$5</c:f>
              <c:strCache>
                <c:ptCount val="1"/>
              </c:strCache>
            </c:strRef>
          </c:tx>
          <c:spPr>
            <a:solidFill>
              <a:srgbClr val="0066CC"/>
            </a:solidFill>
            <a:ln w="12690">
              <a:solidFill>
                <a:srgbClr val="000000"/>
              </a:solidFill>
              <a:prstDash val="solid"/>
            </a:ln>
          </c:spPr>
          <c:explosion val="9"/>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dPt>
            <c:idx val="6"/>
            <c:bubble3D val="0"/>
          </c:dPt>
          <c:dPt>
            <c:idx val="7"/>
            <c:bubble3D val="0"/>
            <c:spPr>
              <a:solidFill>
                <a:srgbClr val="CCCCFF"/>
              </a:solidFill>
              <a:ln w="12690">
                <a:solidFill>
                  <a:srgbClr val="000000"/>
                </a:solidFill>
                <a:prstDash val="solid"/>
              </a:ln>
            </c:spPr>
          </c:dPt>
          <c:dPt>
            <c:idx val="8"/>
            <c:bubble3D val="0"/>
            <c:spPr>
              <a:solidFill>
                <a:srgbClr val="000080"/>
              </a:solidFill>
              <a:ln w="12690">
                <a:solidFill>
                  <a:srgbClr val="000000"/>
                </a:solidFill>
                <a:prstDash val="solid"/>
              </a:ln>
            </c:spPr>
          </c:dPt>
          <c:dPt>
            <c:idx val="9"/>
            <c:bubble3D val="0"/>
            <c:spPr>
              <a:solidFill>
                <a:srgbClr val="FF00FF"/>
              </a:solidFill>
              <a:ln w="12690">
                <a:solidFill>
                  <a:srgbClr val="000000"/>
                </a:solidFill>
                <a:prstDash val="solid"/>
              </a:ln>
            </c:spPr>
          </c:dPt>
          <c:dPt>
            <c:idx val="10"/>
            <c:bubble3D val="0"/>
            <c:spPr>
              <a:solidFill>
                <a:srgbClr val="FFFF00"/>
              </a:solidFill>
              <a:ln w="12690">
                <a:solidFill>
                  <a:srgbClr val="000000"/>
                </a:solidFill>
                <a:prstDash val="solid"/>
              </a:ln>
            </c:spPr>
          </c:dPt>
          <c:dPt>
            <c:idx val="11"/>
            <c:bubble3D val="0"/>
            <c:spPr>
              <a:solidFill>
                <a:srgbClr val="00FFFF"/>
              </a:solidFill>
              <a:ln w="12690">
                <a:solidFill>
                  <a:srgbClr val="000000"/>
                </a:solidFill>
                <a:prstDash val="solid"/>
              </a:ln>
            </c:spPr>
          </c:dPt>
          <c:dPt>
            <c:idx val="12"/>
            <c:bubble3D val="0"/>
            <c:spPr>
              <a:solidFill>
                <a:srgbClr val="800080"/>
              </a:solidFill>
              <a:ln w="12690">
                <a:solidFill>
                  <a:srgbClr val="000000"/>
                </a:solidFill>
                <a:prstDash val="solid"/>
              </a:ln>
            </c:spPr>
          </c:dPt>
          <c:dLbls>
            <c:spPr>
              <a:noFill/>
              <a:ln w="25381">
                <a:noFill/>
              </a:ln>
            </c:spPr>
            <c:txPr>
              <a:bodyPr wrap="square" lIns="38100" tIns="19050" rIns="38100" bIns="19050" anchor="ctr">
                <a:spAutoFit/>
              </a:bodyPr>
              <a:lstStyle/>
              <a:p>
                <a:pPr>
                  <a:defRPr sz="11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Sheet1!$B$1:$N$1</c:f>
              <c:strCache>
                <c:ptCount val="12"/>
                <c:pt idx="0">
                  <c:v>Некоторые инфекционные и паразитарные заболевания</c:v>
                </c:pt>
                <c:pt idx="1">
                  <c:v>болезни  глаза и  придаточного аппарата</c:v>
                </c:pt>
                <c:pt idx="2">
                  <c:v>болезни  кожи  и  подкожнойклетчатки</c:v>
                </c:pt>
                <c:pt idx="3">
                  <c:v>новообразования</c:v>
                </c:pt>
                <c:pt idx="4">
                  <c:v>Травмы, отравления и  др.внешние  воздействия</c:v>
                </c:pt>
                <c:pt idx="5">
                  <c:v>Болезни костно-мыш. системы</c:v>
                </c:pt>
                <c:pt idx="6">
                  <c:v>Болезни мочепол системы</c:v>
                </c:pt>
                <c:pt idx="7">
                  <c:v>болезни органов пищеварения</c:v>
                </c:pt>
                <c:pt idx="8">
                  <c:v>болезни  системы  кровообращения</c:v>
                </c:pt>
                <c:pt idx="9">
                  <c:v>Болезни эндокринной системы </c:v>
                </c:pt>
                <c:pt idx="10">
                  <c:v>Болезни органов  дыхания</c:v>
                </c:pt>
                <c:pt idx="11">
                  <c:v>Болезни нервной системы</c:v>
                </c:pt>
              </c:strCache>
            </c:strRef>
          </c:cat>
          <c:val>
            <c:numRef>
              <c:f>Sheet1!$B$5:$N$5</c:f>
              <c:numCache>
                <c:formatCode>General</c:formatCode>
                <c:ptCount val="13"/>
              </c:numCache>
            </c:numRef>
          </c:val>
        </c:ser>
        <c:ser>
          <c:idx val="7"/>
          <c:order val="4"/>
          <c:tx>
            <c:strRef>
              <c:f>Sheet1!$A$6</c:f>
              <c:strCache>
                <c:ptCount val="1"/>
              </c:strCache>
            </c:strRef>
          </c:tx>
          <c:spPr>
            <a:solidFill>
              <a:srgbClr val="CCCCFF"/>
            </a:solidFill>
            <a:ln w="12690">
              <a:solidFill>
                <a:srgbClr val="000000"/>
              </a:solidFill>
              <a:prstDash val="solid"/>
            </a:ln>
          </c:spPr>
          <c:explosion val="9"/>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dPt>
            <c:idx val="6"/>
            <c:bubble3D val="0"/>
            <c:spPr>
              <a:solidFill>
                <a:srgbClr val="0066CC"/>
              </a:solidFill>
              <a:ln w="12690">
                <a:solidFill>
                  <a:srgbClr val="000000"/>
                </a:solidFill>
                <a:prstDash val="solid"/>
              </a:ln>
            </c:spPr>
          </c:dPt>
          <c:dPt>
            <c:idx val="7"/>
            <c:bubble3D val="0"/>
          </c:dPt>
          <c:dPt>
            <c:idx val="8"/>
            <c:bubble3D val="0"/>
            <c:spPr>
              <a:solidFill>
                <a:srgbClr val="000080"/>
              </a:solidFill>
              <a:ln w="12690">
                <a:solidFill>
                  <a:srgbClr val="000000"/>
                </a:solidFill>
                <a:prstDash val="solid"/>
              </a:ln>
            </c:spPr>
          </c:dPt>
          <c:dPt>
            <c:idx val="9"/>
            <c:bubble3D val="0"/>
            <c:spPr>
              <a:solidFill>
                <a:srgbClr val="FF00FF"/>
              </a:solidFill>
              <a:ln w="12690">
                <a:solidFill>
                  <a:srgbClr val="000000"/>
                </a:solidFill>
                <a:prstDash val="solid"/>
              </a:ln>
            </c:spPr>
          </c:dPt>
          <c:dPt>
            <c:idx val="10"/>
            <c:bubble3D val="0"/>
            <c:spPr>
              <a:solidFill>
                <a:srgbClr val="FFFF00"/>
              </a:solidFill>
              <a:ln w="12690">
                <a:solidFill>
                  <a:srgbClr val="000000"/>
                </a:solidFill>
                <a:prstDash val="solid"/>
              </a:ln>
            </c:spPr>
          </c:dPt>
          <c:dPt>
            <c:idx val="11"/>
            <c:bubble3D val="0"/>
            <c:spPr>
              <a:solidFill>
                <a:srgbClr val="00FFFF"/>
              </a:solidFill>
              <a:ln w="12690">
                <a:solidFill>
                  <a:srgbClr val="000000"/>
                </a:solidFill>
                <a:prstDash val="solid"/>
              </a:ln>
            </c:spPr>
          </c:dPt>
          <c:dPt>
            <c:idx val="12"/>
            <c:bubble3D val="0"/>
            <c:spPr>
              <a:solidFill>
                <a:srgbClr val="800080"/>
              </a:solidFill>
              <a:ln w="12690">
                <a:solidFill>
                  <a:srgbClr val="000000"/>
                </a:solidFill>
                <a:prstDash val="solid"/>
              </a:ln>
            </c:spPr>
          </c:dPt>
          <c:dLbls>
            <c:spPr>
              <a:noFill/>
              <a:ln w="25381">
                <a:noFill/>
              </a:ln>
            </c:spPr>
            <c:txPr>
              <a:bodyPr wrap="square" lIns="38100" tIns="19050" rIns="38100" bIns="19050" anchor="ctr">
                <a:spAutoFit/>
              </a:bodyPr>
              <a:lstStyle/>
              <a:p>
                <a:pPr>
                  <a:defRPr sz="11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Sheet1!$B$1:$N$1</c:f>
              <c:strCache>
                <c:ptCount val="12"/>
                <c:pt idx="0">
                  <c:v>Некоторые инфекционные и паразитарные заболевания</c:v>
                </c:pt>
                <c:pt idx="1">
                  <c:v>болезни  глаза и  придаточного аппарата</c:v>
                </c:pt>
                <c:pt idx="2">
                  <c:v>болезни  кожи  и  подкожнойклетчатки</c:v>
                </c:pt>
                <c:pt idx="3">
                  <c:v>новообразования</c:v>
                </c:pt>
                <c:pt idx="4">
                  <c:v>Травмы, отравления и  др.внешние  воздействия</c:v>
                </c:pt>
                <c:pt idx="5">
                  <c:v>Болезни костно-мыш. системы</c:v>
                </c:pt>
                <c:pt idx="6">
                  <c:v>Болезни мочепол системы</c:v>
                </c:pt>
                <c:pt idx="7">
                  <c:v>болезни органов пищеварения</c:v>
                </c:pt>
                <c:pt idx="8">
                  <c:v>болезни  системы  кровообращения</c:v>
                </c:pt>
                <c:pt idx="9">
                  <c:v>Болезни эндокринной системы </c:v>
                </c:pt>
                <c:pt idx="10">
                  <c:v>Болезни органов  дыхания</c:v>
                </c:pt>
                <c:pt idx="11">
                  <c:v>Болезни нервной системы</c:v>
                </c:pt>
              </c:strCache>
            </c:strRef>
          </c:cat>
          <c:val>
            <c:numRef>
              <c:f>Sheet1!$B$6:$N$6</c:f>
              <c:numCache>
                <c:formatCode>General</c:formatCode>
                <c:ptCount val="13"/>
              </c:numCache>
            </c:numRef>
          </c:val>
        </c:ser>
        <c:ser>
          <c:idx val="8"/>
          <c:order val="5"/>
          <c:tx>
            <c:strRef>
              <c:f>Sheet1!$A$7</c:f>
              <c:strCache>
                <c:ptCount val="1"/>
              </c:strCache>
            </c:strRef>
          </c:tx>
          <c:spPr>
            <a:solidFill>
              <a:srgbClr val="000080"/>
            </a:solidFill>
            <a:ln w="12690">
              <a:solidFill>
                <a:srgbClr val="000000"/>
              </a:solidFill>
              <a:prstDash val="solid"/>
            </a:ln>
          </c:spPr>
          <c:explosion val="9"/>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dPt>
            <c:idx val="6"/>
            <c:bubble3D val="0"/>
            <c:spPr>
              <a:solidFill>
                <a:srgbClr val="0066CC"/>
              </a:solidFill>
              <a:ln w="12690">
                <a:solidFill>
                  <a:srgbClr val="000000"/>
                </a:solidFill>
                <a:prstDash val="solid"/>
              </a:ln>
            </c:spPr>
          </c:dPt>
          <c:dPt>
            <c:idx val="7"/>
            <c:bubble3D val="0"/>
            <c:spPr>
              <a:solidFill>
                <a:srgbClr val="CCCCFF"/>
              </a:solidFill>
              <a:ln w="12690">
                <a:solidFill>
                  <a:srgbClr val="000000"/>
                </a:solidFill>
                <a:prstDash val="solid"/>
              </a:ln>
            </c:spPr>
          </c:dPt>
          <c:dPt>
            <c:idx val="8"/>
            <c:bubble3D val="0"/>
          </c:dPt>
          <c:dPt>
            <c:idx val="9"/>
            <c:bubble3D val="0"/>
            <c:spPr>
              <a:solidFill>
                <a:srgbClr val="FF00FF"/>
              </a:solidFill>
              <a:ln w="12690">
                <a:solidFill>
                  <a:srgbClr val="000000"/>
                </a:solidFill>
                <a:prstDash val="solid"/>
              </a:ln>
            </c:spPr>
          </c:dPt>
          <c:dPt>
            <c:idx val="10"/>
            <c:bubble3D val="0"/>
            <c:spPr>
              <a:solidFill>
                <a:srgbClr val="FFFF00"/>
              </a:solidFill>
              <a:ln w="12690">
                <a:solidFill>
                  <a:srgbClr val="000000"/>
                </a:solidFill>
                <a:prstDash val="solid"/>
              </a:ln>
            </c:spPr>
          </c:dPt>
          <c:dPt>
            <c:idx val="11"/>
            <c:bubble3D val="0"/>
            <c:spPr>
              <a:solidFill>
                <a:srgbClr val="00FFFF"/>
              </a:solidFill>
              <a:ln w="12690">
                <a:solidFill>
                  <a:srgbClr val="000000"/>
                </a:solidFill>
                <a:prstDash val="solid"/>
              </a:ln>
            </c:spPr>
          </c:dPt>
          <c:dPt>
            <c:idx val="12"/>
            <c:bubble3D val="0"/>
            <c:spPr>
              <a:solidFill>
                <a:srgbClr val="800080"/>
              </a:solidFill>
              <a:ln w="12690">
                <a:solidFill>
                  <a:srgbClr val="000000"/>
                </a:solidFill>
                <a:prstDash val="solid"/>
              </a:ln>
            </c:spPr>
          </c:dPt>
          <c:dLbls>
            <c:spPr>
              <a:noFill/>
              <a:ln w="25381">
                <a:noFill/>
              </a:ln>
            </c:spPr>
            <c:txPr>
              <a:bodyPr wrap="square" lIns="38100" tIns="19050" rIns="38100" bIns="19050" anchor="ctr">
                <a:spAutoFit/>
              </a:bodyPr>
              <a:lstStyle/>
              <a:p>
                <a:pPr>
                  <a:defRPr sz="11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Sheet1!$B$1:$N$1</c:f>
              <c:strCache>
                <c:ptCount val="12"/>
                <c:pt idx="0">
                  <c:v>Некоторые инфекционные и паразитарные заболевания</c:v>
                </c:pt>
                <c:pt idx="1">
                  <c:v>болезни  глаза и  придаточного аппарата</c:v>
                </c:pt>
                <c:pt idx="2">
                  <c:v>болезни  кожи  и  подкожнойклетчатки</c:v>
                </c:pt>
                <c:pt idx="3">
                  <c:v>новообразования</c:v>
                </c:pt>
                <c:pt idx="4">
                  <c:v>Травмы, отравления и  др.внешние  воздействия</c:v>
                </c:pt>
                <c:pt idx="5">
                  <c:v>Болезни костно-мыш. системы</c:v>
                </c:pt>
                <c:pt idx="6">
                  <c:v>Болезни мочепол системы</c:v>
                </c:pt>
                <c:pt idx="7">
                  <c:v>болезни органов пищеварения</c:v>
                </c:pt>
                <c:pt idx="8">
                  <c:v>болезни  системы  кровообращения</c:v>
                </c:pt>
                <c:pt idx="9">
                  <c:v>Болезни эндокринной системы </c:v>
                </c:pt>
                <c:pt idx="10">
                  <c:v>Болезни органов  дыхания</c:v>
                </c:pt>
                <c:pt idx="11">
                  <c:v>Болезни нервной системы</c:v>
                </c:pt>
              </c:strCache>
            </c:strRef>
          </c:cat>
          <c:val>
            <c:numRef>
              <c:f>Sheet1!$B$7:$N$7</c:f>
              <c:numCache>
                <c:formatCode>General</c:formatCode>
                <c:ptCount val="13"/>
              </c:numCache>
            </c:numRef>
          </c:val>
        </c:ser>
        <c:ser>
          <c:idx val="9"/>
          <c:order val="6"/>
          <c:tx>
            <c:strRef>
              <c:f>Sheet1!$A$8</c:f>
              <c:strCache>
                <c:ptCount val="1"/>
              </c:strCache>
            </c:strRef>
          </c:tx>
          <c:spPr>
            <a:solidFill>
              <a:srgbClr val="FF00FF"/>
            </a:solidFill>
            <a:ln w="12690">
              <a:solidFill>
                <a:srgbClr val="000000"/>
              </a:solidFill>
              <a:prstDash val="solid"/>
            </a:ln>
          </c:spPr>
          <c:explosion val="9"/>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dPt>
            <c:idx val="6"/>
            <c:bubble3D val="0"/>
            <c:spPr>
              <a:solidFill>
                <a:srgbClr val="0066CC"/>
              </a:solidFill>
              <a:ln w="12690">
                <a:solidFill>
                  <a:srgbClr val="000000"/>
                </a:solidFill>
                <a:prstDash val="solid"/>
              </a:ln>
            </c:spPr>
          </c:dPt>
          <c:dPt>
            <c:idx val="7"/>
            <c:bubble3D val="0"/>
            <c:spPr>
              <a:solidFill>
                <a:srgbClr val="CCCCFF"/>
              </a:solidFill>
              <a:ln w="12690">
                <a:solidFill>
                  <a:srgbClr val="000000"/>
                </a:solidFill>
                <a:prstDash val="solid"/>
              </a:ln>
            </c:spPr>
          </c:dPt>
          <c:dPt>
            <c:idx val="8"/>
            <c:bubble3D val="0"/>
            <c:spPr>
              <a:solidFill>
                <a:srgbClr val="000080"/>
              </a:solidFill>
              <a:ln w="12690">
                <a:solidFill>
                  <a:srgbClr val="000000"/>
                </a:solidFill>
                <a:prstDash val="solid"/>
              </a:ln>
            </c:spPr>
          </c:dPt>
          <c:dPt>
            <c:idx val="9"/>
            <c:bubble3D val="0"/>
          </c:dPt>
          <c:dPt>
            <c:idx val="10"/>
            <c:bubble3D val="0"/>
            <c:spPr>
              <a:solidFill>
                <a:srgbClr val="FFFF00"/>
              </a:solidFill>
              <a:ln w="12690">
                <a:solidFill>
                  <a:srgbClr val="000000"/>
                </a:solidFill>
                <a:prstDash val="solid"/>
              </a:ln>
            </c:spPr>
          </c:dPt>
          <c:dPt>
            <c:idx val="11"/>
            <c:bubble3D val="0"/>
            <c:spPr>
              <a:solidFill>
                <a:srgbClr val="00FFFF"/>
              </a:solidFill>
              <a:ln w="12690">
                <a:solidFill>
                  <a:srgbClr val="000000"/>
                </a:solidFill>
                <a:prstDash val="solid"/>
              </a:ln>
            </c:spPr>
          </c:dPt>
          <c:dPt>
            <c:idx val="12"/>
            <c:bubble3D val="0"/>
            <c:spPr>
              <a:solidFill>
                <a:srgbClr val="800080"/>
              </a:solidFill>
              <a:ln w="12690">
                <a:solidFill>
                  <a:srgbClr val="000000"/>
                </a:solidFill>
                <a:prstDash val="solid"/>
              </a:ln>
            </c:spPr>
          </c:dPt>
          <c:dLbls>
            <c:spPr>
              <a:noFill/>
              <a:ln w="25381">
                <a:noFill/>
              </a:ln>
            </c:spPr>
            <c:txPr>
              <a:bodyPr wrap="square" lIns="38100" tIns="19050" rIns="38100" bIns="19050" anchor="ctr">
                <a:spAutoFit/>
              </a:bodyPr>
              <a:lstStyle/>
              <a:p>
                <a:pPr>
                  <a:defRPr sz="11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Sheet1!$B$1:$N$1</c:f>
              <c:strCache>
                <c:ptCount val="12"/>
                <c:pt idx="0">
                  <c:v>Некоторые инфекционные и паразитарные заболевания</c:v>
                </c:pt>
                <c:pt idx="1">
                  <c:v>болезни  глаза и  придаточного аппарата</c:v>
                </c:pt>
                <c:pt idx="2">
                  <c:v>болезни  кожи  и  подкожнойклетчатки</c:v>
                </c:pt>
                <c:pt idx="3">
                  <c:v>новообразования</c:v>
                </c:pt>
                <c:pt idx="4">
                  <c:v>Травмы, отравления и  др.внешние  воздействия</c:v>
                </c:pt>
                <c:pt idx="5">
                  <c:v>Болезни костно-мыш. системы</c:v>
                </c:pt>
                <c:pt idx="6">
                  <c:v>Болезни мочепол системы</c:v>
                </c:pt>
                <c:pt idx="7">
                  <c:v>болезни органов пищеварения</c:v>
                </c:pt>
                <c:pt idx="8">
                  <c:v>болезни  системы  кровообращения</c:v>
                </c:pt>
                <c:pt idx="9">
                  <c:v>Болезни эндокринной системы </c:v>
                </c:pt>
                <c:pt idx="10">
                  <c:v>Болезни органов  дыхания</c:v>
                </c:pt>
                <c:pt idx="11">
                  <c:v>Болезни нервной системы</c:v>
                </c:pt>
              </c:strCache>
            </c:strRef>
          </c:cat>
          <c:val>
            <c:numRef>
              <c:f>Sheet1!$B$8:$N$8</c:f>
              <c:numCache>
                <c:formatCode>General</c:formatCode>
                <c:ptCount val="13"/>
              </c:numCache>
            </c:numRef>
          </c:val>
        </c:ser>
        <c:ser>
          <c:idx val="10"/>
          <c:order val="7"/>
          <c:tx>
            <c:strRef>
              <c:f>Sheet1!$A$9</c:f>
              <c:strCache>
                <c:ptCount val="1"/>
              </c:strCache>
            </c:strRef>
          </c:tx>
          <c:spPr>
            <a:solidFill>
              <a:srgbClr val="FFFF00"/>
            </a:solidFill>
            <a:ln w="12690">
              <a:solidFill>
                <a:srgbClr val="000000"/>
              </a:solidFill>
              <a:prstDash val="solid"/>
            </a:ln>
          </c:spPr>
          <c:explosion val="9"/>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dPt>
            <c:idx val="6"/>
            <c:bubble3D val="0"/>
            <c:spPr>
              <a:solidFill>
                <a:srgbClr val="0066CC"/>
              </a:solidFill>
              <a:ln w="12690">
                <a:solidFill>
                  <a:srgbClr val="000000"/>
                </a:solidFill>
                <a:prstDash val="solid"/>
              </a:ln>
            </c:spPr>
          </c:dPt>
          <c:dPt>
            <c:idx val="7"/>
            <c:bubble3D val="0"/>
            <c:spPr>
              <a:solidFill>
                <a:srgbClr val="CCCCFF"/>
              </a:solidFill>
              <a:ln w="12690">
                <a:solidFill>
                  <a:srgbClr val="000000"/>
                </a:solidFill>
                <a:prstDash val="solid"/>
              </a:ln>
            </c:spPr>
          </c:dPt>
          <c:dPt>
            <c:idx val="8"/>
            <c:bubble3D val="0"/>
            <c:spPr>
              <a:solidFill>
                <a:srgbClr val="000080"/>
              </a:solidFill>
              <a:ln w="12690">
                <a:solidFill>
                  <a:srgbClr val="000000"/>
                </a:solidFill>
                <a:prstDash val="solid"/>
              </a:ln>
            </c:spPr>
          </c:dPt>
          <c:dPt>
            <c:idx val="9"/>
            <c:bubble3D val="0"/>
            <c:spPr>
              <a:solidFill>
                <a:srgbClr val="FF00FF"/>
              </a:solidFill>
              <a:ln w="12690">
                <a:solidFill>
                  <a:srgbClr val="000000"/>
                </a:solidFill>
                <a:prstDash val="solid"/>
              </a:ln>
            </c:spPr>
          </c:dPt>
          <c:dPt>
            <c:idx val="10"/>
            <c:bubble3D val="0"/>
          </c:dPt>
          <c:dPt>
            <c:idx val="11"/>
            <c:bubble3D val="0"/>
            <c:spPr>
              <a:solidFill>
                <a:srgbClr val="00FFFF"/>
              </a:solidFill>
              <a:ln w="12690">
                <a:solidFill>
                  <a:srgbClr val="000000"/>
                </a:solidFill>
                <a:prstDash val="solid"/>
              </a:ln>
            </c:spPr>
          </c:dPt>
          <c:dPt>
            <c:idx val="12"/>
            <c:bubble3D val="0"/>
            <c:spPr>
              <a:solidFill>
                <a:srgbClr val="800080"/>
              </a:solidFill>
              <a:ln w="12690">
                <a:solidFill>
                  <a:srgbClr val="000000"/>
                </a:solidFill>
                <a:prstDash val="solid"/>
              </a:ln>
            </c:spPr>
          </c:dPt>
          <c:dLbls>
            <c:spPr>
              <a:noFill/>
              <a:ln w="25381">
                <a:noFill/>
              </a:ln>
            </c:spPr>
            <c:txPr>
              <a:bodyPr wrap="square" lIns="38100" tIns="19050" rIns="38100" bIns="19050" anchor="ctr">
                <a:spAutoFit/>
              </a:bodyPr>
              <a:lstStyle/>
              <a:p>
                <a:pPr>
                  <a:defRPr sz="11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Sheet1!$B$1:$N$1</c:f>
              <c:strCache>
                <c:ptCount val="12"/>
                <c:pt idx="0">
                  <c:v>Некоторые инфекционные и паразитарные заболевания</c:v>
                </c:pt>
                <c:pt idx="1">
                  <c:v>болезни  глаза и  придаточного аппарата</c:v>
                </c:pt>
                <c:pt idx="2">
                  <c:v>болезни  кожи  и  подкожнойклетчатки</c:v>
                </c:pt>
                <c:pt idx="3">
                  <c:v>новообразования</c:v>
                </c:pt>
                <c:pt idx="4">
                  <c:v>Травмы, отравления и  др.внешние  воздействия</c:v>
                </c:pt>
                <c:pt idx="5">
                  <c:v>Болезни костно-мыш. системы</c:v>
                </c:pt>
                <c:pt idx="6">
                  <c:v>Болезни мочепол системы</c:v>
                </c:pt>
                <c:pt idx="7">
                  <c:v>болезни органов пищеварения</c:v>
                </c:pt>
                <c:pt idx="8">
                  <c:v>болезни  системы  кровообращения</c:v>
                </c:pt>
                <c:pt idx="9">
                  <c:v>Болезни эндокринной системы </c:v>
                </c:pt>
                <c:pt idx="10">
                  <c:v>Болезни органов  дыхания</c:v>
                </c:pt>
                <c:pt idx="11">
                  <c:v>Болезни нервной системы</c:v>
                </c:pt>
              </c:strCache>
            </c:strRef>
          </c:cat>
          <c:val>
            <c:numRef>
              <c:f>Sheet1!$B$9:$N$9</c:f>
              <c:numCache>
                <c:formatCode>General</c:formatCode>
                <c:ptCount val="13"/>
              </c:numCache>
            </c:numRef>
          </c:val>
        </c:ser>
        <c:ser>
          <c:idx val="11"/>
          <c:order val="8"/>
          <c:tx>
            <c:strRef>
              <c:f>Sheet1!$A$10</c:f>
              <c:strCache>
                <c:ptCount val="1"/>
              </c:strCache>
            </c:strRef>
          </c:tx>
          <c:spPr>
            <a:solidFill>
              <a:srgbClr val="00FFFF"/>
            </a:solidFill>
            <a:ln w="12690">
              <a:solidFill>
                <a:srgbClr val="000000"/>
              </a:solidFill>
              <a:prstDash val="solid"/>
            </a:ln>
          </c:spPr>
          <c:explosion val="9"/>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dPt>
            <c:idx val="6"/>
            <c:bubble3D val="0"/>
            <c:spPr>
              <a:solidFill>
                <a:srgbClr val="0066CC"/>
              </a:solidFill>
              <a:ln w="12690">
                <a:solidFill>
                  <a:srgbClr val="000000"/>
                </a:solidFill>
                <a:prstDash val="solid"/>
              </a:ln>
            </c:spPr>
          </c:dPt>
          <c:dPt>
            <c:idx val="7"/>
            <c:bubble3D val="0"/>
            <c:spPr>
              <a:solidFill>
                <a:srgbClr val="CCCCFF"/>
              </a:solidFill>
              <a:ln w="12690">
                <a:solidFill>
                  <a:srgbClr val="000000"/>
                </a:solidFill>
                <a:prstDash val="solid"/>
              </a:ln>
            </c:spPr>
          </c:dPt>
          <c:dPt>
            <c:idx val="8"/>
            <c:bubble3D val="0"/>
            <c:spPr>
              <a:solidFill>
                <a:srgbClr val="000080"/>
              </a:solidFill>
              <a:ln w="12690">
                <a:solidFill>
                  <a:srgbClr val="000000"/>
                </a:solidFill>
                <a:prstDash val="solid"/>
              </a:ln>
            </c:spPr>
          </c:dPt>
          <c:dPt>
            <c:idx val="9"/>
            <c:bubble3D val="0"/>
            <c:spPr>
              <a:solidFill>
                <a:srgbClr val="FF00FF"/>
              </a:solidFill>
              <a:ln w="12690">
                <a:solidFill>
                  <a:srgbClr val="000000"/>
                </a:solidFill>
                <a:prstDash val="solid"/>
              </a:ln>
            </c:spPr>
          </c:dPt>
          <c:dPt>
            <c:idx val="10"/>
            <c:bubble3D val="0"/>
            <c:spPr>
              <a:solidFill>
                <a:srgbClr val="FFFF00"/>
              </a:solidFill>
              <a:ln w="12690">
                <a:solidFill>
                  <a:srgbClr val="000000"/>
                </a:solidFill>
                <a:prstDash val="solid"/>
              </a:ln>
            </c:spPr>
          </c:dPt>
          <c:dPt>
            <c:idx val="11"/>
            <c:bubble3D val="0"/>
          </c:dPt>
          <c:dPt>
            <c:idx val="12"/>
            <c:bubble3D val="0"/>
            <c:spPr>
              <a:solidFill>
                <a:srgbClr val="800080"/>
              </a:solidFill>
              <a:ln w="12690">
                <a:solidFill>
                  <a:srgbClr val="000000"/>
                </a:solidFill>
                <a:prstDash val="solid"/>
              </a:ln>
            </c:spPr>
          </c:dPt>
          <c:dLbls>
            <c:spPr>
              <a:noFill/>
              <a:ln w="25381">
                <a:noFill/>
              </a:ln>
            </c:spPr>
            <c:txPr>
              <a:bodyPr wrap="square" lIns="38100" tIns="19050" rIns="38100" bIns="19050" anchor="ctr">
                <a:spAutoFit/>
              </a:bodyPr>
              <a:lstStyle/>
              <a:p>
                <a:pPr>
                  <a:defRPr sz="11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Sheet1!$B$1:$N$1</c:f>
              <c:strCache>
                <c:ptCount val="12"/>
                <c:pt idx="0">
                  <c:v>Некоторые инфекционные и паразитарные заболевания</c:v>
                </c:pt>
                <c:pt idx="1">
                  <c:v>болезни  глаза и  придаточного аппарата</c:v>
                </c:pt>
                <c:pt idx="2">
                  <c:v>болезни  кожи  и  подкожнойклетчатки</c:v>
                </c:pt>
                <c:pt idx="3">
                  <c:v>новообразования</c:v>
                </c:pt>
                <c:pt idx="4">
                  <c:v>Травмы, отравления и  др.внешние  воздействия</c:v>
                </c:pt>
                <c:pt idx="5">
                  <c:v>Болезни костно-мыш. системы</c:v>
                </c:pt>
                <c:pt idx="6">
                  <c:v>Болезни мочепол системы</c:v>
                </c:pt>
                <c:pt idx="7">
                  <c:v>болезни органов пищеварения</c:v>
                </c:pt>
                <c:pt idx="8">
                  <c:v>болезни  системы  кровообращения</c:v>
                </c:pt>
                <c:pt idx="9">
                  <c:v>Болезни эндокринной системы </c:v>
                </c:pt>
                <c:pt idx="10">
                  <c:v>Болезни органов  дыхания</c:v>
                </c:pt>
                <c:pt idx="11">
                  <c:v>Болезни нервной системы</c:v>
                </c:pt>
              </c:strCache>
            </c:strRef>
          </c:cat>
          <c:val>
            <c:numRef>
              <c:f>Sheet1!$B$10:$N$10</c:f>
              <c:numCache>
                <c:formatCode>General</c:formatCode>
                <c:ptCount val="13"/>
              </c:numCache>
            </c:numRef>
          </c:val>
        </c:ser>
        <c:ser>
          <c:idx val="12"/>
          <c:order val="9"/>
          <c:tx>
            <c:strRef>
              <c:f>Sheet1!$A$11</c:f>
              <c:strCache>
                <c:ptCount val="1"/>
              </c:strCache>
            </c:strRef>
          </c:tx>
          <c:spPr>
            <a:solidFill>
              <a:srgbClr val="800080"/>
            </a:solidFill>
            <a:ln w="12690">
              <a:solidFill>
                <a:srgbClr val="000000"/>
              </a:solidFill>
              <a:prstDash val="solid"/>
            </a:ln>
          </c:spPr>
          <c:explosion val="9"/>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dPt>
            <c:idx val="6"/>
            <c:bubble3D val="0"/>
            <c:spPr>
              <a:solidFill>
                <a:srgbClr val="0066CC"/>
              </a:solidFill>
              <a:ln w="12690">
                <a:solidFill>
                  <a:srgbClr val="000000"/>
                </a:solidFill>
                <a:prstDash val="solid"/>
              </a:ln>
            </c:spPr>
          </c:dPt>
          <c:dPt>
            <c:idx val="7"/>
            <c:bubble3D val="0"/>
            <c:spPr>
              <a:solidFill>
                <a:srgbClr val="CCCCFF"/>
              </a:solidFill>
              <a:ln w="12690">
                <a:solidFill>
                  <a:srgbClr val="000000"/>
                </a:solidFill>
                <a:prstDash val="solid"/>
              </a:ln>
            </c:spPr>
          </c:dPt>
          <c:dPt>
            <c:idx val="8"/>
            <c:bubble3D val="0"/>
            <c:spPr>
              <a:solidFill>
                <a:srgbClr val="000080"/>
              </a:solidFill>
              <a:ln w="12690">
                <a:solidFill>
                  <a:srgbClr val="000000"/>
                </a:solidFill>
                <a:prstDash val="solid"/>
              </a:ln>
            </c:spPr>
          </c:dPt>
          <c:dPt>
            <c:idx val="9"/>
            <c:bubble3D val="0"/>
            <c:spPr>
              <a:solidFill>
                <a:srgbClr val="FF00FF"/>
              </a:solidFill>
              <a:ln w="12690">
                <a:solidFill>
                  <a:srgbClr val="000000"/>
                </a:solidFill>
                <a:prstDash val="solid"/>
              </a:ln>
            </c:spPr>
          </c:dPt>
          <c:dPt>
            <c:idx val="10"/>
            <c:bubble3D val="0"/>
            <c:spPr>
              <a:solidFill>
                <a:srgbClr val="FFFF00"/>
              </a:solidFill>
              <a:ln w="12690">
                <a:solidFill>
                  <a:srgbClr val="000000"/>
                </a:solidFill>
                <a:prstDash val="solid"/>
              </a:ln>
            </c:spPr>
          </c:dPt>
          <c:dPt>
            <c:idx val="11"/>
            <c:bubble3D val="0"/>
            <c:spPr>
              <a:solidFill>
                <a:srgbClr val="00FFFF"/>
              </a:solidFill>
              <a:ln w="12690">
                <a:solidFill>
                  <a:srgbClr val="000000"/>
                </a:solidFill>
                <a:prstDash val="solid"/>
              </a:ln>
            </c:spPr>
          </c:dPt>
          <c:dPt>
            <c:idx val="12"/>
            <c:bubble3D val="0"/>
          </c:dPt>
          <c:dLbls>
            <c:spPr>
              <a:noFill/>
              <a:ln w="25381">
                <a:noFill/>
              </a:ln>
            </c:spPr>
            <c:txPr>
              <a:bodyPr wrap="square" lIns="38100" tIns="19050" rIns="38100" bIns="19050" anchor="ctr">
                <a:spAutoFit/>
              </a:bodyPr>
              <a:lstStyle/>
              <a:p>
                <a:pPr>
                  <a:defRPr sz="11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Sheet1!$B$1:$N$1</c:f>
              <c:strCache>
                <c:ptCount val="12"/>
                <c:pt idx="0">
                  <c:v>Некоторые инфекционные и паразитарные заболевания</c:v>
                </c:pt>
                <c:pt idx="1">
                  <c:v>болезни  глаза и  придаточного аппарата</c:v>
                </c:pt>
                <c:pt idx="2">
                  <c:v>болезни  кожи  и  подкожнойклетчатки</c:v>
                </c:pt>
                <c:pt idx="3">
                  <c:v>новообразования</c:v>
                </c:pt>
                <c:pt idx="4">
                  <c:v>Травмы, отравления и  др.внешние  воздействия</c:v>
                </c:pt>
                <c:pt idx="5">
                  <c:v>Болезни костно-мыш. системы</c:v>
                </c:pt>
                <c:pt idx="6">
                  <c:v>Болезни мочепол системы</c:v>
                </c:pt>
                <c:pt idx="7">
                  <c:v>болезни органов пищеварения</c:v>
                </c:pt>
                <c:pt idx="8">
                  <c:v>болезни  системы  кровообращения</c:v>
                </c:pt>
                <c:pt idx="9">
                  <c:v>Болезни эндокринной системы </c:v>
                </c:pt>
                <c:pt idx="10">
                  <c:v>Болезни органов  дыхания</c:v>
                </c:pt>
                <c:pt idx="11">
                  <c:v>Болезни нервной системы</c:v>
                </c:pt>
              </c:strCache>
            </c:strRef>
          </c:cat>
          <c:val>
            <c:numRef>
              <c:f>Sheet1!$B$11:$N$11</c:f>
              <c:numCache>
                <c:formatCode>General</c:formatCode>
                <c:ptCount val="13"/>
              </c:numCache>
            </c:numRef>
          </c:val>
        </c:ser>
        <c:ser>
          <c:idx val="13"/>
          <c:order val="10"/>
          <c:tx>
            <c:strRef>
              <c:f>Sheet1!$A$12</c:f>
              <c:strCache>
                <c:ptCount val="1"/>
              </c:strCache>
            </c:strRef>
          </c:tx>
          <c:spPr>
            <a:solidFill>
              <a:srgbClr val="800000"/>
            </a:solidFill>
            <a:ln w="12690">
              <a:solidFill>
                <a:srgbClr val="000000"/>
              </a:solidFill>
              <a:prstDash val="solid"/>
            </a:ln>
          </c:spPr>
          <c:explosion val="9"/>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dPt>
            <c:idx val="6"/>
            <c:bubble3D val="0"/>
            <c:spPr>
              <a:solidFill>
                <a:srgbClr val="0066CC"/>
              </a:solidFill>
              <a:ln w="12690">
                <a:solidFill>
                  <a:srgbClr val="000000"/>
                </a:solidFill>
                <a:prstDash val="solid"/>
              </a:ln>
            </c:spPr>
          </c:dPt>
          <c:dPt>
            <c:idx val="7"/>
            <c:bubble3D val="0"/>
            <c:spPr>
              <a:solidFill>
                <a:srgbClr val="CCCCFF"/>
              </a:solidFill>
              <a:ln w="12690">
                <a:solidFill>
                  <a:srgbClr val="000000"/>
                </a:solidFill>
                <a:prstDash val="solid"/>
              </a:ln>
            </c:spPr>
          </c:dPt>
          <c:dPt>
            <c:idx val="8"/>
            <c:bubble3D val="0"/>
            <c:spPr>
              <a:solidFill>
                <a:srgbClr val="000080"/>
              </a:solidFill>
              <a:ln w="12690">
                <a:solidFill>
                  <a:srgbClr val="000000"/>
                </a:solidFill>
                <a:prstDash val="solid"/>
              </a:ln>
            </c:spPr>
          </c:dPt>
          <c:dPt>
            <c:idx val="9"/>
            <c:bubble3D val="0"/>
            <c:spPr>
              <a:solidFill>
                <a:srgbClr val="FF00FF"/>
              </a:solidFill>
              <a:ln w="12690">
                <a:solidFill>
                  <a:srgbClr val="000000"/>
                </a:solidFill>
                <a:prstDash val="solid"/>
              </a:ln>
            </c:spPr>
          </c:dPt>
          <c:dPt>
            <c:idx val="10"/>
            <c:bubble3D val="0"/>
            <c:spPr>
              <a:solidFill>
                <a:srgbClr val="FFFF00"/>
              </a:solidFill>
              <a:ln w="12690">
                <a:solidFill>
                  <a:srgbClr val="000000"/>
                </a:solidFill>
                <a:prstDash val="solid"/>
              </a:ln>
            </c:spPr>
          </c:dPt>
          <c:dPt>
            <c:idx val="11"/>
            <c:bubble3D val="0"/>
            <c:spPr>
              <a:solidFill>
                <a:srgbClr val="00FFFF"/>
              </a:solidFill>
              <a:ln w="12690">
                <a:solidFill>
                  <a:srgbClr val="000000"/>
                </a:solidFill>
                <a:prstDash val="solid"/>
              </a:ln>
            </c:spPr>
          </c:dPt>
          <c:dPt>
            <c:idx val="12"/>
            <c:bubble3D val="0"/>
            <c:spPr>
              <a:solidFill>
                <a:srgbClr val="800080"/>
              </a:solidFill>
              <a:ln w="12690">
                <a:solidFill>
                  <a:srgbClr val="000000"/>
                </a:solidFill>
                <a:prstDash val="solid"/>
              </a:ln>
            </c:spPr>
          </c:dPt>
          <c:dLbls>
            <c:spPr>
              <a:noFill/>
              <a:ln w="25381">
                <a:noFill/>
              </a:ln>
            </c:spPr>
            <c:txPr>
              <a:bodyPr wrap="square" lIns="38100" tIns="19050" rIns="38100" bIns="19050" anchor="ctr">
                <a:spAutoFit/>
              </a:bodyPr>
              <a:lstStyle/>
              <a:p>
                <a:pPr>
                  <a:defRPr sz="11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Sheet1!$B$1:$N$1</c:f>
              <c:strCache>
                <c:ptCount val="12"/>
                <c:pt idx="0">
                  <c:v>Некоторые инфекционные и паразитарные заболевания</c:v>
                </c:pt>
                <c:pt idx="1">
                  <c:v>болезни  глаза и  придаточного аппарата</c:v>
                </c:pt>
                <c:pt idx="2">
                  <c:v>болезни  кожи  и  подкожнойклетчатки</c:v>
                </c:pt>
                <c:pt idx="3">
                  <c:v>новообразования</c:v>
                </c:pt>
                <c:pt idx="4">
                  <c:v>Травмы, отравления и  др.внешние  воздействия</c:v>
                </c:pt>
                <c:pt idx="5">
                  <c:v>Болезни костно-мыш. системы</c:v>
                </c:pt>
                <c:pt idx="6">
                  <c:v>Болезни мочепол системы</c:v>
                </c:pt>
                <c:pt idx="7">
                  <c:v>болезни органов пищеварения</c:v>
                </c:pt>
                <c:pt idx="8">
                  <c:v>болезни  системы  кровообращения</c:v>
                </c:pt>
                <c:pt idx="9">
                  <c:v>Болезни эндокринной системы </c:v>
                </c:pt>
                <c:pt idx="10">
                  <c:v>Болезни органов  дыхания</c:v>
                </c:pt>
                <c:pt idx="11">
                  <c:v>Болезни нервной системы</c:v>
                </c:pt>
              </c:strCache>
            </c:strRef>
          </c:cat>
          <c:val>
            <c:numRef>
              <c:f>Sheet1!$B$12:$N$12</c:f>
              <c:numCache>
                <c:formatCode>General</c:formatCode>
                <c:ptCount val="13"/>
              </c:numCache>
            </c:numRef>
          </c:val>
        </c:ser>
        <c:ser>
          <c:idx val="14"/>
          <c:order val="11"/>
          <c:tx>
            <c:strRef>
              <c:f>Sheet1!$A$13</c:f>
              <c:strCache>
                <c:ptCount val="1"/>
              </c:strCache>
            </c:strRef>
          </c:tx>
          <c:spPr>
            <a:solidFill>
              <a:srgbClr val="008080"/>
            </a:solidFill>
            <a:ln w="12690">
              <a:solidFill>
                <a:srgbClr val="000000"/>
              </a:solidFill>
              <a:prstDash val="solid"/>
            </a:ln>
          </c:spPr>
          <c:explosion val="9"/>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dPt>
            <c:idx val="6"/>
            <c:bubble3D val="0"/>
            <c:spPr>
              <a:solidFill>
                <a:srgbClr val="0066CC"/>
              </a:solidFill>
              <a:ln w="12690">
                <a:solidFill>
                  <a:srgbClr val="000000"/>
                </a:solidFill>
                <a:prstDash val="solid"/>
              </a:ln>
            </c:spPr>
          </c:dPt>
          <c:dPt>
            <c:idx val="7"/>
            <c:bubble3D val="0"/>
            <c:spPr>
              <a:solidFill>
                <a:srgbClr val="CCCCFF"/>
              </a:solidFill>
              <a:ln w="12690">
                <a:solidFill>
                  <a:srgbClr val="000000"/>
                </a:solidFill>
                <a:prstDash val="solid"/>
              </a:ln>
            </c:spPr>
          </c:dPt>
          <c:dPt>
            <c:idx val="8"/>
            <c:bubble3D val="0"/>
            <c:spPr>
              <a:solidFill>
                <a:srgbClr val="000080"/>
              </a:solidFill>
              <a:ln w="12690">
                <a:solidFill>
                  <a:srgbClr val="000000"/>
                </a:solidFill>
                <a:prstDash val="solid"/>
              </a:ln>
            </c:spPr>
          </c:dPt>
          <c:dPt>
            <c:idx val="9"/>
            <c:bubble3D val="0"/>
            <c:spPr>
              <a:solidFill>
                <a:srgbClr val="FF00FF"/>
              </a:solidFill>
              <a:ln w="12690">
                <a:solidFill>
                  <a:srgbClr val="000000"/>
                </a:solidFill>
                <a:prstDash val="solid"/>
              </a:ln>
            </c:spPr>
          </c:dPt>
          <c:dPt>
            <c:idx val="10"/>
            <c:bubble3D val="0"/>
            <c:spPr>
              <a:solidFill>
                <a:srgbClr val="FFFF00"/>
              </a:solidFill>
              <a:ln w="12690">
                <a:solidFill>
                  <a:srgbClr val="000000"/>
                </a:solidFill>
                <a:prstDash val="solid"/>
              </a:ln>
            </c:spPr>
          </c:dPt>
          <c:dPt>
            <c:idx val="11"/>
            <c:bubble3D val="0"/>
            <c:spPr>
              <a:solidFill>
                <a:srgbClr val="00FFFF"/>
              </a:solidFill>
              <a:ln w="12690">
                <a:solidFill>
                  <a:srgbClr val="000000"/>
                </a:solidFill>
                <a:prstDash val="solid"/>
              </a:ln>
            </c:spPr>
          </c:dPt>
          <c:dPt>
            <c:idx val="12"/>
            <c:bubble3D val="0"/>
            <c:spPr>
              <a:solidFill>
                <a:srgbClr val="800080"/>
              </a:solidFill>
              <a:ln w="12690">
                <a:solidFill>
                  <a:srgbClr val="000000"/>
                </a:solidFill>
                <a:prstDash val="solid"/>
              </a:ln>
            </c:spPr>
          </c:dPt>
          <c:dLbls>
            <c:spPr>
              <a:noFill/>
              <a:ln w="25381">
                <a:noFill/>
              </a:ln>
            </c:spPr>
            <c:txPr>
              <a:bodyPr wrap="square" lIns="38100" tIns="19050" rIns="38100" bIns="19050" anchor="ctr">
                <a:spAutoFit/>
              </a:bodyPr>
              <a:lstStyle/>
              <a:p>
                <a:pPr>
                  <a:defRPr sz="11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Sheet1!$B$1:$N$1</c:f>
              <c:strCache>
                <c:ptCount val="12"/>
                <c:pt idx="0">
                  <c:v>Некоторые инфекционные и паразитарные заболевания</c:v>
                </c:pt>
                <c:pt idx="1">
                  <c:v>болезни  глаза и  придаточного аппарата</c:v>
                </c:pt>
                <c:pt idx="2">
                  <c:v>болезни  кожи  и  подкожнойклетчатки</c:v>
                </c:pt>
                <c:pt idx="3">
                  <c:v>новообразования</c:v>
                </c:pt>
                <c:pt idx="4">
                  <c:v>Травмы, отравления и  др.внешние  воздействия</c:v>
                </c:pt>
                <c:pt idx="5">
                  <c:v>Болезни костно-мыш. системы</c:v>
                </c:pt>
                <c:pt idx="6">
                  <c:v>Болезни мочепол системы</c:v>
                </c:pt>
                <c:pt idx="7">
                  <c:v>болезни органов пищеварения</c:v>
                </c:pt>
                <c:pt idx="8">
                  <c:v>болезни  системы  кровообращения</c:v>
                </c:pt>
                <c:pt idx="9">
                  <c:v>Болезни эндокринной системы </c:v>
                </c:pt>
                <c:pt idx="10">
                  <c:v>Болезни органов  дыхания</c:v>
                </c:pt>
                <c:pt idx="11">
                  <c:v>Болезни нервной системы</c:v>
                </c:pt>
              </c:strCache>
            </c:strRef>
          </c:cat>
          <c:val>
            <c:numRef>
              <c:f>Sheet1!$B$13:$N$13</c:f>
              <c:numCache>
                <c:formatCode>General</c:formatCode>
                <c:ptCount val="13"/>
              </c:numCache>
            </c:numRef>
          </c:val>
        </c:ser>
        <c:ser>
          <c:idx val="15"/>
          <c:order val="12"/>
          <c:tx>
            <c:strRef>
              <c:f>Sheet1!$A$14</c:f>
              <c:strCache>
                <c:ptCount val="1"/>
              </c:strCache>
            </c:strRef>
          </c:tx>
          <c:spPr>
            <a:solidFill>
              <a:srgbClr val="0000FF"/>
            </a:solidFill>
            <a:ln w="12690">
              <a:solidFill>
                <a:srgbClr val="000000"/>
              </a:solidFill>
              <a:prstDash val="solid"/>
            </a:ln>
          </c:spPr>
          <c:explosion val="9"/>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dPt>
            <c:idx val="6"/>
            <c:bubble3D val="0"/>
            <c:spPr>
              <a:solidFill>
                <a:srgbClr val="0066CC"/>
              </a:solidFill>
              <a:ln w="12690">
                <a:solidFill>
                  <a:srgbClr val="000000"/>
                </a:solidFill>
                <a:prstDash val="solid"/>
              </a:ln>
            </c:spPr>
          </c:dPt>
          <c:dPt>
            <c:idx val="7"/>
            <c:bubble3D val="0"/>
            <c:spPr>
              <a:solidFill>
                <a:srgbClr val="CCCCFF"/>
              </a:solidFill>
              <a:ln w="12690">
                <a:solidFill>
                  <a:srgbClr val="000000"/>
                </a:solidFill>
                <a:prstDash val="solid"/>
              </a:ln>
            </c:spPr>
          </c:dPt>
          <c:dPt>
            <c:idx val="8"/>
            <c:bubble3D val="0"/>
            <c:spPr>
              <a:solidFill>
                <a:srgbClr val="000080"/>
              </a:solidFill>
              <a:ln w="12690">
                <a:solidFill>
                  <a:srgbClr val="000000"/>
                </a:solidFill>
                <a:prstDash val="solid"/>
              </a:ln>
            </c:spPr>
          </c:dPt>
          <c:dPt>
            <c:idx val="9"/>
            <c:bubble3D val="0"/>
            <c:spPr>
              <a:solidFill>
                <a:srgbClr val="FF00FF"/>
              </a:solidFill>
              <a:ln w="12690">
                <a:solidFill>
                  <a:srgbClr val="000000"/>
                </a:solidFill>
                <a:prstDash val="solid"/>
              </a:ln>
            </c:spPr>
          </c:dPt>
          <c:dPt>
            <c:idx val="10"/>
            <c:bubble3D val="0"/>
            <c:spPr>
              <a:solidFill>
                <a:srgbClr val="FFFF00"/>
              </a:solidFill>
              <a:ln w="12690">
                <a:solidFill>
                  <a:srgbClr val="000000"/>
                </a:solidFill>
                <a:prstDash val="solid"/>
              </a:ln>
            </c:spPr>
          </c:dPt>
          <c:dPt>
            <c:idx val="11"/>
            <c:bubble3D val="0"/>
            <c:spPr>
              <a:solidFill>
                <a:srgbClr val="00FFFF"/>
              </a:solidFill>
              <a:ln w="12690">
                <a:solidFill>
                  <a:srgbClr val="000000"/>
                </a:solidFill>
                <a:prstDash val="solid"/>
              </a:ln>
            </c:spPr>
          </c:dPt>
          <c:dPt>
            <c:idx val="12"/>
            <c:bubble3D val="0"/>
            <c:spPr>
              <a:solidFill>
                <a:srgbClr val="800080"/>
              </a:solidFill>
              <a:ln w="12690">
                <a:solidFill>
                  <a:srgbClr val="000000"/>
                </a:solidFill>
                <a:prstDash val="solid"/>
              </a:ln>
            </c:spPr>
          </c:dPt>
          <c:dLbls>
            <c:spPr>
              <a:noFill/>
              <a:ln w="25381">
                <a:noFill/>
              </a:ln>
            </c:spPr>
            <c:txPr>
              <a:bodyPr wrap="square" lIns="38100" tIns="19050" rIns="38100" bIns="19050" anchor="ctr">
                <a:spAutoFit/>
              </a:bodyPr>
              <a:lstStyle/>
              <a:p>
                <a:pPr>
                  <a:defRPr sz="11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Sheet1!$B$1:$N$1</c:f>
              <c:strCache>
                <c:ptCount val="12"/>
                <c:pt idx="0">
                  <c:v>Некоторые инфекционные и паразитарные заболевания</c:v>
                </c:pt>
                <c:pt idx="1">
                  <c:v>болезни  глаза и  придаточного аппарата</c:v>
                </c:pt>
                <c:pt idx="2">
                  <c:v>болезни  кожи  и  подкожнойклетчатки</c:v>
                </c:pt>
                <c:pt idx="3">
                  <c:v>новообразования</c:v>
                </c:pt>
                <c:pt idx="4">
                  <c:v>Травмы, отравления и  др.внешние  воздействия</c:v>
                </c:pt>
                <c:pt idx="5">
                  <c:v>Болезни костно-мыш. системы</c:v>
                </c:pt>
                <c:pt idx="6">
                  <c:v>Болезни мочепол системы</c:v>
                </c:pt>
                <c:pt idx="7">
                  <c:v>болезни органов пищеварения</c:v>
                </c:pt>
                <c:pt idx="8">
                  <c:v>болезни  системы  кровообращения</c:v>
                </c:pt>
                <c:pt idx="9">
                  <c:v>Болезни эндокринной системы </c:v>
                </c:pt>
                <c:pt idx="10">
                  <c:v>Болезни органов  дыхания</c:v>
                </c:pt>
                <c:pt idx="11">
                  <c:v>Болезни нервной системы</c:v>
                </c:pt>
              </c:strCache>
            </c:strRef>
          </c:cat>
          <c:val>
            <c:numRef>
              <c:f>Sheet1!$B$14:$N$14</c:f>
              <c:numCache>
                <c:formatCode>General</c:formatCode>
                <c:ptCount val="13"/>
              </c:numCache>
            </c:numRef>
          </c:val>
        </c:ser>
        <c:dLbls>
          <c:showLegendKey val="0"/>
          <c:showVal val="1"/>
          <c:showCatName val="0"/>
          <c:showSerName val="0"/>
          <c:showPercent val="0"/>
          <c:showBubbleSize val="0"/>
          <c:showLeaderLines val="1"/>
        </c:dLbls>
      </c:pie3DChart>
      <c:spPr>
        <a:noFill/>
        <a:ln w="25381">
          <a:noFill/>
        </a:ln>
      </c:spPr>
    </c:plotArea>
    <c:legend>
      <c:legendPos val="r"/>
      <c:layout>
        <c:manualLayout>
          <c:xMode val="edge"/>
          <c:yMode val="edge"/>
          <c:x val="0.12933753943217666"/>
          <c:y val="0.6428571428571429"/>
          <c:w val="0.76813880126182965"/>
          <c:h val="0.35135135135135137"/>
        </c:manualLayout>
      </c:layout>
      <c:overlay val="0"/>
      <c:spPr>
        <a:solidFill>
          <a:srgbClr val="FFFFFF"/>
        </a:solidFill>
        <a:ln w="3173">
          <a:solidFill>
            <a:srgbClr val="000000"/>
          </a:solidFill>
          <a:prstDash val="solid"/>
        </a:ln>
      </c:spPr>
      <c:txPr>
        <a:bodyPr/>
        <a:lstStyle/>
        <a:p>
          <a:pPr>
            <a:defRPr sz="1079"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1174"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6" b="1" i="0" u="none" strike="noStrike" baseline="0">
                <a:solidFill>
                  <a:srgbClr val="000000"/>
                </a:solidFill>
                <a:latin typeface="Calibri"/>
                <a:ea typeface="Calibri"/>
                <a:cs typeface="Calibri"/>
              </a:defRPr>
            </a:pPr>
            <a:r>
              <a:rPr lang="ru-RU"/>
              <a:t>Динамика профессиональной заболеваемости</a:t>
            </a:r>
          </a:p>
        </c:rich>
      </c:tx>
      <c:layout>
        <c:manualLayout>
          <c:xMode val="edge"/>
          <c:yMode val="edge"/>
          <c:x val="0.22564935064935066"/>
          <c:y val="2.032520325203252E-2"/>
        </c:manualLayout>
      </c:layout>
      <c:overlay val="0"/>
      <c:spPr>
        <a:noFill/>
        <a:ln w="25318">
          <a:noFill/>
        </a:ln>
      </c:spPr>
    </c:title>
    <c:autoTitleDeleted val="0"/>
    <c:plotArea>
      <c:layout>
        <c:manualLayout>
          <c:layoutTarget val="inner"/>
          <c:xMode val="edge"/>
          <c:yMode val="edge"/>
          <c:x val="0.14285714285714285"/>
          <c:y val="0.25609756097560976"/>
          <c:w val="0.75065213002220876"/>
          <c:h val="0.45121951219512196"/>
        </c:manualLayout>
      </c:layout>
      <c:lineChart>
        <c:grouping val="standard"/>
        <c:varyColors val="0"/>
        <c:ser>
          <c:idx val="0"/>
          <c:order val="0"/>
          <c:tx>
            <c:strRef>
              <c:f>Sheet1!$A$2</c:f>
              <c:strCache>
                <c:ptCount val="1"/>
              </c:strCache>
            </c:strRef>
          </c:tx>
          <c:spPr>
            <a:ln w="12659">
              <a:solidFill>
                <a:srgbClr val="000080"/>
              </a:solidFill>
              <a:prstDash val="solid"/>
            </a:ln>
          </c:spPr>
          <c:marker>
            <c:symbol val="none"/>
          </c:marker>
          <c:dLbls>
            <c:spPr>
              <a:noFill/>
              <a:ln w="25318">
                <a:noFill/>
              </a:ln>
            </c:spPr>
            <c:txPr>
              <a:bodyPr/>
              <a:lstStyle/>
              <a:p>
                <a:pPr>
                  <a:defRPr sz="1072"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1">
                  <c:v>2018</c:v>
                </c:pt>
                <c:pt idx="2">
                  <c:v>2019</c:v>
                </c:pt>
              </c:numCache>
            </c:numRef>
          </c:cat>
          <c:val>
            <c:numRef>
              <c:f>Sheet1!$B$2:$D$2</c:f>
              <c:numCache>
                <c:formatCode>General</c:formatCode>
                <c:ptCount val="3"/>
                <c:pt idx="1">
                  <c:v>0.96</c:v>
                </c:pt>
                <c:pt idx="2">
                  <c:v>0.96</c:v>
                </c:pt>
              </c:numCache>
            </c:numRef>
          </c:val>
          <c:smooth val="0"/>
        </c:ser>
        <c:ser>
          <c:idx val="1"/>
          <c:order val="1"/>
          <c:tx>
            <c:strRef>
              <c:f>Sheet1!$A$3</c:f>
              <c:strCache>
                <c:ptCount val="1"/>
              </c:strCache>
            </c:strRef>
          </c:tx>
          <c:spPr>
            <a:ln w="12659">
              <a:solidFill>
                <a:srgbClr val="FF00FF"/>
              </a:solidFill>
              <a:prstDash val="solid"/>
            </a:ln>
          </c:spPr>
          <c:marker>
            <c:symbol val="none"/>
          </c:marker>
          <c:dLbls>
            <c:spPr>
              <a:noFill/>
              <a:ln w="25318">
                <a:noFill/>
              </a:ln>
            </c:spPr>
            <c:txPr>
              <a:bodyPr/>
              <a:lstStyle/>
              <a:p>
                <a:pPr>
                  <a:defRPr sz="1072"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1">
                  <c:v>2018</c:v>
                </c:pt>
                <c:pt idx="2">
                  <c:v>2019</c:v>
                </c:pt>
              </c:numCache>
            </c:numRef>
          </c:cat>
          <c:val>
            <c:numRef>
              <c:f>Sheet1!$B$3:$D$3</c:f>
              <c:numCache>
                <c:formatCode>General</c:formatCode>
                <c:ptCount val="3"/>
              </c:numCache>
            </c:numRef>
          </c:val>
          <c:smooth val="0"/>
        </c:ser>
        <c:ser>
          <c:idx val="2"/>
          <c:order val="2"/>
          <c:tx>
            <c:strRef>
              <c:f>Sheet1!$A$4</c:f>
              <c:strCache>
                <c:ptCount val="1"/>
              </c:strCache>
            </c:strRef>
          </c:tx>
          <c:spPr>
            <a:ln w="12659">
              <a:solidFill>
                <a:srgbClr val="FFFF00"/>
              </a:solidFill>
              <a:prstDash val="solid"/>
            </a:ln>
          </c:spPr>
          <c:marker>
            <c:symbol val="none"/>
          </c:marker>
          <c:dLbls>
            <c:spPr>
              <a:noFill/>
              <a:ln w="25318">
                <a:noFill/>
              </a:ln>
            </c:spPr>
            <c:txPr>
              <a:bodyPr/>
              <a:lstStyle/>
              <a:p>
                <a:pPr>
                  <a:defRPr sz="1072"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1">
                  <c:v>2018</c:v>
                </c:pt>
                <c:pt idx="2">
                  <c:v>2019</c:v>
                </c:pt>
              </c:numCache>
            </c:numRef>
          </c:cat>
          <c:val>
            <c:numRef>
              <c:f>Sheet1!$B$4:$D$4</c:f>
              <c:numCache>
                <c:formatCode>General</c:formatCode>
                <c:ptCount val="3"/>
              </c:numCache>
            </c:numRef>
          </c:val>
          <c:smooth val="0"/>
        </c:ser>
        <c:ser>
          <c:idx val="3"/>
          <c:order val="3"/>
          <c:tx>
            <c:strRef>
              <c:f>Sheet1!$A$5</c:f>
              <c:strCache>
                <c:ptCount val="1"/>
              </c:strCache>
            </c:strRef>
          </c:tx>
          <c:spPr>
            <a:ln w="12659">
              <a:solidFill>
                <a:srgbClr val="00FFFF"/>
              </a:solidFill>
              <a:prstDash val="solid"/>
            </a:ln>
          </c:spPr>
          <c:marker>
            <c:symbol val="none"/>
          </c:marker>
          <c:dLbls>
            <c:spPr>
              <a:noFill/>
              <a:ln w="25318">
                <a:noFill/>
              </a:ln>
            </c:spPr>
            <c:txPr>
              <a:bodyPr/>
              <a:lstStyle/>
              <a:p>
                <a:pPr>
                  <a:defRPr sz="1072"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1">
                  <c:v>2018</c:v>
                </c:pt>
                <c:pt idx="2">
                  <c:v>2019</c:v>
                </c:pt>
              </c:numCache>
            </c:numRef>
          </c:cat>
          <c:val>
            <c:numRef>
              <c:f>Sheet1!$B$5:$D$5</c:f>
              <c:numCache>
                <c:formatCode>General</c:formatCode>
                <c:ptCount val="3"/>
              </c:numCache>
            </c:numRef>
          </c:val>
          <c:smooth val="0"/>
        </c:ser>
        <c:dLbls>
          <c:showLegendKey val="0"/>
          <c:showVal val="1"/>
          <c:showCatName val="0"/>
          <c:showSerName val="0"/>
          <c:showPercent val="0"/>
          <c:showBubbleSize val="0"/>
        </c:dLbls>
        <c:smooth val="0"/>
        <c:axId val="546923072"/>
        <c:axId val="546923464"/>
      </c:lineChart>
      <c:catAx>
        <c:axId val="546923072"/>
        <c:scaling>
          <c:orientation val="minMax"/>
        </c:scaling>
        <c:delete val="0"/>
        <c:axPos val="b"/>
        <c:title>
          <c:tx>
            <c:rich>
              <a:bodyPr/>
              <a:lstStyle/>
              <a:p>
                <a:pPr>
                  <a:defRPr sz="1072" b="1" i="0" u="none" strike="noStrike" baseline="0">
                    <a:solidFill>
                      <a:srgbClr val="000000"/>
                    </a:solidFill>
                    <a:latin typeface="Calibri"/>
                    <a:ea typeface="Calibri"/>
                    <a:cs typeface="Calibri"/>
                  </a:defRPr>
                </a:pPr>
                <a:r>
                  <a:rPr lang="ru-RU"/>
                  <a:t>год</a:t>
                </a:r>
              </a:p>
            </c:rich>
          </c:tx>
          <c:layout>
            <c:manualLayout>
              <c:xMode val="edge"/>
              <c:yMode val="edge"/>
              <c:x val="0.54220779220779225"/>
              <c:y val="0.84552845528455289"/>
            </c:manualLayout>
          </c:layout>
          <c:overlay val="0"/>
          <c:spPr>
            <a:noFill/>
            <a:ln w="25318">
              <a:noFill/>
            </a:ln>
          </c:spPr>
        </c:title>
        <c:numFmt formatCode="General" sourceLinked="1"/>
        <c:majorTickMark val="out"/>
        <c:minorTickMark val="none"/>
        <c:tickLblPos val="nextTo"/>
        <c:spPr>
          <a:ln w="3165">
            <a:solidFill>
              <a:srgbClr val="000000"/>
            </a:solidFill>
            <a:prstDash val="solid"/>
          </a:ln>
        </c:spPr>
        <c:txPr>
          <a:bodyPr rot="0" vert="horz"/>
          <a:lstStyle/>
          <a:p>
            <a:pPr>
              <a:defRPr sz="1072" b="1" i="0" u="none" strike="noStrike" baseline="0">
                <a:solidFill>
                  <a:srgbClr val="000000"/>
                </a:solidFill>
                <a:latin typeface="Calibri"/>
                <a:ea typeface="Calibri"/>
                <a:cs typeface="Calibri"/>
              </a:defRPr>
            </a:pPr>
            <a:endParaRPr lang="ru-RU"/>
          </a:p>
        </c:txPr>
        <c:crossAx val="546923464"/>
        <c:crosses val="autoZero"/>
        <c:auto val="1"/>
        <c:lblAlgn val="ctr"/>
        <c:lblOffset val="100"/>
        <c:tickLblSkip val="1"/>
        <c:tickMarkSkip val="1"/>
        <c:noMultiLvlLbl val="0"/>
      </c:catAx>
      <c:valAx>
        <c:axId val="546923464"/>
        <c:scaling>
          <c:orientation val="minMax"/>
        </c:scaling>
        <c:delete val="0"/>
        <c:axPos val="l"/>
        <c:majorGridlines>
          <c:spPr>
            <a:ln w="12659">
              <a:solidFill>
                <a:srgbClr val="000000"/>
              </a:solidFill>
              <a:prstDash val="solid"/>
            </a:ln>
          </c:spPr>
        </c:majorGridlines>
        <c:title>
          <c:tx>
            <c:rich>
              <a:bodyPr/>
              <a:lstStyle/>
              <a:p>
                <a:pPr>
                  <a:defRPr sz="1072" b="1" i="0" u="none" strike="noStrike" baseline="0">
                    <a:solidFill>
                      <a:srgbClr val="000000"/>
                    </a:solidFill>
                    <a:latin typeface="Calibri"/>
                    <a:ea typeface="Calibri"/>
                    <a:cs typeface="Calibri"/>
                  </a:defRPr>
                </a:pPr>
                <a:r>
                  <a:rPr lang="ru-RU"/>
                  <a:t>показатель на 10000 работающих</a:t>
                </a:r>
              </a:p>
            </c:rich>
          </c:tx>
          <c:layout>
            <c:manualLayout>
              <c:xMode val="edge"/>
              <c:yMode val="edge"/>
              <c:x val="1.7857142857142856E-2"/>
              <c:y val="0.21544715447154472"/>
            </c:manualLayout>
          </c:layout>
          <c:overlay val="0"/>
          <c:spPr>
            <a:noFill/>
            <a:ln w="25318">
              <a:noFill/>
            </a:ln>
          </c:spPr>
        </c:title>
        <c:numFmt formatCode="General" sourceLinked="1"/>
        <c:majorTickMark val="out"/>
        <c:minorTickMark val="none"/>
        <c:tickLblPos val="nextTo"/>
        <c:spPr>
          <a:ln w="3165">
            <a:solidFill>
              <a:srgbClr val="000000"/>
            </a:solidFill>
            <a:prstDash val="solid"/>
          </a:ln>
        </c:spPr>
        <c:txPr>
          <a:bodyPr rot="0" vert="horz"/>
          <a:lstStyle/>
          <a:p>
            <a:pPr>
              <a:defRPr sz="1072" b="1" i="0" u="none" strike="noStrike" baseline="0">
                <a:solidFill>
                  <a:srgbClr val="000000"/>
                </a:solidFill>
                <a:latin typeface="Calibri"/>
                <a:ea typeface="Calibri"/>
                <a:cs typeface="Calibri"/>
              </a:defRPr>
            </a:pPr>
            <a:endParaRPr lang="ru-RU"/>
          </a:p>
        </c:txPr>
        <c:crossAx val="546923072"/>
        <c:crosses val="autoZero"/>
        <c:crossBetween val="between"/>
      </c:valAx>
      <c:spPr>
        <a:solidFill>
          <a:srgbClr val="C0C0C0"/>
        </a:solidFill>
        <a:ln w="12659">
          <a:solidFill>
            <a:srgbClr val="808080"/>
          </a:solidFill>
          <a:prstDash val="solid"/>
        </a:ln>
      </c:spPr>
    </c:plotArea>
    <c:plotVisOnly val="1"/>
    <c:dispBlanksAs val="gap"/>
    <c:showDLblsOverMax val="0"/>
  </c:chart>
  <c:spPr>
    <a:noFill/>
    <a:ln>
      <a:noFill/>
    </a:ln>
  </c:spPr>
  <c:txPr>
    <a:bodyPr/>
    <a:lstStyle/>
    <a:p>
      <a:pPr>
        <a:defRPr sz="1072"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8.9947089947089942E-2"/>
          <c:y val="4.4999999999999998E-2"/>
          <c:w val="0.82186948853615516"/>
          <c:h val="0.81"/>
        </c:manualLayout>
      </c:layout>
      <c:bar3DChart>
        <c:barDir val="col"/>
        <c:grouping val="clustered"/>
        <c:varyColors val="0"/>
        <c:ser>
          <c:idx val="0"/>
          <c:order val="0"/>
          <c:tx>
            <c:strRef>
              <c:f>Sheet1!$A$2</c:f>
              <c:strCache>
                <c:ptCount val="1"/>
                <c:pt idx="0">
                  <c:v>Восток</c:v>
                </c:pt>
              </c:strCache>
            </c:strRef>
          </c:tx>
          <c:spPr>
            <a:solidFill>
              <a:srgbClr val="333333"/>
            </a:solidFill>
            <a:ln w="12660">
              <a:solidFill>
                <a:srgbClr val="000000"/>
              </a:solidFill>
              <a:prstDash val="solid"/>
            </a:ln>
          </c:spPr>
          <c:invertIfNegative val="0"/>
          <c:dLbls>
            <c:dLbl>
              <c:idx val="0"/>
              <c:layout>
                <c:manualLayout>
                  <c:x val="1.848728342543654E-2"/>
                  <c:y val="-4.9752495110085726E-2"/>
                </c:manualLayout>
              </c:layout>
              <c:spPr>
                <a:noFill/>
                <a:ln w="25320">
                  <a:noFill/>
                </a:ln>
              </c:spPr>
              <c:txPr>
                <a:bodyPr/>
                <a:lstStyle/>
                <a:p>
                  <a:pPr>
                    <a:defRPr sz="648" b="1" i="0" u="none" strike="noStrike" baseline="0">
                      <a:solidFill>
                        <a:srgbClr val="000000"/>
                      </a:solidFill>
                      <a:latin typeface="Tahoma"/>
                      <a:ea typeface="Tahoma"/>
                      <a:cs typeface="Tahoma"/>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5317464870493569E-2"/>
                  <c:y val="-3.4090726716485331E-2"/>
                </c:manualLayout>
              </c:layout>
              <c:spPr>
                <a:noFill/>
                <a:ln w="25320">
                  <a:noFill/>
                </a:ln>
              </c:spPr>
              <c:txPr>
                <a:bodyPr/>
                <a:lstStyle/>
                <a:p>
                  <a:pPr>
                    <a:defRPr sz="648" b="1" i="0" u="none" strike="noStrike" baseline="0">
                      <a:solidFill>
                        <a:srgbClr val="000000"/>
                      </a:solidFill>
                      <a:latin typeface="Tahoma"/>
                      <a:ea typeface="Tahoma"/>
                      <a:cs typeface="Tahoma"/>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1.5154464030790571E-2"/>
                  <c:y val="-8.0670795927579114E-2"/>
                </c:manualLayout>
              </c:layout>
              <c:spPr>
                <a:noFill/>
                <a:ln w="25320">
                  <a:noFill/>
                </a:ln>
              </c:spPr>
              <c:txPr>
                <a:bodyPr/>
                <a:lstStyle/>
                <a:p>
                  <a:pPr>
                    <a:defRPr sz="648" b="1" i="0" u="none" strike="noStrike" baseline="0">
                      <a:solidFill>
                        <a:srgbClr val="000000"/>
                      </a:solidFill>
                      <a:latin typeface="Tahoma"/>
                      <a:ea typeface="Tahoma"/>
                      <a:cs typeface="Tahoma"/>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3"/>
              <c:layout>
                <c:manualLayout>
                  <c:xMode val="edge"/>
                  <c:yMode val="edge"/>
                  <c:x val="0.66137566137566139"/>
                  <c:y val="0.01"/>
                </c:manualLayout>
              </c:layout>
              <c:spPr>
                <a:noFill/>
                <a:ln w="25320">
                  <a:noFill/>
                </a:ln>
              </c:spPr>
              <c:txPr>
                <a:bodyPr/>
                <a:lstStyle/>
                <a:p>
                  <a:pPr>
                    <a:defRPr sz="648" b="1" i="0" u="none" strike="noStrike" baseline="0">
                      <a:solidFill>
                        <a:srgbClr val="000000"/>
                      </a:solidFill>
                      <a:latin typeface="Tahoma"/>
                      <a:ea typeface="Tahoma"/>
                      <a:cs typeface="Tahoma"/>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4"/>
              <c:layout>
                <c:manualLayout>
                  <c:xMode val="edge"/>
                  <c:yMode val="edge"/>
                  <c:x val="0.82363315696649031"/>
                  <c:y val="0.01"/>
                </c:manualLayout>
              </c:layout>
              <c:spPr>
                <a:noFill/>
                <a:ln w="25320">
                  <a:noFill/>
                </a:ln>
              </c:spPr>
              <c:txPr>
                <a:bodyPr/>
                <a:lstStyle/>
                <a:p>
                  <a:pPr>
                    <a:defRPr sz="648" b="1" i="0" u="none" strike="noStrike" baseline="0">
                      <a:solidFill>
                        <a:srgbClr val="000000"/>
                      </a:solidFill>
                      <a:latin typeface="Tahoma"/>
                      <a:ea typeface="Tahoma"/>
                      <a:cs typeface="Tahoma"/>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20">
                <a:noFill/>
              </a:ln>
            </c:spPr>
            <c:txPr>
              <a:bodyPr wrap="square" lIns="38100" tIns="19050" rIns="38100" bIns="19050" anchor="ctr">
                <a:spAutoFit/>
              </a:bodyPr>
              <a:lstStyle/>
              <a:p>
                <a:pPr>
                  <a:defRPr sz="648" b="1" i="0" u="none" strike="noStrike" baseline="0">
                    <a:solidFill>
                      <a:srgbClr val="000000"/>
                    </a:solidFill>
                    <a:latin typeface="Tahoma"/>
                    <a:ea typeface="Tahoma"/>
                    <a:cs typeface="Tahoma"/>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2018</c:v>
                </c:pt>
                <c:pt idx="1">
                  <c:v>2019</c:v>
                </c:pt>
                <c:pt idx="2">
                  <c:v>2020</c:v>
                </c:pt>
              </c:numCache>
            </c:numRef>
          </c:cat>
          <c:val>
            <c:numRef>
              <c:f>Sheet1!$B$2:$D$2</c:f>
              <c:numCache>
                <c:formatCode>General</c:formatCode>
                <c:ptCount val="3"/>
                <c:pt idx="0">
                  <c:v>21123.7</c:v>
                </c:pt>
                <c:pt idx="1">
                  <c:v>30866.3</c:v>
                </c:pt>
                <c:pt idx="2">
                  <c:v>51370.34</c:v>
                </c:pt>
              </c:numCache>
            </c:numRef>
          </c:val>
        </c:ser>
        <c:dLbls>
          <c:showLegendKey val="0"/>
          <c:showVal val="0"/>
          <c:showCatName val="0"/>
          <c:showSerName val="0"/>
          <c:showPercent val="0"/>
          <c:showBubbleSize val="0"/>
        </c:dLbls>
        <c:gapWidth val="150"/>
        <c:gapDepth val="0"/>
        <c:shape val="box"/>
        <c:axId val="546924248"/>
        <c:axId val="546924640"/>
        <c:axId val="0"/>
      </c:bar3DChart>
      <c:catAx>
        <c:axId val="546924248"/>
        <c:scaling>
          <c:orientation val="minMax"/>
        </c:scaling>
        <c:delete val="0"/>
        <c:axPos val="b"/>
        <c:numFmt formatCode="General" sourceLinked="1"/>
        <c:majorTickMark val="out"/>
        <c:minorTickMark val="none"/>
        <c:tickLblPos val="low"/>
        <c:spPr>
          <a:ln w="3165">
            <a:solidFill>
              <a:srgbClr val="000000"/>
            </a:solidFill>
            <a:prstDash val="solid"/>
          </a:ln>
        </c:spPr>
        <c:txPr>
          <a:bodyPr rot="0" vert="horz"/>
          <a:lstStyle/>
          <a:p>
            <a:pPr>
              <a:defRPr sz="673" b="1" i="0" u="none" strike="noStrike" baseline="0">
                <a:solidFill>
                  <a:srgbClr val="000000"/>
                </a:solidFill>
                <a:latin typeface="Tahoma"/>
                <a:ea typeface="Tahoma"/>
                <a:cs typeface="Tahoma"/>
              </a:defRPr>
            </a:pPr>
            <a:endParaRPr lang="ru-RU"/>
          </a:p>
        </c:txPr>
        <c:crossAx val="546924640"/>
        <c:crosses val="autoZero"/>
        <c:auto val="1"/>
        <c:lblAlgn val="ctr"/>
        <c:lblOffset val="100"/>
        <c:tickLblSkip val="1"/>
        <c:tickMarkSkip val="1"/>
        <c:noMultiLvlLbl val="0"/>
      </c:catAx>
      <c:valAx>
        <c:axId val="546924640"/>
        <c:scaling>
          <c:orientation val="minMax"/>
        </c:scaling>
        <c:delete val="0"/>
        <c:axPos val="l"/>
        <c:numFmt formatCode="General" sourceLinked="1"/>
        <c:majorTickMark val="out"/>
        <c:minorTickMark val="none"/>
        <c:tickLblPos val="nextTo"/>
        <c:spPr>
          <a:ln w="3165">
            <a:solidFill>
              <a:srgbClr val="000000"/>
            </a:solidFill>
            <a:prstDash val="solid"/>
          </a:ln>
        </c:spPr>
        <c:txPr>
          <a:bodyPr rot="0" vert="horz"/>
          <a:lstStyle/>
          <a:p>
            <a:pPr>
              <a:defRPr sz="673" b="1" i="0" u="none" strike="noStrike" baseline="0">
                <a:solidFill>
                  <a:srgbClr val="000000"/>
                </a:solidFill>
                <a:latin typeface="Tahoma"/>
                <a:ea typeface="Tahoma"/>
                <a:cs typeface="Tahoma"/>
              </a:defRPr>
            </a:pPr>
            <a:endParaRPr lang="ru-RU"/>
          </a:p>
        </c:txPr>
        <c:crossAx val="546924248"/>
        <c:crosses val="autoZero"/>
        <c:crossBetween val="between"/>
      </c:valAx>
      <c:spPr>
        <a:noFill/>
        <a:ln w="25320">
          <a:noFill/>
        </a:ln>
      </c:spPr>
    </c:plotArea>
    <c:plotVisOnly val="1"/>
    <c:dispBlanksAs val="gap"/>
    <c:showDLblsOverMax val="0"/>
  </c:chart>
  <c:spPr>
    <a:solidFill>
      <a:srgbClr val="FFFFFF"/>
    </a:solidFill>
    <a:ln w="9525" cap="flat" cmpd="sng" algn="ctr">
      <a:solidFill>
        <a:srgbClr val="000000"/>
      </a:solidFill>
      <a:prstDash val="solid"/>
      <a:miter lim="800000"/>
      <a:headEnd type="none" w="med" len="med"/>
      <a:tailEnd type="none" w="med" len="med"/>
    </a:ln>
  </c:spPr>
  <c:txPr>
    <a:bodyPr/>
    <a:lstStyle/>
    <a:p>
      <a:pPr>
        <a:defRPr sz="847" b="1" i="0" u="none" strike="noStrike" baseline="0">
          <a:solidFill>
            <a:srgbClr val="000000"/>
          </a:solidFill>
          <a:latin typeface="Tahoma"/>
          <a:ea typeface="Tahoma"/>
          <a:cs typeface="Tahoma"/>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122"/>
      <c:rAngAx val="0"/>
      <c:perspective val="0"/>
    </c:view3D>
    <c:floor>
      <c:thickness val="0"/>
    </c:floor>
    <c:sideWall>
      <c:thickness val="0"/>
    </c:sideWall>
    <c:backWall>
      <c:thickness val="0"/>
    </c:backWall>
    <c:plotArea>
      <c:layout>
        <c:manualLayout>
          <c:layoutTarget val="inner"/>
          <c:xMode val="edge"/>
          <c:yMode val="edge"/>
          <c:x val="7.1550255536626917E-2"/>
          <c:y val="0.16957605985037408"/>
          <c:w val="0.86030664395229983"/>
          <c:h val="0.49875311720698257"/>
        </c:manualLayout>
      </c:layout>
      <c:pie3DChart>
        <c:varyColors val="0"/>
        <c:ser>
          <c:idx val="0"/>
          <c:order val="0"/>
          <c:tx>
            <c:strRef>
              <c:f>Sheet1!$A$2</c:f>
              <c:strCache>
                <c:ptCount val="1"/>
                <c:pt idx="0">
                  <c:v>Восток</c:v>
                </c:pt>
              </c:strCache>
            </c:strRef>
          </c:tx>
          <c:spPr>
            <a:pattFill prst="horzBri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explosion val="25"/>
          <c:dPt>
            <c:idx val="1"/>
            <c:bubble3D val="0"/>
            <c:spPr>
              <a:pattFill prst="pct9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2"/>
            <c:bubble3D val="0"/>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3"/>
            <c:bubble3D val="0"/>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4"/>
            <c:bubble3D val="0"/>
            <c:spPr>
              <a:pattFill prst="pct6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Lbls>
            <c:dLbl>
              <c:idx val="0"/>
              <c:spPr>
                <a:noFill/>
                <a:ln w="25399">
                  <a:noFill/>
                </a:ln>
              </c:spPr>
              <c:txPr>
                <a:bodyPr/>
                <a:lstStyle/>
                <a:p>
                  <a:pPr>
                    <a:defRPr sz="8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dLbl>
            <c:spPr>
              <a:noFill/>
              <a:ln w="25399">
                <a:noFill/>
              </a:ln>
            </c:spPr>
            <c:txPr>
              <a:bodyPr wrap="square" lIns="38100" tIns="19050" rIns="38100" bIns="19050" anchor="ctr">
                <a:spAutoFit/>
              </a:bodyPr>
              <a:lstStyle/>
              <a:p>
                <a:pPr>
                  <a:defRPr sz="8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Sheet1!$B$1:$G$1</c:f>
              <c:strCache>
                <c:ptCount val="6"/>
                <c:pt idx="0">
                  <c:v>ОРЗ + грипп</c:v>
                </c:pt>
                <c:pt idx="1">
                  <c:v>Пневмонии</c:v>
                </c:pt>
                <c:pt idx="2">
                  <c:v>Гельминты</c:v>
                </c:pt>
                <c:pt idx="3">
                  <c:v>ОКИ</c:v>
                </c:pt>
                <c:pt idx="4">
                  <c:v>Капельные</c:v>
                </c:pt>
                <c:pt idx="5">
                  <c:v>Прочие</c:v>
                </c:pt>
              </c:strCache>
            </c:strRef>
          </c:cat>
          <c:val>
            <c:numRef>
              <c:f>Sheet1!$B$2:$G$2</c:f>
              <c:numCache>
                <c:formatCode>General</c:formatCode>
                <c:ptCount val="6"/>
                <c:pt idx="0">
                  <c:v>90.3</c:v>
                </c:pt>
                <c:pt idx="1">
                  <c:v>2.7</c:v>
                </c:pt>
                <c:pt idx="2">
                  <c:v>0.82</c:v>
                </c:pt>
                <c:pt idx="3">
                  <c:v>0.7</c:v>
                </c:pt>
                <c:pt idx="4">
                  <c:v>1.81</c:v>
                </c:pt>
                <c:pt idx="5">
                  <c:v>3.67</c:v>
                </c:pt>
              </c:numCache>
            </c:numRef>
          </c:val>
        </c:ser>
        <c:ser>
          <c:idx val="1"/>
          <c:order val="1"/>
          <c:tx>
            <c:strRef>
              <c:f>Sheet1!$A$3</c:f>
              <c:strCache>
                <c:ptCount val="1"/>
              </c:strCache>
            </c:strRef>
          </c:tx>
          <c:spPr>
            <a:solidFill>
              <a:srgbClr val="9999FF"/>
            </a:solidFill>
            <a:ln w="12700">
              <a:solidFill>
                <a:srgbClr val="000000"/>
              </a:solidFill>
              <a:prstDash val="solid"/>
            </a:ln>
          </c:spPr>
          <c:explosion val="25"/>
          <c:dLbls>
            <c:spPr>
              <a:noFill/>
              <a:ln w="25399">
                <a:noFill/>
              </a:ln>
            </c:spPr>
            <c:txPr>
              <a:bodyPr wrap="square" lIns="38100" tIns="19050" rIns="38100" bIns="19050" anchor="ctr">
                <a:spAutoFit/>
              </a:bodyPr>
              <a:lstStyle/>
              <a:p>
                <a:pPr>
                  <a:defRPr sz="8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Sheet1!$B$1:$G$1</c:f>
              <c:strCache>
                <c:ptCount val="6"/>
                <c:pt idx="0">
                  <c:v>ОРЗ + грипп</c:v>
                </c:pt>
                <c:pt idx="1">
                  <c:v>Пневмонии</c:v>
                </c:pt>
                <c:pt idx="2">
                  <c:v>Гельминты</c:v>
                </c:pt>
                <c:pt idx="3">
                  <c:v>ОКИ</c:v>
                </c:pt>
                <c:pt idx="4">
                  <c:v>Капельные</c:v>
                </c:pt>
                <c:pt idx="5">
                  <c:v>Прочие</c:v>
                </c:pt>
              </c:strCache>
            </c:strRef>
          </c:cat>
          <c:val>
            <c:numRef>
              <c:f>Sheet1!$B$3:$G$3</c:f>
              <c:numCache>
                <c:formatCode>General</c:formatCode>
                <c:ptCount val="6"/>
              </c:numCache>
            </c:numRef>
          </c:val>
        </c:ser>
        <c:ser>
          <c:idx val="2"/>
          <c:order val="2"/>
          <c:tx>
            <c:strRef>
              <c:f>Sheet1!$A$4</c:f>
              <c:strCache>
                <c:ptCount val="1"/>
              </c:strCache>
            </c:strRef>
          </c:tx>
          <c:spPr>
            <a:solidFill>
              <a:srgbClr val="9999FF"/>
            </a:solidFill>
            <a:ln w="12700">
              <a:solidFill>
                <a:srgbClr val="000000"/>
              </a:solidFill>
              <a:prstDash val="solid"/>
            </a:ln>
          </c:spPr>
          <c:explosion val="25"/>
          <c:dLbls>
            <c:spPr>
              <a:noFill/>
              <a:ln w="25399">
                <a:noFill/>
              </a:ln>
            </c:spPr>
            <c:txPr>
              <a:bodyPr wrap="square" lIns="38100" tIns="19050" rIns="38100" bIns="19050" anchor="ctr">
                <a:spAutoFit/>
              </a:bodyPr>
              <a:lstStyle/>
              <a:p>
                <a:pPr>
                  <a:defRPr sz="8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Sheet1!$B$1:$G$1</c:f>
              <c:strCache>
                <c:ptCount val="6"/>
                <c:pt idx="0">
                  <c:v>ОРЗ + грипп</c:v>
                </c:pt>
                <c:pt idx="1">
                  <c:v>Пневмонии</c:v>
                </c:pt>
                <c:pt idx="2">
                  <c:v>Гельминты</c:v>
                </c:pt>
                <c:pt idx="3">
                  <c:v>ОКИ</c:v>
                </c:pt>
                <c:pt idx="4">
                  <c:v>Капельные</c:v>
                </c:pt>
                <c:pt idx="5">
                  <c:v>Прочие</c:v>
                </c:pt>
              </c:strCache>
            </c:strRef>
          </c:cat>
          <c:val>
            <c:numRef>
              <c:f>Sheet1!$B$4:$G$4</c:f>
              <c:numCache>
                <c:formatCode>General</c:formatCode>
                <c:ptCount val="6"/>
              </c:numCache>
            </c:numRef>
          </c:val>
        </c:ser>
        <c:dLbls>
          <c:showLegendKey val="0"/>
          <c:showVal val="1"/>
          <c:showCatName val="0"/>
          <c:showSerName val="0"/>
          <c:showPercent val="0"/>
          <c:showBubbleSize val="0"/>
          <c:showLeaderLines val="1"/>
        </c:dLbls>
      </c:pie3DChart>
      <c:spPr>
        <a:solidFill>
          <a:srgbClr val="FFFFFF"/>
        </a:solidFill>
        <a:ln w="25399">
          <a:noFill/>
        </a:ln>
      </c:spPr>
    </c:plotArea>
    <c:legend>
      <c:legendPos val="b"/>
      <c:layout>
        <c:manualLayout>
          <c:xMode val="edge"/>
          <c:yMode val="edge"/>
          <c:x val="5.9625212947189095E-2"/>
          <c:y val="0.93017456359102246"/>
          <c:w val="0.84667802385008517"/>
          <c:h val="6.4837905236907731E-2"/>
        </c:manualLayout>
      </c:layout>
      <c:overlay val="0"/>
      <c:spPr>
        <a:noFill/>
        <a:ln w="3175">
          <a:solidFill>
            <a:srgbClr val="000000"/>
          </a:solidFill>
          <a:prstDash val="solid"/>
        </a:ln>
      </c:spPr>
      <c:txPr>
        <a:bodyPr/>
        <a:lstStyle/>
        <a:p>
          <a:pPr>
            <a:defRPr sz="101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1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0"/>
      <c:rAngAx val="0"/>
      <c:perspective val="0"/>
    </c:view3D>
    <c:floor>
      <c:thickness val="0"/>
    </c:floor>
    <c:sideWall>
      <c:thickness val="0"/>
    </c:sideWall>
    <c:backWall>
      <c:thickness val="0"/>
    </c:backWall>
    <c:plotArea>
      <c:layout>
        <c:manualLayout>
          <c:layoutTarget val="inner"/>
          <c:xMode val="edge"/>
          <c:yMode val="edge"/>
          <c:x val="0.18055555555555555"/>
          <c:y val="0.24904214559386972"/>
          <c:w val="0.56944444444444442"/>
          <c:h val="0.3946360153256705"/>
        </c:manualLayout>
      </c:layout>
      <c:pie3DChart>
        <c:varyColors val="1"/>
        <c:ser>
          <c:idx val="0"/>
          <c:order val="0"/>
          <c:tx>
            <c:strRef>
              <c:f>Sheet1!$A$2</c:f>
              <c:strCache>
                <c:ptCount val="1"/>
                <c:pt idx="0">
                  <c:v>2020</c:v>
                </c:pt>
              </c:strCache>
            </c:strRef>
          </c:tx>
          <c:spPr>
            <a:gradFill rotWithShape="0">
              <a:gsLst>
                <a:gs pos="0">
                  <a:srgbClr xmlns:mc="http://schemas.openxmlformats.org/markup-compatibility/2006" xmlns:a14="http://schemas.microsoft.com/office/drawing/2010/main" val="000000" mc:Ignorable="a14" a14:legacySpreadsheetColorIndex="24">
                    <a:gamma/>
                    <a:shade val="46275"/>
                    <a:invGamma/>
                  </a:srgbClr>
                </a:gs>
                <a:gs pos="100000">
                  <a:srgbClr xmlns:mc="http://schemas.openxmlformats.org/markup-compatibility/2006" xmlns:a14="http://schemas.microsoft.com/office/drawing/2010/main" val="A3B2C1" mc:Ignorable="a14" a14:legacySpreadsheetColorIndex="24"/>
                </a:gs>
              </a:gsLst>
              <a:lin ang="5400000" scaled="1"/>
            </a:gradFill>
            <a:ln w="12640">
              <a:solidFill>
                <a:srgbClr val="000000"/>
              </a:solidFill>
              <a:prstDash val="solid"/>
            </a:ln>
          </c:spPr>
          <c:explosion val="25"/>
          <c:dPt>
            <c:idx val="0"/>
            <c:bubble3D val="0"/>
            <c:spPr>
              <a:solidFill>
                <a:srgbClr val="000000"/>
              </a:solidFill>
              <a:ln w="12640">
                <a:solidFill>
                  <a:srgbClr val="000000"/>
                </a:solidFill>
                <a:prstDash val="solid"/>
              </a:ln>
            </c:spPr>
          </c:dPt>
          <c:dPt>
            <c:idx val="1"/>
            <c:bubble3D val="0"/>
            <c:spPr>
              <a:solidFill>
                <a:srgbClr val="FFFFFF"/>
              </a:solidFill>
              <a:ln w="12640">
                <a:solidFill>
                  <a:srgbClr val="000000"/>
                </a:solidFill>
                <a:prstDash val="solid"/>
              </a:ln>
            </c:spPr>
          </c:dPt>
          <c:dPt>
            <c:idx val="2"/>
            <c:bubble3D val="0"/>
            <c:spPr>
              <a:pattFill prst="solid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40">
                <a:solidFill>
                  <a:srgbClr val="000000"/>
                </a:solidFill>
                <a:prstDash val="solid"/>
              </a:ln>
            </c:spPr>
          </c:dPt>
          <c:dPt>
            <c:idx val="3"/>
            <c:bubble3D val="0"/>
            <c:spPr>
              <a:pattFill prst="diagBri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40">
                <a:solidFill>
                  <a:srgbClr val="000000"/>
                </a:solidFill>
                <a:prstDash val="solid"/>
              </a:ln>
            </c:spPr>
          </c:dPt>
          <c:dPt>
            <c:idx val="4"/>
            <c:bubble3D val="0"/>
            <c:spPr>
              <a:pattFill prst="dash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40">
                <a:solidFill>
                  <a:srgbClr val="000000"/>
                </a:solidFill>
                <a:prstDash val="solid"/>
              </a:ln>
            </c:spPr>
          </c:dPt>
          <c:dPt>
            <c:idx val="5"/>
            <c:bubble3D val="0"/>
            <c:spPr>
              <a:pattFill prst="smChe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40">
                <a:solidFill>
                  <a:srgbClr val="000000"/>
                </a:solidFill>
                <a:prstDash val="solid"/>
              </a:ln>
            </c:spPr>
          </c:dPt>
          <c:dLbls>
            <c:dLbl>
              <c:idx val="0"/>
              <c:layout>
                <c:manualLayout>
                  <c:x val="-9.6561610392652986E-2"/>
                  <c:y val="-9.0135348938678972E-2"/>
                </c:manualLayout>
              </c:layout>
              <c:spPr>
                <a:noFill/>
                <a:ln w="25281">
                  <a:noFill/>
                </a:ln>
              </c:spPr>
              <c:txPr>
                <a:bodyPr/>
                <a:lstStyle/>
                <a:p>
                  <a:pPr>
                    <a:defRPr sz="796" b="1" i="0" u="none" strike="noStrike" baseline="0">
                      <a:solidFill>
                        <a:srgbClr val="000000"/>
                      </a:solidFill>
                      <a:latin typeface="Tahoma"/>
                      <a:ea typeface="Tahoma"/>
                      <a:cs typeface="Tahoma"/>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3.5404070950386002E-2"/>
                  <c:y val="-0.1282406159079775"/>
                </c:manualLayout>
              </c:layout>
              <c:spPr>
                <a:noFill/>
                <a:ln w="25281">
                  <a:noFill/>
                </a:ln>
              </c:spPr>
              <c:txPr>
                <a:bodyPr/>
                <a:lstStyle/>
                <a:p>
                  <a:pPr>
                    <a:defRPr sz="796" b="1" i="0" u="none" strike="noStrike" baseline="0">
                      <a:solidFill>
                        <a:srgbClr val="000000"/>
                      </a:solidFill>
                      <a:latin typeface="Tahoma"/>
                      <a:ea typeface="Tahoma"/>
                      <a:cs typeface="Tahoma"/>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Lst>
            </c:dLbl>
            <c:dLbl>
              <c:idx val="2"/>
              <c:layout>
                <c:manualLayout>
                  <c:x val="3.1157160082363022E-2"/>
                  <c:y val="5.8935778237123593E-4"/>
                </c:manualLayout>
              </c:layout>
              <c:spPr>
                <a:noFill/>
                <a:ln w="25281">
                  <a:noFill/>
                </a:ln>
              </c:spPr>
              <c:txPr>
                <a:bodyPr/>
                <a:lstStyle/>
                <a:p>
                  <a:pPr>
                    <a:defRPr sz="796" b="1" i="0" u="none" strike="noStrike" baseline="0">
                      <a:solidFill>
                        <a:srgbClr val="000000"/>
                      </a:solidFill>
                      <a:latin typeface="Tahoma"/>
                      <a:ea typeface="Tahoma"/>
                      <a:cs typeface="Tahoma"/>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5.7595115518904838E-2"/>
                  <c:y val="-0.1349105777122091"/>
                </c:manualLayout>
              </c:layout>
              <c:spPr>
                <a:noFill/>
                <a:ln w="25281">
                  <a:noFill/>
                </a:ln>
              </c:spPr>
              <c:txPr>
                <a:bodyPr/>
                <a:lstStyle/>
                <a:p>
                  <a:pPr>
                    <a:defRPr sz="796" b="1" i="0" u="none" strike="noStrike" baseline="0">
                      <a:solidFill>
                        <a:srgbClr val="000000"/>
                      </a:solidFill>
                      <a:latin typeface="Tahoma"/>
                      <a:ea typeface="Tahoma"/>
                      <a:cs typeface="Tahoma"/>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2.7896680781310967E-2"/>
                  <c:y val="0.11337130168119269"/>
                </c:manualLayout>
              </c:layout>
              <c:spPr>
                <a:noFill/>
                <a:ln w="25281">
                  <a:noFill/>
                </a:ln>
              </c:spPr>
              <c:txPr>
                <a:bodyPr/>
                <a:lstStyle/>
                <a:p>
                  <a:pPr>
                    <a:defRPr sz="796" b="1" i="0" u="none" strike="noStrike" baseline="0">
                      <a:solidFill>
                        <a:srgbClr val="000000"/>
                      </a:solidFill>
                      <a:latin typeface="Tahoma"/>
                      <a:ea typeface="Tahoma"/>
                      <a:cs typeface="Tahoma"/>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Lst>
            </c:dLbl>
            <c:dLbl>
              <c:idx val="5"/>
              <c:layout>
                <c:manualLayout>
                  <c:x val="1.1786005217789414E-2"/>
                  <c:y val="-0.18956730158163471"/>
                </c:manualLayout>
              </c:layout>
              <c:spPr>
                <a:noFill/>
                <a:ln w="25281">
                  <a:noFill/>
                </a:ln>
              </c:spPr>
              <c:txPr>
                <a:bodyPr/>
                <a:lstStyle/>
                <a:p>
                  <a:pPr>
                    <a:defRPr sz="796" b="1" i="0" u="none" strike="noStrike" baseline="0">
                      <a:solidFill>
                        <a:srgbClr val="000000"/>
                      </a:solidFill>
                      <a:latin typeface="Tahoma"/>
                      <a:ea typeface="Tahoma"/>
                      <a:cs typeface="Tahoma"/>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Lst>
            </c:dLbl>
            <c:spPr>
              <a:noFill/>
              <a:ln w="25281">
                <a:noFill/>
              </a:ln>
            </c:spPr>
            <c:txPr>
              <a:bodyPr wrap="square" lIns="38100" tIns="19050" rIns="38100" bIns="19050" anchor="ctr">
                <a:spAutoFit/>
              </a:bodyPr>
              <a:lstStyle/>
              <a:p>
                <a:pPr>
                  <a:defRPr sz="796" b="1" i="0" u="none" strike="noStrike" baseline="0">
                    <a:solidFill>
                      <a:srgbClr val="000000"/>
                    </a:solidFill>
                    <a:latin typeface="Tahoma"/>
                    <a:ea typeface="Tahoma"/>
                    <a:cs typeface="Tahoma"/>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Sheet1!$B$1:$G$1</c:f>
              <c:strCache>
                <c:ptCount val="6"/>
                <c:pt idx="0">
                  <c:v> до года</c:v>
                </c:pt>
                <c:pt idx="1">
                  <c:v> 1-2 лет</c:v>
                </c:pt>
                <c:pt idx="2">
                  <c:v>3-6 лет</c:v>
                </c:pt>
                <c:pt idx="3">
                  <c:v> 7-14 лет</c:v>
                </c:pt>
                <c:pt idx="4">
                  <c:v>15-17 лет</c:v>
                </c:pt>
                <c:pt idx="5">
                  <c:v>Взрослые</c:v>
                </c:pt>
              </c:strCache>
            </c:strRef>
          </c:cat>
          <c:val>
            <c:numRef>
              <c:f>Sheet1!$B$2:$G$2</c:f>
              <c:numCache>
                <c:formatCode>0.0</c:formatCode>
                <c:ptCount val="6"/>
                <c:pt idx="0">
                  <c:v>4.5</c:v>
                </c:pt>
                <c:pt idx="1">
                  <c:v>7.5</c:v>
                </c:pt>
                <c:pt idx="2" formatCode="General">
                  <c:v>20.3</c:v>
                </c:pt>
                <c:pt idx="3">
                  <c:v>29.6</c:v>
                </c:pt>
                <c:pt idx="4">
                  <c:v>4.0999999999999996</c:v>
                </c:pt>
                <c:pt idx="5" formatCode="General">
                  <c:v>46</c:v>
                </c:pt>
              </c:numCache>
            </c:numRef>
          </c:val>
        </c:ser>
        <c:ser>
          <c:idx val="1"/>
          <c:order val="1"/>
          <c:tx>
            <c:strRef>
              <c:f>Sheet1!$A$3</c:f>
              <c:strCache>
                <c:ptCount val="1"/>
              </c:strCache>
            </c:strRef>
          </c:tx>
          <c:spPr>
            <a:solidFill>
              <a:srgbClr val="CC0000"/>
            </a:solidFill>
            <a:ln w="12640">
              <a:solidFill>
                <a:srgbClr val="000000"/>
              </a:solidFill>
              <a:prstDash val="solid"/>
            </a:ln>
          </c:spPr>
          <c:explosion val="25"/>
          <c:dPt>
            <c:idx val="0"/>
            <c:bubble3D val="0"/>
            <c:spPr>
              <a:solidFill>
                <a:srgbClr val="A3B2C1"/>
              </a:solidFill>
              <a:ln w="12640">
                <a:solidFill>
                  <a:srgbClr val="000000"/>
                </a:solidFill>
                <a:prstDash val="solid"/>
              </a:ln>
            </c:spPr>
          </c:dPt>
          <c:dPt>
            <c:idx val="1"/>
            <c:bubble3D val="0"/>
          </c:dPt>
          <c:dPt>
            <c:idx val="2"/>
            <c:bubble3D val="0"/>
            <c:spPr>
              <a:solidFill>
                <a:srgbClr val="336699"/>
              </a:solidFill>
              <a:ln w="12640">
                <a:solidFill>
                  <a:srgbClr val="000000"/>
                </a:solidFill>
                <a:prstDash val="solid"/>
              </a:ln>
            </c:spPr>
          </c:dPt>
          <c:dPt>
            <c:idx val="3"/>
            <c:bubble3D val="0"/>
            <c:spPr>
              <a:solidFill>
                <a:srgbClr val="003366"/>
              </a:solidFill>
              <a:ln w="12640">
                <a:solidFill>
                  <a:srgbClr val="000000"/>
                </a:solidFill>
                <a:prstDash val="solid"/>
              </a:ln>
            </c:spPr>
          </c:dPt>
          <c:dPt>
            <c:idx val="4"/>
            <c:bubble3D val="0"/>
            <c:spPr>
              <a:solidFill>
                <a:srgbClr val="DDDDDD"/>
              </a:solidFill>
              <a:ln w="12640">
                <a:solidFill>
                  <a:srgbClr val="000000"/>
                </a:solidFill>
                <a:prstDash val="solid"/>
              </a:ln>
            </c:spPr>
          </c:dPt>
          <c:dPt>
            <c:idx val="5"/>
            <c:bubble3D val="0"/>
            <c:spPr>
              <a:solidFill>
                <a:srgbClr val="000000"/>
              </a:solidFill>
              <a:ln w="12640">
                <a:solidFill>
                  <a:srgbClr val="000000"/>
                </a:solidFill>
                <a:prstDash val="solid"/>
              </a:ln>
            </c:spPr>
          </c:dPt>
          <c:dLbls>
            <c:numFmt formatCode="0%" sourceLinked="0"/>
            <c:spPr>
              <a:noFill/>
              <a:ln w="25281">
                <a:noFill/>
              </a:ln>
            </c:spPr>
            <c:txPr>
              <a:bodyPr wrap="square" lIns="38100" tIns="19050" rIns="38100" bIns="19050" anchor="ctr">
                <a:spAutoFit/>
              </a:bodyPr>
              <a:lstStyle/>
              <a:p>
                <a:pPr>
                  <a:defRPr sz="796" b="1" i="0" u="none" strike="noStrike" baseline="0">
                    <a:solidFill>
                      <a:srgbClr val="000000"/>
                    </a:solidFill>
                    <a:latin typeface="Tahoma"/>
                    <a:ea typeface="Tahoma"/>
                    <a:cs typeface="Tahoma"/>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Sheet1!$B$1:$G$1</c:f>
              <c:strCache>
                <c:ptCount val="6"/>
                <c:pt idx="0">
                  <c:v> до года</c:v>
                </c:pt>
                <c:pt idx="1">
                  <c:v> 1-2 лет</c:v>
                </c:pt>
                <c:pt idx="2">
                  <c:v>3-6 лет</c:v>
                </c:pt>
                <c:pt idx="3">
                  <c:v> 7-14 лет</c:v>
                </c:pt>
                <c:pt idx="4">
                  <c:v>15-17 лет</c:v>
                </c:pt>
                <c:pt idx="5">
                  <c:v>Взрослые</c:v>
                </c:pt>
              </c:strCache>
            </c:strRef>
          </c:cat>
          <c:val>
            <c:numRef>
              <c:f>Sheet1!$B$3:$G$3</c:f>
              <c:numCache>
                <c:formatCode>General</c:formatCode>
                <c:ptCount val="6"/>
              </c:numCache>
            </c:numRef>
          </c:val>
        </c:ser>
        <c:ser>
          <c:idx val="2"/>
          <c:order val="2"/>
          <c:tx>
            <c:strRef>
              <c:f>Sheet1!$A$4</c:f>
              <c:strCache>
                <c:ptCount val="1"/>
              </c:strCache>
            </c:strRef>
          </c:tx>
          <c:spPr>
            <a:solidFill>
              <a:srgbClr val="336699"/>
            </a:solidFill>
            <a:ln w="12640">
              <a:solidFill>
                <a:srgbClr val="000000"/>
              </a:solidFill>
              <a:prstDash val="solid"/>
            </a:ln>
          </c:spPr>
          <c:explosion val="25"/>
          <c:dPt>
            <c:idx val="0"/>
            <c:bubble3D val="0"/>
            <c:spPr>
              <a:solidFill>
                <a:srgbClr val="A3B2C1"/>
              </a:solidFill>
              <a:ln w="12640">
                <a:solidFill>
                  <a:srgbClr val="000000"/>
                </a:solidFill>
                <a:prstDash val="solid"/>
              </a:ln>
            </c:spPr>
          </c:dPt>
          <c:dPt>
            <c:idx val="1"/>
            <c:bubble3D val="0"/>
            <c:spPr>
              <a:solidFill>
                <a:srgbClr val="CC0000"/>
              </a:solidFill>
              <a:ln w="12640">
                <a:solidFill>
                  <a:srgbClr val="000000"/>
                </a:solidFill>
                <a:prstDash val="solid"/>
              </a:ln>
            </c:spPr>
          </c:dPt>
          <c:dPt>
            <c:idx val="2"/>
            <c:bubble3D val="0"/>
          </c:dPt>
          <c:dPt>
            <c:idx val="3"/>
            <c:bubble3D val="0"/>
            <c:spPr>
              <a:solidFill>
                <a:srgbClr val="003366"/>
              </a:solidFill>
              <a:ln w="12640">
                <a:solidFill>
                  <a:srgbClr val="000000"/>
                </a:solidFill>
                <a:prstDash val="solid"/>
              </a:ln>
            </c:spPr>
          </c:dPt>
          <c:dPt>
            <c:idx val="4"/>
            <c:bubble3D val="0"/>
            <c:spPr>
              <a:solidFill>
                <a:srgbClr val="DDDDDD"/>
              </a:solidFill>
              <a:ln w="12640">
                <a:solidFill>
                  <a:srgbClr val="000000"/>
                </a:solidFill>
                <a:prstDash val="solid"/>
              </a:ln>
            </c:spPr>
          </c:dPt>
          <c:dPt>
            <c:idx val="5"/>
            <c:bubble3D val="0"/>
            <c:spPr>
              <a:solidFill>
                <a:srgbClr val="000000"/>
              </a:solidFill>
              <a:ln w="12640">
                <a:solidFill>
                  <a:srgbClr val="000000"/>
                </a:solidFill>
                <a:prstDash val="solid"/>
              </a:ln>
            </c:spPr>
          </c:dPt>
          <c:dLbls>
            <c:numFmt formatCode="0%" sourceLinked="0"/>
            <c:spPr>
              <a:noFill/>
              <a:ln w="25281">
                <a:noFill/>
              </a:ln>
            </c:spPr>
            <c:txPr>
              <a:bodyPr wrap="square" lIns="38100" tIns="19050" rIns="38100" bIns="19050" anchor="ctr">
                <a:spAutoFit/>
              </a:bodyPr>
              <a:lstStyle/>
              <a:p>
                <a:pPr>
                  <a:defRPr sz="796" b="1" i="0" u="none" strike="noStrike" baseline="0">
                    <a:solidFill>
                      <a:srgbClr val="000000"/>
                    </a:solidFill>
                    <a:latin typeface="Tahoma"/>
                    <a:ea typeface="Tahoma"/>
                    <a:cs typeface="Tahoma"/>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Sheet1!$B$1:$G$1</c:f>
              <c:strCache>
                <c:ptCount val="6"/>
                <c:pt idx="0">
                  <c:v> до года</c:v>
                </c:pt>
                <c:pt idx="1">
                  <c:v> 1-2 лет</c:v>
                </c:pt>
                <c:pt idx="2">
                  <c:v>3-6 лет</c:v>
                </c:pt>
                <c:pt idx="3">
                  <c:v> 7-14 лет</c:v>
                </c:pt>
                <c:pt idx="4">
                  <c:v>15-17 лет</c:v>
                </c:pt>
                <c:pt idx="5">
                  <c:v>Взрослые</c:v>
                </c:pt>
              </c:strCache>
            </c:strRef>
          </c:cat>
          <c:val>
            <c:numRef>
              <c:f>Sheet1!$B$4:$G$4</c:f>
              <c:numCache>
                <c:formatCode>General</c:formatCode>
                <c:ptCount val="6"/>
              </c:numCache>
            </c:numRef>
          </c:val>
        </c:ser>
        <c:ser>
          <c:idx val="3"/>
          <c:order val="3"/>
          <c:tx>
            <c:strRef>
              <c:f>Sheet1!$A$5</c:f>
              <c:strCache>
                <c:ptCount val="1"/>
              </c:strCache>
            </c:strRef>
          </c:tx>
          <c:spPr>
            <a:solidFill>
              <a:srgbClr val="003366"/>
            </a:solidFill>
            <a:ln w="12640">
              <a:solidFill>
                <a:srgbClr val="000000"/>
              </a:solidFill>
              <a:prstDash val="solid"/>
            </a:ln>
          </c:spPr>
          <c:explosion val="25"/>
          <c:dPt>
            <c:idx val="0"/>
            <c:bubble3D val="0"/>
            <c:spPr>
              <a:solidFill>
                <a:srgbClr val="A3B2C1"/>
              </a:solidFill>
              <a:ln w="12640">
                <a:solidFill>
                  <a:srgbClr val="000000"/>
                </a:solidFill>
                <a:prstDash val="solid"/>
              </a:ln>
            </c:spPr>
          </c:dPt>
          <c:dPt>
            <c:idx val="1"/>
            <c:bubble3D val="0"/>
            <c:spPr>
              <a:solidFill>
                <a:srgbClr val="CC0000"/>
              </a:solidFill>
              <a:ln w="12640">
                <a:solidFill>
                  <a:srgbClr val="000000"/>
                </a:solidFill>
                <a:prstDash val="solid"/>
              </a:ln>
            </c:spPr>
          </c:dPt>
          <c:dPt>
            <c:idx val="2"/>
            <c:bubble3D val="0"/>
            <c:spPr>
              <a:solidFill>
                <a:srgbClr val="336699"/>
              </a:solidFill>
              <a:ln w="12640">
                <a:solidFill>
                  <a:srgbClr val="000000"/>
                </a:solidFill>
                <a:prstDash val="solid"/>
              </a:ln>
            </c:spPr>
          </c:dPt>
          <c:dPt>
            <c:idx val="3"/>
            <c:bubble3D val="0"/>
          </c:dPt>
          <c:dPt>
            <c:idx val="4"/>
            <c:bubble3D val="0"/>
            <c:spPr>
              <a:solidFill>
                <a:srgbClr val="DDDDDD"/>
              </a:solidFill>
              <a:ln w="12640">
                <a:solidFill>
                  <a:srgbClr val="000000"/>
                </a:solidFill>
                <a:prstDash val="solid"/>
              </a:ln>
            </c:spPr>
          </c:dPt>
          <c:dPt>
            <c:idx val="5"/>
            <c:bubble3D val="0"/>
            <c:spPr>
              <a:solidFill>
                <a:srgbClr val="000000"/>
              </a:solidFill>
              <a:ln w="12640">
                <a:solidFill>
                  <a:srgbClr val="000000"/>
                </a:solidFill>
                <a:prstDash val="solid"/>
              </a:ln>
            </c:spPr>
          </c:dPt>
          <c:dLbls>
            <c:numFmt formatCode="0%" sourceLinked="0"/>
            <c:spPr>
              <a:noFill/>
              <a:ln w="25281">
                <a:noFill/>
              </a:ln>
            </c:spPr>
            <c:txPr>
              <a:bodyPr wrap="square" lIns="38100" tIns="19050" rIns="38100" bIns="19050" anchor="ctr">
                <a:spAutoFit/>
              </a:bodyPr>
              <a:lstStyle/>
              <a:p>
                <a:pPr>
                  <a:defRPr sz="796" b="1" i="0" u="none" strike="noStrike" baseline="0">
                    <a:solidFill>
                      <a:srgbClr val="000000"/>
                    </a:solidFill>
                    <a:latin typeface="Tahoma"/>
                    <a:ea typeface="Tahoma"/>
                    <a:cs typeface="Tahoma"/>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Sheet1!$B$1:$G$1</c:f>
              <c:strCache>
                <c:ptCount val="6"/>
                <c:pt idx="0">
                  <c:v> до года</c:v>
                </c:pt>
                <c:pt idx="1">
                  <c:v> 1-2 лет</c:v>
                </c:pt>
                <c:pt idx="2">
                  <c:v>3-6 лет</c:v>
                </c:pt>
                <c:pt idx="3">
                  <c:v> 7-14 лет</c:v>
                </c:pt>
                <c:pt idx="4">
                  <c:v>15-17 лет</c:v>
                </c:pt>
                <c:pt idx="5">
                  <c:v>Взрослые</c:v>
                </c:pt>
              </c:strCache>
            </c:strRef>
          </c:cat>
          <c:val>
            <c:numRef>
              <c:f>Sheet1!$B$5:$G$5</c:f>
              <c:numCache>
                <c:formatCode>General</c:formatCode>
                <c:ptCount val="6"/>
              </c:numCache>
            </c:numRef>
          </c:val>
        </c:ser>
        <c:ser>
          <c:idx val="4"/>
          <c:order val="4"/>
          <c:tx>
            <c:strRef>
              <c:f>Sheet1!$A$6</c:f>
              <c:strCache>
                <c:ptCount val="1"/>
              </c:strCache>
            </c:strRef>
          </c:tx>
          <c:spPr>
            <a:solidFill>
              <a:srgbClr val="DDDDDD"/>
            </a:solidFill>
            <a:ln w="12640">
              <a:solidFill>
                <a:srgbClr val="000000"/>
              </a:solidFill>
              <a:prstDash val="solid"/>
            </a:ln>
          </c:spPr>
          <c:explosion val="25"/>
          <c:dPt>
            <c:idx val="0"/>
            <c:bubble3D val="0"/>
            <c:spPr>
              <a:solidFill>
                <a:srgbClr val="A3B2C1"/>
              </a:solidFill>
              <a:ln w="12640">
                <a:solidFill>
                  <a:srgbClr val="000000"/>
                </a:solidFill>
                <a:prstDash val="solid"/>
              </a:ln>
            </c:spPr>
          </c:dPt>
          <c:dPt>
            <c:idx val="1"/>
            <c:bubble3D val="0"/>
            <c:spPr>
              <a:solidFill>
                <a:srgbClr val="CC0000"/>
              </a:solidFill>
              <a:ln w="12640">
                <a:solidFill>
                  <a:srgbClr val="000000"/>
                </a:solidFill>
                <a:prstDash val="solid"/>
              </a:ln>
            </c:spPr>
          </c:dPt>
          <c:dPt>
            <c:idx val="2"/>
            <c:bubble3D val="0"/>
            <c:spPr>
              <a:solidFill>
                <a:srgbClr val="336699"/>
              </a:solidFill>
              <a:ln w="12640">
                <a:solidFill>
                  <a:srgbClr val="000000"/>
                </a:solidFill>
                <a:prstDash val="solid"/>
              </a:ln>
            </c:spPr>
          </c:dPt>
          <c:dPt>
            <c:idx val="3"/>
            <c:bubble3D val="0"/>
            <c:spPr>
              <a:solidFill>
                <a:srgbClr val="003366"/>
              </a:solidFill>
              <a:ln w="12640">
                <a:solidFill>
                  <a:srgbClr val="000000"/>
                </a:solidFill>
                <a:prstDash val="solid"/>
              </a:ln>
            </c:spPr>
          </c:dPt>
          <c:dPt>
            <c:idx val="4"/>
            <c:bubble3D val="0"/>
          </c:dPt>
          <c:dPt>
            <c:idx val="5"/>
            <c:bubble3D val="0"/>
            <c:spPr>
              <a:solidFill>
                <a:srgbClr val="000000"/>
              </a:solidFill>
              <a:ln w="12640">
                <a:solidFill>
                  <a:srgbClr val="000000"/>
                </a:solidFill>
                <a:prstDash val="solid"/>
              </a:ln>
            </c:spPr>
          </c:dPt>
          <c:dLbls>
            <c:numFmt formatCode="0%" sourceLinked="0"/>
            <c:spPr>
              <a:noFill/>
              <a:ln w="25281">
                <a:noFill/>
              </a:ln>
            </c:spPr>
            <c:txPr>
              <a:bodyPr wrap="square" lIns="38100" tIns="19050" rIns="38100" bIns="19050" anchor="ctr">
                <a:spAutoFit/>
              </a:bodyPr>
              <a:lstStyle/>
              <a:p>
                <a:pPr>
                  <a:defRPr sz="796" b="1" i="0" u="none" strike="noStrike" baseline="0">
                    <a:solidFill>
                      <a:srgbClr val="000000"/>
                    </a:solidFill>
                    <a:latin typeface="Tahoma"/>
                    <a:ea typeface="Tahoma"/>
                    <a:cs typeface="Tahoma"/>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Sheet1!$B$1:$G$1</c:f>
              <c:strCache>
                <c:ptCount val="6"/>
                <c:pt idx="0">
                  <c:v> до года</c:v>
                </c:pt>
                <c:pt idx="1">
                  <c:v> 1-2 лет</c:v>
                </c:pt>
                <c:pt idx="2">
                  <c:v>3-6 лет</c:v>
                </c:pt>
                <c:pt idx="3">
                  <c:v> 7-14 лет</c:v>
                </c:pt>
                <c:pt idx="4">
                  <c:v>15-17 лет</c:v>
                </c:pt>
                <c:pt idx="5">
                  <c:v>Взрослые</c:v>
                </c:pt>
              </c:strCache>
            </c:strRef>
          </c:cat>
          <c:val>
            <c:numRef>
              <c:f>Sheet1!$B$6:$G$6</c:f>
              <c:numCache>
                <c:formatCode>General</c:formatCode>
                <c:ptCount val="6"/>
              </c:numCache>
            </c:numRef>
          </c:val>
        </c:ser>
        <c:dLbls>
          <c:showLegendKey val="0"/>
          <c:showVal val="0"/>
          <c:showCatName val="1"/>
          <c:showSerName val="0"/>
          <c:showPercent val="1"/>
          <c:showBubbleSize val="0"/>
          <c:showLeaderLines val="1"/>
        </c:dLbls>
      </c:pie3DChart>
      <c:spPr>
        <a:noFill/>
        <a:ln w="25281">
          <a:noFill/>
        </a:ln>
      </c:spPr>
    </c:plotArea>
    <c:legend>
      <c:legendPos val="b"/>
      <c:layout>
        <c:manualLayout>
          <c:xMode val="edge"/>
          <c:yMode val="edge"/>
          <c:x val="3.2986111111111112E-2"/>
          <c:y val="0.91570881226053635"/>
          <c:w val="0.93576388888888884"/>
          <c:h val="7.662835249042145E-2"/>
        </c:manualLayout>
      </c:layout>
      <c:overlay val="0"/>
      <c:spPr>
        <a:solidFill>
          <a:srgbClr val="FFFFFF"/>
        </a:solidFill>
        <a:ln w="3160">
          <a:solidFill>
            <a:srgbClr val="000000"/>
          </a:solidFill>
          <a:prstDash val="solid"/>
        </a:ln>
      </c:spPr>
      <c:txPr>
        <a:bodyPr/>
        <a:lstStyle/>
        <a:p>
          <a:pPr>
            <a:defRPr sz="732" b="1" i="0" u="none" strike="noStrike" baseline="0">
              <a:solidFill>
                <a:srgbClr val="000000"/>
              </a:solidFill>
              <a:latin typeface="Tahoma"/>
              <a:ea typeface="Tahoma"/>
              <a:cs typeface="Tahoma"/>
            </a:defRPr>
          </a:pPr>
          <a:endParaRPr lang="ru-RU"/>
        </a:p>
      </c:txPr>
    </c:legend>
    <c:plotVisOnly val="1"/>
    <c:dispBlanksAs val="zero"/>
    <c:showDLblsOverMax val="0"/>
  </c:chart>
  <c:spPr>
    <a:noFill/>
    <a:ln w="3160">
      <a:solidFill>
        <a:srgbClr val="000000"/>
      </a:solidFill>
      <a:prstDash val="solid"/>
    </a:ln>
  </c:spPr>
  <c:txPr>
    <a:bodyPr/>
    <a:lstStyle/>
    <a:p>
      <a:pPr>
        <a:defRPr sz="796" b="1" i="0" u="none" strike="noStrike" baseline="0">
          <a:solidFill>
            <a:srgbClr val="000000"/>
          </a:solidFill>
          <a:latin typeface="Tahoma"/>
          <a:ea typeface="Tahoma"/>
          <a:cs typeface="Tahoma"/>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0.10085470085470086"/>
          <c:y val="4.8507462686567165E-2"/>
          <c:w val="0.86495726495726499"/>
          <c:h val="0.71268656716417911"/>
        </c:manualLayout>
      </c:layout>
      <c:bar3DChart>
        <c:barDir val="col"/>
        <c:grouping val="clustered"/>
        <c:varyColors val="0"/>
        <c:ser>
          <c:idx val="0"/>
          <c:order val="0"/>
          <c:tx>
            <c:strRef>
              <c:f>Sheet1!$A$2</c:f>
              <c:strCache>
                <c:ptCount val="1"/>
              </c:strCache>
            </c:strRef>
          </c:tx>
          <c:spPr>
            <a:solidFill>
              <a:srgbClr val="CC99FF"/>
            </a:solidFill>
            <a:ln w="12696">
              <a:solidFill>
                <a:srgbClr val="000000"/>
              </a:solidFill>
              <a:prstDash val="solid"/>
            </a:ln>
          </c:spPr>
          <c:invertIfNegative val="0"/>
          <c:dPt>
            <c:idx val="0"/>
            <c:invertIfNegative val="0"/>
            <c:bubble3D val="0"/>
            <c:spPr>
              <a:pattFill prst="zigZ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6">
                <a:solidFill>
                  <a:srgbClr val="000000"/>
                </a:solidFill>
                <a:prstDash val="solid"/>
              </a:ln>
            </c:spPr>
          </c:dPt>
          <c:dPt>
            <c:idx val="1"/>
            <c:invertIfNegative val="0"/>
            <c:bubble3D val="0"/>
            <c:spPr>
              <a:solidFill>
                <a:srgbClr val="FFFFFF"/>
              </a:solidFill>
              <a:ln w="12696">
                <a:solidFill>
                  <a:srgbClr val="000000"/>
                </a:solidFill>
                <a:prstDash val="solid"/>
              </a:ln>
            </c:spPr>
          </c:dPt>
          <c:dPt>
            <c:idx val="2"/>
            <c:invertIfNegative val="0"/>
            <c:bubble3D val="0"/>
            <c:spPr>
              <a:pattFill prst="nar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6">
                <a:solidFill>
                  <a:srgbClr val="000000"/>
                </a:solidFill>
                <a:prstDash val="solid"/>
              </a:ln>
            </c:spPr>
          </c:dPt>
          <c:dPt>
            <c:idx val="3"/>
            <c:invertIfNegative val="0"/>
            <c:bubble3D val="0"/>
            <c:spPr>
              <a:pattFill prst="pla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6">
                <a:solidFill>
                  <a:srgbClr val="000000"/>
                </a:solidFill>
                <a:prstDash val="solid"/>
              </a:ln>
            </c:spPr>
          </c:dPt>
          <c:dPt>
            <c:idx val="4"/>
            <c:invertIfNegative val="0"/>
            <c:bubble3D val="0"/>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6">
                <a:solidFill>
                  <a:srgbClr val="000000"/>
                </a:solidFill>
                <a:prstDash val="solid"/>
              </a:ln>
            </c:spPr>
          </c:dPt>
          <c:dPt>
            <c:idx val="5"/>
            <c:invertIfNegative val="0"/>
            <c:bubble3D val="0"/>
            <c:spPr>
              <a:pattFill prst="dk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6">
                <a:solidFill>
                  <a:srgbClr val="000000"/>
                </a:solidFill>
                <a:prstDash val="solid"/>
              </a:ln>
            </c:spPr>
          </c:dPt>
          <c:dPt>
            <c:idx val="6"/>
            <c:invertIfNegative val="0"/>
            <c:bubble3D val="0"/>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6">
                <a:solidFill>
                  <a:srgbClr val="000000"/>
                </a:solidFill>
                <a:prstDash val="solid"/>
              </a:ln>
            </c:spPr>
          </c:dPt>
          <c:dPt>
            <c:idx val="7"/>
            <c:invertIfNegative val="0"/>
            <c:bubble3D val="0"/>
            <c:spPr>
              <a:pattFill prst="nar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6">
                <a:solidFill>
                  <a:srgbClr val="000000"/>
                </a:solidFill>
                <a:prstDash val="solid"/>
              </a:ln>
            </c:spPr>
          </c:dPt>
          <c:dPt>
            <c:idx val="8"/>
            <c:invertIfNegative val="0"/>
            <c:bubble3D val="0"/>
            <c:spPr>
              <a:solidFill>
                <a:srgbClr val="000000"/>
              </a:solidFill>
              <a:ln w="12696">
                <a:solidFill>
                  <a:srgbClr val="000000"/>
                </a:solidFill>
                <a:prstDash val="solid"/>
              </a:ln>
            </c:spPr>
          </c:dPt>
          <c:dLbls>
            <c:dLbl>
              <c:idx val="0"/>
              <c:layout>
                <c:manualLayout>
                  <c:x val="2.0275130805375408E-2"/>
                  <c:y val="-8.5422892995411503E-3"/>
                </c:manualLayout>
              </c:layout>
              <c:spPr>
                <a:noFill/>
                <a:ln w="25392">
                  <a:noFill/>
                </a:ln>
              </c:spPr>
              <c:txPr>
                <a:bodyPr/>
                <a:lstStyle/>
                <a:p>
                  <a:pPr>
                    <a:defRPr sz="7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2.0250336807900754E-2"/>
                  <c:y val="-4.7752212809480943E-3"/>
                </c:manualLayout>
              </c:layout>
              <c:spPr>
                <a:noFill/>
                <a:ln w="25392">
                  <a:noFill/>
                </a:ln>
              </c:spPr>
              <c:txPr>
                <a:bodyPr/>
                <a:lstStyle/>
                <a:p>
                  <a:pPr>
                    <a:defRPr sz="7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5.555688412710813E-3"/>
                  <c:y val="-1.8923708986923138E-2"/>
                </c:manualLayout>
              </c:layout>
              <c:spPr>
                <a:noFill/>
                <a:ln w="25392">
                  <a:noFill/>
                </a:ln>
              </c:spPr>
              <c:txPr>
                <a:bodyPr/>
                <a:lstStyle/>
                <a:p>
                  <a:pPr>
                    <a:defRPr sz="7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1.0901427992240031E-2"/>
                  <c:y val="-7.5184428627360911E-3"/>
                </c:manualLayout>
              </c:layout>
              <c:spPr>
                <a:noFill/>
                <a:ln w="25392">
                  <a:noFill/>
                </a:ln>
              </c:spPr>
              <c:txPr>
                <a:bodyPr/>
                <a:lstStyle/>
                <a:p>
                  <a:pPr>
                    <a:defRPr sz="7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8.6698241032813206E-3"/>
                  <c:y val="-3.8722731770384766E-3"/>
                </c:manualLayout>
              </c:layout>
              <c:spPr>
                <a:noFill/>
                <a:ln w="25392">
                  <a:noFill/>
                </a:ln>
              </c:spPr>
              <c:txPr>
                <a:bodyPr/>
                <a:lstStyle/>
                <a:p>
                  <a:pPr>
                    <a:defRPr sz="7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5"/>
              <c:layout>
                <c:manualLayout>
                  <c:x val="1.5724965392212242E-2"/>
                  <c:y val="-2.6723013723197631E-2"/>
                </c:manualLayout>
              </c:layout>
              <c:spPr>
                <a:noFill/>
                <a:ln w="25392">
                  <a:noFill/>
                </a:ln>
              </c:spPr>
              <c:txPr>
                <a:bodyPr/>
                <a:lstStyle/>
                <a:p>
                  <a:pPr>
                    <a:defRPr sz="7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6"/>
              <c:layout>
                <c:manualLayout>
                  <c:x val="1.9361478904002638E-2"/>
                  <c:y val="-2.517291456753612E-3"/>
                </c:manualLayout>
              </c:layout>
              <c:spPr>
                <a:noFill/>
                <a:ln w="25392">
                  <a:noFill/>
                </a:ln>
              </c:spPr>
              <c:txPr>
                <a:bodyPr/>
                <a:lstStyle/>
                <a:p>
                  <a:pPr>
                    <a:defRPr sz="7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7"/>
              <c:layout>
                <c:manualLayout>
                  <c:x val="1.0049764086975554E-2"/>
                  <c:y val="-2.91795381752748E-2"/>
                </c:manualLayout>
              </c:layout>
              <c:tx>
                <c:rich>
                  <a:bodyPr/>
                  <a:lstStyle/>
                  <a:p>
                    <a:pPr>
                      <a:defRPr sz="700" b="0" i="0" u="none" strike="noStrike" baseline="0">
                        <a:solidFill>
                          <a:srgbClr val="000000"/>
                        </a:solidFill>
                        <a:latin typeface="Times New Roman"/>
                        <a:ea typeface="Times New Roman"/>
                        <a:cs typeface="Times New Roman"/>
                      </a:defRPr>
                    </a:pPr>
                    <a:r>
                      <a:rPr lang="en-US"/>
                      <a:t> 65617,5</a:t>
                    </a:r>
                  </a:p>
                </c:rich>
              </c:tx>
              <c:spPr>
                <a:noFill/>
                <a:ln w="25392">
                  <a:noFill/>
                </a:ln>
              </c:spPr>
              <c:showLegendKey val="0"/>
              <c:showVal val="0"/>
              <c:showCatName val="0"/>
              <c:showSerName val="0"/>
              <c:showPercent val="0"/>
              <c:showBubbleSize val="0"/>
              <c:extLst>
                <c:ext xmlns:c15="http://schemas.microsoft.com/office/drawing/2012/chart" uri="{CE6537A1-D6FC-4f65-9D91-7224C49458BB}"/>
              </c:extLst>
            </c:dLbl>
            <c:dLbl>
              <c:idx val="8"/>
              <c:layout>
                <c:manualLayout>
                  <c:x val="1.2219204338162926E-2"/>
                  <c:y val="-9.7058097811916211E-3"/>
                </c:manualLayout>
              </c:layout>
              <c:spPr>
                <a:noFill/>
                <a:ln w="25392">
                  <a:noFill/>
                </a:ln>
              </c:spPr>
              <c:txPr>
                <a:bodyPr/>
                <a:lstStyle/>
                <a:p>
                  <a:pPr>
                    <a:defRPr sz="7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92">
                <a:noFill/>
              </a:ln>
            </c:spPr>
            <c:txPr>
              <a:bodyPr wrap="square" lIns="38100" tIns="19050" rIns="38100" bIns="19050" anchor="ctr">
                <a:spAutoFit/>
              </a:bodyPr>
              <a:lstStyle/>
              <a:p>
                <a:pPr>
                  <a:defRPr sz="7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9"/>
                <c:pt idx="0">
                  <c:v>все жители</c:v>
                </c:pt>
                <c:pt idx="1">
                  <c:v>взрослые</c:v>
                </c:pt>
                <c:pt idx="2">
                  <c:v>до 17 лет</c:v>
                </c:pt>
                <c:pt idx="3">
                  <c:v>до года</c:v>
                </c:pt>
                <c:pt idx="4">
                  <c:v>1-2 года</c:v>
                </c:pt>
                <c:pt idx="5">
                  <c:v>3-6 лет ДДУ</c:v>
                </c:pt>
                <c:pt idx="6">
                  <c:v>3-6лет н/о</c:v>
                </c:pt>
                <c:pt idx="7">
                  <c:v>школьники 7-14 л</c:v>
                </c:pt>
                <c:pt idx="8">
                  <c:v>15-17 лет</c:v>
                </c:pt>
              </c:strCache>
            </c:strRef>
          </c:cat>
          <c:val>
            <c:numRef>
              <c:f>Sheet1!$B$2:$J$2</c:f>
              <c:numCache>
                <c:formatCode>General</c:formatCode>
                <c:ptCount val="9"/>
                <c:pt idx="0">
                  <c:v>51370.3</c:v>
                </c:pt>
                <c:pt idx="1">
                  <c:v>31299</c:v>
                </c:pt>
                <c:pt idx="2">
                  <c:v>113372.33</c:v>
                </c:pt>
                <c:pt idx="3">
                  <c:v>211009.2</c:v>
                </c:pt>
                <c:pt idx="4">
                  <c:v>157894.74</c:v>
                </c:pt>
                <c:pt idx="5">
                  <c:v>187844.3</c:v>
                </c:pt>
                <c:pt idx="6">
                  <c:v>16386.2</c:v>
                </c:pt>
                <c:pt idx="7">
                  <c:v>123775.5</c:v>
                </c:pt>
                <c:pt idx="8">
                  <c:v>58096.1</c:v>
                </c:pt>
              </c:numCache>
            </c:numRef>
          </c:val>
        </c:ser>
        <c:dLbls>
          <c:showLegendKey val="0"/>
          <c:showVal val="1"/>
          <c:showCatName val="0"/>
          <c:showSerName val="0"/>
          <c:showPercent val="0"/>
          <c:showBubbleSize val="0"/>
        </c:dLbls>
        <c:gapWidth val="150"/>
        <c:gapDepth val="0"/>
        <c:shape val="box"/>
        <c:axId val="546925816"/>
        <c:axId val="546926208"/>
        <c:axId val="0"/>
      </c:bar3DChart>
      <c:catAx>
        <c:axId val="546925816"/>
        <c:scaling>
          <c:orientation val="minMax"/>
        </c:scaling>
        <c:delete val="1"/>
        <c:axPos val="b"/>
        <c:numFmt formatCode="General" sourceLinked="1"/>
        <c:majorTickMark val="out"/>
        <c:minorTickMark val="none"/>
        <c:tickLblPos val="nextTo"/>
        <c:crossAx val="546926208"/>
        <c:crosses val="autoZero"/>
        <c:auto val="1"/>
        <c:lblAlgn val="ctr"/>
        <c:lblOffset val="100"/>
        <c:noMultiLvlLbl val="0"/>
      </c:catAx>
      <c:valAx>
        <c:axId val="546926208"/>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900" b="0" i="0" u="none" strike="noStrike" baseline="0">
                <a:solidFill>
                  <a:srgbClr val="000000"/>
                </a:solidFill>
                <a:latin typeface="Tahoma"/>
                <a:ea typeface="Tahoma"/>
                <a:cs typeface="Tahoma"/>
              </a:defRPr>
            </a:pPr>
            <a:endParaRPr lang="ru-RU"/>
          </a:p>
        </c:txPr>
        <c:crossAx val="546925816"/>
        <c:crosses val="autoZero"/>
        <c:crossBetween val="between"/>
      </c:valAx>
      <c:spPr>
        <a:noFill/>
        <a:ln w="25392">
          <a:noFill/>
        </a:ln>
      </c:spPr>
    </c:plotArea>
    <c:legend>
      <c:legendPos val="b"/>
      <c:layout>
        <c:manualLayout>
          <c:xMode val="edge"/>
          <c:yMode val="edge"/>
          <c:x val="7.179487179487179E-2"/>
          <c:y val="0.83582089552238803"/>
          <c:w val="0.85811965811965807"/>
          <c:h val="0.15298507462686567"/>
        </c:manualLayout>
      </c:layout>
      <c:overlay val="0"/>
      <c:spPr>
        <a:solidFill>
          <a:srgbClr val="FFFFFF"/>
        </a:solidFill>
        <a:ln w="3174">
          <a:solidFill>
            <a:srgbClr val="000000"/>
          </a:solidFill>
          <a:prstDash val="solid"/>
        </a:ln>
      </c:spPr>
      <c:txPr>
        <a:bodyPr/>
        <a:lstStyle/>
        <a:p>
          <a:pPr>
            <a:defRPr sz="73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150" b="1" i="0" u="none" strike="noStrike" baseline="0">
          <a:solidFill>
            <a:srgbClr val="000000"/>
          </a:solidFill>
          <a:latin typeface="Tahoma"/>
          <a:ea typeface="Tahoma"/>
          <a:cs typeface="Tahoma"/>
        </a:defRPr>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000000000000006E-2"/>
          <c:y val="8.8983050847457626E-2"/>
          <c:w val="0.9"/>
          <c:h val="0.65677966101694918"/>
        </c:manualLayout>
      </c:layout>
      <c:lineChart>
        <c:grouping val="standard"/>
        <c:varyColors val="0"/>
        <c:ser>
          <c:idx val="0"/>
          <c:order val="0"/>
          <c:tx>
            <c:strRef>
              <c:f>Sheet1!$A$2</c:f>
              <c:strCache>
                <c:ptCount val="1"/>
                <c:pt idx="0">
                  <c:v>грипп + ОРЗ</c:v>
                </c:pt>
              </c:strCache>
            </c:strRef>
          </c:tx>
          <c:spPr>
            <a:ln w="12637">
              <a:solidFill>
                <a:srgbClr val="000000"/>
              </a:solidFill>
              <a:prstDash val="solid"/>
            </a:ln>
          </c:spPr>
          <c:marker>
            <c:symbol val="diamond"/>
            <c:size val="4"/>
            <c:spPr>
              <a:solidFill>
                <a:srgbClr val="000000"/>
              </a:solidFill>
              <a:ln>
                <a:solidFill>
                  <a:srgbClr val="000000"/>
                </a:solidFill>
                <a:prstDash val="solid"/>
              </a:ln>
            </c:spPr>
          </c:marker>
          <c:dLbls>
            <c:dLbl>
              <c:idx val="4"/>
              <c:spPr>
                <a:noFill/>
                <a:ln w="25275">
                  <a:noFill/>
                </a:ln>
              </c:spPr>
              <c:txPr>
                <a:bodyPr/>
                <a:lstStyle/>
                <a:p>
                  <a:pPr>
                    <a:defRPr sz="796" b="0" i="0" u="none" strike="noStrike" baseline="0">
                      <a:solidFill>
                        <a:srgbClr val="000000"/>
                      </a:solidFill>
                      <a:latin typeface="Times New Roman"/>
                      <a:ea typeface="Times New Roman"/>
                      <a:cs typeface="Times New Roman"/>
                    </a:defRPr>
                  </a:pPr>
                  <a:endParaRPr lang="ru-RU"/>
                </a:p>
              </c:txPr>
              <c:dLblPos val="t"/>
              <c:showLegendKey val="0"/>
              <c:showVal val="1"/>
              <c:showCatName val="0"/>
              <c:showSerName val="0"/>
              <c:showPercent val="0"/>
              <c:showBubbleSize val="0"/>
            </c:dLbl>
            <c:spPr>
              <a:noFill/>
              <a:ln w="25275">
                <a:noFill/>
              </a:ln>
            </c:spPr>
            <c:txPr>
              <a:bodyPr wrap="square" lIns="38100" tIns="19050" rIns="38100" bIns="19050" anchor="ctr">
                <a:spAutoFit/>
              </a:bodyPr>
              <a:lstStyle/>
              <a:p>
                <a:pPr>
                  <a:defRPr sz="796" b="0" i="0" u="none" strike="noStrike" baseline="0">
                    <a:solidFill>
                      <a:srgbClr val="000000"/>
                    </a:solidFill>
                    <a:latin typeface="Times New Roman"/>
                    <a:ea typeface="Times New Roman"/>
                    <a:cs typeface="Times New Roman"/>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Sheet1!$B$2:$K$2</c:f>
              <c:numCache>
                <c:formatCode>General</c:formatCode>
                <c:ptCount val="10"/>
                <c:pt idx="0">
                  <c:v>31242.6</c:v>
                </c:pt>
                <c:pt idx="1">
                  <c:v>20899.900000000001</c:v>
                </c:pt>
                <c:pt idx="2">
                  <c:v>36039.599999999999</c:v>
                </c:pt>
                <c:pt idx="3">
                  <c:v>32380.6</c:v>
                </c:pt>
                <c:pt idx="4">
                  <c:v>38189.199999999997</c:v>
                </c:pt>
                <c:pt idx="5">
                  <c:v>34367.599999999999</c:v>
                </c:pt>
                <c:pt idx="6">
                  <c:v>18482.599999999999</c:v>
                </c:pt>
                <c:pt idx="7">
                  <c:v>16959.400000000001</c:v>
                </c:pt>
                <c:pt idx="8">
                  <c:v>26907.3</c:v>
                </c:pt>
                <c:pt idx="9">
                  <c:v>46353.279999999999</c:v>
                </c:pt>
              </c:numCache>
            </c:numRef>
          </c:val>
          <c:smooth val="0"/>
        </c:ser>
        <c:dLbls>
          <c:showLegendKey val="0"/>
          <c:showVal val="0"/>
          <c:showCatName val="0"/>
          <c:showSerName val="0"/>
          <c:showPercent val="0"/>
          <c:showBubbleSize val="0"/>
        </c:dLbls>
        <c:marker val="1"/>
        <c:smooth val="0"/>
        <c:axId val="546926992"/>
        <c:axId val="546927384"/>
      </c:lineChart>
      <c:catAx>
        <c:axId val="546926992"/>
        <c:scaling>
          <c:orientation val="minMax"/>
        </c:scaling>
        <c:delete val="0"/>
        <c:axPos val="b"/>
        <c:numFmt formatCode="General" sourceLinked="1"/>
        <c:majorTickMark val="out"/>
        <c:minorTickMark val="none"/>
        <c:tickLblPos val="nextTo"/>
        <c:spPr>
          <a:ln w="3159">
            <a:solidFill>
              <a:srgbClr val="000000"/>
            </a:solidFill>
            <a:prstDash val="solid"/>
          </a:ln>
        </c:spPr>
        <c:txPr>
          <a:bodyPr rot="0" vert="horz"/>
          <a:lstStyle/>
          <a:p>
            <a:pPr>
              <a:defRPr sz="796" b="0" i="0" u="none" strike="noStrike" baseline="0">
                <a:solidFill>
                  <a:srgbClr val="000000"/>
                </a:solidFill>
                <a:latin typeface="Times New Roman"/>
                <a:ea typeface="Times New Roman"/>
                <a:cs typeface="Times New Roman"/>
              </a:defRPr>
            </a:pPr>
            <a:endParaRPr lang="ru-RU"/>
          </a:p>
        </c:txPr>
        <c:crossAx val="546927384"/>
        <c:crosses val="autoZero"/>
        <c:auto val="1"/>
        <c:lblAlgn val="ctr"/>
        <c:lblOffset val="100"/>
        <c:tickLblSkip val="1"/>
        <c:tickMarkSkip val="1"/>
        <c:noMultiLvlLbl val="0"/>
      </c:catAx>
      <c:valAx>
        <c:axId val="546927384"/>
        <c:scaling>
          <c:orientation val="minMax"/>
        </c:scaling>
        <c:delete val="0"/>
        <c:axPos val="l"/>
        <c:majorGridlines>
          <c:spPr>
            <a:ln w="3159">
              <a:solidFill>
                <a:srgbClr val="000000"/>
              </a:solidFill>
              <a:prstDash val="solid"/>
            </a:ln>
          </c:spPr>
        </c:majorGridlines>
        <c:numFmt formatCode="General" sourceLinked="1"/>
        <c:majorTickMark val="out"/>
        <c:minorTickMark val="none"/>
        <c:tickLblPos val="nextTo"/>
        <c:spPr>
          <a:ln w="3159">
            <a:solidFill>
              <a:srgbClr val="000000"/>
            </a:solidFill>
            <a:prstDash val="solid"/>
          </a:ln>
        </c:spPr>
        <c:txPr>
          <a:bodyPr rot="0" vert="horz"/>
          <a:lstStyle/>
          <a:p>
            <a:pPr>
              <a:defRPr sz="796" b="0" i="0" u="none" strike="noStrike" baseline="0">
                <a:solidFill>
                  <a:srgbClr val="000000"/>
                </a:solidFill>
                <a:latin typeface="Times New Roman"/>
                <a:ea typeface="Times New Roman"/>
                <a:cs typeface="Times New Roman"/>
              </a:defRPr>
            </a:pPr>
            <a:endParaRPr lang="ru-RU"/>
          </a:p>
        </c:txPr>
        <c:crossAx val="546926992"/>
        <c:crosses val="autoZero"/>
        <c:crossBetween val="between"/>
      </c:valAx>
      <c:spPr>
        <a:solidFill>
          <a:srgbClr val="FFFFFF"/>
        </a:solidFill>
        <a:ln w="12637">
          <a:solidFill>
            <a:srgbClr val="808080"/>
          </a:solidFill>
          <a:prstDash val="solid"/>
        </a:ln>
      </c:spPr>
    </c:plotArea>
    <c:legend>
      <c:legendPos val="b"/>
      <c:layout>
        <c:manualLayout>
          <c:xMode val="edge"/>
          <c:yMode val="edge"/>
          <c:x val="0.44666666666666666"/>
          <c:y val="0.90254237288135597"/>
          <c:w val="0.17333333333333334"/>
          <c:h val="8.8983050847457626E-2"/>
        </c:manualLayout>
      </c:layout>
      <c:overlay val="0"/>
      <c:spPr>
        <a:noFill/>
        <a:ln w="25275">
          <a:noFill/>
        </a:ln>
      </c:spPr>
      <c:txPr>
        <a:bodyPr/>
        <a:lstStyle/>
        <a:p>
          <a:pPr>
            <a:defRPr sz="846"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2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205047318611984E-2"/>
          <c:y val="4.2801556420233464E-2"/>
          <c:w val="0.92902208201892744"/>
          <c:h val="0.73929961089494167"/>
        </c:manualLayout>
      </c:layout>
      <c:lineChart>
        <c:grouping val="standard"/>
        <c:varyColors val="0"/>
        <c:ser>
          <c:idx val="0"/>
          <c:order val="0"/>
          <c:tx>
            <c:strRef>
              <c:f>Sheet1!$A$2</c:f>
              <c:strCache>
                <c:ptCount val="1"/>
                <c:pt idx="0">
                  <c:v>ВГА</c:v>
                </c:pt>
              </c:strCache>
            </c:strRef>
          </c:tx>
          <c:spPr>
            <a:ln w="12694">
              <a:solidFill>
                <a:srgbClr val="000000"/>
              </a:solidFill>
              <a:prstDash val="solid"/>
            </a:ln>
          </c:spPr>
          <c:marker>
            <c:symbol val="star"/>
            <c:size val="4"/>
            <c:spPr>
              <a:solidFill>
                <a:srgbClr val="000000"/>
              </a:solidFill>
              <a:ln>
                <a:solidFill>
                  <a:srgbClr val="000000"/>
                </a:solidFill>
                <a:prstDash val="solid"/>
              </a:ln>
            </c:spPr>
          </c:marker>
          <c:dLbls>
            <c:spPr>
              <a:noFill/>
              <a:ln w="25389">
                <a:noFill/>
              </a:ln>
            </c:spPr>
            <c:txPr>
              <a:bodyPr wrap="square" lIns="38100" tIns="19050" rIns="38100" bIns="19050" anchor="ctr">
                <a:spAutoFit/>
              </a:bodyPr>
              <a:lstStyle/>
              <a:p>
                <a:pPr>
                  <a:defRPr sz="1124"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2018</c:v>
                </c:pt>
                <c:pt idx="1">
                  <c:v>2019</c:v>
                </c:pt>
                <c:pt idx="2">
                  <c:v>2020</c:v>
                </c:pt>
              </c:numCache>
            </c:numRef>
          </c:cat>
          <c:val>
            <c:numRef>
              <c:f>Sheet1!$B$2:$D$2</c:f>
              <c:numCache>
                <c:formatCode>General</c:formatCode>
                <c:ptCount val="3"/>
                <c:pt idx="0">
                  <c:v>9.5</c:v>
                </c:pt>
                <c:pt idx="1">
                  <c:v>0</c:v>
                </c:pt>
                <c:pt idx="2">
                  <c:v>0</c:v>
                </c:pt>
              </c:numCache>
            </c:numRef>
          </c:val>
          <c:smooth val="0"/>
        </c:ser>
        <c:ser>
          <c:idx val="1"/>
          <c:order val="1"/>
          <c:tx>
            <c:strRef>
              <c:f>Sheet1!$A$3</c:f>
              <c:strCache>
                <c:ptCount val="1"/>
                <c:pt idx="0">
                  <c:v>ВГВ</c:v>
                </c:pt>
              </c:strCache>
            </c:strRef>
          </c:tx>
          <c:spPr>
            <a:ln w="12694">
              <a:solidFill>
                <a:srgbClr val="000000"/>
              </a:solidFill>
              <a:prstDash val="solid"/>
            </a:ln>
          </c:spPr>
          <c:marker>
            <c:symbol val="triangle"/>
            <c:size val="4"/>
            <c:spPr>
              <a:solidFill>
                <a:srgbClr val="000000"/>
              </a:solidFill>
              <a:ln>
                <a:solidFill>
                  <a:srgbClr val="000000"/>
                </a:solidFill>
                <a:prstDash val="solid"/>
              </a:ln>
            </c:spPr>
          </c:marker>
          <c:dLbls>
            <c:dLbl>
              <c:idx val="0"/>
              <c:layout>
                <c:manualLayout>
                  <c:x val="-1.2183565899834548E-2"/>
                  <c:y val="-5.3614700277221705E-2"/>
                </c:manualLayout>
              </c:layout>
              <c:spPr>
                <a:noFill/>
                <a:ln w="25389">
                  <a:noFill/>
                </a:ln>
              </c:spPr>
              <c:txPr>
                <a:bodyPr/>
                <a:lstStyle/>
                <a:p>
                  <a:pPr>
                    <a:defRPr sz="1124" b="0"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spPr>
              <a:noFill/>
              <a:ln w="25389">
                <a:noFill/>
              </a:ln>
            </c:spPr>
            <c:txPr>
              <a:bodyPr wrap="square" lIns="38100" tIns="19050" rIns="38100" bIns="19050" anchor="ctr">
                <a:spAutoFit/>
              </a:bodyPr>
              <a:lstStyle/>
              <a:p>
                <a:pPr>
                  <a:defRPr sz="1124"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2018</c:v>
                </c:pt>
                <c:pt idx="1">
                  <c:v>2019</c:v>
                </c:pt>
                <c:pt idx="2">
                  <c:v>2020</c:v>
                </c:pt>
              </c:numCache>
            </c:numRef>
          </c:cat>
          <c:val>
            <c:numRef>
              <c:f>Sheet1!$B$3:$D$3</c:f>
              <c:numCache>
                <c:formatCode>General</c:formatCode>
                <c:ptCount val="3"/>
                <c:pt idx="0">
                  <c:v>0</c:v>
                </c:pt>
                <c:pt idx="1">
                  <c:v>2.4</c:v>
                </c:pt>
                <c:pt idx="2">
                  <c:v>0</c:v>
                </c:pt>
              </c:numCache>
            </c:numRef>
          </c:val>
          <c:smooth val="0"/>
        </c:ser>
        <c:ser>
          <c:idx val="2"/>
          <c:order val="2"/>
          <c:tx>
            <c:strRef>
              <c:f>Sheet1!$A$4</c:f>
              <c:strCache>
                <c:ptCount val="1"/>
                <c:pt idx="0">
                  <c:v>ВГС</c:v>
                </c:pt>
              </c:strCache>
            </c:strRef>
          </c:tx>
          <c:spPr>
            <a:ln w="12694">
              <a:solidFill>
                <a:srgbClr val="000000"/>
              </a:solidFill>
              <a:prstDash val="solid"/>
            </a:ln>
          </c:spPr>
          <c:marker>
            <c:symbol val="circle"/>
            <c:size val="4"/>
            <c:spPr>
              <a:solidFill>
                <a:srgbClr val="000000"/>
              </a:solidFill>
              <a:ln>
                <a:solidFill>
                  <a:srgbClr val="000000"/>
                </a:solidFill>
                <a:prstDash val="solid"/>
              </a:ln>
            </c:spPr>
          </c:marker>
          <c:dLbls>
            <c:dLbl>
              <c:idx val="2"/>
              <c:layout>
                <c:manualLayout>
                  <c:x val="-6.1692596704443492E-4"/>
                  <c:y val="2.5352836532256506E-2"/>
                </c:manualLayout>
              </c:layout>
              <c:spPr>
                <a:noFill/>
                <a:ln w="25389">
                  <a:noFill/>
                </a:ln>
              </c:spPr>
              <c:txPr>
                <a:bodyPr/>
                <a:lstStyle/>
                <a:p>
                  <a:pPr>
                    <a:defRPr sz="825" b="0"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Mode val="edge"/>
                  <c:yMode val="edge"/>
                  <c:x val="0.8422712933753943"/>
                  <c:y val="0"/>
                </c:manualLayout>
              </c:layout>
              <c:spPr>
                <a:noFill/>
                <a:ln w="25389">
                  <a:noFill/>
                </a:ln>
              </c:spPr>
              <c:txPr>
                <a:bodyPr/>
                <a:lstStyle/>
                <a:p>
                  <a:pPr>
                    <a:defRPr sz="825" b="0"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Mode val="edge"/>
                  <c:yMode val="edge"/>
                  <c:x val="0.87223974763406942"/>
                  <c:y val="0"/>
                </c:manualLayout>
              </c:layout>
              <c:spPr>
                <a:noFill/>
                <a:ln w="25389">
                  <a:noFill/>
                </a:ln>
              </c:spPr>
              <c:txPr>
                <a:bodyPr/>
                <a:lstStyle/>
                <a:p>
                  <a:pPr>
                    <a:defRPr sz="825" b="0"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Mode val="edge"/>
                  <c:yMode val="edge"/>
                  <c:x val="0.90536277602523663"/>
                  <c:y val="0"/>
                </c:manualLayout>
              </c:layout>
              <c:spPr>
                <a:noFill/>
                <a:ln w="25389">
                  <a:noFill/>
                </a:ln>
              </c:spPr>
              <c:txPr>
                <a:bodyPr/>
                <a:lstStyle/>
                <a:p>
                  <a:pPr>
                    <a:defRPr sz="1124" b="0"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spPr>
              <a:noFill/>
              <a:ln w="25389">
                <a:noFill/>
              </a:ln>
            </c:spPr>
            <c:txPr>
              <a:bodyPr wrap="square" lIns="38100" tIns="19050" rIns="38100" bIns="19050" anchor="ctr">
                <a:spAutoFit/>
              </a:bodyPr>
              <a:lstStyle/>
              <a:p>
                <a:pPr>
                  <a:defRPr sz="82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2018</c:v>
                </c:pt>
                <c:pt idx="1">
                  <c:v>2019</c:v>
                </c:pt>
                <c:pt idx="2">
                  <c:v>2020</c:v>
                </c:pt>
              </c:numCache>
            </c:numRef>
          </c:cat>
          <c:val>
            <c:numRef>
              <c:f>Sheet1!$B$4:$D$4</c:f>
              <c:numCache>
                <c:formatCode>General</c:formatCode>
                <c:ptCount val="3"/>
                <c:pt idx="0">
                  <c:v>2.4</c:v>
                </c:pt>
                <c:pt idx="1">
                  <c:v>0</c:v>
                </c:pt>
                <c:pt idx="2">
                  <c:v>2.5</c:v>
                </c:pt>
              </c:numCache>
            </c:numRef>
          </c:val>
          <c:smooth val="0"/>
        </c:ser>
        <c:ser>
          <c:idx val="3"/>
          <c:order val="3"/>
          <c:tx>
            <c:strRef>
              <c:f>Sheet1!$A$5</c:f>
              <c:strCache>
                <c:ptCount val="1"/>
              </c:strCache>
            </c:strRef>
          </c:tx>
          <c:spPr>
            <a:ln w="12694">
              <a:solidFill>
                <a:srgbClr val="00FFFF"/>
              </a:solidFill>
              <a:prstDash val="solid"/>
            </a:ln>
          </c:spPr>
          <c:marker>
            <c:symbol val="x"/>
            <c:size val="4"/>
            <c:spPr>
              <a:noFill/>
              <a:ln>
                <a:solidFill>
                  <a:srgbClr val="00FFFF"/>
                </a:solidFill>
                <a:prstDash val="solid"/>
              </a:ln>
            </c:spPr>
          </c:marker>
          <c:dLbls>
            <c:spPr>
              <a:noFill/>
              <a:ln w="25389">
                <a:noFill/>
              </a:ln>
            </c:spPr>
            <c:txPr>
              <a:bodyPr wrap="square" lIns="38100" tIns="19050" rIns="38100" bIns="19050" anchor="ctr">
                <a:spAutoFit/>
              </a:bodyPr>
              <a:lstStyle/>
              <a:p>
                <a:pPr>
                  <a:defRPr sz="1124"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2018</c:v>
                </c:pt>
                <c:pt idx="1">
                  <c:v>2019</c:v>
                </c:pt>
                <c:pt idx="2">
                  <c:v>2020</c:v>
                </c:pt>
              </c:numCache>
            </c:numRef>
          </c:cat>
          <c:val>
            <c:numRef>
              <c:f>Sheet1!$B$5:$D$5</c:f>
              <c:numCache>
                <c:formatCode>General</c:formatCode>
                <c:ptCount val="3"/>
              </c:numCache>
            </c:numRef>
          </c:val>
          <c:smooth val="0"/>
        </c:ser>
        <c:dLbls>
          <c:showLegendKey val="0"/>
          <c:showVal val="1"/>
          <c:showCatName val="0"/>
          <c:showSerName val="0"/>
          <c:showPercent val="0"/>
          <c:showBubbleSize val="0"/>
        </c:dLbls>
        <c:marker val="1"/>
        <c:smooth val="0"/>
        <c:axId val="546928168"/>
        <c:axId val="546928560"/>
      </c:lineChart>
      <c:catAx>
        <c:axId val="546928168"/>
        <c:scaling>
          <c:orientation val="minMax"/>
        </c:scaling>
        <c:delete val="0"/>
        <c:axPos val="b"/>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825" b="0" i="0" u="none" strike="noStrike" baseline="0">
                <a:solidFill>
                  <a:srgbClr val="000000"/>
                </a:solidFill>
                <a:latin typeface="Times New Roman"/>
                <a:ea typeface="Times New Roman"/>
                <a:cs typeface="Times New Roman"/>
              </a:defRPr>
            </a:pPr>
            <a:endParaRPr lang="ru-RU"/>
          </a:p>
        </c:txPr>
        <c:crossAx val="546928560"/>
        <c:crosses val="autoZero"/>
        <c:auto val="1"/>
        <c:lblAlgn val="ctr"/>
        <c:lblOffset val="100"/>
        <c:tickLblSkip val="1"/>
        <c:tickMarkSkip val="1"/>
        <c:noMultiLvlLbl val="0"/>
      </c:catAx>
      <c:valAx>
        <c:axId val="546928560"/>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825" b="0" i="0" u="none" strike="noStrike" baseline="0">
                <a:solidFill>
                  <a:srgbClr val="000000"/>
                </a:solidFill>
                <a:latin typeface="Times New Roman"/>
                <a:ea typeface="Times New Roman"/>
                <a:cs typeface="Times New Roman"/>
              </a:defRPr>
            </a:pPr>
            <a:endParaRPr lang="ru-RU"/>
          </a:p>
        </c:txPr>
        <c:crossAx val="546928168"/>
        <c:crosses val="autoZero"/>
        <c:crossBetween val="between"/>
      </c:valAx>
      <c:spPr>
        <a:noFill/>
        <a:ln w="12694">
          <a:solidFill>
            <a:srgbClr val="808080"/>
          </a:solidFill>
          <a:prstDash val="solid"/>
        </a:ln>
      </c:spPr>
    </c:plotArea>
    <c:legend>
      <c:legendPos val="b"/>
      <c:layout>
        <c:manualLayout>
          <c:xMode val="edge"/>
          <c:yMode val="edge"/>
          <c:x val="0.31861198738170349"/>
          <c:y val="0.87159533073929962"/>
          <c:w val="0.37697160883280756"/>
          <c:h val="9.3385214007782102E-2"/>
        </c:manualLayout>
      </c:layout>
      <c:overlay val="0"/>
      <c:spPr>
        <a:noFill/>
        <a:ln w="25389">
          <a:noFill/>
        </a:ln>
      </c:spPr>
      <c:txPr>
        <a:bodyPr/>
        <a:lstStyle/>
        <a:p>
          <a:pPr>
            <a:defRPr sz="103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124"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5919117647058826"/>
          <c:y val="9.3457943925233641E-2"/>
          <c:w val="0.64522058823529416"/>
          <c:h val="0.64953271028037385"/>
        </c:manualLayout>
      </c:layout>
      <c:pie3DChart>
        <c:varyColors val="1"/>
        <c:ser>
          <c:idx val="0"/>
          <c:order val="0"/>
          <c:tx>
            <c:strRef>
              <c:f>Sheet1!$A$2</c:f>
              <c:strCache>
                <c:ptCount val="1"/>
                <c:pt idx="0">
                  <c:v>2019</c:v>
                </c:pt>
              </c:strCache>
            </c:strRef>
          </c:tx>
          <c:spPr>
            <a:ln w="12720">
              <a:solidFill>
                <a:srgbClr val="000000"/>
              </a:solidFill>
              <a:prstDash val="solid"/>
            </a:ln>
          </c:spPr>
          <c:explosion val="75"/>
          <c:dPt>
            <c:idx val="0"/>
            <c:bubble3D val="0"/>
            <c:spPr>
              <a:solidFill>
                <a:srgbClr val="000000"/>
              </a:solidFill>
              <a:ln w="12720">
                <a:solidFill>
                  <a:srgbClr val="000000"/>
                </a:solidFill>
                <a:prstDash val="solid"/>
              </a:ln>
            </c:spPr>
          </c:dPt>
          <c:dPt>
            <c:idx val="1"/>
            <c:bubble3D val="0"/>
            <c:spPr>
              <a:solidFill>
                <a:srgbClr val="FFFFFF"/>
              </a:solidFill>
              <a:ln w="12720">
                <a:solidFill>
                  <a:srgbClr val="000000"/>
                </a:solidFill>
                <a:prstDash val="solid"/>
              </a:ln>
            </c:spPr>
          </c:dPt>
          <c:dPt>
            <c:idx val="2"/>
            <c:bubble3D val="0"/>
            <c:spPr>
              <a:pattFill prst="solid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20">
                <a:solidFill>
                  <a:srgbClr val="000000"/>
                </a:solidFill>
                <a:prstDash val="solid"/>
              </a:ln>
            </c:spPr>
          </c:dPt>
          <c:dPt>
            <c:idx val="3"/>
            <c:bubble3D val="0"/>
            <c:spPr>
              <a:pattFill prst="diagBri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20">
                <a:solidFill>
                  <a:srgbClr val="000000"/>
                </a:solidFill>
                <a:prstDash val="solid"/>
              </a:ln>
            </c:spPr>
          </c:dPt>
          <c:dPt>
            <c:idx val="4"/>
            <c:bubble3D val="0"/>
            <c:spPr>
              <a:pattFill prst="dash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20">
                <a:solidFill>
                  <a:srgbClr val="000000"/>
                </a:solidFill>
                <a:prstDash val="solid"/>
              </a:ln>
            </c:spPr>
          </c:dPt>
          <c:dPt>
            <c:idx val="5"/>
            <c:bubble3D val="0"/>
            <c:spPr>
              <a:pattFill prst="smChe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20">
                <a:solidFill>
                  <a:srgbClr val="000000"/>
                </a:solidFill>
                <a:prstDash val="solid"/>
              </a:ln>
            </c:spPr>
          </c:dPt>
          <c:dLbls>
            <c:dLbl>
              <c:idx val="0"/>
              <c:layout>
                <c:manualLayout>
                  <c:x val="-0.13855848481427124"/>
                  <c:y val="-0.19618740881341729"/>
                </c:manualLayout>
              </c:layout>
              <c:spPr>
                <a:noFill/>
                <a:ln w="25439">
                  <a:noFill/>
                </a:ln>
              </c:spPr>
              <c:txPr>
                <a:bodyPr/>
                <a:lstStyle/>
                <a:p>
                  <a:pPr>
                    <a:defRPr sz="801"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1.2964049744007805E-2"/>
                  <c:y val="0.16148638271252747"/>
                </c:manualLayout>
              </c:layout>
              <c:spPr>
                <a:noFill/>
                <a:ln w="25439">
                  <a:noFill/>
                </a:ln>
              </c:spPr>
              <c:txPr>
                <a:bodyPr/>
                <a:lstStyle/>
                <a:p>
                  <a:pPr>
                    <a:defRPr sz="801"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Lst>
            </c:dLbl>
            <c:dLbl>
              <c:idx val="2"/>
              <c:spPr>
                <a:noFill/>
                <a:ln w="25439">
                  <a:noFill/>
                </a:ln>
              </c:spPr>
              <c:txPr>
                <a:bodyPr/>
                <a:lstStyle/>
                <a:p>
                  <a:pPr>
                    <a:defRPr sz="801"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Mode val="edge"/>
                  <c:yMode val="edge"/>
                  <c:x val="0.50551470588235292"/>
                  <c:y val="0.42056074766355139"/>
                </c:manualLayout>
              </c:layout>
              <c:spPr>
                <a:noFill/>
                <a:ln w="25439">
                  <a:noFill/>
                </a:ln>
              </c:spPr>
              <c:txPr>
                <a:bodyPr/>
                <a:lstStyle/>
                <a:p>
                  <a:pPr>
                    <a:defRPr sz="801"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Mode val="edge"/>
                  <c:yMode val="edge"/>
                  <c:x val="0.16911764705882354"/>
                  <c:y val="0.34579439252336447"/>
                </c:manualLayout>
              </c:layout>
              <c:spPr>
                <a:noFill/>
                <a:ln w="25439">
                  <a:noFill/>
                </a:ln>
              </c:spPr>
              <c:txPr>
                <a:bodyPr/>
                <a:lstStyle/>
                <a:p>
                  <a:pPr>
                    <a:defRPr sz="308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Lst>
            </c:dLbl>
            <c:dLbl>
              <c:idx val="5"/>
              <c:layout>
                <c:manualLayout>
                  <c:xMode val="edge"/>
                  <c:yMode val="edge"/>
                  <c:x val="0.23161764705882354"/>
                  <c:y val="0.10747663551401869"/>
                </c:manualLayout>
              </c:layout>
              <c:spPr>
                <a:noFill/>
                <a:ln w="25439">
                  <a:noFill/>
                </a:ln>
              </c:spPr>
              <c:txPr>
                <a:bodyPr/>
                <a:lstStyle/>
                <a:p>
                  <a:pPr>
                    <a:defRPr sz="308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Lst>
            </c:dLbl>
            <c:spPr>
              <a:noFill/>
              <a:ln w="25439">
                <a:noFill/>
              </a:ln>
            </c:spPr>
            <c:txPr>
              <a:bodyPr wrap="square" lIns="38100" tIns="19050" rIns="38100" bIns="19050" anchor="ctr">
                <a:spAutoFit/>
              </a:bodyPr>
              <a:lstStyle/>
              <a:p>
                <a:pPr>
                  <a:defRPr sz="1502" b="0" i="0" u="none" strike="noStrike" baseline="0">
                    <a:solidFill>
                      <a:srgbClr val="000000"/>
                    </a:solidFill>
                    <a:latin typeface="Times New Roman"/>
                    <a:ea typeface="Times New Roman"/>
                    <a:cs typeface="Times New Roman"/>
                  </a:defRPr>
                </a:pPr>
                <a:endParaRPr lang="ru-RU"/>
              </a:p>
            </c:txPr>
            <c:showLegendKey val="0"/>
            <c:showVal val="1"/>
            <c:showCatName val="1"/>
            <c:showSerName val="0"/>
            <c:showPercent val="0"/>
            <c:showBubbleSize val="0"/>
            <c:showLeaderLines val="0"/>
            <c:extLst>
              <c:ext xmlns:c15="http://schemas.microsoft.com/office/drawing/2012/chart" uri="{CE6537A1-D6FC-4f65-9D91-7224C49458BB}"/>
            </c:extLst>
          </c:dLbls>
          <c:cat>
            <c:strRef>
              <c:f>Sheet1!$B$1:$D$1</c:f>
              <c:strCache>
                <c:ptCount val="3"/>
                <c:pt idx="0">
                  <c:v>ОКИ уст.</c:v>
                </c:pt>
                <c:pt idx="1">
                  <c:v>ОКИ неуст.</c:v>
                </c:pt>
                <c:pt idx="2">
                  <c:v>Сальмонеллез</c:v>
                </c:pt>
              </c:strCache>
            </c:strRef>
          </c:cat>
          <c:val>
            <c:numRef>
              <c:f>Sheet1!$B$2:$D$2</c:f>
              <c:numCache>
                <c:formatCode>General</c:formatCode>
                <c:ptCount val="3"/>
                <c:pt idx="0">
                  <c:v>115.5</c:v>
                </c:pt>
                <c:pt idx="1">
                  <c:v>220.9</c:v>
                </c:pt>
                <c:pt idx="2" formatCode="0.0">
                  <c:v>15.06</c:v>
                </c:pt>
              </c:numCache>
            </c:numRef>
          </c:val>
        </c:ser>
        <c:ser>
          <c:idx val="1"/>
          <c:order val="1"/>
          <c:tx>
            <c:strRef>
              <c:f>Sheet1!$A$3</c:f>
              <c:strCache>
                <c:ptCount val="1"/>
              </c:strCache>
            </c:strRef>
          </c:tx>
          <c:spPr>
            <a:solidFill>
              <a:srgbClr val="CC0000"/>
            </a:solidFill>
            <a:ln w="12720">
              <a:solidFill>
                <a:srgbClr val="000000"/>
              </a:solidFill>
              <a:prstDash val="solid"/>
            </a:ln>
          </c:spPr>
          <c:explosion val="75"/>
          <c:dPt>
            <c:idx val="0"/>
            <c:bubble3D val="0"/>
            <c:spPr>
              <a:solidFill>
                <a:srgbClr val="A3B2C1"/>
              </a:solidFill>
              <a:ln w="12720">
                <a:solidFill>
                  <a:srgbClr val="000000"/>
                </a:solidFill>
                <a:prstDash val="solid"/>
              </a:ln>
            </c:spPr>
          </c:dPt>
          <c:dPt>
            <c:idx val="1"/>
            <c:bubble3D val="0"/>
          </c:dPt>
          <c:dPt>
            <c:idx val="2"/>
            <c:bubble3D val="0"/>
            <c:spPr>
              <a:solidFill>
                <a:srgbClr val="336699"/>
              </a:solidFill>
              <a:ln w="12720">
                <a:solidFill>
                  <a:srgbClr val="000000"/>
                </a:solidFill>
                <a:prstDash val="solid"/>
              </a:ln>
            </c:spPr>
          </c:dPt>
          <c:dLbls>
            <c:spPr>
              <a:noFill/>
              <a:ln w="25439">
                <a:noFill/>
              </a:ln>
            </c:spPr>
            <c:txPr>
              <a:bodyPr wrap="square" lIns="38100" tIns="19050" rIns="38100" bIns="19050" anchor="ctr">
                <a:spAutoFit/>
              </a:bodyPr>
              <a:lstStyle/>
              <a:p>
                <a:pPr>
                  <a:defRPr sz="5884" b="1" i="0" u="none" strike="noStrike" baseline="0">
                    <a:solidFill>
                      <a:srgbClr val="000000"/>
                    </a:solidFill>
                    <a:latin typeface="Tahoma"/>
                    <a:ea typeface="Tahoma"/>
                    <a:cs typeface="Tahoma"/>
                  </a:defRPr>
                </a:pPr>
                <a:endParaRPr lang="ru-RU"/>
              </a:p>
            </c:txPr>
            <c:showLegendKey val="0"/>
            <c:showVal val="1"/>
            <c:showCatName val="1"/>
            <c:showSerName val="0"/>
            <c:showPercent val="0"/>
            <c:showBubbleSize val="0"/>
            <c:showLeaderLines val="0"/>
            <c:extLst>
              <c:ext xmlns:c15="http://schemas.microsoft.com/office/drawing/2012/chart" uri="{CE6537A1-D6FC-4f65-9D91-7224C49458BB}"/>
            </c:extLst>
          </c:dLbls>
          <c:cat>
            <c:strRef>
              <c:f>Sheet1!$B$1:$D$1</c:f>
              <c:strCache>
                <c:ptCount val="3"/>
                <c:pt idx="0">
                  <c:v>ОКИ уст.</c:v>
                </c:pt>
                <c:pt idx="1">
                  <c:v>ОКИ неуст.</c:v>
                </c:pt>
                <c:pt idx="2">
                  <c:v>Сальмонеллез</c:v>
                </c:pt>
              </c:strCache>
            </c:strRef>
          </c:cat>
          <c:val>
            <c:numRef>
              <c:f>Sheet1!$B$3:$D$3</c:f>
              <c:numCache>
                <c:formatCode>General</c:formatCode>
                <c:ptCount val="3"/>
              </c:numCache>
            </c:numRef>
          </c:val>
        </c:ser>
        <c:ser>
          <c:idx val="2"/>
          <c:order val="2"/>
          <c:tx>
            <c:strRef>
              <c:f>Sheet1!$A$4</c:f>
              <c:strCache>
                <c:ptCount val="1"/>
              </c:strCache>
            </c:strRef>
          </c:tx>
          <c:spPr>
            <a:solidFill>
              <a:srgbClr val="336699"/>
            </a:solidFill>
            <a:ln w="12720">
              <a:solidFill>
                <a:srgbClr val="000000"/>
              </a:solidFill>
              <a:prstDash val="solid"/>
            </a:ln>
          </c:spPr>
          <c:explosion val="75"/>
          <c:dPt>
            <c:idx val="0"/>
            <c:bubble3D val="0"/>
            <c:spPr>
              <a:solidFill>
                <a:srgbClr val="A3B2C1"/>
              </a:solidFill>
              <a:ln w="12720">
                <a:solidFill>
                  <a:srgbClr val="000000"/>
                </a:solidFill>
                <a:prstDash val="solid"/>
              </a:ln>
            </c:spPr>
          </c:dPt>
          <c:dPt>
            <c:idx val="1"/>
            <c:bubble3D val="0"/>
            <c:spPr>
              <a:solidFill>
                <a:srgbClr val="CC0000"/>
              </a:solidFill>
              <a:ln w="12720">
                <a:solidFill>
                  <a:srgbClr val="000000"/>
                </a:solidFill>
                <a:prstDash val="solid"/>
              </a:ln>
            </c:spPr>
          </c:dPt>
          <c:dPt>
            <c:idx val="2"/>
            <c:bubble3D val="0"/>
          </c:dPt>
          <c:dLbls>
            <c:spPr>
              <a:noFill/>
              <a:ln w="25439">
                <a:noFill/>
              </a:ln>
            </c:spPr>
            <c:txPr>
              <a:bodyPr wrap="square" lIns="38100" tIns="19050" rIns="38100" bIns="19050" anchor="ctr">
                <a:spAutoFit/>
              </a:bodyPr>
              <a:lstStyle/>
              <a:p>
                <a:pPr>
                  <a:defRPr sz="5884" b="1" i="0" u="none" strike="noStrike" baseline="0">
                    <a:solidFill>
                      <a:srgbClr val="000000"/>
                    </a:solidFill>
                    <a:latin typeface="Tahoma"/>
                    <a:ea typeface="Tahoma"/>
                    <a:cs typeface="Tahoma"/>
                  </a:defRPr>
                </a:pPr>
                <a:endParaRPr lang="ru-RU"/>
              </a:p>
            </c:txPr>
            <c:showLegendKey val="0"/>
            <c:showVal val="1"/>
            <c:showCatName val="1"/>
            <c:showSerName val="0"/>
            <c:showPercent val="0"/>
            <c:showBubbleSize val="0"/>
            <c:showLeaderLines val="0"/>
            <c:extLst>
              <c:ext xmlns:c15="http://schemas.microsoft.com/office/drawing/2012/chart" uri="{CE6537A1-D6FC-4f65-9D91-7224C49458BB}"/>
            </c:extLst>
          </c:dLbls>
          <c:cat>
            <c:strRef>
              <c:f>Sheet1!$B$1:$D$1</c:f>
              <c:strCache>
                <c:ptCount val="3"/>
                <c:pt idx="0">
                  <c:v>ОКИ уст.</c:v>
                </c:pt>
                <c:pt idx="1">
                  <c:v>ОКИ неуст.</c:v>
                </c:pt>
                <c:pt idx="2">
                  <c:v>Сальмонеллез</c:v>
                </c:pt>
              </c:strCache>
            </c:strRef>
          </c:cat>
          <c:val>
            <c:numRef>
              <c:f>Sheet1!$B$4:$D$4</c:f>
              <c:numCache>
                <c:formatCode>General</c:formatCode>
                <c:ptCount val="3"/>
              </c:numCache>
            </c:numRef>
          </c:val>
        </c:ser>
        <c:ser>
          <c:idx val="3"/>
          <c:order val="3"/>
          <c:tx>
            <c:strRef>
              <c:f>Sheet1!$A$5</c:f>
              <c:strCache>
                <c:ptCount val="1"/>
              </c:strCache>
            </c:strRef>
          </c:tx>
          <c:spPr>
            <a:solidFill>
              <a:srgbClr val="003366"/>
            </a:solidFill>
            <a:ln w="12720">
              <a:solidFill>
                <a:srgbClr val="000000"/>
              </a:solidFill>
              <a:prstDash val="solid"/>
            </a:ln>
          </c:spPr>
          <c:explosion val="75"/>
          <c:dPt>
            <c:idx val="0"/>
            <c:bubble3D val="0"/>
            <c:spPr>
              <a:solidFill>
                <a:srgbClr val="A3B2C1"/>
              </a:solidFill>
              <a:ln w="12720">
                <a:solidFill>
                  <a:srgbClr val="000000"/>
                </a:solidFill>
                <a:prstDash val="solid"/>
              </a:ln>
            </c:spPr>
          </c:dPt>
          <c:dPt>
            <c:idx val="1"/>
            <c:bubble3D val="0"/>
            <c:spPr>
              <a:solidFill>
                <a:srgbClr val="CC0000"/>
              </a:solidFill>
              <a:ln w="12720">
                <a:solidFill>
                  <a:srgbClr val="000000"/>
                </a:solidFill>
                <a:prstDash val="solid"/>
              </a:ln>
            </c:spPr>
          </c:dPt>
          <c:dPt>
            <c:idx val="2"/>
            <c:bubble3D val="0"/>
            <c:spPr>
              <a:solidFill>
                <a:srgbClr val="336699"/>
              </a:solidFill>
              <a:ln w="12720">
                <a:solidFill>
                  <a:srgbClr val="000000"/>
                </a:solidFill>
                <a:prstDash val="solid"/>
              </a:ln>
            </c:spPr>
          </c:dPt>
          <c:dLbls>
            <c:spPr>
              <a:noFill/>
              <a:ln w="25439">
                <a:noFill/>
              </a:ln>
            </c:spPr>
            <c:txPr>
              <a:bodyPr wrap="square" lIns="38100" tIns="19050" rIns="38100" bIns="19050" anchor="ctr">
                <a:spAutoFit/>
              </a:bodyPr>
              <a:lstStyle/>
              <a:p>
                <a:pPr>
                  <a:defRPr sz="5884" b="1" i="0" u="none" strike="noStrike" baseline="0">
                    <a:solidFill>
                      <a:srgbClr val="000000"/>
                    </a:solidFill>
                    <a:latin typeface="Tahoma"/>
                    <a:ea typeface="Tahoma"/>
                    <a:cs typeface="Tahoma"/>
                  </a:defRPr>
                </a:pPr>
                <a:endParaRPr lang="ru-RU"/>
              </a:p>
            </c:txPr>
            <c:showLegendKey val="0"/>
            <c:showVal val="1"/>
            <c:showCatName val="1"/>
            <c:showSerName val="0"/>
            <c:showPercent val="0"/>
            <c:showBubbleSize val="0"/>
            <c:showLeaderLines val="0"/>
            <c:extLst>
              <c:ext xmlns:c15="http://schemas.microsoft.com/office/drawing/2012/chart" uri="{CE6537A1-D6FC-4f65-9D91-7224C49458BB}"/>
            </c:extLst>
          </c:dLbls>
          <c:cat>
            <c:strRef>
              <c:f>Sheet1!$B$1:$D$1</c:f>
              <c:strCache>
                <c:ptCount val="3"/>
                <c:pt idx="0">
                  <c:v>ОКИ уст.</c:v>
                </c:pt>
                <c:pt idx="1">
                  <c:v>ОКИ неуст.</c:v>
                </c:pt>
                <c:pt idx="2">
                  <c:v>Сальмонеллез</c:v>
                </c:pt>
              </c:strCache>
            </c:strRef>
          </c:cat>
          <c:val>
            <c:numRef>
              <c:f>Sheet1!$B$5:$D$5</c:f>
              <c:numCache>
                <c:formatCode>General</c:formatCode>
                <c:ptCount val="3"/>
              </c:numCache>
            </c:numRef>
          </c:val>
        </c:ser>
        <c:ser>
          <c:idx val="4"/>
          <c:order val="4"/>
          <c:tx>
            <c:strRef>
              <c:f>Sheet1!$A$6</c:f>
              <c:strCache>
                <c:ptCount val="1"/>
              </c:strCache>
            </c:strRef>
          </c:tx>
          <c:spPr>
            <a:solidFill>
              <a:srgbClr val="DDDDDD"/>
            </a:solidFill>
            <a:ln w="12720">
              <a:solidFill>
                <a:srgbClr val="000000"/>
              </a:solidFill>
              <a:prstDash val="solid"/>
            </a:ln>
          </c:spPr>
          <c:explosion val="75"/>
          <c:dPt>
            <c:idx val="0"/>
            <c:bubble3D val="0"/>
            <c:spPr>
              <a:solidFill>
                <a:srgbClr val="A3B2C1"/>
              </a:solidFill>
              <a:ln w="12720">
                <a:solidFill>
                  <a:srgbClr val="000000"/>
                </a:solidFill>
                <a:prstDash val="solid"/>
              </a:ln>
            </c:spPr>
          </c:dPt>
          <c:dPt>
            <c:idx val="1"/>
            <c:bubble3D val="0"/>
            <c:spPr>
              <a:solidFill>
                <a:srgbClr val="CC0000"/>
              </a:solidFill>
              <a:ln w="12720">
                <a:solidFill>
                  <a:srgbClr val="000000"/>
                </a:solidFill>
                <a:prstDash val="solid"/>
              </a:ln>
            </c:spPr>
          </c:dPt>
          <c:dPt>
            <c:idx val="2"/>
            <c:bubble3D val="0"/>
            <c:spPr>
              <a:solidFill>
                <a:srgbClr val="336699"/>
              </a:solidFill>
              <a:ln w="12720">
                <a:solidFill>
                  <a:srgbClr val="000000"/>
                </a:solidFill>
                <a:prstDash val="solid"/>
              </a:ln>
            </c:spPr>
          </c:dPt>
          <c:dLbls>
            <c:spPr>
              <a:noFill/>
              <a:ln w="25439">
                <a:noFill/>
              </a:ln>
            </c:spPr>
            <c:txPr>
              <a:bodyPr wrap="square" lIns="38100" tIns="19050" rIns="38100" bIns="19050" anchor="ctr">
                <a:spAutoFit/>
              </a:bodyPr>
              <a:lstStyle/>
              <a:p>
                <a:pPr>
                  <a:defRPr sz="5884" b="1" i="0" u="none" strike="noStrike" baseline="0">
                    <a:solidFill>
                      <a:srgbClr val="000000"/>
                    </a:solidFill>
                    <a:latin typeface="Tahoma"/>
                    <a:ea typeface="Tahoma"/>
                    <a:cs typeface="Tahoma"/>
                  </a:defRPr>
                </a:pPr>
                <a:endParaRPr lang="ru-RU"/>
              </a:p>
            </c:txPr>
            <c:showLegendKey val="0"/>
            <c:showVal val="1"/>
            <c:showCatName val="1"/>
            <c:showSerName val="0"/>
            <c:showPercent val="0"/>
            <c:showBubbleSize val="0"/>
            <c:showLeaderLines val="0"/>
            <c:extLst>
              <c:ext xmlns:c15="http://schemas.microsoft.com/office/drawing/2012/chart" uri="{CE6537A1-D6FC-4f65-9D91-7224C49458BB}"/>
            </c:extLst>
          </c:dLbls>
          <c:cat>
            <c:strRef>
              <c:f>Sheet1!$B$1:$D$1</c:f>
              <c:strCache>
                <c:ptCount val="3"/>
                <c:pt idx="0">
                  <c:v>ОКИ уст.</c:v>
                </c:pt>
                <c:pt idx="1">
                  <c:v>ОКИ неуст.</c:v>
                </c:pt>
                <c:pt idx="2">
                  <c:v>Сальмонеллез</c:v>
                </c:pt>
              </c:strCache>
            </c:strRef>
          </c:cat>
          <c:val>
            <c:numRef>
              <c:f>Sheet1!$B$6:$D$6</c:f>
              <c:numCache>
                <c:formatCode>General</c:formatCode>
                <c:ptCount val="3"/>
              </c:numCache>
            </c:numRef>
          </c:val>
        </c:ser>
        <c:dLbls>
          <c:showLegendKey val="0"/>
          <c:showVal val="1"/>
          <c:showCatName val="1"/>
          <c:showSerName val="0"/>
          <c:showPercent val="0"/>
          <c:showBubbleSize val="0"/>
          <c:showLeaderLines val="0"/>
        </c:dLbls>
      </c:pie3DChart>
      <c:spPr>
        <a:noFill/>
        <a:ln w="25439">
          <a:noFill/>
        </a:ln>
      </c:spPr>
    </c:plotArea>
    <c:legend>
      <c:legendPos val="b"/>
      <c:layout>
        <c:manualLayout>
          <c:xMode val="edge"/>
          <c:yMode val="edge"/>
          <c:x val="7.3529411764705881E-3"/>
          <c:y val="0.85981308411214952"/>
          <c:w val="0.9908088235294118"/>
          <c:h val="9.3457943925233641E-2"/>
        </c:manualLayout>
      </c:layout>
      <c:overlay val="0"/>
      <c:spPr>
        <a:solidFill>
          <a:srgbClr val="FFFFFF"/>
        </a:solidFill>
        <a:ln w="25439">
          <a:noFill/>
        </a:ln>
      </c:spPr>
      <c:txPr>
        <a:bodyPr/>
        <a:lstStyle/>
        <a:p>
          <a:pPr>
            <a:defRPr sz="736"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w="3180">
      <a:solidFill>
        <a:srgbClr val="000000"/>
      </a:solidFill>
      <a:prstDash val="solid"/>
    </a:ln>
  </c:spPr>
  <c:txPr>
    <a:bodyPr/>
    <a:lstStyle/>
    <a:p>
      <a:pPr>
        <a:defRPr sz="926" b="1" i="0" u="none" strike="noStrike" baseline="0">
          <a:solidFill>
            <a:srgbClr val="000000"/>
          </a:solidFill>
          <a:latin typeface="Tahoma"/>
          <a:ea typeface="Tahoma"/>
          <a:cs typeface="Tahoma"/>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7"/>
      <c:rotY val="20"/>
      <c:depthPercent val="100"/>
      <c:rAngAx val="1"/>
    </c:view3D>
    <c:floor>
      <c:thickness val="0"/>
      <c:spPr>
        <a:solidFill>
          <a:srgbClr val="C0C0C0"/>
        </a:solidFill>
        <a:ln w="3175">
          <a:solidFill>
            <a:srgbClr val="000000"/>
          </a:solidFill>
          <a:prstDash val="solid"/>
        </a:ln>
      </c:spPr>
    </c:floor>
    <c:sideWall>
      <c:thickness val="0"/>
    </c:sideWall>
    <c:backWall>
      <c:thickness val="0"/>
    </c:backWall>
    <c:plotArea>
      <c:layout>
        <c:manualLayout>
          <c:layoutTarget val="inner"/>
          <c:xMode val="edge"/>
          <c:yMode val="edge"/>
          <c:x val="7.1729957805907171E-2"/>
          <c:y val="5.3254437869822487E-2"/>
          <c:w val="0.61392405063291144"/>
          <c:h val="0.74556213017751483"/>
        </c:manualLayout>
      </c:layout>
      <c:bar3DChart>
        <c:barDir val="col"/>
        <c:grouping val="clustered"/>
        <c:varyColors val="0"/>
        <c:ser>
          <c:idx val="0"/>
          <c:order val="0"/>
          <c:tx>
            <c:strRef>
              <c:f>Лист1!$A$17</c:f>
              <c:strCache>
                <c:ptCount val="1"/>
                <c:pt idx="0">
                  <c:v>проб</c:v>
                </c:pt>
              </c:strCache>
            </c:strRef>
          </c:tx>
          <c:spPr>
            <a:blipFill dpi="0" rotWithShape="0">
              <a:blip xmlns:r="http://schemas.openxmlformats.org/officeDocument/2006/relationships" r:embed="rId1"/>
              <a:srcRect/>
              <a:tile tx="0" ty="0" sx="100000" sy="100000" flip="none" algn="tl"/>
            </a:blipFill>
            <a:ln w="12636">
              <a:solidFill>
                <a:srgbClr val="000000"/>
              </a:solidFill>
              <a:prstDash val="solid"/>
            </a:ln>
          </c:spPr>
          <c:invertIfNegative val="0"/>
          <c:cat>
            <c:strRef>
              <c:f>Лист1!$B$16:$D$16</c:f>
              <c:strCache>
                <c:ptCount val="3"/>
                <c:pt idx="0">
                  <c:v>2018 г.</c:v>
                </c:pt>
                <c:pt idx="1">
                  <c:v>2019 г.</c:v>
                </c:pt>
                <c:pt idx="2">
                  <c:v>2020г</c:v>
                </c:pt>
              </c:strCache>
            </c:strRef>
          </c:cat>
          <c:val>
            <c:numRef>
              <c:f>Лист1!$B$17:$D$17</c:f>
              <c:numCache>
                <c:formatCode>General</c:formatCode>
                <c:ptCount val="3"/>
                <c:pt idx="0">
                  <c:v>192</c:v>
                </c:pt>
                <c:pt idx="1">
                  <c:v>146</c:v>
                </c:pt>
                <c:pt idx="2">
                  <c:v>133</c:v>
                </c:pt>
              </c:numCache>
            </c:numRef>
          </c:val>
        </c:ser>
        <c:ser>
          <c:idx val="1"/>
          <c:order val="1"/>
          <c:tx>
            <c:strRef>
              <c:f>Лист1!$A$18</c:f>
              <c:strCache>
                <c:ptCount val="1"/>
                <c:pt idx="0">
                  <c:v>не соотв. сан. нормам</c:v>
                </c:pt>
              </c:strCache>
            </c:strRef>
          </c:tx>
          <c:spPr>
            <a:blipFill dpi="0" rotWithShape="0">
              <a:blip xmlns:r="http://schemas.openxmlformats.org/officeDocument/2006/relationships" r:embed="rId2"/>
              <a:srcRect/>
              <a:tile tx="0" ty="0" sx="100000" sy="100000" flip="none" algn="tl"/>
            </a:blipFill>
            <a:ln w="12636">
              <a:solidFill>
                <a:srgbClr val="000000"/>
              </a:solidFill>
              <a:prstDash val="solid"/>
            </a:ln>
          </c:spPr>
          <c:invertIfNegative val="0"/>
          <c:cat>
            <c:strRef>
              <c:f>Лист1!$B$16:$D$16</c:f>
              <c:strCache>
                <c:ptCount val="3"/>
                <c:pt idx="0">
                  <c:v>2018 г.</c:v>
                </c:pt>
                <c:pt idx="1">
                  <c:v>2019 г.</c:v>
                </c:pt>
                <c:pt idx="2">
                  <c:v>2020г</c:v>
                </c:pt>
              </c:strCache>
            </c:strRef>
          </c:cat>
          <c:val>
            <c:numRef>
              <c:f>Лист1!$B$18:$D$18</c:f>
              <c:numCache>
                <c:formatCode>General</c:formatCode>
                <c:ptCount val="3"/>
                <c:pt idx="0">
                  <c:v>114</c:v>
                </c:pt>
                <c:pt idx="1">
                  <c:v>69</c:v>
                </c:pt>
                <c:pt idx="2">
                  <c:v>86</c:v>
                </c:pt>
              </c:numCache>
            </c:numRef>
          </c:val>
        </c:ser>
        <c:dLbls>
          <c:showLegendKey val="0"/>
          <c:showVal val="0"/>
          <c:showCatName val="0"/>
          <c:showSerName val="0"/>
          <c:showPercent val="0"/>
          <c:showBubbleSize val="0"/>
        </c:dLbls>
        <c:gapWidth val="150"/>
        <c:shape val="box"/>
        <c:axId val="546880656"/>
        <c:axId val="546881048"/>
        <c:axId val="0"/>
      </c:bar3DChart>
      <c:catAx>
        <c:axId val="546880656"/>
        <c:scaling>
          <c:orientation val="minMax"/>
        </c:scaling>
        <c:delete val="0"/>
        <c:axPos val="b"/>
        <c:numFmt formatCode="General" sourceLinked="1"/>
        <c:majorTickMark val="out"/>
        <c:minorTickMark val="none"/>
        <c:tickLblPos val="low"/>
        <c:spPr>
          <a:ln w="3159">
            <a:solidFill>
              <a:srgbClr val="000000"/>
            </a:solidFill>
            <a:prstDash val="solid"/>
          </a:ln>
        </c:spPr>
        <c:txPr>
          <a:bodyPr rot="0" vert="horz"/>
          <a:lstStyle/>
          <a:p>
            <a:pPr>
              <a:defRPr sz="796" b="0" i="0" u="none" strike="noStrike" baseline="0">
                <a:solidFill>
                  <a:srgbClr val="000000"/>
                </a:solidFill>
                <a:latin typeface="Arial Cyr"/>
                <a:ea typeface="Arial Cyr"/>
                <a:cs typeface="Arial Cyr"/>
              </a:defRPr>
            </a:pPr>
            <a:endParaRPr lang="ru-RU"/>
          </a:p>
        </c:txPr>
        <c:crossAx val="546881048"/>
        <c:crosses val="autoZero"/>
        <c:auto val="1"/>
        <c:lblAlgn val="ctr"/>
        <c:lblOffset val="100"/>
        <c:tickLblSkip val="1"/>
        <c:tickMarkSkip val="1"/>
        <c:noMultiLvlLbl val="0"/>
      </c:catAx>
      <c:valAx>
        <c:axId val="546881048"/>
        <c:scaling>
          <c:orientation val="minMax"/>
        </c:scaling>
        <c:delete val="0"/>
        <c:axPos val="l"/>
        <c:majorGridlines>
          <c:spPr>
            <a:ln w="3159">
              <a:solidFill>
                <a:srgbClr val="000000"/>
              </a:solidFill>
              <a:prstDash val="solid"/>
            </a:ln>
          </c:spPr>
        </c:majorGridlines>
        <c:numFmt formatCode="General" sourceLinked="1"/>
        <c:majorTickMark val="out"/>
        <c:minorTickMark val="none"/>
        <c:tickLblPos val="nextTo"/>
        <c:spPr>
          <a:ln w="3159">
            <a:solidFill>
              <a:srgbClr val="000000"/>
            </a:solidFill>
            <a:prstDash val="solid"/>
          </a:ln>
        </c:spPr>
        <c:txPr>
          <a:bodyPr rot="0" vert="horz"/>
          <a:lstStyle/>
          <a:p>
            <a:pPr>
              <a:defRPr sz="796" b="0" i="0" u="none" strike="noStrike" baseline="0">
                <a:solidFill>
                  <a:srgbClr val="000000"/>
                </a:solidFill>
                <a:latin typeface="Arial Cyr"/>
                <a:ea typeface="Arial Cyr"/>
                <a:cs typeface="Arial Cyr"/>
              </a:defRPr>
            </a:pPr>
            <a:endParaRPr lang="ru-RU"/>
          </a:p>
        </c:txPr>
        <c:crossAx val="546880656"/>
        <c:crosses val="autoZero"/>
        <c:crossBetween val="between"/>
      </c:valAx>
      <c:spPr>
        <a:noFill/>
        <a:ln w="25273">
          <a:noFill/>
        </a:ln>
      </c:spPr>
    </c:plotArea>
    <c:legend>
      <c:legendPos val="r"/>
      <c:layout>
        <c:manualLayout>
          <c:xMode val="edge"/>
          <c:yMode val="edge"/>
          <c:x val="0.7088608269469433"/>
          <c:y val="0.38461472367105004"/>
          <c:w val="0.28270030360185394"/>
          <c:h val="0.23076947862335623"/>
        </c:manualLayout>
      </c:layout>
      <c:overlay val="0"/>
      <c:spPr>
        <a:solidFill>
          <a:srgbClr val="FFFFFF"/>
        </a:solidFill>
        <a:ln w="3159">
          <a:solidFill>
            <a:srgbClr val="000000"/>
          </a:solidFill>
          <a:prstDash val="solid"/>
        </a:ln>
      </c:spPr>
      <c:txPr>
        <a:bodyPr/>
        <a:lstStyle/>
        <a:p>
          <a:pPr>
            <a:defRPr sz="731"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59">
      <a:solidFill>
        <a:srgbClr val="000000"/>
      </a:solidFill>
      <a:prstDash val="solid"/>
    </a:ln>
  </c:spPr>
  <c:txPr>
    <a:bodyPr/>
    <a:lstStyle/>
    <a:p>
      <a:pPr>
        <a:defRPr sz="796" b="0" i="0" u="none" strike="noStrike" baseline="0">
          <a:solidFill>
            <a:srgbClr val="000000"/>
          </a:solidFill>
          <a:latin typeface="Arial Cyr"/>
          <a:ea typeface="Arial Cyr"/>
          <a:cs typeface="Arial Cyr"/>
        </a:defRPr>
      </a:pPr>
      <a:endParaRPr lang="ru-RU"/>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474426807760136E-2"/>
          <c:y val="5.9347181008902079E-2"/>
          <c:w val="0.90828924162257496"/>
          <c:h val="0.6913946587537092"/>
        </c:manualLayout>
      </c:layout>
      <c:lineChart>
        <c:grouping val="standard"/>
        <c:varyColors val="0"/>
        <c:ser>
          <c:idx val="0"/>
          <c:order val="0"/>
          <c:tx>
            <c:strRef>
              <c:f>Sheet1!$A$2</c:f>
              <c:strCache>
                <c:ptCount val="1"/>
                <c:pt idx="0">
                  <c:v>Всего ОКИ</c:v>
                </c:pt>
              </c:strCache>
            </c:strRef>
          </c:tx>
          <c:spPr>
            <a:ln w="12700">
              <a:solidFill>
                <a:srgbClr val="000000"/>
              </a:solidFill>
              <a:prstDash val="solid"/>
            </a:ln>
          </c:spPr>
          <c:marker>
            <c:symbol val="diamond"/>
            <c:size val="4"/>
            <c:spPr>
              <a:solidFill>
                <a:srgbClr val="000000"/>
              </a:solidFill>
              <a:ln>
                <a:solidFill>
                  <a:srgbClr val="000000"/>
                </a:solidFill>
                <a:prstDash val="solid"/>
              </a:ln>
            </c:spPr>
          </c:marker>
          <c:dLbls>
            <c:dLbl>
              <c:idx val="4"/>
              <c:spPr>
                <a:noFill/>
                <a:ln w="25399">
                  <a:noFill/>
                </a:ln>
              </c:spPr>
              <c:txPr>
                <a:bodyPr/>
                <a:lstStyle/>
                <a:p>
                  <a:pPr>
                    <a:defRPr sz="1100" b="0" i="0" u="none" strike="noStrike" baseline="0">
                      <a:solidFill>
                        <a:srgbClr val="000000"/>
                      </a:solidFill>
                      <a:latin typeface="Times New Roman"/>
                      <a:ea typeface="Times New Roman"/>
                      <a:cs typeface="Times New Roman"/>
                    </a:defRPr>
                  </a:pPr>
                  <a:endParaRPr lang="ru-RU"/>
                </a:p>
              </c:txPr>
              <c:dLblPos val="t"/>
              <c:showLegendKey val="0"/>
              <c:showVal val="1"/>
              <c:showCatName val="0"/>
              <c:showSerName val="0"/>
              <c:showPercent val="0"/>
              <c:showBubbleSize val="0"/>
            </c:dLbl>
            <c:spPr>
              <a:noFill/>
              <a:ln w="25399">
                <a:noFill/>
              </a:ln>
            </c:spPr>
            <c:txPr>
              <a:bodyPr wrap="square" lIns="38100" tIns="19050" rIns="38100" bIns="19050" anchor="ctr">
                <a:spAutoFit/>
              </a:bodyPr>
              <a:lstStyle/>
              <a:p>
                <a:pPr>
                  <a:defRPr sz="1100" b="0" i="0" u="none" strike="noStrike" baseline="0">
                    <a:solidFill>
                      <a:srgbClr val="000000"/>
                    </a:solidFill>
                    <a:latin typeface="Times New Roman"/>
                    <a:ea typeface="Times New Roman"/>
                    <a:cs typeface="Times New Roman"/>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2018</c:v>
                </c:pt>
                <c:pt idx="1">
                  <c:v>2019</c:v>
                </c:pt>
                <c:pt idx="2">
                  <c:v>2020</c:v>
                </c:pt>
              </c:numCache>
            </c:numRef>
          </c:cat>
          <c:val>
            <c:numRef>
              <c:f>Sheet1!$B$2:$D$2</c:f>
              <c:numCache>
                <c:formatCode>0.0</c:formatCode>
                <c:ptCount val="3"/>
                <c:pt idx="0">
                  <c:v>740.4</c:v>
                </c:pt>
                <c:pt idx="1">
                  <c:v>553.1</c:v>
                </c:pt>
                <c:pt idx="2">
                  <c:v>353.9</c:v>
                </c:pt>
              </c:numCache>
            </c:numRef>
          </c:val>
          <c:smooth val="0"/>
        </c:ser>
        <c:ser>
          <c:idx val="1"/>
          <c:order val="1"/>
          <c:tx>
            <c:strRef>
              <c:f>Sheet1!$A$3</c:f>
              <c:strCache>
                <c:ptCount val="1"/>
                <c:pt idx="0">
                  <c:v>ОКИ уст.</c:v>
                </c:pt>
              </c:strCache>
            </c:strRef>
          </c:tx>
          <c:spPr>
            <a:ln w="12700">
              <a:solidFill>
                <a:srgbClr val="000000"/>
              </a:solidFill>
              <a:prstDash val="solid"/>
            </a:ln>
          </c:spPr>
          <c:marker>
            <c:symbol val="square"/>
            <c:size val="4"/>
            <c:spPr>
              <a:solidFill>
                <a:srgbClr val="000000"/>
              </a:solidFill>
              <a:ln>
                <a:solidFill>
                  <a:srgbClr val="000000"/>
                </a:solidFill>
                <a:prstDash val="solid"/>
              </a:ln>
            </c:spPr>
          </c:marker>
          <c:dLbls>
            <c:dLbl>
              <c:idx val="2"/>
              <c:tx>
                <c:rich>
                  <a:bodyPr/>
                  <a:lstStyle/>
                  <a:p>
                    <a:pPr>
                      <a:defRPr sz="1100" b="0" i="0" u="none" strike="noStrike" baseline="0">
                        <a:solidFill>
                          <a:srgbClr val="000000"/>
                        </a:solidFill>
                        <a:latin typeface="Times New Roman"/>
                        <a:ea typeface="Times New Roman"/>
                        <a:cs typeface="Times New Roman"/>
                      </a:defRPr>
                    </a:pPr>
                    <a:r>
                      <a:rPr lang="en-US"/>
                      <a:t>15,1</a:t>
                    </a:r>
                  </a:p>
                </c:rich>
              </c:tx>
              <c:spPr>
                <a:noFill/>
                <a:ln w="25399">
                  <a:noFill/>
                </a:ln>
              </c:spPr>
              <c:dLblPos val="b"/>
              <c:showLegendKey val="0"/>
              <c:showVal val="0"/>
              <c:showCatName val="0"/>
              <c:showSerName val="0"/>
              <c:showPercent val="0"/>
              <c:showBubbleSize val="0"/>
              <c:extLst>
                <c:ext xmlns:c15="http://schemas.microsoft.com/office/drawing/2012/chart" uri="{CE6537A1-D6FC-4f65-9D91-7224C49458BB}"/>
              </c:extLst>
            </c:dLbl>
            <c:spPr>
              <a:noFill/>
              <a:ln w="25399">
                <a:noFill/>
              </a:ln>
            </c:spPr>
            <c:txPr>
              <a:bodyPr wrap="square" lIns="38100" tIns="19050" rIns="38100" bIns="19050" anchor="ctr">
                <a:spAutoFit/>
              </a:bodyPr>
              <a:lstStyle/>
              <a:p>
                <a:pPr>
                  <a:defRPr sz="1100" b="0" i="0" u="none" strike="noStrike" baseline="0">
                    <a:solidFill>
                      <a:srgbClr val="000000"/>
                    </a:solidFill>
                    <a:latin typeface="Times New Roman"/>
                    <a:ea typeface="Times New Roman"/>
                    <a:cs typeface="Times New Roman"/>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2018</c:v>
                </c:pt>
                <c:pt idx="1">
                  <c:v>2019</c:v>
                </c:pt>
                <c:pt idx="2">
                  <c:v>2020</c:v>
                </c:pt>
              </c:numCache>
            </c:numRef>
          </c:cat>
          <c:val>
            <c:numRef>
              <c:f>Sheet1!$B$3:$D$3</c:f>
              <c:numCache>
                <c:formatCode>General</c:formatCode>
                <c:ptCount val="3"/>
                <c:pt idx="0">
                  <c:v>262.39999999999998</c:v>
                </c:pt>
                <c:pt idx="1">
                  <c:v>148</c:v>
                </c:pt>
                <c:pt idx="2">
                  <c:v>115.5</c:v>
                </c:pt>
              </c:numCache>
            </c:numRef>
          </c:val>
          <c:smooth val="0"/>
        </c:ser>
        <c:ser>
          <c:idx val="2"/>
          <c:order val="2"/>
          <c:tx>
            <c:strRef>
              <c:f>Sheet1!$A$4</c:f>
              <c:strCache>
                <c:ptCount val="1"/>
                <c:pt idx="0">
                  <c:v>ОКИ не уст.</c:v>
                </c:pt>
              </c:strCache>
            </c:strRef>
          </c:tx>
          <c:spPr>
            <a:ln w="12700">
              <a:solidFill>
                <a:srgbClr val="000000"/>
              </a:solidFill>
              <a:prstDash val="solid"/>
            </a:ln>
          </c:spPr>
          <c:marker>
            <c:symbol val="triangle"/>
            <c:size val="4"/>
            <c:spPr>
              <a:solidFill>
                <a:srgbClr val="000000"/>
              </a:solidFill>
              <a:ln>
                <a:solidFill>
                  <a:srgbClr val="000000"/>
                </a:solidFill>
                <a:prstDash val="solid"/>
              </a:ln>
            </c:spPr>
          </c:marker>
          <c:dLbls>
            <c:spPr>
              <a:noFill/>
              <a:ln w="25399">
                <a:noFill/>
              </a:ln>
            </c:spPr>
            <c:txPr>
              <a:bodyPr wrap="square" lIns="38100" tIns="19050" rIns="38100" bIns="19050" anchor="ctr">
                <a:spAutoFit/>
              </a:bodyPr>
              <a:lstStyle/>
              <a:p>
                <a:pPr>
                  <a:defRPr sz="1075" b="0" i="0" u="none" strike="noStrike" baseline="0">
                    <a:solidFill>
                      <a:srgbClr val="000000"/>
                    </a:solidFill>
                    <a:latin typeface="Times New Roman"/>
                    <a:ea typeface="Times New Roman"/>
                    <a:cs typeface="Times New Roman"/>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2018</c:v>
                </c:pt>
                <c:pt idx="1">
                  <c:v>2019</c:v>
                </c:pt>
                <c:pt idx="2">
                  <c:v>2020</c:v>
                </c:pt>
              </c:numCache>
            </c:numRef>
          </c:cat>
          <c:val>
            <c:numRef>
              <c:f>Sheet1!$B$4:$D$4</c:f>
              <c:numCache>
                <c:formatCode>General</c:formatCode>
                <c:ptCount val="3"/>
                <c:pt idx="0">
                  <c:v>452.2</c:v>
                </c:pt>
                <c:pt idx="1">
                  <c:v>390.6</c:v>
                </c:pt>
                <c:pt idx="2">
                  <c:v>220.9</c:v>
                </c:pt>
              </c:numCache>
            </c:numRef>
          </c:val>
          <c:smooth val="0"/>
        </c:ser>
        <c:ser>
          <c:idx val="3"/>
          <c:order val="3"/>
          <c:tx>
            <c:strRef>
              <c:f>Sheet1!$A$5</c:f>
              <c:strCache>
                <c:ptCount val="1"/>
                <c:pt idx="0">
                  <c:v>Сальмонеллез</c:v>
                </c:pt>
              </c:strCache>
            </c:strRef>
          </c:tx>
          <c:spPr>
            <a:ln w="12700">
              <a:solidFill>
                <a:srgbClr val="000000"/>
              </a:solidFill>
              <a:prstDash val="solid"/>
            </a:ln>
          </c:spPr>
          <c:marker>
            <c:symbol val="x"/>
            <c:size val="4"/>
            <c:spPr>
              <a:noFill/>
              <a:ln>
                <a:solidFill>
                  <a:srgbClr val="000000"/>
                </a:solidFill>
                <a:prstDash val="solid"/>
              </a:ln>
            </c:spPr>
          </c:marker>
          <c:dLbls>
            <c:dLbl>
              <c:idx val="0"/>
              <c:layout>
                <c:manualLayout>
                  <c:x val="1.0856162717769458E-3"/>
                  <c:y val="2.290178029647294E-2"/>
                </c:manualLayout>
              </c:layout>
              <c:spPr>
                <a:noFill/>
                <a:ln w="25399">
                  <a:noFill/>
                </a:ln>
              </c:spPr>
              <c:txPr>
                <a:bodyPr/>
                <a:lstStyle/>
                <a:p>
                  <a:pPr>
                    <a:defRPr sz="975" b="0"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1.6735391226492258E-3"/>
                  <c:y val="2.2124490999738122E-2"/>
                </c:manualLayout>
              </c:layout>
              <c:spPr>
                <a:noFill/>
                <a:ln w="25399">
                  <a:noFill/>
                </a:ln>
              </c:spPr>
              <c:txPr>
                <a:bodyPr/>
                <a:lstStyle/>
                <a:p>
                  <a:pPr>
                    <a:defRPr sz="975" b="0"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2.5957232911840156E-2"/>
                  <c:y val="4.629541314347918E-2"/>
                </c:manualLayout>
              </c:layout>
              <c:spPr>
                <a:noFill/>
                <a:ln w="25399">
                  <a:noFill/>
                </a:ln>
              </c:spPr>
              <c:txPr>
                <a:bodyPr/>
                <a:lstStyle/>
                <a:p>
                  <a:pPr>
                    <a:defRPr sz="975" b="0"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spPr>
              <a:noFill/>
              <a:ln w="25399">
                <a:noFill/>
              </a:ln>
            </c:spPr>
            <c:txPr>
              <a:bodyPr wrap="square" lIns="38100" tIns="19050" rIns="38100" bIns="19050" anchor="ctr">
                <a:spAutoFit/>
              </a:bodyPr>
              <a:lstStyle/>
              <a:p>
                <a:pPr>
                  <a:defRPr sz="97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2018</c:v>
                </c:pt>
                <c:pt idx="1">
                  <c:v>2019</c:v>
                </c:pt>
                <c:pt idx="2">
                  <c:v>2020</c:v>
                </c:pt>
              </c:numCache>
            </c:numRef>
          </c:cat>
          <c:val>
            <c:numRef>
              <c:f>Sheet1!$B$5:$D$5</c:f>
              <c:numCache>
                <c:formatCode>General</c:formatCode>
                <c:ptCount val="3"/>
                <c:pt idx="0">
                  <c:v>25.8</c:v>
                </c:pt>
                <c:pt idx="1">
                  <c:v>14.6</c:v>
                </c:pt>
                <c:pt idx="2">
                  <c:v>15.1</c:v>
                </c:pt>
              </c:numCache>
            </c:numRef>
          </c:val>
          <c:smooth val="0"/>
        </c:ser>
        <c:dLbls>
          <c:showLegendKey val="0"/>
          <c:showVal val="0"/>
          <c:showCatName val="0"/>
          <c:showSerName val="0"/>
          <c:showPercent val="0"/>
          <c:showBubbleSize val="0"/>
        </c:dLbls>
        <c:marker val="1"/>
        <c:smooth val="0"/>
        <c:axId val="546929736"/>
        <c:axId val="546930128"/>
      </c:lineChart>
      <c:catAx>
        <c:axId val="54692973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ru-RU"/>
          </a:p>
        </c:txPr>
        <c:crossAx val="546930128"/>
        <c:crosses val="autoZero"/>
        <c:auto val="1"/>
        <c:lblAlgn val="ctr"/>
        <c:lblOffset val="100"/>
        <c:tickLblSkip val="1"/>
        <c:tickMarkSkip val="1"/>
        <c:noMultiLvlLbl val="0"/>
      </c:catAx>
      <c:valAx>
        <c:axId val="546930128"/>
        <c:scaling>
          <c:orientation val="minMax"/>
        </c:scaling>
        <c:delete val="0"/>
        <c:axPos val="l"/>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ru-RU"/>
          </a:p>
        </c:txPr>
        <c:crossAx val="546929736"/>
        <c:crosses val="autoZero"/>
        <c:crossBetween val="between"/>
      </c:valAx>
      <c:spPr>
        <a:solidFill>
          <a:srgbClr val="FFFFFF"/>
        </a:solidFill>
        <a:ln w="12700">
          <a:solidFill>
            <a:srgbClr val="808080"/>
          </a:solidFill>
          <a:prstDash val="solid"/>
        </a:ln>
      </c:spPr>
    </c:plotArea>
    <c:legend>
      <c:legendPos val="b"/>
      <c:layout>
        <c:manualLayout>
          <c:xMode val="edge"/>
          <c:yMode val="edge"/>
          <c:x val="0.12874779541446207"/>
          <c:y val="0.90801186943620182"/>
          <c:w val="0.79894179894179895"/>
          <c:h val="7.1216617210682495E-2"/>
        </c:manualLayout>
      </c:layout>
      <c:overlay val="0"/>
      <c:spPr>
        <a:noFill/>
        <a:ln w="25399">
          <a:noFill/>
        </a:ln>
      </c:spPr>
      <c:txPr>
        <a:bodyPr/>
        <a:lstStyle/>
        <a:p>
          <a:pPr>
            <a:defRPr sz="103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475" b="1"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175438596491224E-2"/>
          <c:y val="9.2827004219409287E-2"/>
          <c:w val="0.91547049441786288"/>
          <c:h val="0.7426160337552743"/>
        </c:manualLayout>
      </c:layout>
      <c:lineChart>
        <c:grouping val="standard"/>
        <c:varyColors val="0"/>
        <c:ser>
          <c:idx val="0"/>
          <c:order val="0"/>
          <c:tx>
            <c:strRef>
              <c:f>Sheet1!$A$2</c:f>
              <c:strCache>
                <c:ptCount val="1"/>
                <c:pt idx="0">
                  <c:v>Восток</c:v>
                </c:pt>
              </c:strCache>
            </c:strRef>
          </c:tx>
          <c:spPr>
            <a:ln w="12670">
              <a:solidFill>
                <a:srgbClr val="000000"/>
              </a:solidFill>
              <a:prstDash val="solid"/>
            </a:ln>
          </c:spPr>
          <c:marker>
            <c:symbol val="diamond"/>
            <c:size val="4"/>
            <c:spPr>
              <a:solidFill>
                <a:srgbClr val="000000"/>
              </a:solidFill>
              <a:ln>
                <a:solidFill>
                  <a:srgbClr val="000000"/>
                </a:solidFill>
                <a:prstDash val="solid"/>
              </a:ln>
            </c:spPr>
          </c:marker>
          <c:dLbls>
            <c:spPr>
              <a:noFill/>
              <a:ln w="25339">
                <a:noFill/>
              </a:ln>
            </c:spPr>
            <c:txPr>
              <a:bodyPr wrap="square" lIns="38100" tIns="19050" rIns="38100" bIns="19050" anchor="ctr">
                <a:spAutoFit/>
              </a:bodyPr>
              <a:lstStyle/>
              <a:p>
                <a:pPr>
                  <a:defRPr sz="873"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2018</c:v>
                </c:pt>
                <c:pt idx="1">
                  <c:v>2019</c:v>
                </c:pt>
                <c:pt idx="2">
                  <c:v>2020</c:v>
                </c:pt>
              </c:numCache>
            </c:numRef>
          </c:cat>
          <c:val>
            <c:numRef>
              <c:f>Sheet1!$B$2:$D$2</c:f>
              <c:numCache>
                <c:formatCode>General</c:formatCode>
                <c:ptCount val="3"/>
                <c:pt idx="0">
                  <c:v>99.4</c:v>
                </c:pt>
                <c:pt idx="1">
                  <c:v>99.3</c:v>
                </c:pt>
                <c:pt idx="2">
                  <c:v>97.9</c:v>
                </c:pt>
              </c:numCache>
            </c:numRef>
          </c:val>
          <c:smooth val="0"/>
        </c:ser>
        <c:dLbls>
          <c:showLegendKey val="0"/>
          <c:showVal val="1"/>
          <c:showCatName val="0"/>
          <c:showSerName val="0"/>
          <c:showPercent val="0"/>
          <c:showBubbleSize val="0"/>
        </c:dLbls>
        <c:marker val="1"/>
        <c:smooth val="0"/>
        <c:axId val="546930912"/>
        <c:axId val="546931304"/>
      </c:lineChart>
      <c:catAx>
        <c:axId val="546930912"/>
        <c:scaling>
          <c:orientation val="minMax"/>
        </c:scaling>
        <c:delete val="0"/>
        <c:axPos val="b"/>
        <c:majorGridlines>
          <c:spPr>
            <a:ln w="3167">
              <a:solidFill>
                <a:srgbClr val="00000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873" b="0" i="0" u="none" strike="noStrike" baseline="0">
                <a:solidFill>
                  <a:srgbClr val="000000"/>
                </a:solidFill>
                <a:latin typeface="Times New Roman"/>
                <a:ea typeface="Times New Roman"/>
                <a:cs typeface="Times New Roman"/>
              </a:defRPr>
            </a:pPr>
            <a:endParaRPr lang="ru-RU"/>
          </a:p>
        </c:txPr>
        <c:crossAx val="546931304"/>
        <c:crosses val="autoZero"/>
        <c:auto val="1"/>
        <c:lblAlgn val="ctr"/>
        <c:lblOffset val="100"/>
        <c:tickLblSkip val="1"/>
        <c:tickMarkSkip val="1"/>
        <c:noMultiLvlLbl val="0"/>
      </c:catAx>
      <c:valAx>
        <c:axId val="546931304"/>
        <c:scaling>
          <c:orientation val="minMax"/>
        </c:scaling>
        <c:delete val="0"/>
        <c:axPos val="l"/>
        <c:majorGridlines>
          <c:spPr>
            <a:ln w="3167">
              <a:solidFill>
                <a:srgbClr val="00000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873" b="0" i="0" u="none" strike="noStrike" baseline="0">
                <a:solidFill>
                  <a:srgbClr val="000000"/>
                </a:solidFill>
                <a:latin typeface="Times New Roman"/>
                <a:ea typeface="Times New Roman"/>
                <a:cs typeface="Times New Roman"/>
              </a:defRPr>
            </a:pPr>
            <a:endParaRPr lang="ru-RU"/>
          </a:p>
        </c:txPr>
        <c:crossAx val="546930912"/>
        <c:crosses val="autoZero"/>
        <c:crossBetween val="between"/>
      </c:valAx>
      <c:spPr>
        <a:noFill/>
        <a:ln w="12670">
          <a:solidFill>
            <a:srgbClr val="808080"/>
          </a:solidFill>
          <a:prstDash val="solid"/>
        </a:ln>
      </c:spPr>
    </c:plotArea>
    <c:plotVisOnly val="1"/>
    <c:dispBlanksAs val="gap"/>
    <c:showDLblsOverMax val="0"/>
  </c:chart>
  <c:spPr>
    <a:noFill/>
    <a:ln>
      <a:noFill/>
    </a:ln>
  </c:spPr>
  <c:txPr>
    <a:bodyPr/>
    <a:lstStyle/>
    <a:p>
      <a:pPr>
        <a:defRPr sz="873"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40"/>
      <c:rAngAx val="0"/>
      <c:perspective val="0"/>
    </c:view3D>
    <c:floor>
      <c:thickness val="0"/>
    </c:floor>
    <c:sideWall>
      <c:thickness val="0"/>
    </c:sideWall>
    <c:backWall>
      <c:thickness val="0"/>
    </c:backWall>
    <c:plotArea>
      <c:layout>
        <c:manualLayout>
          <c:layoutTarget val="inner"/>
          <c:xMode val="edge"/>
          <c:yMode val="edge"/>
          <c:x val="0.18548387096774194"/>
          <c:y val="0.23631123919308358"/>
          <c:w val="0.63064516129032255"/>
          <c:h val="0.44668587896253603"/>
        </c:manualLayout>
      </c:layout>
      <c:pie3DChart>
        <c:varyColors val="1"/>
        <c:ser>
          <c:idx val="0"/>
          <c:order val="0"/>
          <c:tx>
            <c:strRef>
              <c:f>Sheet1!$A$2</c:f>
              <c:strCache>
                <c:ptCount val="1"/>
              </c:strCache>
            </c:strRef>
          </c:tx>
          <c:spPr>
            <a:ln w="12661">
              <a:solidFill>
                <a:srgbClr val="000000"/>
              </a:solidFill>
              <a:prstDash val="solid"/>
            </a:ln>
          </c:spPr>
          <c:explosion val="25"/>
          <c:dPt>
            <c:idx val="0"/>
            <c:bubble3D val="0"/>
            <c:spPr>
              <a:solidFill>
                <a:srgbClr val="000000"/>
              </a:solidFill>
              <a:ln w="12661">
                <a:solidFill>
                  <a:srgbClr val="000000"/>
                </a:solidFill>
                <a:prstDash val="solid"/>
              </a:ln>
            </c:spPr>
          </c:dPt>
          <c:dPt>
            <c:idx val="1"/>
            <c:bubble3D val="0"/>
            <c:spPr>
              <a:pattFill prst="lgConfetti">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61">
                <a:solidFill>
                  <a:srgbClr val="000000"/>
                </a:solidFill>
                <a:prstDash val="solid"/>
              </a:ln>
            </c:spPr>
          </c:dPt>
          <c:dPt>
            <c:idx val="2"/>
            <c:bubble3D val="0"/>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61">
                <a:solidFill>
                  <a:srgbClr val="000000"/>
                </a:solidFill>
                <a:prstDash val="solid"/>
              </a:ln>
            </c:spPr>
          </c:dPt>
          <c:dPt>
            <c:idx val="3"/>
            <c:bubble3D val="0"/>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61">
                <a:solidFill>
                  <a:srgbClr val="000000"/>
                </a:solidFill>
                <a:prstDash val="solid"/>
              </a:ln>
            </c:spPr>
          </c:dPt>
          <c:dPt>
            <c:idx val="4"/>
            <c:bubble3D val="0"/>
            <c:spPr>
              <a:pattFill prst="pla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61">
                <a:solidFill>
                  <a:srgbClr val="000000"/>
                </a:solidFill>
                <a:prstDash val="solid"/>
              </a:ln>
            </c:spPr>
          </c:dPt>
          <c:dPt>
            <c:idx val="5"/>
            <c:bubble3D val="0"/>
            <c:spPr>
              <a:pattFill prst="pct80">
                <a:fgClr>
                  <a:srgbClr xmlns:mc="http://schemas.openxmlformats.org/markup-compatibility/2006" xmlns:a14="http://schemas.microsoft.com/office/drawing/2010/main" val="000000" mc:Ignorable="a14" a14:legacySpreadsheetColorIndex="29"/>
                </a:fgClr>
                <a:bgClr>
                  <a:srgbClr xmlns:mc="http://schemas.openxmlformats.org/markup-compatibility/2006" xmlns:a14="http://schemas.microsoft.com/office/drawing/2010/main" val="FFFFFF" mc:Ignorable="a14" a14:legacySpreadsheetColorIndex="9"/>
                </a:bgClr>
              </a:pattFill>
              <a:ln w="12661">
                <a:solidFill>
                  <a:srgbClr val="000000"/>
                </a:solidFill>
                <a:prstDash val="solid"/>
              </a:ln>
            </c:spPr>
          </c:dPt>
          <c:dPt>
            <c:idx val="6"/>
            <c:bubble3D val="0"/>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61">
                <a:solidFill>
                  <a:srgbClr val="000000"/>
                </a:solidFill>
                <a:prstDash val="solid"/>
              </a:ln>
            </c:spPr>
          </c:dPt>
          <c:dPt>
            <c:idx val="7"/>
            <c:bubble3D val="0"/>
            <c:spPr>
              <a:pattFill prst="sm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61">
                <a:solidFill>
                  <a:srgbClr val="000000"/>
                </a:solidFill>
                <a:prstDash val="solid"/>
              </a:ln>
            </c:spPr>
          </c:dPt>
          <c:dPt>
            <c:idx val="8"/>
            <c:bubble3D val="0"/>
            <c:spPr>
              <a:pattFill prst="zigZ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61">
                <a:solidFill>
                  <a:srgbClr val="000000"/>
                </a:solidFill>
                <a:prstDash val="solid"/>
              </a:ln>
            </c:spPr>
          </c:dPt>
          <c:dPt>
            <c:idx val="9"/>
            <c:bubble3D val="0"/>
            <c:spPr>
              <a:pattFill prst="spher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61">
                <a:solidFill>
                  <a:srgbClr val="000000"/>
                </a:solidFill>
                <a:prstDash val="solid"/>
              </a:ln>
            </c:spPr>
          </c:dPt>
          <c:dLbls>
            <c:dLbl>
              <c:idx val="0"/>
              <c:layout>
                <c:manualLayout>
                  <c:x val="2.305893235074874E-2"/>
                  <c:y val="-8.194785144820288E-2"/>
                </c:manualLayout>
              </c:layout>
              <c:spPr>
                <a:noFill/>
                <a:ln w="25321">
                  <a:noFill/>
                </a:ln>
              </c:spPr>
              <c:txPr>
                <a:bodyPr/>
                <a:lstStyle/>
                <a:p>
                  <a:pPr>
                    <a:defRPr sz="1171" b="0" i="0" u="none" strike="noStrike" baseline="0">
                      <a:solidFill>
                        <a:srgbClr val="000000"/>
                      </a:solidFill>
                      <a:latin typeface="Times New Roman"/>
                      <a:ea typeface="Times New Roman"/>
                      <a:cs typeface="Times New Roman"/>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10011710013866915"/>
                  <c:y val="1.8794438101060407E-2"/>
                </c:manualLayout>
              </c:layout>
              <c:spPr>
                <a:noFill/>
                <a:ln w="25321">
                  <a:noFill/>
                </a:ln>
              </c:spPr>
              <c:txPr>
                <a:bodyPr/>
                <a:lstStyle/>
                <a:p>
                  <a:pPr>
                    <a:defRPr sz="1171" b="0" i="0" u="none" strike="noStrike" baseline="0">
                      <a:solidFill>
                        <a:srgbClr val="000000"/>
                      </a:solidFill>
                      <a:latin typeface="Times New Roman"/>
                      <a:ea typeface="Times New Roman"/>
                      <a:cs typeface="Times New Roman"/>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1.188106855568416E-3"/>
                  <c:y val="0.14375598518711019"/>
                </c:manualLayout>
              </c:layout>
              <c:spPr>
                <a:noFill/>
                <a:ln w="25321">
                  <a:noFill/>
                </a:ln>
              </c:spPr>
              <c:txPr>
                <a:bodyPr/>
                <a:lstStyle/>
                <a:p>
                  <a:pPr>
                    <a:defRPr sz="1171" b="0" i="0" u="none" strike="noStrike" baseline="0">
                      <a:solidFill>
                        <a:srgbClr val="000000"/>
                      </a:solidFill>
                      <a:latin typeface="Times New Roman"/>
                      <a:ea typeface="Times New Roman"/>
                      <a:cs typeface="Times New Roman"/>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0.11416049731579347"/>
                  <c:y val="-6.7492613584194228E-2"/>
                </c:manualLayout>
              </c:layout>
              <c:spPr>
                <a:noFill/>
                <a:ln w="25321">
                  <a:noFill/>
                </a:ln>
              </c:spPr>
              <c:txPr>
                <a:bodyPr/>
                <a:lstStyle/>
                <a:p>
                  <a:pPr>
                    <a:defRPr sz="1171" b="0" i="0" u="none" strike="noStrike" baseline="0">
                      <a:solidFill>
                        <a:srgbClr val="000000"/>
                      </a:solidFill>
                      <a:latin typeface="Times New Roman"/>
                      <a:ea typeface="Times New Roman"/>
                      <a:cs typeface="Times New Roman"/>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7.6154039485660976E-2"/>
                  <c:y val="-0.24468372332001032"/>
                </c:manualLayout>
              </c:layout>
              <c:spPr>
                <a:noFill/>
                <a:ln w="25321">
                  <a:noFill/>
                </a:ln>
              </c:spPr>
              <c:txPr>
                <a:bodyPr/>
                <a:lstStyle/>
                <a:p>
                  <a:pPr>
                    <a:defRPr sz="1171" b="0" i="0" u="none" strike="noStrike" baseline="0">
                      <a:solidFill>
                        <a:srgbClr val="000000"/>
                      </a:solidFill>
                      <a:latin typeface="Times New Roman"/>
                      <a:ea typeface="Times New Roman"/>
                      <a:cs typeface="Times New Roman"/>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spPr>
              <a:noFill/>
              <a:ln w="25321">
                <a:noFill/>
              </a:ln>
            </c:spPr>
            <c:txPr>
              <a:bodyPr wrap="square" lIns="38100" tIns="19050" rIns="38100" bIns="19050" anchor="ctr">
                <a:spAutoFit/>
              </a:bodyPr>
              <a:lstStyle/>
              <a:p>
                <a:pPr>
                  <a:defRPr sz="1171"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Sheet1!$B$1:$I$1</c:f>
              <c:strCache>
                <c:ptCount val="8"/>
                <c:pt idx="0">
                  <c:v>Заболевания ССС</c:v>
                </c:pt>
                <c:pt idx="1">
                  <c:v>Онкозаболевания </c:v>
                </c:pt>
                <c:pt idx="2">
                  <c:v>СПИД</c:v>
                </c:pt>
                <c:pt idx="3">
                  <c:v>Заболевания органов дыхания</c:v>
                </c:pt>
                <c:pt idx="4">
                  <c:v>Насильственная смерть</c:v>
                </c:pt>
                <c:pt idx="5">
                  <c:v>Несчастный случай</c:v>
                </c:pt>
                <c:pt idx="6">
                  <c:v>СПИД+туберкулез</c:v>
                </c:pt>
                <c:pt idx="7">
                  <c:v>Хр.гепатиты, цирроз</c:v>
                </c:pt>
              </c:strCache>
            </c:strRef>
          </c:cat>
          <c:val>
            <c:numRef>
              <c:f>Sheet1!$B$2:$I$2</c:f>
              <c:numCache>
                <c:formatCode>General</c:formatCode>
                <c:ptCount val="8"/>
                <c:pt idx="0">
                  <c:v>26.9</c:v>
                </c:pt>
                <c:pt idx="1">
                  <c:v>7.7</c:v>
                </c:pt>
                <c:pt idx="2">
                  <c:v>11.5</c:v>
                </c:pt>
                <c:pt idx="3">
                  <c:v>15.4</c:v>
                </c:pt>
                <c:pt idx="4">
                  <c:v>3.9</c:v>
                </c:pt>
                <c:pt idx="5">
                  <c:v>15.4</c:v>
                </c:pt>
                <c:pt idx="6">
                  <c:v>11.5</c:v>
                </c:pt>
                <c:pt idx="7">
                  <c:v>7.7</c:v>
                </c:pt>
              </c:numCache>
            </c:numRef>
          </c:val>
        </c:ser>
        <c:ser>
          <c:idx val="1"/>
          <c:order val="1"/>
          <c:tx>
            <c:strRef>
              <c:f>Sheet1!$A$3</c:f>
              <c:strCache>
                <c:ptCount val="1"/>
              </c:strCache>
            </c:strRef>
          </c:tx>
          <c:spPr>
            <a:solidFill>
              <a:srgbClr val="CC0000"/>
            </a:solidFill>
            <a:ln w="12661">
              <a:solidFill>
                <a:srgbClr val="000000"/>
              </a:solidFill>
              <a:prstDash val="solid"/>
            </a:ln>
          </c:spPr>
          <c:explosion val="25"/>
          <c:dPt>
            <c:idx val="0"/>
            <c:bubble3D val="0"/>
            <c:spPr>
              <a:solidFill>
                <a:srgbClr val="A3B2C1"/>
              </a:solidFill>
              <a:ln w="12661">
                <a:solidFill>
                  <a:srgbClr val="000000"/>
                </a:solidFill>
                <a:prstDash val="solid"/>
              </a:ln>
            </c:spPr>
          </c:dPt>
          <c:dPt>
            <c:idx val="1"/>
            <c:bubble3D val="0"/>
          </c:dPt>
          <c:dPt>
            <c:idx val="2"/>
            <c:bubble3D val="0"/>
            <c:spPr>
              <a:solidFill>
                <a:srgbClr val="336699"/>
              </a:solidFill>
              <a:ln w="12661">
                <a:solidFill>
                  <a:srgbClr val="000000"/>
                </a:solidFill>
                <a:prstDash val="solid"/>
              </a:ln>
            </c:spPr>
          </c:dPt>
          <c:dPt>
            <c:idx val="3"/>
            <c:bubble3D val="0"/>
            <c:spPr>
              <a:solidFill>
                <a:srgbClr val="003366"/>
              </a:solidFill>
              <a:ln w="12661">
                <a:solidFill>
                  <a:srgbClr val="000000"/>
                </a:solidFill>
                <a:prstDash val="solid"/>
              </a:ln>
            </c:spPr>
          </c:dPt>
          <c:dPt>
            <c:idx val="4"/>
            <c:bubble3D val="0"/>
            <c:spPr>
              <a:solidFill>
                <a:srgbClr val="DDDDDD"/>
              </a:solidFill>
              <a:ln w="12661">
                <a:solidFill>
                  <a:srgbClr val="000000"/>
                </a:solidFill>
                <a:prstDash val="solid"/>
              </a:ln>
            </c:spPr>
          </c:dPt>
          <c:dPt>
            <c:idx val="5"/>
            <c:bubble3D val="0"/>
            <c:spPr>
              <a:solidFill>
                <a:srgbClr val="000000"/>
              </a:solidFill>
              <a:ln w="12661">
                <a:solidFill>
                  <a:srgbClr val="000000"/>
                </a:solidFill>
                <a:prstDash val="solid"/>
              </a:ln>
            </c:spPr>
          </c:dPt>
          <c:dPt>
            <c:idx val="6"/>
            <c:bubble3D val="0"/>
            <c:spPr>
              <a:solidFill>
                <a:srgbClr val="0066CC"/>
              </a:solidFill>
              <a:ln w="12661">
                <a:solidFill>
                  <a:srgbClr val="000000"/>
                </a:solidFill>
                <a:prstDash val="solid"/>
              </a:ln>
            </c:spPr>
          </c:dPt>
          <c:dPt>
            <c:idx val="7"/>
            <c:bubble3D val="0"/>
            <c:spPr>
              <a:solidFill>
                <a:srgbClr val="CCCCFF"/>
              </a:solidFill>
              <a:ln w="12661">
                <a:solidFill>
                  <a:srgbClr val="000000"/>
                </a:solidFill>
                <a:prstDash val="solid"/>
              </a:ln>
            </c:spPr>
          </c:dPt>
          <c:dLbls>
            <c:spPr>
              <a:noFill/>
              <a:ln w="25321">
                <a:noFill/>
              </a:ln>
            </c:spPr>
            <c:txPr>
              <a:bodyPr wrap="square" lIns="38100" tIns="19050" rIns="38100" bIns="19050" anchor="ctr">
                <a:spAutoFit/>
              </a:bodyPr>
              <a:lstStyle/>
              <a:p>
                <a:pPr>
                  <a:defRPr sz="1296" b="1" i="0" u="none" strike="noStrike" baseline="0">
                    <a:solidFill>
                      <a:srgbClr val="000000"/>
                    </a:solidFill>
                    <a:latin typeface="Tahoma"/>
                    <a:ea typeface="Tahoma"/>
                    <a:cs typeface="Tahoma"/>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Sheet1!$B$1:$I$1</c:f>
              <c:strCache>
                <c:ptCount val="8"/>
                <c:pt idx="0">
                  <c:v>Заболевания ССС</c:v>
                </c:pt>
                <c:pt idx="1">
                  <c:v>Онкозаболевания </c:v>
                </c:pt>
                <c:pt idx="2">
                  <c:v>СПИД</c:v>
                </c:pt>
                <c:pt idx="3">
                  <c:v>Заболевания органов дыхания</c:v>
                </c:pt>
                <c:pt idx="4">
                  <c:v>Насильственная смерть</c:v>
                </c:pt>
                <c:pt idx="5">
                  <c:v>Несчастный случай</c:v>
                </c:pt>
                <c:pt idx="6">
                  <c:v>СПИД+туберкулез</c:v>
                </c:pt>
                <c:pt idx="7">
                  <c:v>Хр.гепатиты, цирроз</c:v>
                </c:pt>
              </c:strCache>
            </c:strRef>
          </c:cat>
          <c:val>
            <c:numRef>
              <c:f>Sheet1!$B$3:$I$3</c:f>
              <c:numCache>
                <c:formatCode>General</c:formatCode>
                <c:ptCount val="8"/>
              </c:numCache>
            </c:numRef>
          </c:val>
        </c:ser>
        <c:dLbls>
          <c:showLegendKey val="0"/>
          <c:showVal val="1"/>
          <c:showCatName val="0"/>
          <c:showSerName val="0"/>
          <c:showPercent val="0"/>
          <c:showBubbleSize val="0"/>
          <c:showLeaderLines val="1"/>
        </c:dLbls>
      </c:pie3DChart>
      <c:spPr>
        <a:noFill/>
        <a:ln w="25321">
          <a:noFill/>
        </a:ln>
      </c:spPr>
    </c:plotArea>
    <c:legend>
      <c:legendPos val="r"/>
      <c:layout>
        <c:manualLayout>
          <c:xMode val="edge"/>
          <c:yMode val="edge"/>
          <c:x val="3.3870967741935487E-2"/>
          <c:y val="0.72622478386167144"/>
          <c:w val="0.95322580645161292"/>
          <c:h val="0.27665706051873201"/>
        </c:manualLayout>
      </c:layout>
      <c:overlay val="0"/>
      <c:spPr>
        <a:solidFill>
          <a:srgbClr val="FFFFFF"/>
        </a:solidFill>
        <a:ln w="25321">
          <a:noFill/>
        </a:ln>
      </c:spPr>
      <c:txPr>
        <a:bodyPr/>
        <a:lstStyle/>
        <a:p>
          <a:pPr>
            <a:defRPr sz="892"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w="3165">
      <a:solidFill>
        <a:srgbClr val="000000"/>
      </a:solidFill>
      <a:prstDash val="solid"/>
    </a:ln>
  </c:spPr>
  <c:txPr>
    <a:bodyPr/>
    <a:lstStyle/>
    <a:p>
      <a:pPr>
        <a:defRPr sz="1296" b="1" i="0" u="none" strike="noStrike" baseline="0">
          <a:solidFill>
            <a:srgbClr val="000000"/>
          </a:solidFill>
          <a:latin typeface="Tahoma"/>
          <a:ea typeface="Tahoma"/>
          <a:cs typeface="Tahoma"/>
        </a:defRPr>
      </a:pPr>
      <a:endParaRPr lang="ru-RU"/>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40"/>
      <c:rAngAx val="0"/>
      <c:perspective val="0"/>
    </c:view3D>
    <c:floor>
      <c:thickness val="0"/>
    </c:floor>
    <c:sideWall>
      <c:thickness val="0"/>
    </c:sideWall>
    <c:backWall>
      <c:thickness val="0"/>
    </c:backWall>
    <c:plotArea>
      <c:layout>
        <c:manualLayout>
          <c:layoutTarget val="inner"/>
          <c:xMode val="edge"/>
          <c:yMode val="edge"/>
          <c:x val="0.28338762214983715"/>
          <c:y val="0.19459459459459461"/>
          <c:w val="0.57817589576547235"/>
          <c:h val="0.38108108108108107"/>
        </c:manualLayout>
      </c:layout>
      <c:pie3DChart>
        <c:varyColors val="1"/>
        <c:ser>
          <c:idx val="0"/>
          <c:order val="0"/>
          <c:tx>
            <c:strRef>
              <c:f>Sheet1!$A$2</c:f>
              <c:strCache>
                <c:ptCount val="1"/>
              </c:strCache>
            </c:strRef>
          </c:tx>
          <c:spPr>
            <a:ln w="12655">
              <a:solidFill>
                <a:srgbClr val="000000"/>
              </a:solidFill>
              <a:prstDash val="solid"/>
            </a:ln>
          </c:spPr>
          <c:explosion val="25"/>
          <c:dPt>
            <c:idx val="0"/>
            <c:bubble3D val="0"/>
            <c:spPr>
              <a:solidFill>
                <a:srgbClr val="000000"/>
              </a:solidFill>
              <a:ln w="12655">
                <a:solidFill>
                  <a:srgbClr val="000000"/>
                </a:solidFill>
                <a:prstDash val="solid"/>
              </a:ln>
            </c:spPr>
          </c:dPt>
          <c:dPt>
            <c:idx val="1"/>
            <c:bubble3D val="0"/>
            <c:spPr>
              <a:pattFill prst="lgConfetti">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55">
                <a:solidFill>
                  <a:srgbClr val="000000"/>
                </a:solidFill>
                <a:prstDash val="solid"/>
              </a:ln>
            </c:spPr>
          </c:dPt>
          <c:dPt>
            <c:idx val="2"/>
            <c:bubble3D val="0"/>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55">
                <a:solidFill>
                  <a:srgbClr val="000000"/>
                </a:solidFill>
                <a:prstDash val="solid"/>
              </a:ln>
            </c:spPr>
          </c:dPt>
          <c:dPt>
            <c:idx val="3"/>
            <c:bubble3D val="0"/>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55">
                <a:solidFill>
                  <a:srgbClr val="000000"/>
                </a:solidFill>
                <a:prstDash val="solid"/>
              </a:ln>
            </c:spPr>
          </c:dPt>
          <c:dPt>
            <c:idx val="4"/>
            <c:bubble3D val="0"/>
            <c:spPr>
              <a:pattFill prst="pla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55">
                <a:solidFill>
                  <a:srgbClr val="000000"/>
                </a:solidFill>
                <a:prstDash val="solid"/>
              </a:ln>
            </c:spPr>
          </c:dPt>
          <c:dPt>
            <c:idx val="5"/>
            <c:bubble3D val="0"/>
            <c:spPr>
              <a:pattFill prst="pct80">
                <a:fgClr>
                  <a:srgbClr xmlns:mc="http://schemas.openxmlformats.org/markup-compatibility/2006" xmlns:a14="http://schemas.microsoft.com/office/drawing/2010/main" val="000000" mc:Ignorable="a14" a14:legacySpreadsheetColorIndex="29"/>
                </a:fgClr>
                <a:bgClr>
                  <a:srgbClr xmlns:mc="http://schemas.openxmlformats.org/markup-compatibility/2006" xmlns:a14="http://schemas.microsoft.com/office/drawing/2010/main" val="FFFFFF" mc:Ignorable="a14" a14:legacySpreadsheetColorIndex="9"/>
                </a:bgClr>
              </a:pattFill>
              <a:ln w="12655">
                <a:solidFill>
                  <a:srgbClr val="000000"/>
                </a:solidFill>
                <a:prstDash val="solid"/>
              </a:ln>
            </c:spPr>
          </c:dPt>
          <c:dPt>
            <c:idx val="6"/>
            <c:bubble3D val="0"/>
            <c:spPr>
              <a:pattFill prst="diagBri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55">
                <a:solidFill>
                  <a:srgbClr val="000000"/>
                </a:solidFill>
                <a:prstDash val="solid"/>
              </a:ln>
            </c:spPr>
          </c:dPt>
          <c:dPt>
            <c:idx val="7"/>
            <c:bubble3D val="0"/>
            <c:spPr>
              <a:pattFill prst="trellis">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55">
                <a:solidFill>
                  <a:srgbClr val="000000"/>
                </a:solidFill>
                <a:prstDash val="solid"/>
              </a:ln>
            </c:spPr>
          </c:dPt>
          <c:dPt>
            <c:idx val="8"/>
            <c:bubble3D val="0"/>
            <c:spPr>
              <a:pattFill prst="weav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55">
                <a:solidFill>
                  <a:srgbClr val="000000"/>
                </a:solidFill>
                <a:prstDash val="solid"/>
              </a:ln>
            </c:spPr>
          </c:dPt>
          <c:dPt>
            <c:idx val="9"/>
            <c:bubble3D val="0"/>
            <c:spPr>
              <a:pattFill prst="pct2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55">
                <a:solidFill>
                  <a:srgbClr val="000000"/>
                </a:solidFill>
                <a:prstDash val="solid"/>
              </a:ln>
            </c:spPr>
          </c:dPt>
          <c:dLbls>
            <c:dLbl>
              <c:idx val="0"/>
              <c:layout>
                <c:manualLayout>
                  <c:x val="1.1218772387830978E-2"/>
                  <c:y val="-8.7621424863844027E-2"/>
                </c:manualLayout>
              </c:layout>
              <c:spPr>
                <a:noFill/>
                <a:ln w="25310">
                  <a:noFill/>
                </a:ln>
              </c:spPr>
              <c:txPr>
                <a:bodyPr/>
                <a:lstStyle/>
                <a:p>
                  <a:pPr>
                    <a:defRPr sz="947" b="0" i="0" u="none" strike="noStrike" baseline="0">
                      <a:solidFill>
                        <a:srgbClr val="000000"/>
                      </a:solidFill>
                      <a:latin typeface="Times New Roman"/>
                      <a:ea typeface="Times New Roman"/>
                      <a:cs typeface="Times New Roman"/>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7.0648824222532158E-2"/>
                  <c:y val="-0.16709240763825819"/>
                </c:manualLayout>
              </c:layout>
              <c:spPr>
                <a:noFill/>
                <a:ln w="25310">
                  <a:noFill/>
                </a:ln>
              </c:spPr>
              <c:txPr>
                <a:bodyPr/>
                <a:lstStyle/>
                <a:p>
                  <a:pPr>
                    <a:defRPr sz="947" b="0" i="0" u="none" strike="noStrike" baseline="0">
                      <a:solidFill>
                        <a:srgbClr val="000000"/>
                      </a:solidFill>
                      <a:latin typeface="Times New Roman"/>
                      <a:ea typeface="Times New Roman"/>
                      <a:cs typeface="Times New Roman"/>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6.8868518207031992E-2"/>
                  <c:y val="7.760339671730343E-2"/>
                </c:manualLayout>
              </c:layout>
              <c:spPr>
                <a:noFill/>
                <a:ln w="25310">
                  <a:noFill/>
                </a:ln>
              </c:spPr>
              <c:txPr>
                <a:bodyPr/>
                <a:lstStyle/>
                <a:p>
                  <a:pPr>
                    <a:defRPr sz="947" b="0" i="0" u="none" strike="noStrike" baseline="0">
                      <a:solidFill>
                        <a:srgbClr val="000000"/>
                      </a:solidFill>
                      <a:latin typeface="Times New Roman"/>
                      <a:ea typeface="Times New Roman"/>
                      <a:cs typeface="Times New Roman"/>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0.10228096048610735"/>
                  <c:y val="-7.2437966198151349E-2"/>
                </c:manualLayout>
              </c:layout>
              <c:spPr>
                <a:noFill/>
                <a:ln w="25310">
                  <a:noFill/>
                </a:ln>
              </c:spPr>
              <c:txPr>
                <a:bodyPr/>
                <a:lstStyle/>
                <a:p>
                  <a:pPr>
                    <a:defRPr sz="947" b="0" i="0" u="none" strike="noStrike" baseline="0">
                      <a:solidFill>
                        <a:srgbClr val="000000"/>
                      </a:solidFill>
                      <a:latin typeface="Times New Roman"/>
                      <a:ea typeface="Times New Roman"/>
                      <a:cs typeface="Times New Roman"/>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7.6340692519458048E-2"/>
                  <c:y val="-0.18326576224198787"/>
                </c:manualLayout>
              </c:layout>
              <c:spPr>
                <a:noFill/>
                <a:ln w="25310">
                  <a:noFill/>
                </a:ln>
              </c:spPr>
              <c:txPr>
                <a:bodyPr/>
                <a:lstStyle/>
                <a:p>
                  <a:pPr>
                    <a:defRPr sz="847" b="0" i="0" u="none" strike="noStrike" baseline="0">
                      <a:solidFill>
                        <a:srgbClr val="000000"/>
                      </a:solidFill>
                      <a:latin typeface="Times New Roman"/>
                      <a:ea typeface="Times New Roman"/>
                      <a:cs typeface="Times New Roman"/>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spPr>
              <a:noFill/>
              <a:ln w="25310">
                <a:noFill/>
              </a:ln>
            </c:spPr>
            <c:txPr>
              <a:bodyPr wrap="square" lIns="38100" tIns="19050" rIns="38100" bIns="19050" anchor="ctr">
                <a:spAutoFit/>
              </a:bodyPr>
              <a:lstStyle/>
              <a:p>
                <a:pPr>
                  <a:defRPr sz="94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Sheet1!$B$1:$J$1</c:f>
              <c:strCache>
                <c:ptCount val="9"/>
                <c:pt idx="0">
                  <c:v>Работники сферы ослуживания </c:v>
                </c:pt>
                <c:pt idx="1">
                  <c:v>Инвалиды </c:v>
                </c:pt>
                <c:pt idx="2">
                  <c:v>Не работают</c:v>
                </c:pt>
                <c:pt idx="3">
                  <c:v>Пенсионеры</c:v>
                </c:pt>
                <c:pt idx="4">
                  <c:v>Работники комерческих структур</c:v>
                </c:pt>
                <c:pt idx="5">
                  <c:v>Медработники </c:v>
                </c:pt>
                <c:pt idx="6">
                  <c:v>Рабочие</c:v>
                </c:pt>
                <c:pt idx="7">
                  <c:v>ИТР </c:v>
                </c:pt>
                <c:pt idx="8">
                  <c:v>Студенты </c:v>
                </c:pt>
              </c:strCache>
            </c:strRef>
          </c:cat>
          <c:val>
            <c:numRef>
              <c:f>Sheet1!$B$2:$J$2</c:f>
              <c:numCache>
                <c:formatCode>General</c:formatCode>
                <c:ptCount val="9"/>
                <c:pt idx="0">
                  <c:v>5.6</c:v>
                </c:pt>
                <c:pt idx="1">
                  <c:v>2.8</c:v>
                </c:pt>
                <c:pt idx="2">
                  <c:v>44.4</c:v>
                </c:pt>
                <c:pt idx="3">
                  <c:v>5.6</c:v>
                </c:pt>
                <c:pt idx="4">
                  <c:v>2.8</c:v>
                </c:pt>
                <c:pt idx="5">
                  <c:v>2.8</c:v>
                </c:pt>
                <c:pt idx="6">
                  <c:v>19.399999999999999</c:v>
                </c:pt>
                <c:pt idx="7">
                  <c:v>8.3000000000000007</c:v>
                </c:pt>
                <c:pt idx="8">
                  <c:v>8.3000000000000007</c:v>
                </c:pt>
              </c:numCache>
            </c:numRef>
          </c:val>
        </c:ser>
        <c:ser>
          <c:idx val="1"/>
          <c:order val="1"/>
          <c:tx>
            <c:strRef>
              <c:f>Sheet1!$A$3</c:f>
              <c:strCache>
                <c:ptCount val="1"/>
              </c:strCache>
            </c:strRef>
          </c:tx>
          <c:spPr>
            <a:solidFill>
              <a:srgbClr val="CC0000"/>
            </a:solidFill>
            <a:ln w="12655">
              <a:solidFill>
                <a:srgbClr val="000000"/>
              </a:solidFill>
              <a:prstDash val="solid"/>
            </a:ln>
          </c:spPr>
          <c:explosion val="25"/>
          <c:dPt>
            <c:idx val="0"/>
            <c:bubble3D val="0"/>
            <c:spPr>
              <a:solidFill>
                <a:srgbClr val="A3B2C1"/>
              </a:solidFill>
              <a:ln w="12655">
                <a:solidFill>
                  <a:srgbClr val="000000"/>
                </a:solidFill>
                <a:prstDash val="solid"/>
              </a:ln>
            </c:spPr>
          </c:dPt>
          <c:dPt>
            <c:idx val="1"/>
            <c:bubble3D val="0"/>
          </c:dPt>
          <c:dPt>
            <c:idx val="2"/>
            <c:bubble3D val="0"/>
            <c:spPr>
              <a:solidFill>
                <a:srgbClr val="336699"/>
              </a:solidFill>
              <a:ln w="12655">
                <a:solidFill>
                  <a:srgbClr val="000000"/>
                </a:solidFill>
                <a:prstDash val="solid"/>
              </a:ln>
            </c:spPr>
          </c:dPt>
          <c:dPt>
            <c:idx val="3"/>
            <c:bubble3D val="0"/>
            <c:spPr>
              <a:solidFill>
                <a:srgbClr val="003366"/>
              </a:solidFill>
              <a:ln w="12655">
                <a:solidFill>
                  <a:srgbClr val="000000"/>
                </a:solidFill>
                <a:prstDash val="solid"/>
              </a:ln>
            </c:spPr>
          </c:dPt>
          <c:dPt>
            <c:idx val="4"/>
            <c:bubble3D val="0"/>
            <c:spPr>
              <a:solidFill>
                <a:srgbClr val="DDDDDD"/>
              </a:solidFill>
              <a:ln w="12655">
                <a:solidFill>
                  <a:srgbClr val="000000"/>
                </a:solidFill>
                <a:prstDash val="solid"/>
              </a:ln>
            </c:spPr>
          </c:dPt>
          <c:dPt>
            <c:idx val="5"/>
            <c:bubble3D val="0"/>
            <c:spPr>
              <a:solidFill>
                <a:srgbClr val="000000"/>
              </a:solidFill>
              <a:ln w="12655">
                <a:solidFill>
                  <a:srgbClr val="000000"/>
                </a:solidFill>
                <a:prstDash val="solid"/>
              </a:ln>
            </c:spPr>
          </c:dPt>
          <c:dPt>
            <c:idx val="6"/>
            <c:bubble3D val="0"/>
            <c:spPr>
              <a:solidFill>
                <a:srgbClr val="0066CC"/>
              </a:solidFill>
              <a:ln w="12655">
                <a:solidFill>
                  <a:srgbClr val="000000"/>
                </a:solidFill>
                <a:prstDash val="solid"/>
              </a:ln>
            </c:spPr>
          </c:dPt>
          <c:dPt>
            <c:idx val="7"/>
            <c:bubble3D val="0"/>
            <c:spPr>
              <a:solidFill>
                <a:srgbClr val="CCCCFF"/>
              </a:solidFill>
              <a:ln w="12655">
                <a:solidFill>
                  <a:srgbClr val="000000"/>
                </a:solidFill>
                <a:prstDash val="solid"/>
              </a:ln>
            </c:spPr>
          </c:dPt>
          <c:dPt>
            <c:idx val="8"/>
            <c:bubble3D val="0"/>
            <c:spPr>
              <a:solidFill>
                <a:srgbClr val="FF0000"/>
              </a:solidFill>
              <a:ln w="12655">
                <a:solidFill>
                  <a:srgbClr val="000000"/>
                </a:solidFill>
                <a:prstDash val="solid"/>
              </a:ln>
            </c:spPr>
          </c:dPt>
          <c:dLbls>
            <c:spPr>
              <a:noFill/>
              <a:ln w="25310">
                <a:noFill/>
              </a:ln>
            </c:spPr>
            <c:txPr>
              <a:bodyPr wrap="square" lIns="38100" tIns="19050" rIns="38100" bIns="19050" anchor="ctr">
                <a:spAutoFit/>
              </a:bodyPr>
              <a:lstStyle/>
              <a:p>
                <a:pPr>
                  <a:defRPr sz="1071" b="1" i="0" u="none" strike="noStrike" baseline="0">
                    <a:solidFill>
                      <a:srgbClr val="000000"/>
                    </a:solidFill>
                    <a:latin typeface="Tahoma"/>
                    <a:ea typeface="Tahoma"/>
                    <a:cs typeface="Tahoma"/>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Sheet1!$B$1:$J$1</c:f>
              <c:strCache>
                <c:ptCount val="9"/>
                <c:pt idx="0">
                  <c:v>Работники сферы ослуживания </c:v>
                </c:pt>
                <c:pt idx="1">
                  <c:v>Инвалиды </c:v>
                </c:pt>
                <c:pt idx="2">
                  <c:v>Не работают</c:v>
                </c:pt>
                <c:pt idx="3">
                  <c:v>Пенсионеры</c:v>
                </c:pt>
                <c:pt idx="4">
                  <c:v>Работники комерческих структур</c:v>
                </c:pt>
                <c:pt idx="5">
                  <c:v>Медработники </c:v>
                </c:pt>
                <c:pt idx="6">
                  <c:v>Рабочие</c:v>
                </c:pt>
                <c:pt idx="7">
                  <c:v>ИТР </c:v>
                </c:pt>
                <c:pt idx="8">
                  <c:v>Студенты </c:v>
                </c:pt>
              </c:strCache>
            </c:strRef>
          </c:cat>
          <c:val>
            <c:numRef>
              <c:f>Sheet1!$B$3:$J$3</c:f>
              <c:numCache>
                <c:formatCode>General</c:formatCode>
                <c:ptCount val="9"/>
              </c:numCache>
            </c:numRef>
          </c:val>
        </c:ser>
        <c:ser>
          <c:idx val="2"/>
          <c:order val="2"/>
          <c:tx>
            <c:strRef>
              <c:f>Sheet1!$A$4</c:f>
              <c:strCache>
                <c:ptCount val="1"/>
              </c:strCache>
            </c:strRef>
          </c:tx>
          <c:spPr>
            <a:solidFill>
              <a:srgbClr val="336699"/>
            </a:solidFill>
            <a:ln w="12655">
              <a:solidFill>
                <a:srgbClr val="000000"/>
              </a:solidFill>
              <a:prstDash val="solid"/>
            </a:ln>
          </c:spPr>
          <c:explosion val="25"/>
          <c:dPt>
            <c:idx val="0"/>
            <c:bubble3D val="0"/>
            <c:spPr>
              <a:solidFill>
                <a:srgbClr val="A3B2C1"/>
              </a:solidFill>
              <a:ln w="12655">
                <a:solidFill>
                  <a:srgbClr val="000000"/>
                </a:solidFill>
                <a:prstDash val="solid"/>
              </a:ln>
            </c:spPr>
          </c:dPt>
          <c:dPt>
            <c:idx val="1"/>
            <c:bubble3D val="0"/>
            <c:spPr>
              <a:solidFill>
                <a:srgbClr val="CC0000"/>
              </a:solidFill>
              <a:ln w="12655">
                <a:solidFill>
                  <a:srgbClr val="000000"/>
                </a:solidFill>
                <a:prstDash val="solid"/>
              </a:ln>
            </c:spPr>
          </c:dPt>
          <c:dPt>
            <c:idx val="2"/>
            <c:bubble3D val="0"/>
          </c:dPt>
          <c:dPt>
            <c:idx val="3"/>
            <c:bubble3D val="0"/>
            <c:spPr>
              <a:solidFill>
                <a:srgbClr val="003366"/>
              </a:solidFill>
              <a:ln w="12655">
                <a:solidFill>
                  <a:srgbClr val="000000"/>
                </a:solidFill>
                <a:prstDash val="solid"/>
              </a:ln>
            </c:spPr>
          </c:dPt>
          <c:dPt>
            <c:idx val="4"/>
            <c:bubble3D val="0"/>
            <c:spPr>
              <a:solidFill>
                <a:srgbClr val="DDDDDD"/>
              </a:solidFill>
              <a:ln w="12655">
                <a:solidFill>
                  <a:srgbClr val="000000"/>
                </a:solidFill>
                <a:prstDash val="solid"/>
              </a:ln>
            </c:spPr>
          </c:dPt>
          <c:dPt>
            <c:idx val="5"/>
            <c:bubble3D val="0"/>
            <c:spPr>
              <a:solidFill>
                <a:srgbClr val="000000"/>
              </a:solidFill>
              <a:ln w="12655">
                <a:solidFill>
                  <a:srgbClr val="000000"/>
                </a:solidFill>
                <a:prstDash val="solid"/>
              </a:ln>
            </c:spPr>
          </c:dPt>
          <c:dPt>
            <c:idx val="6"/>
            <c:bubble3D val="0"/>
            <c:spPr>
              <a:solidFill>
                <a:srgbClr val="0066CC"/>
              </a:solidFill>
              <a:ln w="12655">
                <a:solidFill>
                  <a:srgbClr val="000000"/>
                </a:solidFill>
                <a:prstDash val="solid"/>
              </a:ln>
            </c:spPr>
          </c:dPt>
          <c:dPt>
            <c:idx val="7"/>
            <c:bubble3D val="0"/>
            <c:spPr>
              <a:solidFill>
                <a:srgbClr val="CCCCFF"/>
              </a:solidFill>
              <a:ln w="12655">
                <a:solidFill>
                  <a:srgbClr val="000000"/>
                </a:solidFill>
                <a:prstDash val="solid"/>
              </a:ln>
            </c:spPr>
          </c:dPt>
          <c:dPt>
            <c:idx val="8"/>
            <c:bubble3D val="0"/>
            <c:spPr>
              <a:solidFill>
                <a:srgbClr val="FF0000"/>
              </a:solidFill>
              <a:ln w="12655">
                <a:solidFill>
                  <a:srgbClr val="000000"/>
                </a:solidFill>
                <a:prstDash val="solid"/>
              </a:ln>
            </c:spPr>
          </c:dPt>
          <c:dLbls>
            <c:spPr>
              <a:noFill/>
              <a:ln w="25310">
                <a:noFill/>
              </a:ln>
            </c:spPr>
            <c:txPr>
              <a:bodyPr wrap="square" lIns="38100" tIns="19050" rIns="38100" bIns="19050" anchor="ctr">
                <a:spAutoFit/>
              </a:bodyPr>
              <a:lstStyle/>
              <a:p>
                <a:pPr>
                  <a:defRPr sz="1071" b="1" i="0" u="none" strike="noStrike" baseline="0">
                    <a:solidFill>
                      <a:srgbClr val="000000"/>
                    </a:solidFill>
                    <a:latin typeface="Tahoma"/>
                    <a:ea typeface="Tahoma"/>
                    <a:cs typeface="Tahoma"/>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Sheet1!$B$1:$J$1</c:f>
              <c:strCache>
                <c:ptCount val="9"/>
                <c:pt idx="0">
                  <c:v>Работники сферы ослуживания </c:v>
                </c:pt>
                <c:pt idx="1">
                  <c:v>Инвалиды </c:v>
                </c:pt>
                <c:pt idx="2">
                  <c:v>Не работают</c:v>
                </c:pt>
                <c:pt idx="3">
                  <c:v>Пенсионеры</c:v>
                </c:pt>
                <c:pt idx="4">
                  <c:v>Работники комерческих структур</c:v>
                </c:pt>
                <c:pt idx="5">
                  <c:v>Медработники </c:v>
                </c:pt>
                <c:pt idx="6">
                  <c:v>Рабочие</c:v>
                </c:pt>
                <c:pt idx="7">
                  <c:v>ИТР </c:v>
                </c:pt>
                <c:pt idx="8">
                  <c:v>Студенты </c:v>
                </c:pt>
              </c:strCache>
            </c:strRef>
          </c:cat>
          <c:val>
            <c:numRef>
              <c:f>Sheet1!$B$4:$J$4</c:f>
              <c:numCache>
                <c:formatCode>General</c:formatCode>
                <c:ptCount val="9"/>
              </c:numCache>
            </c:numRef>
          </c:val>
        </c:ser>
        <c:dLbls>
          <c:showLegendKey val="0"/>
          <c:showVal val="1"/>
          <c:showCatName val="0"/>
          <c:showSerName val="0"/>
          <c:showPercent val="0"/>
          <c:showBubbleSize val="0"/>
          <c:showLeaderLines val="1"/>
        </c:dLbls>
      </c:pie3DChart>
      <c:spPr>
        <a:noFill/>
        <a:ln w="25310">
          <a:noFill/>
        </a:ln>
      </c:spPr>
    </c:plotArea>
    <c:legend>
      <c:legendPos val="b"/>
      <c:layout>
        <c:manualLayout>
          <c:xMode val="edge"/>
          <c:yMode val="edge"/>
          <c:x val="5.3745928338762218E-2"/>
          <c:y val="0.68378378378378379"/>
          <c:w val="0.92019543973941365"/>
          <c:h val="0.31891891891891894"/>
        </c:manualLayout>
      </c:layout>
      <c:overlay val="0"/>
      <c:spPr>
        <a:solidFill>
          <a:srgbClr val="FFFFFF"/>
        </a:solidFill>
        <a:ln w="25310">
          <a:noFill/>
        </a:ln>
      </c:spPr>
      <c:txPr>
        <a:bodyPr/>
        <a:lstStyle/>
        <a:p>
          <a:pPr>
            <a:defRPr sz="892"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w="3164">
      <a:solidFill>
        <a:srgbClr val="000000"/>
      </a:solidFill>
      <a:prstDash val="solid"/>
    </a:ln>
  </c:spPr>
  <c:txPr>
    <a:bodyPr/>
    <a:lstStyle/>
    <a:p>
      <a:pPr>
        <a:defRPr sz="1295" b="1" i="0" u="none" strike="noStrike" baseline="0">
          <a:solidFill>
            <a:srgbClr val="000000"/>
          </a:solidFill>
          <a:latin typeface="Tahoma"/>
          <a:ea typeface="Tahoma"/>
          <a:cs typeface="Tahoma"/>
        </a:defRPr>
      </a:pPr>
      <a:endParaRPr lang="ru-RU"/>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158640226628892E-2"/>
          <c:y val="4.2372881355932202E-2"/>
          <c:w val="0.90793201133144474"/>
          <c:h val="0.84322033898305082"/>
        </c:manualLayout>
      </c:layout>
      <c:barChart>
        <c:barDir val="col"/>
        <c:grouping val="clustered"/>
        <c:varyColors val="0"/>
        <c:ser>
          <c:idx val="0"/>
          <c:order val="0"/>
          <c:tx>
            <c:strRef>
              <c:f>Sheet1!$A$2:$B$2</c:f>
              <c:strCache>
                <c:ptCount val="2"/>
                <c:pt idx="0">
                  <c:v>заболеваемость</c:v>
                </c:pt>
              </c:strCache>
            </c:strRef>
          </c:tx>
          <c:spPr>
            <a:solidFill>
              <a:schemeClr val="tx1"/>
            </a:solidFill>
          </c:spPr>
          <c:invertIfNegative val="0"/>
          <c:dLbls>
            <c:dLbl>
              <c:idx val="0"/>
              <c:tx>
                <c:rich>
                  <a:bodyPr/>
                  <a:lstStyle/>
                  <a:p>
                    <a:pPr>
                      <a:defRPr sz="636" b="0" i="0" u="none" strike="noStrike" baseline="0">
                        <a:solidFill>
                          <a:srgbClr val="000000"/>
                        </a:solidFill>
                        <a:latin typeface="Times New Roman"/>
                        <a:ea typeface="Times New Roman"/>
                        <a:cs typeface="Times New Roman"/>
                      </a:defRPr>
                    </a:pPr>
                    <a:r>
                      <a:rPr lang="en-US"/>
                      <a:t>1454</a:t>
                    </a:r>
                  </a:p>
                </c:rich>
              </c:tx>
              <c:spPr>
                <a:noFill/>
                <a:ln w="20186">
                  <a:noFill/>
                </a:ln>
              </c:spPr>
              <c:showLegendKey val="1"/>
              <c:showVal val="0"/>
              <c:showCatName val="0"/>
              <c:showSerName val="0"/>
              <c:showPercent val="0"/>
              <c:showBubbleSize val="0"/>
              <c:extLst>
                <c:ext xmlns:c15="http://schemas.microsoft.com/office/drawing/2012/chart" uri="{CE6537A1-D6FC-4f65-9D91-7224C49458BB}"/>
              </c:extLst>
            </c:dLbl>
            <c:spPr>
              <a:noFill/>
              <a:ln w="20186">
                <a:noFill/>
              </a:ln>
            </c:spPr>
            <c:txPr>
              <a:bodyPr wrap="square" lIns="38100" tIns="19050" rIns="38100" bIns="19050" anchor="ctr">
                <a:spAutoFit/>
              </a:bodyPr>
              <a:lstStyle/>
              <a:p>
                <a:pPr>
                  <a:defRPr sz="636" b="0" i="0" u="none" strike="noStrike" baseline="0">
                    <a:solidFill>
                      <a:srgbClr val="000000"/>
                    </a:solidFill>
                    <a:latin typeface="Times New Roman"/>
                    <a:ea typeface="Times New Roman"/>
                    <a:cs typeface="Times New Roman"/>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Sheet1!$C$1:$E$1</c:f>
              <c:strCache>
                <c:ptCount val="3"/>
                <c:pt idx="0">
                  <c:v>2018 г.</c:v>
                </c:pt>
                <c:pt idx="1">
                  <c:v>2019 г.</c:v>
                </c:pt>
                <c:pt idx="2">
                  <c:v>2020 г.</c:v>
                </c:pt>
              </c:strCache>
            </c:strRef>
          </c:cat>
          <c:val>
            <c:numRef>
              <c:f>Sheet1!$C$2:$E$2</c:f>
              <c:numCache>
                <c:formatCode>General</c:formatCode>
                <c:ptCount val="3"/>
                <c:pt idx="0">
                  <c:v>798.9</c:v>
                </c:pt>
                <c:pt idx="1">
                  <c:v>557.9</c:v>
                </c:pt>
                <c:pt idx="2">
                  <c:v>0</c:v>
                </c:pt>
              </c:numCache>
            </c:numRef>
          </c:val>
        </c:ser>
        <c:dLbls>
          <c:showLegendKey val="0"/>
          <c:showVal val="0"/>
          <c:showCatName val="0"/>
          <c:showSerName val="0"/>
          <c:showPercent val="0"/>
          <c:showBubbleSize val="0"/>
        </c:dLbls>
        <c:gapWidth val="150"/>
        <c:axId val="546932872"/>
        <c:axId val="546933264"/>
      </c:barChart>
      <c:catAx>
        <c:axId val="546932872"/>
        <c:scaling>
          <c:orientation val="minMax"/>
        </c:scaling>
        <c:delete val="0"/>
        <c:axPos val="b"/>
        <c:numFmt formatCode="General" sourceLinked="1"/>
        <c:majorTickMark val="out"/>
        <c:minorTickMark val="none"/>
        <c:tickLblPos val="nextTo"/>
        <c:spPr>
          <a:ln w="2522">
            <a:solidFill>
              <a:srgbClr val="000000"/>
            </a:solidFill>
            <a:prstDash val="solid"/>
          </a:ln>
        </c:spPr>
        <c:txPr>
          <a:bodyPr rot="0" vert="horz"/>
          <a:lstStyle/>
          <a:p>
            <a:pPr>
              <a:defRPr sz="636" b="0" i="0" u="none" strike="noStrike" baseline="0">
                <a:solidFill>
                  <a:srgbClr val="000000"/>
                </a:solidFill>
                <a:latin typeface="Times New Roman"/>
                <a:ea typeface="Times New Roman"/>
                <a:cs typeface="Times New Roman"/>
              </a:defRPr>
            </a:pPr>
            <a:endParaRPr lang="ru-RU"/>
          </a:p>
        </c:txPr>
        <c:crossAx val="546933264"/>
        <c:crosses val="autoZero"/>
        <c:auto val="1"/>
        <c:lblAlgn val="ctr"/>
        <c:lblOffset val="100"/>
        <c:tickLblSkip val="1"/>
        <c:tickMarkSkip val="1"/>
        <c:noMultiLvlLbl val="0"/>
      </c:catAx>
      <c:valAx>
        <c:axId val="546933264"/>
        <c:scaling>
          <c:orientation val="minMax"/>
        </c:scaling>
        <c:delete val="0"/>
        <c:axPos val="l"/>
        <c:majorGridlines>
          <c:spPr>
            <a:ln w="2522">
              <a:solidFill>
                <a:srgbClr val="000000"/>
              </a:solidFill>
              <a:prstDash val="solid"/>
            </a:ln>
          </c:spPr>
        </c:majorGridlines>
        <c:numFmt formatCode="General" sourceLinked="1"/>
        <c:majorTickMark val="out"/>
        <c:minorTickMark val="none"/>
        <c:tickLblPos val="nextTo"/>
        <c:spPr>
          <a:ln w="2522">
            <a:solidFill>
              <a:srgbClr val="000000"/>
            </a:solidFill>
            <a:prstDash val="solid"/>
          </a:ln>
        </c:spPr>
        <c:txPr>
          <a:bodyPr rot="0" vert="horz"/>
          <a:lstStyle/>
          <a:p>
            <a:pPr>
              <a:defRPr sz="636" b="0" i="0" u="none" strike="noStrike" baseline="0">
                <a:solidFill>
                  <a:srgbClr val="000000"/>
                </a:solidFill>
                <a:latin typeface="Times New Roman"/>
                <a:ea typeface="Times New Roman"/>
                <a:cs typeface="Times New Roman"/>
              </a:defRPr>
            </a:pPr>
            <a:endParaRPr lang="ru-RU"/>
          </a:p>
        </c:txPr>
        <c:crossAx val="546932872"/>
        <c:crosses val="autoZero"/>
        <c:crossBetween val="between"/>
      </c:valAx>
      <c:spPr>
        <a:solidFill>
          <a:srgbClr val="FFFFFF"/>
        </a:solidFill>
        <a:ln w="10088">
          <a:solidFill>
            <a:srgbClr val="808080"/>
          </a:solidFill>
          <a:prstDash val="solid"/>
        </a:ln>
      </c:spPr>
    </c:plotArea>
    <c:plotVisOnly val="1"/>
    <c:dispBlanksAs val="gap"/>
    <c:showDLblsOverMax val="0"/>
  </c:chart>
  <c:spPr>
    <a:noFill/>
    <a:ln w="5042" cap="flat" cmpd="sng" algn="ctr">
      <a:solidFill>
        <a:srgbClr val="000000"/>
      </a:solidFill>
      <a:prstDash val="solid"/>
      <a:miter lim="800000"/>
      <a:headEnd type="none" w="med" len="med"/>
      <a:tailEnd type="none" w="med" len="med"/>
    </a:ln>
  </c:spPr>
  <c:txPr>
    <a:bodyPr/>
    <a:lstStyle/>
    <a:p>
      <a:pPr>
        <a:defRPr sz="1172"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0.12770256225078988"/>
          <c:y val="5.670722959371479E-2"/>
          <c:w val="0.66773146638705039"/>
          <c:h val="0.77304558604489149"/>
        </c:manualLayout>
      </c:layout>
      <c:pie3DChart>
        <c:varyColors val="1"/>
        <c:ser>
          <c:idx val="0"/>
          <c:order val="0"/>
          <c:tx>
            <c:strRef>
              <c:f>Лист1!$B$1</c:f>
              <c:strCache>
                <c:ptCount val="1"/>
                <c:pt idx="0">
                  <c:v>Удельный вес</c:v>
                </c:pt>
              </c:strCache>
            </c:strRef>
          </c:tx>
          <c:spPr>
            <a:solidFill>
              <a:srgbClr val="9999FF"/>
            </a:solidFill>
            <a:ln w="5642">
              <a:solidFill>
                <a:srgbClr val="000000"/>
              </a:solidFill>
              <a:prstDash val="solid"/>
            </a:ln>
          </c:spPr>
          <c:explosion val="25"/>
          <c:dPt>
            <c:idx val="0"/>
            <c:bubble3D val="0"/>
            <c:spPr>
              <a:blipFill dpi="0" rotWithShape="0">
                <a:blip xmlns:r="http://schemas.openxmlformats.org/officeDocument/2006/relationships" r:embed="rId1"/>
                <a:srcRect/>
                <a:tile tx="0" ty="0" sx="100000" sy="100000" flip="none" algn="tl"/>
              </a:blipFill>
              <a:ln w="11284">
                <a:noFill/>
              </a:ln>
            </c:spPr>
          </c:dPt>
          <c:dPt>
            <c:idx val="1"/>
            <c:bubble3D val="0"/>
            <c:spPr>
              <a:blipFill dpi="0" rotWithShape="0">
                <a:blip xmlns:r="http://schemas.openxmlformats.org/officeDocument/2006/relationships" r:embed="rId2"/>
                <a:srcRect/>
                <a:tile tx="0" ty="0" sx="100000" sy="100000" flip="none" algn="tl"/>
              </a:blipFill>
              <a:ln w="11284">
                <a:noFill/>
              </a:ln>
            </c:spPr>
          </c:dPt>
          <c:dPt>
            <c:idx val="2"/>
            <c:bubble3D val="0"/>
            <c:spPr>
              <a:blipFill dpi="0" rotWithShape="0">
                <a:blip xmlns:r="http://schemas.openxmlformats.org/officeDocument/2006/relationships" r:embed="rId3"/>
                <a:srcRect/>
                <a:tile tx="0" ty="0" sx="100000" sy="100000" flip="none" algn="tl"/>
              </a:blipFill>
              <a:ln w="11284">
                <a:noFill/>
              </a:ln>
            </c:spPr>
          </c:dPt>
          <c:dPt>
            <c:idx val="3"/>
            <c:bubble3D val="0"/>
            <c:spPr>
              <a:solidFill>
                <a:schemeClr val="tx1"/>
              </a:solidFill>
            </c:spPr>
          </c:dPt>
          <c:dPt>
            <c:idx val="4"/>
            <c:bubble3D val="0"/>
            <c:spPr>
              <a:blipFill dpi="0" rotWithShape="0">
                <a:blip xmlns:r="http://schemas.openxmlformats.org/officeDocument/2006/relationships" r:embed="rId4"/>
                <a:srcRect/>
                <a:tile tx="0" ty="0" sx="100000" sy="100000" flip="none" algn="tl"/>
              </a:blipFill>
              <a:ln w="5642">
                <a:solidFill>
                  <a:srgbClr val="000000"/>
                </a:solidFill>
                <a:prstDash val="solid"/>
              </a:ln>
            </c:spPr>
          </c:dPt>
          <c:dPt>
            <c:idx val="5"/>
            <c:bubble3D val="0"/>
            <c:spPr>
              <a:blipFill dpi="0" rotWithShape="0">
                <a:blip xmlns:r="http://schemas.openxmlformats.org/officeDocument/2006/relationships" r:embed="rId5"/>
                <a:srcRect/>
                <a:tile tx="0" ty="0" sx="100000" sy="100000" flip="none" algn="tl"/>
              </a:blipFill>
              <a:ln w="5642">
                <a:solidFill>
                  <a:srgbClr val="000000"/>
                </a:solidFill>
                <a:prstDash val="solid"/>
              </a:ln>
            </c:spPr>
          </c:dPt>
          <c:dLbls>
            <c:spPr>
              <a:noFill/>
              <a:ln w="11284">
                <a:noFill/>
              </a:ln>
            </c:spPr>
            <c:txPr>
              <a:bodyPr wrap="square" lIns="38100" tIns="19050" rIns="38100" bIns="19050" anchor="ctr">
                <a:spAutoFit/>
              </a:bodyPr>
              <a:lstStyle/>
              <a:p>
                <a:pPr>
                  <a:defRPr sz="444"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4"/>
                <c:pt idx="0">
                  <c:v>описторхоз</c:v>
                </c:pt>
                <c:pt idx="1">
                  <c:v>энтеробиоз</c:v>
                </c:pt>
                <c:pt idx="2">
                  <c:v>аскаридоз</c:v>
                </c:pt>
                <c:pt idx="3">
                  <c:v>лямблиоз</c:v>
                </c:pt>
              </c:strCache>
            </c:strRef>
          </c:cat>
          <c:val>
            <c:numRef>
              <c:f>Лист1!$B$2:$B$7</c:f>
              <c:numCache>
                <c:formatCode>General</c:formatCode>
                <c:ptCount val="6"/>
                <c:pt idx="0">
                  <c:v>1.7</c:v>
                </c:pt>
                <c:pt idx="1">
                  <c:v>90.5</c:v>
                </c:pt>
                <c:pt idx="2">
                  <c:v>6.1</c:v>
                </c:pt>
                <c:pt idx="3">
                  <c:v>1.7</c:v>
                </c:pt>
              </c:numCache>
            </c:numRef>
          </c:val>
        </c:ser>
        <c:dLbls>
          <c:showLegendKey val="0"/>
          <c:showVal val="0"/>
          <c:showCatName val="0"/>
          <c:showSerName val="0"/>
          <c:showPercent val="0"/>
          <c:showBubbleSize val="0"/>
          <c:showLeaderLines val="1"/>
        </c:dLbls>
      </c:pie3DChart>
      <c:spPr>
        <a:noFill/>
        <a:ln w="11284">
          <a:noFill/>
        </a:ln>
      </c:spPr>
    </c:plotArea>
    <c:legend>
      <c:legendPos val="r"/>
      <c:layout>
        <c:manualLayout>
          <c:xMode val="edge"/>
          <c:yMode val="edge"/>
          <c:x val="0.27742961214228834"/>
          <c:y val="0.93732218557688018"/>
          <c:w val="0.72257038785771166"/>
          <c:h val="6.2677814423119815E-2"/>
        </c:manualLayout>
      </c:layout>
      <c:overlay val="0"/>
      <c:spPr>
        <a:noFill/>
        <a:ln w="11284">
          <a:noFill/>
        </a:ln>
      </c:spPr>
      <c:txPr>
        <a:bodyPr/>
        <a:lstStyle/>
        <a:p>
          <a:pPr>
            <a:defRPr sz="449"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txPr>
    <a:bodyPr/>
    <a:lstStyle/>
    <a:p>
      <a:pPr>
        <a:defRPr sz="444" b="0" i="0" u="none" strike="noStrike" baseline="0">
          <a:solidFill>
            <a:srgbClr val="000000"/>
          </a:solidFill>
          <a:latin typeface="Calibri"/>
          <a:ea typeface="Calibri"/>
          <a:cs typeface="Calibri"/>
        </a:defRPr>
      </a:pPr>
      <a:endParaRPr lang="ru-RU"/>
    </a:p>
  </c:txPr>
  <c:externalData r:id="rId6">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noFill/>
        <a:ln w="3175">
          <a:solidFill>
            <a:srgbClr val="000000"/>
          </a:solidFill>
          <a:prstDash val="solid"/>
        </a:ln>
      </c:spPr>
    </c:sideWall>
    <c:backWall>
      <c:thickness val="0"/>
      <c:spPr>
        <a:noFill/>
        <a:ln w="3175">
          <a:solidFill>
            <a:srgbClr val="000000"/>
          </a:solidFill>
          <a:prstDash val="solid"/>
        </a:ln>
      </c:spPr>
    </c:backWall>
    <c:plotArea>
      <c:layout>
        <c:manualLayout>
          <c:layoutTarget val="inner"/>
          <c:xMode val="edge"/>
          <c:yMode val="edge"/>
          <c:x val="5.1471729720167364E-2"/>
          <c:y val="0.11899191193945056"/>
          <c:w val="0.81819464451400292"/>
          <c:h val="0.75600812740702061"/>
        </c:manualLayout>
      </c:layout>
      <c:bar3DChart>
        <c:barDir val="col"/>
        <c:grouping val="clustered"/>
        <c:varyColors val="0"/>
        <c:ser>
          <c:idx val="0"/>
          <c:order val="0"/>
          <c:tx>
            <c:strRef>
              <c:f>Sheet1!$A$2</c:f>
              <c:strCache>
                <c:ptCount val="1"/>
                <c:pt idx="0">
                  <c:v>Готовые блюда</c:v>
                </c:pt>
              </c:strCache>
            </c:strRef>
          </c:tx>
          <c:spPr>
            <a:pattFill prst="pct25">
              <a:fgClr>
                <a:srgbClr val="000000"/>
              </a:fgClr>
              <a:bgClr>
                <a:srgbClr val="FFFFFF"/>
              </a:bgClr>
            </a:pattFill>
            <a:ln w="12699">
              <a:solidFill>
                <a:srgbClr val="000000"/>
              </a:solidFill>
              <a:prstDash val="solid"/>
            </a:ln>
          </c:spPr>
          <c:invertIfNegative val="0"/>
          <c:dLbls>
            <c:dLbl>
              <c:idx val="0"/>
              <c:layout>
                <c:manualLayout>
                  <c:x val="1.481789615367155E-2"/>
                  <c:y val="-1.155869253759384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C44-4898-9546-FF531D1DD365}"/>
                </c:ext>
                <c:ext xmlns:c15="http://schemas.microsoft.com/office/drawing/2012/chart" uri="{CE6537A1-D6FC-4f65-9D91-7224C49458BB}"/>
              </c:extLst>
            </c:dLbl>
            <c:dLbl>
              <c:idx val="1"/>
              <c:layout>
                <c:manualLayout>
                  <c:x val="0.7937635754183856"/>
                  <c:y val="-6.584227307157082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C44-4898-9546-FF531D1DD365}"/>
                </c:ext>
                <c:ext xmlns:c15="http://schemas.microsoft.com/office/drawing/2012/chart" uri="{CE6537A1-D6FC-4f65-9D91-7224C49458BB}"/>
              </c:extLst>
            </c:dLbl>
            <c:dLbl>
              <c:idx val="2"/>
              <c:layout>
                <c:manualLayout>
                  <c:x val="-1.1778938934935751E-2"/>
                  <c:y val="5.453115550153547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C44-4898-9546-FF531D1DD365}"/>
                </c:ext>
                <c:ext xmlns:c15="http://schemas.microsoft.com/office/drawing/2012/chart" uri="{CE6537A1-D6FC-4f65-9D91-7224C49458BB}"/>
              </c:extLst>
            </c:dLbl>
            <c:dLbl>
              <c:idx val="3"/>
              <c:layout>
                <c:manualLayout>
                  <c:x val="-0.3593497241416253"/>
                  <c:y val="-6.584227307157082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C44-4898-9546-FF531D1DD365}"/>
                </c:ext>
                <c:ext xmlns:c15="http://schemas.microsoft.com/office/drawing/2012/chart" uri="{CE6537A1-D6FC-4f65-9D91-7224C49458BB}"/>
              </c:extLst>
            </c:dLbl>
            <c:dLbl>
              <c:idx val="4"/>
              <c:layout>
                <c:manualLayout>
                  <c:x val="-1.5845623283224721E-2"/>
                  <c:y val="2.33019635129498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C44-4898-9546-FF531D1DD365}"/>
                </c:ext>
                <c:ext xmlns:c15="http://schemas.microsoft.com/office/drawing/2012/chart" uri="{CE6537A1-D6FC-4f65-9D91-7224C49458BB}"/>
              </c:extLst>
            </c:dLbl>
            <c:dLbl>
              <c:idx val="5"/>
              <c:layout>
                <c:manualLayout>
                  <c:x val="-0.51939543271376865"/>
                  <c:y val="-6.584227307157082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C44-4898-9546-FF531D1DD365}"/>
                </c:ext>
                <c:ext xmlns:c15="http://schemas.microsoft.com/office/drawing/2012/chart" uri="{CE6537A1-D6FC-4f65-9D91-7224C49458BB}"/>
              </c:extLst>
            </c:dLbl>
            <c:spPr>
              <a:noFill/>
              <a:ln w="25399">
                <a:noFill/>
              </a:ln>
            </c:spPr>
            <c:txPr>
              <a:bodyPr/>
              <a:lstStyle/>
              <a:p>
                <a:pPr>
                  <a:defRPr sz="97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Sheet1!$B$1:$I$1</c:f>
              <c:strCache>
                <c:ptCount val="5"/>
                <c:pt idx="0">
                  <c:v>2018г</c:v>
                </c:pt>
                <c:pt idx="2">
                  <c:v>2019г</c:v>
                </c:pt>
                <c:pt idx="4">
                  <c:v>2020г</c:v>
                </c:pt>
              </c:strCache>
            </c:strRef>
          </c:cat>
          <c:val>
            <c:numRef>
              <c:f>Sheet1!$B$2:$I$2</c:f>
              <c:numCache>
                <c:formatCode>General</c:formatCode>
                <c:ptCount val="8"/>
                <c:pt idx="0">
                  <c:v>106</c:v>
                </c:pt>
                <c:pt idx="2">
                  <c:v>118</c:v>
                </c:pt>
                <c:pt idx="4">
                  <c:v>72</c:v>
                </c:pt>
              </c:numCache>
            </c:numRef>
          </c:val>
          <c:extLst xmlns:c16r2="http://schemas.microsoft.com/office/drawing/2015/06/chart">
            <c:ext xmlns:c16="http://schemas.microsoft.com/office/drawing/2014/chart" uri="{C3380CC4-5D6E-409C-BE32-E72D297353CC}">
              <c16:uniqueId val="{00000006-CC44-4898-9546-FF531D1DD365}"/>
            </c:ext>
          </c:extLst>
        </c:ser>
        <c:ser>
          <c:idx val="1"/>
          <c:order val="1"/>
          <c:tx>
            <c:strRef>
              <c:f>Sheet1!$A$3</c:f>
              <c:strCache>
                <c:ptCount val="1"/>
                <c:pt idx="0">
                  <c:v>не соответствуют</c:v>
                </c:pt>
              </c:strCache>
            </c:strRef>
          </c:tx>
          <c:spPr>
            <a:pattFill prst="weave">
              <a:fgClr>
                <a:srgbClr val="000000"/>
              </a:fgClr>
              <a:bgClr>
                <a:srgbClr val="FFFFFF"/>
              </a:bgClr>
            </a:pattFill>
            <a:ln w="12699">
              <a:solidFill>
                <a:srgbClr val="000000"/>
              </a:solidFill>
              <a:prstDash val="solid"/>
            </a:ln>
          </c:spPr>
          <c:invertIfNegative val="0"/>
          <c:dLbls>
            <c:dLbl>
              <c:idx val="0"/>
              <c:layout>
                <c:manualLayout>
                  <c:x val="2.1655919217079937E-2"/>
                  <c:y val="-1.11375927002412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C44-4898-9546-FF531D1DD365}"/>
                </c:ext>
                <c:ext xmlns:c15="http://schemas.microsoft.com/office/drawing/2012/chart" uri="{CE6537A1-D6FC-4f65-9D91-7224C49458BB}"/>
              </c:extLst>
            </c:dLbl>
            <c:dLbl>
              <c:idx val="2"/>
              <c:layout>
                <c:manualLayout>
                  <c:x val="3.7245953936374627E-3"/>
                  <c:y val="1.15469343597153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C44-4898-9546-FF531D1DD365}"/>
                </c:ext>
                <c:ext xmlns:c15="http://schemas.microsoft.com/office/drawing/2012/chart" uri="{CE6537A1-D6FC-4f65-9D91-7224C49458BB}"/>
              </c:extLst>
            </c:dLbl>
            <c:dLbl>
              <c:idx val="3"/>
              <c:layout>
                <c:manualLayout>
                  <c:x val="-0.38221347331583627"/>
                  <c:y val="-1.461360954041824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C44-4898-9546-FF531D1DD365}"/>
                </c:ext>
                <c:ext xmlns:c15="http://schemas.microsoft.com/office/drawing/2012/chart" uri="{CE6537A1-D6FC-4f65-9D91-7224C49458BB}"/>
              </c:extLst>
            </c:dLbl>
            <c:dLbl>
              <c:idx val="4"/>
              <c:layout>
                <c:manualLayout>
                  <c:x val="6.5904986065897482E-3"/>
                  <c:y val="8.808445924125406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CC44-4898-9546-FF531D1DD365}"/>
                </c:ext>
                <c:ext xmlns:c15="http://schemas.microsoft.com/office/drawing/2012/chart" uri="{CE6537A1-D6FC-4f65-9D91-7224C49458BB}"/>
              </c:extLst>
            </c:dLbl>
            <c:dLbl>
              <c:idx val="5"/>
              <c:layout>
                <c:manualLayout>
                  <c:x val="7.8191424697810513E-2"/>
                  <c:y val="-1.461360954041824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CC44-4898-9546-FF531D1DD365}"/>
                </c:ext>
                <c:ext xmlns:c15="http://schemas.microsoft.com/office/drawing/2012/chart" uri="{CE6537A1-D6FC-4f65-9D91-7224C49458BB}"/>
              </c:extLst>
            </c:dLbl>
            <c:spPr>
              <a:noFill/>
              <a:ln w="25399">
                <a:noFill/>
              </a:ln>
            </c:spPr>
            <c:txPr>
              <a:bodyPr/>
              <a:lstStyle/>
              <a:p>
                <a:pPr>
                  <a:defRPr sz="107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Sheet1!$B$1:$I$1</c:f>
              <c:strCache>
                <c:ptCount val="5"/>
                <c:pt idx="0">
                  <c:v>2018г</c:v>
                </c:pt>
                <c:pt idx="2">
                  <c:v>2019г</c:v>
                </c:pt>
                <c:pt idx="4">
                  <c:v>2020г</c:v>
                </c:pt>
              </c:strCache>
            </c:strRef>
          </c:cat>
          <c:val>
            <c:numRef>
              <c:f>Sheet1!$B$3:$I$3</c:f>
              <c:numCache>
                <c:formatCode>General</c:formatCode>
                <c:ptCount val="8"/>
                <c:pt idx="0">
                  <c:v>1</c:v>
                </c:pt>
                <c:pt idx="2">
                  <c:v>0</c:v>
                </c:pt>
                <c:pt idx="4">
                  <c:v>0</c:v>
                </c:pt>
              </c:numCache>
            </c:numRef>
          </c:val>
          <c:extLst xmlns:c16r2="http://schemas.microsoft.com/office/drawing/2015/06/chart">
            <c:ext xmlns:c16="http://schemas.microsoft.com/office/drawing/2014/chart" uri="{C3380CC4-5D6E-409C-BE32-E72D297353CC}">
              <c16:uniqueId val="{0000000C-CC44-4898-9546-FF531D1DD365}"/>
            </c:ext>
          </c:extLst>
        </c:ser>
        <c:dLbls>
          <c:showLegendKey val="0"/>
          <c:showVal val="1"/>
          <c:showCatName val="0"/>
          <c:showSerName val="0"/>
          <c:showPercent val="0"/>
          <c:showBubbleSize val="0"/>
        </c:dLbls>
        <c:gapWidth val="150"/>
        <c:gapDepth val="0"/>
        <c:shape val="box"/>
        <c:axId val="546934440"/>
        <c:axId val="546934832"/>
        <c:axId val="0"/>
      </c:bar3DChart>
      <c:dateAx>
        <c:axId val="54693444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75" b="0" i="0" u="none" strike="noStrike" baseline="0">
                <a:solidFill>
                  <a:srgbClr val="000000"/>
                </a:solidFill>
                <a:latin typeface="Times New Roman"/>
                <a:ea typeface="Times New Roman"/>
                <a:cs typeface="Times New Roman"/>
              </a:defRPr>
            </a:pPr>
            <a:endParaRPr lang="ru-RU"/>
          </a:p>
        </c:txPr>
        <c:crossAx val="546934832"/>
        <c:crosses val="autoZero"/>
        <c:auto val="0"/>
        <c:lblOffset val="100"/>
        <c:baseTimeUnit val="days"/>
        <c:majorUnit val="1"/>
        <c:minorUnit val="1"/>
      </c:dateAx>
      <c:valAx>
        <c:axId val="54693483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Times New Roman"/>
                <a:ea typeface="Times New Roman"/>
                <a:cs typeface="Times New Roman"/>
              </a:defRPr>
            </a:pPr>
            <a:endParaRPr lang="ru-RU"/>
          </a:p>
        </c:txPr>
        <c:crossAx val="546934440"/>
        <c:crosses val="autoZero"/>
        <c:crossBetween val="between"/>
      </c:valAx>
      <c:spPr>
        <a:noFill/>
        <a:ln w="25399">
          <a:noFill/>
        </a:ln>
      </c:spPr>
    </c:plotArea>
    <c:legend>
      <c:legendPos val="r"/>
      <c:layout>
        <c:manualLayout>
          <c:xMode val="edge"/>
          <c:yMode val="edge"/>
          <c:x val="0.74077599309714925"/>
          <c:y val="0.41908807471422688"/>
          <c:w val="0.20277296360485267"/>
          <c:h val="0.14930555555555555"/>
        </c:manualLayout>
      </c:layout>
      <c:overlay val="0"/>
      <c:spPr>
        <a:noFill/>
        <a:ln w="3175">
          <a:solidFill>
            <a:srgbClr val="000000"/>
          </a:solidFill>
          <a:prstDash val="solid"/>
        </a:ln>
      </c:spPr>
      <c:txPr>
        <a:bodyPr/>
        <a:lstStyle/>
        <a:p>
          <a:pPr>
            <a:defRPr sz="89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8"/>
      <c:rotY val="20"/>
      <c:depthPercent val="100"/>
      <c:rAngAx val="1"/>
    </c:view3D>
    <c:floor>
      <c:thickness val="0"/>
      <c:spPr>
        <a:solidFill>
          <a:srgbClr val="C0C0C0"/>
        </a:solidFill>
        <a:ln w="3175">
          <a:solidFill>
            <a:srgbClr val="000000"/>
          </a:solidFill>
          <a:prstDash val="solid"/>
        </a:ln>
      </c:spPr>
    </c:floor>
    <c:sideWall>
      <c:thickness val="0"/>
      <c:spPr>
        <a:noFill/>
        <a:ln w="3175">
          <a:solidFill>
            <a:srgbClr val="000000"/>
          </a:solidFill>
          <a:prstDash val="solid"/>
        </a:ln>
      </c:spPr>
    </c:sideWall>
    <c:backWall>
      <c:thickness val="0"/>
      <c:spPr>
        <a:noFill/>
        <a:ln w="3175">
          <a:solidFill>
            <a:srgbClr val="000000"/>
          </a:solidFill>
          <a:prstDash val="solid"/>
        </a:ln>
      </c:spPr>
    </c:backWall>
    <c:plotArea>
      <c:layout>
        <c:manualLayout>
          <c:layoutTarget val="inner"/>
          <c:xMode val="edge"/>
          <c:yMode val="edge"/>
          <c:x val="6.9324090121317294E-2"/>
          <c:y val="7.6190476190476197E-2"/>
          <c:w val="0.63951473136915082"/>
          <c:h val="0.76190476190476186"/>
        </c:manualLayout>
      </c:layout>
      <c:bar3DChart>
        <c:barDir val="col"/>
        <c:grouping val="standard"/>
        <c:varyColors val="0"/>
        <c:ser>
          <c:idx val="0"/>
          <c:order val="0"/>
          <c:tx>
            <c:strRef>
              <c:f>Sheet1!$A$2</c:f>
              <c:strCache>
                <c:ptCount val="1"/>
                <c:pt idx="0">
                  <c:v>Всего проведено измерений</c:v>
                </c:pt>
              </c:strCache>
            </c:strRef>
          </c:tx>
          <c:spPr>
            <a:pattFill prst="pct25">
              <a:fgClr>
                <a:srgbClr val="000000"/>
              </a:fgClr>
              <a:bgClr>
                <a:srgbClr val="FFFFFF"/>
              </a:bgClr>
            </a:pattFill>
            <a:ln w="12700">
              <a:solidFill>
                <a:srgbClr val="000000"/>
              </a:solidFill>
              <a:prstDash val="solid"/>
            </a:ln>
          </c:spPr>
          <c:invertIfNegative val="0"/>
          <c:dLbls>
            <c:dLbl>
              <c:idx val="0"/>
              <c:layout>
                <c:manualLayout>
                  <c:x val="2.2318731574745281E-2"/>
                  <c:y val="-3.745713603981321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162-450E-AB0D-41AD34A3A003}"/>
                </c:ext>
                <c:ext xmlns:c15="http://schemas.microsoft.com/office/drawing/2012/chart" uri="{CE6537A1-D6FC-4f65-9D91-7224C49458BB}"/>
              </c:extLst>
            </c:dLbl>
            <c:dLbl>
              <c:idx val="1"/>
              <c:layout>
                <c:manualLayout>
                  <c:x val="0.79904737922862368"/>
                  <c:y val="-1.14325936530661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162-450E-AB0D-41AD34A3A003}"/>
                </c:ext>
                <c:ext xmlns:c15="http://schemas.microsoft.com/office/drawing/2012/chart" uri="{CE6537A1-D6FC-4f65-9D91-7224C49458BB}"/>
              </c:extLst>
            </c:dLbl>
            <c:dLbl>
              <c:idx val="2"/>
              <c:layout>
                <c:manualLayout>
                  <c:x val="-7.1089309553067385E-3"/>
                  <c:y val="1.48381225074138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162-450E-AB0D-41AD34A3A003}"/>
                </c:ext>
                <c:ext xmlns:c15="http://schemas.microsoft.com/office/drawing/2012/chart" uri="{CE6537A1-D6FC-4f65-9D91-7224C49458BB}"/>
              </c:extLst>
            </c:dLbl>
            <c:dLbl>
              <c:idx val="3"/>
              <c:layout>
                <c:manualLayout>
                  <c:x val="-0.3343662399342951"/>
                  <c:y val="-1.14325936530661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162-450E-AB0D-41AD34A3A003}"/>
                </c:ext>
                <c:ext xmlns:c15="http://schemas.microsoft.com/office/drawing/2012/chart" uri="{CE6537A1-D6FC-4f65-9D91-7224C49458BB}"/>
              </c:extLst>
            </c:dLbl>
            <c:dLbl>
              <c:idx val="4"/>
              <c:layout>
                <c:manualLayout>
                  <c:x val="-1.2653785323133061E-2"/>
                  <c:y val="2.094965402052029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162-450E-AB0D-41AD34A3A003}"/>
                </c:ext>
                <c:ext xmlns:c15="http://schemas.microsoft.com/office/drawing/2012/chart" uri="{CE6537A1-D6FC-4f65-9D91-7224C49458BB}"/>
              </c:extLst>
            </c:dLbl>
            <c:dLbl>
              <c:idx val="5"/>
              <c:layout>
                <c:manualLayout>
                  <c:x val="-0.47471244665845341"/>
                  <c:y val="-1.14325936530661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162-450E-AB0D-41AD34A3A003}"/>
                </c:ext>
                <c:ext xmlns:c15="http://schemas.microsoft.com/office/drawing/2012/chart" uri="{CE6537A1-D6FC-4f65-9D91-7224C49458BB}"/>
              </c:extLst>
            </c:dLbl>
            <c:spPr>
              <a:noFill/>
              <a:ln w="25399">
                <a:noFill/>
              </a:ln>
            </c:spPr>
            <c:txPr>
              <a:bodyPr/>
              <a:lstStyle/>
              <a:p>
                <a:pPr>
                  <a:defRPr sz="8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Sheet1!$B$1:$I$1</c:f>
              <c:strCache>
                <c:ptCount val="5"/>
                <c:pt idx="0">
                  <c:v>2018г</c:v>
                </c:pt>
                <c:pt idx="2">
                  <c:v>2019</c:v>
                </c:pt>
                <c:pt idx="4">
                  <c:v>2020г</c:v>
                </c:pt>
              </c:strCache>
            </c:strRef>
          </c:cat>
          <c:val>
            <c:numRef>
              <c:f>Sheet1!$B$2:$I$2</c:f>
              <c:numCache>
                <c:formatCode>General</c:formatCode>
                <c:ptCount val="8"/>
                <c:pt idx="0">
                  <c:v>1057</c:v>
                </c:pt>
                <c:pt idx="2">
                  <c:v>873</c:v>
                </c:pt>
                <c:pt idx="4">
                  <c:v>348</c:v>
                </c:pt>
              </c:numCache>
            </c:numRef>
          </c:val>
          <c:extLst xmlns:c16r2="http://schemas.microsoft.com/office/drawing/2015/06/chart">
            <c:ext xmlns:c16="http://schemas.microsoft.com/office/drawing/2014/chart" uri="{C3380CC4-5D6E-409C-BE32-E72D297353CC}">
              <c16:uniqueId val="{00000006-8162-450E-AB0D-41AD34A3A003}"/>
            </c:ext>
          </c:extLst>
        </c:ser>
        <c:ser>
          <c:idx val="1"/>
          <c:order val="1"/>
          <c:tx>
            <c:strRef>
              <c:f>Sheet1!$A$3</c:f>
              <c:strCache>
                <c:ptCount val="1"/>
                <c:pt idx="0">
                  <c:v>не соответствуют</c:v>
                </c:pt>
              </c:strCache>
            </c:strRef>
          </c:tx>
          <c:spPr>
            <a:pattFill prst="weave">
              <a:fgClr>
                <a:srgbClr val="000000"/>
              </a:fgClr>
              <a:bgClr>
                <a:srgbClr val="FFFFFF"/>
              </a:bgClr>
            </a:pattFill>
            <a:ln w="12700">
              <a:solidFill>
                <a:srgbClr val="000000"/>
              </a:solidFill>
              <a:prstDash val="solid"/>
            </a:ln>
          </c:spPr>
          <c:invertIfNegative val="0"/>
          <c:dLbls>
            <c:dLbl>
              <c:idx val="0"/>
              <c:layout>
                <c:manualLayout>
                  <c:x val="2.5180404690067385E-2"/>
                  <c:y val="-5.02825783140743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162-450E-AB0D-41AD34A3A003}"/>
                </c:ext>
                <c:ext xmlns:c15="http://schemas.microsoft.com/office/drawing/2012/chart" uri="{CE6537A1-D6FC-4f65-9D91-7224C49458BB}"/>
              </c:extLst>
            </c:dLbl>
            <c:dLbl>
              <c:idx val="2"/>
              <c:layout>
                <c:manualLayout>
                  <c:x val="8.2650813114813846E-3"/>
                  <c:y val="1.26590994307530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8162-450E-AB0D-41AD34A3A003}"/>
                </c:ext>
                <c:ext xmlns:c15="http://schemas.microsoft.com/office/drawing/2012/chart" uri="{CE6537A1-D6FC-4f65-9D91-7224C49458BB}"/>
              </c:extLst>
            </c:dLbl>
            <c:dLbl>
              <c:idx val="3"/>
              <c:layout>
                <c:manualLayout>
                  <c:x val="-0.35441587658685575"/>
                  <c:y val="-1.14325936530661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8162-450E-AB0D-41AD34A3A003}"/>
                </c:ext>
                <c:ext xmlns:c15="http://schemas.microsoft.com/office/drawing/2012/chart" uri="{CE6537A1-D6FC-4f65-9D91-7224C49458BB}"/>
              </c:extLst>
            </c:dLbl>
            <c:dLbl>
              <c:idx val="4"/>
              <c:layout>
                <c:manualLayout>
                  <c:x val="1.1004936279474157E-2"/>
                  <c:y val="1.47721989296796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8162-450E-AB0D-41AD34A3A003}"/>
                </c:ext>
                <c:ext xmlns:c15="http://schemas.microsoft.com/office/drawing/2012/chart" uri="{CE6537A1-D6FC-4f65-9D91-7224C49458BB}"/>
              </c:extLst>
            </c:dLbl>
            <c:dLbl>
              <c:idx val="5"/>
              <c:layout>
                <c:manualLayout>
                  <c:x val="0.12568870182388378"/>
                  <c:y val="-1.14325936530661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8162-450E-AB0D-41AD34A3A003}"/>
                </c:ext>
                <c:ext xmlns:c15="http://schemas.microsoft.com/office/drawing/2012/chart" uri="{CE6537A1-D6FC-4f65-9D91-7224C49458BB}"/>
              </c:extLst>
            </c:dLbl>
            <c:spPr>
              <a:noFill/>
              <a:ln w="25399">
                <a:noFill/>
              </a:ln>
            </c:spPr>
            <c:txPr>
              <a:bodyPr/>
              <a:lstStyle/>
              <a:p>
                <a:pPr>
                  <a:defRPr sz="8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Sheet1!$B$1:$I$1</c:f>
              <c:strCache>
                <c:ptCount val="5"/>
                <c:pt idx="0">
                  <c:v>2018г</c:v>
                </c:pt>
                <c:pt idx="2">
                  <c:v>2019</c:v>
                </c:pt>
                <c:pt idx="4">
                  <c:v>2020г</c:v>
                </c:pt>
              </c:strCache>
            </c:strRef>
          </c:cat>
          <c:val>
            <c:numRef>
              <c:f>Sheet1!$B$3:$I$3</c:f>
              <c:numCache>
                <c:formatCode>General</c:formatCode>
                <c:ptCount val="8"/>
                <c:pt idx="0">
                  <c:v>178</c:v>
                </c:pt>
                <c:pt idx="2">
                  <c:v>321</c:v>
                </c:pt>
                <c:pt idx="4">
                  <c:v>321</c:v>
                </c:pt>
              </c:numCache>
            </c:numRef>
          </c:val>
          <c:extLst xmlns:c16r2="http://schemas.microsoft.com/office/drawing/2015/06/chart">
            <c:ext xmlns:c16="http://schemas.microsoft.com/office/drawing/2014/chart" uri="{C3380CC4-5D6E-409C-BE32-E72D297353CC}">
              <c16:uniqueId val="{0000000C-8162-450E-AB0D-41AD34A3A003}"/>
            </c:ext>
          </c:extLst>
        </c:ser>
        <c:dLbls>
          <c:showLegendKey val="0"/>
          <c:showVal val="1"/>
          <c:showCatName val="0"/>
          <c:showSerName val="0"/>
          <c:showPercent val="0"/>
          <c:showBubbleSize val="0"/>
        </c:dLbls>
        <c:gapWidth val="150"/>
        <c:gapDepth val="0"/>
        <c:shape val="box"/>
        <c:axId val="546935616"/>
        <c:axId val="546936008"/>
        <c:axId val="508547904"/>
      </c:bar3DChart>
      <c:catAx>
        <c:axId val="5469356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50" b="0" i="0" u="none" strike="noStrike" baseline="0">
                <a:solidFill>
                  <a:srgbClr val="000000"/>
                </a:solidFill>
                <a:latin typeface="Times New Roman"/>
                <a:ea typeface="Times New Roman"/>
                <a:cs typeface="Times New Roman"/>
              </a:defRPr>
            </a:pPr>
            <a:endParaRPr lang="ru-RU"/>
          </a:p>
        </c:txPr>
        <c:crossAx val="546936008"/>
        <c:crosses val="autoZero"/>
        <c:auto val="1"/>
        <c:lblAlgn val="ctr"/>
        <c:lblOffset val="100"/>
        <c:tickLblSkip val="1"/>
        <c:tickMarkSkip val="1"/>
        <c:noMultiLvlLbl val="0"/>
      </c:catAx>
      <c:valAx>
        <c:axId val="5469360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Times New Roman"/>
                <a:ea typeface="Times New Roman"/>
                <a:cs typeface="Times New Roman"/>
              </a:defRPr>
            </a:pPr>
            <a:endParaRPr lang="ru-RU"/>
          </a:p>
        </c:txPr>
        <c:crossAx val="546935616"/>
        <c:crosses val="autoZero"/>
        <c:crossBetween val="between"/>
      </c:valAx>
      <c:serAx>
        <c:axId val="508547904"/>
        <c:scaling>
          <c:orientation val="minMax"/>
        </c:scaling>
        <c:delete val="1"/>
        <c:axPos val="b"/>
        <c:majorTickMark val="out"/>
        <c:minorTickMark val="none"/>
        <c:tickLblPos val="nextTo"/>
        <c:crossAx val="546936008"/>
        <c:crosses val="autoZero"/>
      </c:serAx>
    </c:plotArea>
    <c:legend>
      <c:legendPos val="r"/>
      <c:layout>
        <c:manualLayout>
          <c:xMode val="edge"/>
          <c:yMode val="edge"/>
          <c:x val="0.72790294627383112"/>
          <c:y val="0.20346313528990703"/>
          <c:w val="0.14077436748977806"/>
          <c:h val="0.49755857790503483"/>
        </c:manualLayout>
      </c:layout>
      <c:overlay val="0"/>
      <c:spPr>
        <a:noFill/>
        <a:ln w="3175">
          <a:solidFill>
            <a:srgbClr val="000000"/>
          </a:solidFill>
          <a:prstDash val="solid"/>
        </a:ln>
      </c:spPr>
      <c:txPr>
        <a:bodyPr/>
        <a:lstStyle/>
        <a:p>
          <a:pPr>
            <a:defRPr sz="78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2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42779783393501802"/>
          <c:y val="0.18211920529801323"/>
          <c:w val="0.43862815884476547"/>
          <c:h val="0.31788079470198694"/>
        </c:manualLayout>
      </c:layout>
      <c:pie3DChart>
        <c:varyColors val="1"/>
        <c:ser>
          <c:idx val="0"/>
          <c:order val="0"/>
          <c:tx>
            <c:strRef>
              <c:f>Sheet1!$A$2</c:f>
              <c:strCache>
                <c:ptCount val="1"/>
                <c:pt idx="0">
                  <c:v>Восток</c:v>
                </c:pt>
              </c:strCache>
            </c:strRef>
          </c:tx>
          <c:spPr>
            <a:solidFill>
              <a:srgbClr val="9999FF"/>
            </a:solidFill>
            <a:ln w="12635">
              <a:solidFill>
                <a:srgbClr val="000000"/>
              </a:solidFill>
              <a:prstDash val="solid"/>
            </a:ln>
          </c:spPr>
          <c:explosion val="30"/>
          <c:dPt>
            <c:idx val="0"/>
            <c:bubble3D val="0"/>
            <c:spPr>
              <a:solidFill>
                <a:srgbClr val="969696"/>
              </a:solidFill>
              <a:ln w="12635">
                <a:solidFill>
                  <a:srgbClr val="000000"/>
                </a:solidFill>
                <a:prstDash val="solid"/>
              </a:ln>
            </c:spPr>
            <c:extLst xmlns:c16r2="http://schemas.microsoft.com/office/drawing/2015/06/chart">
              <c:ext xmlns:c16="http://schemas.microsoft.com/office/drawing/2014/chart" uri="{C3380CC4-5D6E-409C-BE32-E72D297353CC}">
                <c16:uniqueId val="{00000000-EAE7-4F4F-A95F-72B5B25A7327}"/>
              </c:ext>
            </c:extLst>
          </c:dPt>
          <c:dPt>
            <c:idx val="1"/>
            <c:bubble3D val="0"/>
            <c:spPr>
              <a:solidFill>
                <a:srgbClr val="808080"/>
              </a:solidFill>
              <a:ln w="12635">
                <a:solidFill>
                  <a:srgbClr val="000000"/>
                </a:solidFill>
                <a:prstDash val="solid"/>
              </a:ln>
            </c:spPr>
            <c:extLst xmlns:c16r2="http://schemas.microsoft.com/office/drawing/2015/06/chart">
              <c:ext xmlns:c16="http://schemas.microsoft.com/office/drawing/2014/chart" uri="{C3380CC4-5D6E-409C-BE32-E72D297353CC}">
                <c16:uniqueId val="{00000001-EAE7-4F4F-A95F-72B5B25A7327}"/>
              </c:ext>
            </c:extLst>
          </c:dPt>
          <c:dPt>
            <c:idx val="2"/>
            <c:bubble3D val="0"/>
            <c:spPr>
              <a:pattFill prst="zigZag">
                <a:fgClr>
                  <a:srgbClr val="333333"/>
                </a:fgClr>
                <a:bgClr>
                  <a:srgbClr val="FFFFFF"/>
                </a:bgClr>
              </a:pattFill>
              <a:ln w="12635">
                <a:solidFill>
                  <a:srgbClr val="000000"/>
                </a:solidFill>
                <a:prstDash val="solid"/>
              </a:ln>
            </c:spPr>
            <c:extLst xmlns:c16r2="http://schemas.microsoft.com/office/drawing/2015/06/chart">
              <c:ext xmlns:c16="http://schemas.microsoft.com/office/drawing/2014/chart" uri="{C3380CC4-5D6E-409C-BE32-E72D297353CC}">
                <c16:uniqueId val="{00000002-EAE7-4F4F-A95F-72B5B25A7327}"/>
              </c:ext>
            </c:extLst>
          </c:dPt>
          <c:dPt>
            <c:idx val="3"/>
            <c:bubble3D val="0"/>
            <c:spPr>
              <a:pattFill prst="zigZag">
                <a:fgClr>
                  <a:srgbClr val="808080"/>
                </a:fgClr>
                <a:bgClr>
                  <a:srgbClr val="FFFFFF"/>
                </a:bgClr>
              </a:pattFill>
              <a:ln w="12635">
                <a:solidFill>
                  <a:srgbClr val="000000"/>
                </a:solidFill>
                <a:prstDash val="solid"/>
              </a:ln>
            </c:spPr>
            <c:extLst xmlns:c16r2="http://schemas.microsoft.com/office/drawing/2015/06/chart">
              <c:ext xmlns:c16="http://schemas.microsoft.com/office/drawing/2014/chart" uri="{C3380CC4-5D6E-409C-BE32-E72D297353CC}">
                <c16:uniqueId val="{00000003-EAE7-4F4F-A95F-72B5B25A7327}"/>
              </c:ext>
            </c:extLst>
          </c:dPt>
          <c:dLbls>
            <c:dLbl>
              <c:idx val="0"/>
              <c:layout>
                <c:manualLayout>
                  <c:x val="1.0176157313655846E-2"/>
                  <c:y val="-4.1268917561952397E-2"/>
                </c:manualLayout>
              </c:layout>
              <c:spPr>
                <a:noFill/>
                <a:ln w="25271">
                  <a:noFill/>
                </a:ln>
              </c:spPr>
              <c:txPr>
                <a:bodyPr/>
                <a:lstStyle/>
                <a:p>
                  <a:pPr>
                    <a:defRPr sz="796" b="1" i="0" u="none" strike="noStrike" baseline="0">
                      <a:solidFill>
                        <a:srgbClr val="000000"/>
                      </a:solidFill>
                      <a:latin typeface="Arial Cyr"/>
                      <a:ea typeface="Arial Cyr"/>
                      <a:cs typeface="Arial Cyr"/>
                    </a:defRPr>
                  </a:pPr>
                  <a:endParaRPr lang="ru-RU"/>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AE7-4F4F-A95F-72B5B25A7327}"/>
                </c:ext>
                <c:ext xmlns:c15="http://schemas.microsoft.com/office/drawing/2012/chart" uri="{CE6537A1-D6FC-4f65-9D91-7224C49458BB}"/>
              </c:extLst>
            </c:dLbl>
            <c:spPr>
              <a:noFill/>
              <a:ln w="25271">
                <a:noFill/>
              </a:ln>
            </c:spPr>
            <c:txPr>
              <a:bodyPr wrap="square" lIns="38100" tIns="19050" rIns="38100" bIns="19050" anchor="ctr">
                <a:spAutoFit/>
              </a:bodyPr>
              <a:lstStyle/>
              <a:p>
                <a:pPr>
                  <a:defRPr sz="79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Sheet1!$B$1:$E$1</c:f>
              <c:strCache>
                <c:ptCount val="4"/>
                <c:pt idx="0">
                  <c:v>I группа</c:v>
                </c:pt>
                <c:pt idx="1">
                  <c:v>II группа</c:v>
                </c:pt>
                <c:pt idx="2">
                  <c:v>IIIгруппа</c:v>
                </c:pt>
                <c:pt idx="3">
                  <c:v>V группа</c:v>
                </c:pt>
              </c:strCache>
            </c:strRef>
          </c:cat>
          <c:val>
            <c:numRef>
              <c:f>Sheet1!$B$2:$E$2</c:f>
              <c:numCache>
                <c:formatCode>General</c:formatCode>
                <c:ptCount val="4"/>
                <c:pt idx="0">
                  <c:v>50.790000000000013</c:v>
                </c:pt>
                <c:pt idx="1">
                  <c:v>43.36</c:v>
                </c:pt>
                <c:pt idx="2">
                  <c:v>6.4300000000000015</c:v>
                </c:pt>
                <c:pt idx="3">
                  <c:v>4.0000000000000015E-2</c:v>
                </c:pt>
              </c:numCache>
            </c:numRef>
          </c:val>
          <c:extLst xmlns:c16r2="http://schemas.microsoft.com/office/drawing/2015/06/chart">
            <c:ext xmlns:c16="http://schemas.microsoft.com/office/drawing/2014/chart" uri="{C3380CC4-5D6E-409C-BE32-E72D297353CC}">
              <c16:uniqueId val="{00000009-EAE7-4F4F-A95F-72B5B25A7327}"/>
            </c:ext>
          </c:extLst>
        </c:ser>
        <c:ser>
          <c:idx val="1"/>
          <c:order val="1"/>
          <c:tx>
            <c:strRef>
              <c:f>Sheet1!$A$3</c:f>
              <c:strCache>
                <c:ptCount val="1"/>
                <c:pt idx="0">
                  <c:v> </c:v>
                </c:pt>
              </c:strCache>
            </c:strRef>
          </c:tx>
          <c:spPr>
            <a:solidFill>
              <a:srgbClr val="993366"/>
            </a:solidFill>
            <a:ln w="12635">
              <a:solidFill>
                <a:srgbClr val="000000"/>
              </a:solidFill>
              <a:prstDash val="solid"/>
            </a:ln>
          </c:spPr>
          <c:explosion val="30"/>
          <c:dPt>
            <c:idx val="0"/>
            <c:bubble3D val="0"/>
            <c:spPr>
              <a:solidFill>
                <a:srgbClr val="9999FF"/>
              </a:solidFill>
              <a:ln w="12635">
                <a:solidFill>
                  <a:srgbClr val="000000"/>
                </a:solidFill>
                <a:prstDash val="solid"/>
              </a:ln>
            </c:spPr>
            <c:extLst xmlns:c16r2="http://schemas.microsoft.com/office/drawing/2015/06/chart">
              <c:ext xmlns:c16="http://schemas.microsoft.com/office/drawing/2014/chart" uri="{C3380CC4-5D6E-409C-BE32-E72D297353CC}">
                <c16:uniqueId val="{0000000A-EAE7-4F4F-A95F-72B5B25A7327}"/>
              </c:ext>
            </c:extLst>
          </c:dPt>
          <c:dPt>
            <c:idx val="2"/>
            <c:bubble3D val="0"/>
            <c:spPr>
              <a:solidFill>
                <a:srgbClr val="FFFFCC"/>
              </a:solidFill>
              <a:ln w="12635">
                <a:solidFill>
                  <a:srgbClr val="000000"/>
                </a:solidFill>
                <a:prstDash val="solid"/>
              </a:ln>
            </c:spPr>
            <c:extLst xmlns:c16r2="http://schemas.microsoft.com/office/drawing/2015/06/chart">
              <c:ext xmlns:c16="http://schemas.microsoft.com/office/drawing/2014/chart" uri="{C3380CC4-5D6E-409C-BE32-E72D297353CC}">
                <c16:uniqueId val="{0000000C-EAE7-4F4F-A95F-72B5B25A7327}"/>
              </c:ext>
            </c:extLst>
          </c:dPt>
          <c:dPt>
            <c:idx val="3"/>
            <c:bubble3D val="0"/>
            <c:spPr>
              <a:solidFill>
                <a:srgbClr val="CCFFFF"/>
              </a:solidFill>
              <a:ln w="12635">
                <a:solidFill>
                  <a:srgbClr val="000000"/>
                </a:solidFill>
                <a:prstDash val="solid"/>
              </a:ln>
            </c:spPr>
            <c:extLst xmlns:c16r2="http://schemas.microsoft.com/office/drawing/2015/06/chart">
              <c:ext xmlns:c16="http://schemas.microsoft.com/office/drawing/2014/chart" uri="{C3380CC4-5D6E-409C-BE32-E72D297353CC}">
                <c16:uniqueId val="{0000000D-EAE7-4F4F-A95F-72B5B25A7327}"/>
              </c:ext>
            </c:extLst>
          </c:dPt>
          <c:dLbls>
            <c:spPr>
              <a:noFill/>
              <a:ln w="25271">
                <a:noFill/>
              </a:ln>
            </c:spPr>
            <c:txPr>
              <a:bodyPr wrap="square" lIns="38100" tIns="19050" rIns="38100" bIns="19050" anchor="ctr">
                <a:spAutoFit/>
              </a:bodyPr>
              <a:lstStyle/>
              <a:p>
                <a:pPr>
                  <a:defRPr sz="308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Sheet1!$B$1:$E$1</c:f>
              <c:strCache>
                <c:ptCount val="4"/>
                <c:pt idx="0">
                  <c:v>I группа</c:v>
                </c:pt>
                <c:pt idx="1">
                  <c:v>II группа</c:v>
                </c:pt>
                <c:pt idx="2">
                  <c:v>IIIгруппа</c:v>
                </c:pt>
                <c:pt idx="3">
                  <c:v>V группа</c:v>
                </c:pt>
              </c:strCache>
            </c:strRef>
          </c:cat>
          <c:val>
            <c:numRef>
              <c:f>Sheet1!$B$3:$E$3</c:f>
              <c:numCache>
                <c:formatCode>General</c:formatCode>
                <c:ptCount val="4"/>
                <c:pt idx="2">
                  <c:v>0</c:v>
                </c:pt>
                <c:pt idx="3">
                  <c:v>0</c:v>
                </c:pt>
              </c:numCache>
            </c:numRef>
          </c:val>
          <c:extLst xmlns:c16r2="http://schemas.microsoft.com/office/drawing/2015/06/chart">
            <c:ext xmlns:c16="http://schemas.microsoft.com/office/drawing/2014/chart" uri="{C3380CC4-5D6E-409C-BE32-E72D297353CC}">
              <c16:uniqueId val="{00000013-EAE7-4F4F-A95F-72B5B25A7327}"/>
            </c:ext>
          </c:extLst>
        </c:ser>
        <c:ser>
          <c:idx val="2"/>
          <c:order val="2"/>
          <c:tx>
            <c:strRef>
              <c:f>Sheet1!#REF!</c:f>
              <c:strCache>
                <c:ptCount val="1"/>
                <c:pt idx="0">
                  <c:v>#REF!</c:v>
                </c:pt>
              </c:strCache>
            </c:strRef>
          </c:tx>
          <c:spPr>
            <a:solidFill>
              <a:srgbClr val="FFFFCC"/>
            </a:solidFill>
            <a:ln w="12635">
              <a:solidFill>
                <a:srgbClr val="000000"/>
              </a:solidFill>
              <a:prstDash val="solid"/>
            </a:ln>
          </c:spPr>
          <c:explosion val="30"/>
          <c:dPt>
            <c:idx val="0"/>
            <c:bubble3D val="0"/>
            <c:spPr>
              <a:solidFill>
                <a:srgbClr val="9999FF"/>
              </a:solidFill>
              <a:ln w="12635">
                <a:solidFill>
                  <a:srgbClr val="000000"/>
                </a:solidFill>
                <a:prstDash val="solid"/>
              </a:ln>
            </c:spPr>
            <c:extLst xmlns:c16r2="http://schemas.microsoft.com/office/drawing/2015/06/chart">
              <c:ext xmlns:c16="http://schemas.microsoft.com/office/drawing/2014/chart" uri="{C3380CC4-5D6E-409C-BE32-E72D297353CC}">
                <c16:uniqueId val="{00000014-EAE7-4F4F-A95F-72B5B25A7327}"/>
              </c:ext>
            </c:extLst>
          </c:dPt>
          <c:dLbls>
            <c:spPr>
              <a:noFill/>
              <a:ln w="25271">
                <a:noFill/>
              </a:ln>
            </c:spPr>
            <c:txPr>
              <a:bodyPr wrap="square" lIns="38100" tIns="19050" rIns="38100" bIns="19050" anchor="ctr">
                <a:spAutoFit/>
              </a:bodyPr>
              <a:lstStyle/>
              <a:p>
                <a:pPr>
                  <a:defRPr sz="308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Sheet1!$B$1:$E$1</c:f>
              <c:strCache>
                <c:ptCount val="4"/>
                <c:pt idx="0">
                  <c:v>I группа</c:v>
                </c:pt>
                <c:pt idx="1">
                  <c:v>II группа</c:v>
                </c:pt>
                <c:pt idx="2">
                  <c:v>IIIгруппа</c:v>
                </c:pt>
                <c:pt idx="3">
                  <c:v>V группа</c:v>
                </c:pt>
              </c:strCache>
            </c:strRef>
          </c:cat>
          <c:val>
            <c:numRef>
              <c:f>Sheet1!#REF!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1D-EAE7-4F4F-A95F-72B5B25A7327}"/>
            </c:ext>
          </c:extLst>
        </c:ser>
        <c:dLbls>
          <c:showLegendKey val="0"/>
          <c:showVal val="1"/>
          <c:showCatName val="0"/>
          <c:showSerName val="0"/>
          <c:showPercent val="0"/>
          <c:showBubbleSize val="0"/>
          <c:showLeaderLines val="1"/>
        </c:dLbls>
      </c:pie3DChart>
      <c:spPr>
        <a:solidFill>
          <a:srgbClr val="FFFFFF"/>
        </a:solidFill>
        <a:ln w="12635">
          <a:solidFill>
            <a:srgbClr val="FFFFFF"/>
          </a:solidFill>
          <a:prstDash val="solid"/>
        </a:ln>
      </c:spPr>
    </c:plotArea>
    <c:legend>
      <c:legendPos val="r"/>
      <c:layout>
        <c:manualLayout>
          <c:xMode val="edge"/>
          <c:yMode val="edge"/>
          <c:x val="0.12635379061371832"/>
          <c:y val="0.42384105960264912"/>
          <c:w val="0.87184115523465722"/>
          <c:h val="0.20812396311423634"/>
        </c:manualLayout>
      </c:layout>
      <c:overlay val="0"/>
      <c:spPr>
        <a:noFill/>
        <a:ln w="25271">
          <a:noFill/>
        </a:ln>
      </c:spPr>
      <c:txPr>
        <a:bodyPr/>
        <a:lstStyle/>
        <a:p>
          <a:pPr>
            <a:defRPr sz="751" b="0"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119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4028776978417265"/>
          <c:y val="4.9450549450549448E-2"/>
          <c:w val="0.6079136690647482"/>
          <c:h val="0.84615384615384615"/>
        </c:manualLayout>
      </c:layout>
      <c:bar3DChart>
        <c:barDir val="col"/>
        <c:grouping val="clustered"/>
        <c:varyColors val="0"/>
        <c:ser>
          <c:idx val="0"/>
          <c:order val="0"/>
          <c:tx>
            <c:strRef>
              <c:f>Sheet1!$A$2</c:f>
              <c:strCache>
                <c:ptCount val="1"/>
                <c:pt idx="0">
                  <c:v>2018</c:v>
                </c:pt>
              </c:strCache>
            </c:strRef>
          </c:tx>
          <c:spPr>
            <a:solidFill>
              <a:srgbClr val="9999FF"/>
            </a:solidFill>
            <a:ln w="12566">
              <a:solidFill>
                <a:srgbClr val="000000"/>
              </a:solidFill>
              <a:prstDash val="solid"/>
            </a:ln>
          </c:spPr>
          <c:invertIfNegative val="0"/>
          <c:cat>
            <c:strRef>
              <c:f>Sheet1!$B$1:$B$1</c:f>
              <c:strCache>
                <c:ptCount val="1"/>
                <c:pt idx="0">
                  <c:v>Количество составленных протоколов</c:v>
                </c:pt>
              </c:strCache>
            </c:strRef>
          </c:cat>
          <c:val>
            <c:numRef>
              <c:f>Sheet1!$B$2:$B$2</c:f>
              <c:numCache>
                <c:formatCode>General</c:formatCode>
                <c:ptCount val="1"/>
                <c:pt idx="0">
                  <c:v>115</c:v>
                </c:pt>
              </c:numCache>
            </c:numRef>
          </c:val>
        </c:ser>
        <c:ser>
          <c:idx val="1"/>
          <c:order val="1"/>
          <c:tx>
            <c:strRef>
              <c:f>Sheet1!$A$3</c:f>
              <c:strCache>
                <c:ptCount val="1"/>
                <c:pt idx="0">
                  <c:v>2019</c:v>
                </c:pt>
              </c:strCache>
            </c:strRef>
          </c:tx>
          <c:spPr>
            <a:solidFill>
              <a:srgbClr val="993366"/>
            </a:solidFill>
            <a:ln w="12566">
              <a:solidFill>
                <a:srgbClr val="000000"/>
              </a:solidFill>
              <a:prstDash val="solid"/>
            </a:ln>
          </c:spPr>
          <c:invertIfNegative val="0"/>
          <c:cat>
            <c:strRef>
              <c:f>Sheet1!$B$1:$B$1</c:f>
              <c:strCache>
                <c:ptCount val="1"/>
                <c:pt idx="0">
                  <c:v>Количество составленных протоколов</c:v>
                </c:pt>
              </c:strCache>
            </c:strRef>
          </c:cat>
          <c:val>
            <c:numRef>
              <c:f>Sheet1!$B$3:$B$3</c:f>
              <c:numCache>
                <c:formatCode>General</c:formatCode>
                <c:ptCount val="1"/>
                <c:pt idx="0">
                  <c:v>155</c:v>
                </c:pt>
              </c:numCache>
            </c:numRef>
          </c:val>
        </c:ser>
        <c:ser>
          <c:idx val="2"/>
          <c:order val="2"/>
          <c:tx>
            <c:strRef>
              <c:f>Sheet1!$A$4</c:f>
              <c:strCache>
                <c:ptCount val="1"/>
                <c:pt idx="0">
                  <c:v>2020</c:v>
                </c:pt>
              </c:strCache>
            </c:strRef>
          </c:tx>
          <c:spPr>
            <a:solidFill>
              <a:srgbClr val="FFFFCC"/>
            </a:solidFill>
            <a:ln w="12566">
              <a:solidFill>
                <a:srgbClr val="000000"/>
              </a:solidFill>
              <a:prstDash val="solid"/>
            </a:ln>
          </c:spPr>
          <c:invertIfNegative val="0"/>
          <c:cat>
            <c:strRef>
              <c:f>Sheet1!$B$1:$B$1</c:f>
              <c:strCache>
                <c:ptCount val="1"/>
                <c:pt idx="0">
                  <c:v>Количество составленных протоколов</c:v>
                </c:pt>
              </c:strCache>
            </c:strRef>
          </c:cat>
          <c:val>
            <c:numRef>
              <c:f>Sheet1!$B$4:$B$4</c:f>
              <c:numCache>
                <c:formatCode>General</c:formatCode>
                <c:ptCount val="1"/>
                <c:pt idx="0">
                  <c:v>21</c:v>
                </c:pt>
              </c:numCache>
            </c:numRef>
          </c:val>
        </c:ser>
        <c:dLbls>
          <c:showLegendKey val="0"/>
          <c:showVal val="0"/>
          <c:showCatName val="0"/>
          <c:showSerName val="0"/>
          <c:showPercent val="0"/>
          <c:showBubbleSize val="0"/>
        </c:dLbls>
        <c:gapWidth val="150"/>
        <c:gapDepth val="0"/>
        <c:shape val="box"/>
        <c:axId val="716090920"/>
        <c:axId val="716091312"/>
        <c:axId val="0"/>
      </c:bar3DChart>
      <c:catAx>
        <c:axId val="716090920"/>
        <c:scaling>
          <c:orientation val="minMax"/>
        </c:scaling>
        <c:delete val="0"/>
        <c:axPos val="b"/>
        <c:numFmt formatCode="General" sourceLinked="1"/>
        <c:majorTickMark val="out"/>
        <c:minorTickMark val="none"/>
        <c:tickLblPos val="low"/>
        <c:spPr>
          <a:ln w="3142">
            <a:solidFill>
              <a:srgbClr val="000000"/>
            </a:solidFill>
            <a:prstDash val="solid"/>
          </a:ln>
        </c:spPr>
        <c:txPr>
          <a:bodyPr rot="0" vert="horz"/>
          <a:lstStyle/>
          <a:p>
            <a:pPr>
              <a:defRPr sz="792" b="1" i="0" u="none" strike="noStrike" baseline="0">
                <a:solidFill>
                  <a:srgbClr val="000000"/>
                </a:solidFill>
                <a:latin typeface="Arial Cyr"/>
                <a:ea typeface="Arial Cyr"/>
                <a:cs typeface="Arial Cyr"/>
              </a:defRPr>
            </a:pPr>
            <a:endParaRPr lang="ru-RU"/>
          </a:p>
        </c:txPr>
        <c:crossAx val="716091312"/>
        <c:crosses val="autoZero"/>
        <c:auto val="1"/>
        <c:lblAlgn val="ctr"/>
        <c:lblOffset val="100"/>
        <c:noMultiLvlLbl val="0"/>
      </c:catAx>
      <c:valAx>
        <c:axId val="716091312"/>
        <c:scaling>
          <c:orientation val="minMax"/>
        </c:scaling>
        <c:delete val="0"/>
        <c:axPos val="l"/>
        <c:majorGridlines>
          <c:spPr>
            <a:ln w="3142">
              <a:solidFill>
                <a:srgbClr val="000000"/>
              </a:solidFill>
              <a:prstDash val="solid"/>
            </a:ln>
          </c:spPr>
        </c:majorGridlines>
        <c:numFmt formatCode="General" sourceLinked="1"/>
        <c:majorTickMark val="out"/>
        <c:minorTickMark val="none"/>
        <c:tickLblPos val="nextTo"/>
        <c:spPr>
          <a:ln w="3142">
            <a:solidFill>
              <a:srgbClr val="000000"/>
            </a:solidFill>
            <a:prstDash val="solid"/>
          </a:ln>
        </c:spPr>
        <c:txPr>
          <a:bodyPr rot="0" vert="horz"/>
          <a:lstStyle/>
          <a:p>
            <a:pPr>
              <a:defRPr sz="792" b="1" i="0" u="none" strike="noStrike" baseline="0">
                <a:solidFill>
                  <a:srgbClr val="000000"/>
                </a:solidFill>
                <a:latin typeface="Arial Cyr"/>
                <a:ea typeface="Arial Cyr"/>
                <a:cs typeface="Arial Cyr"/>
              </a:defRPr>
            </a:pPr>
            <a:endParaRPr lang="ru-RU"/>
          </a:p>
        </c:txPr>
        <c:crossAx val="716090920"/>
        <c:crosses val="autoZero"/>
        <c:crossBetween val="between"/>
      </c:valAx>
    </c:plotArea>
    <c:legend>
      <c:legendPos val="r"/>
      <c:overlay val="0"/>
      <c:spPr>
        <a:noFill/>
        <a:ln w="3142">
          <a:solidFill>
            <a:srgbClr val="000000"/>
          </a:solidFill>
          <a:prstDash val="solid"/>
        </a:ln>
      </c:spPr>
      <c:txPr>
        <a:bodyPr/>
        <a:lstStyle/>
        <a:p>
          <a:pPr>
            <a:defRPr sz="727"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792"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7"/>
      <c:rotY val="20"/>
      <c:depthPercent val="100"/>
      <c:rAngAx val="1"/>
    </c:view3D>
    <c:floor>
      <c:thickness val="0"/>
      <c:spPr>
        <a:solidFill>
          <a:srgbClr val="C0C0C0"/>
        </a:solidFill>
        <a:ln w="3175">
          <a:solidFill>
            <a:srgbClr val="000000"/>
          </a:solidFill>
          <a:prstDash val="solid"/>
        </a:ln>
      </c:spPr>
    </c:floor>
    <c:sideWall>
      <c:thickness val="0"/>
    </c:sideWall>
    <c:backWall>
      <c:thickness val="0"/>
    </c:backWall>
    <c:plotArea>
      <c:layout>
        <c:manualLayout>
          <c:layoutTarget val="inner"/>
          <c:xMode val="edge"/>
          <c:yMode val="edge"/>
          <c:x val="0.25081222514142576"/>
          <c:y val="2.8767271859612586E-2"/>
          <c:w val="0.61392405063291144"/>
          <c:h val="0.74556213017751483"/>
        </c:manualLayout>
      </c:layout>
      <c:bar3DChart>
        <c:barDir val="col"/>
        <c:grouping val="clustered"/>
        <c:varyColors val="0"/>
        <c:ser>
          <c:idx val="0"/>
          <c:order val="0"/>
          <c:tx>
            <c:strRef>
              <c:f>Лист1!$A$17</c:f>
              <c:strCache>
                <c:ptCount val="1"/>
                <c:pt idx="0">
                  <c:v>Подземные водоисточники</c:v>
                </c:pt>
              </c:strCache>
            </c:strRef>
          </c:tx>
          <c:spPr>
            <a:blipFill dpi="0" rotWithShape="0">
              <a:blip xmlns:r="http://schemas.openxmlformats.org/officeDocument/2006/relationships" r:embed="rId1"/>
              <a:srcRect/>
              <a:tile tx="0" ty="0" sx="100000" sy="100000" flip="none" algn="tl"/>
            </a:blipFill>
            <a:ln w="12687">
              <a:solidFill>
                <a:srgbClr val="000000"/>
              </a:solidFill>
              <a:prstDash val="solid"/>
            </a:ln>
          </c:spPr>
          <c:invertIfNegative val="0"/>
          <c:cat>
            <c:strRef>
              <c:f>Лист1!$B$16:$D$16</c:f>
              <c:strCache>
                <c:ptCount val="3"/>
                <c:pt idx="0">
                  <c:v>2018 г.</c:v>
                </c:pt>
                <c:pt idx="1">
                  <c:v>2019 г.</c:v>
                </c:pt>
                <c:pt idx="2">
                  <c:v>2020г</c:v>
                </c:pt>
              </c:strCache>
            </c:strRef>
          </c:cat>
          <c:val>
            <c:numRef>
              <c:f>Лист1!$B$17:$D$17</c:f>
              <c:numCache>
                <c:formatCode>General</c:formatCode>
                <c:ptCount val="3"/>
                <c:pt idx="0">
                  <c:v>26</c:v>
                </c:pt>
                <c:pt idx="1">
                  <c:v>11</c:v>
                </c:pt>
                <c:pt idx="2">
                  <c:v>18</c:v>
                </c:pt>
              </c:numCache>
            </c:numRef>
          </c:val>
        </c:ser>
        <c:ser>
          <c:idx val="1"/>
          <c:order val="1"/>
          <c:tx>
            <c:strRef>
              <c:f>Лист1!$A$18</c:f>
              <c:strCache>
                <c:ptCount val="1"/>
                <c:pt idx="0">
                  <c:v>Разводящая сеть и водопроводы ( проб)</c:v>
                </c:pt>
              </c:strCache>
            </c:strRef>
          </c:tx>
          <c:spPr>
            <a:blipFill dpi="0" rotWithShape="0">
              <a:blip xmlns:r="http://schemas.openxmlformats.org/officeDocument/2006/relationships" r:embed="rId2"/>
              <a:srcRect/>
              <a:tile tx="0" ty="0" sx="100000" sy="100000" flip="none" algn="tl"/>
            </a:blipFill>
            <a:ln w="12687">
              <a:solidFill>
                <a:srgbClr val="000000"/>
              </a:solidFill>
              <a:prstDash val="solid"/>
            </a:ln>
          </c:spPr>
          <c:invertIfNegative val="0"/>
          <c:cat>
            <c:strRef>
              <c:f>Лист1!$B$16:$D$16</c:f>
              <c:strCache>
                <c:ptCount val="3"/>
                <c:pt idx="0">
                  <c:v>2018 г.</c:v>
                </c:pt>
                <c:pt idx="1">
                  <c:v>2019 г.</c:v>
                </c:pt>
                <c:pt idx="2">
                  <c:v>2020г</c:v>
                </c:pt>
              </c:strCache>
            </c:strRef>
          </c:cat>
          <c:val>
            <c:numRef>
              <c:f>Лист1!$B$18:$D$18</c:f>
              <c:numCache>
                <c:formatCode>General</c:formatCode>
                <c:ptCount val="3"/>
                <c:pt idx="0">
                  <c:v>5</c:v>
                </c:pt>
                <c:pt idx="1">
                  <c:v>1</c:v>
                </c:pt>
                <c:pt idx="2">
                  <c:v>3</c:v>
                </c:pt>
              </c:numCache>
            </c:numRef>
          </c:val>
        </c:ser>
        <c:dLbls>
          <c:showLegendKey val="0"/>
          <c:showVal val="0"/>
          <c:showCatName val="0"/>
          <c:showSerName val="0"/>
          <c:showPercent val="0"/>
          <c:showBubbleSize val="0"/>
        </c:dLbls>
        <c:gapWidth val="150"/>
        <c:shape val="box"/>
        <c:axId val="546881832"/>
        <c:axId val="546882224"/>
        <c:axId val="0"/>
      </c:bar3DChart>
      <c:catAx>
        <c:axId val="546881832"/>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546882224"/>
        <c:crosses val="autoZero"/>
        <c:auto val="1"/>
        <c:lblAlgn val="ctr"/>
        <c:lblOffset val="100"/>
        <c:tickLblSkip val="1"/>
        <c:tickMarkSkip val="1"/>
        <c:noMultiLvlLbl val="0"/>
      </c:catAx>
      <c:valAx>
        <c:axId val="546882224"/>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546881832"/>
        <c:crosses val="autoZero"/>
        <c:crossBetween val="between"/>
      </c:valAx>
      <c:spPr>
        <a:noFill/>
        <a:ln w="25375">
          <a:noFill/>
        </a:ln>
      </c:spPr>
    </c:plotArea>
    <c:legend>
      <c:legendPos val="r"/>
      <c:layout>
        <c:manualLayout>
          <c:xMode val="edge"/>
          <c:yMode val="edge"/>
          <c:x val="0.70886085185297787"/>
          <c:y val="0.3846146737770248"/>
          <c:w val="0.28270027057428637"/>
          <c:h val="0.23076962567943066"/>
        </c:manualLayout>
      </c:layout>
      <c:overlay val="0"/>
      <c:spPr>
        <a:solidFill>
          <a:srgbClr val="FFFFFF"/>
        </a:solidFill>
        <a:ln w="3172">
          <a:solidFill>
            <a:srgbClr val="000000"/>
          </a:solidFill>
          <a:prstDash val="solid"/>
        </a:ln>
      </c:spPr>
      <c:txPr>
        <a:bodyPr/>
        <a:lstStyle/>
        <a:p>
          <a:pPr>
            <a:defRPr sz="734"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2">
      <a:solidFill>
        <a:srgbClr val="000000"/>
      </a:solidFill>
      <a:prstDash val="solid"/>
    </a:ln>
  </c:spPr>
  <c:txPr>
    <a:bodyPr/>
    <a:lstStyle/>
    <a:p>
      <a:pPr>
        <a:defRPr sz="799" b="0" i="0" u="none" strike="noStrike" baseline="0">
          <a:solidFill>
            <a:srgbClr val="000000"/>
          </a:solidFill>
          <a:latin typeface="Arial Cyr"/>
          <a:ea typeface="Arial Cyr"/>
          <a:cs typeface="Arial Cyr"/>
        </a:defRPr>
      </a:pPr>
      <a:endParaRPr lang="ru-RU"/>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0"/>
      <c:rAngAx val="1"/>
    </c:view3D>
    <c:floor>
      <c:thickness val="0"/>
    </c:floor>
    <c:sideWall>
      <c:thickness val="0"/>
    </c:sideWall>
    <c:backWall>
      <c:thickness val="0"/>
    </c:backWall>
    <c:plotArea>
      <c:layout/>
      <c:pie3DChart>
        <c:varyColors val="1"/>
        <c:ser>
          <c:idx val="0"/>
          <c:order val="0"/>
          <c:tx>
            <c:strRef>
              <c:f>Лист1!$B$1</c:f>
              <c:strCache>
                <c:ptCount val="1"/>
                <c:pt idx="0">
                  <c:v>Количество вынесенных постановлений</c:v>
                </c:pt>
              </c:strCache>
            </c:strRef>
          </c:tx>
          <c:cat>
            <c:numRef>
              <c:f>Лист1!$A$2:$A$5</c:f>
              <c:numCache>
                <c:formatCode>General</c:formatCode>
                <c:ptCount val="4"/>
                <c:pt idx="0">
                  <c:v>2018</c:v>
                </c:pt>
                <c:pt idx="1">
                  <c:v>2019</c:v>
                </c:pt>
                <c:pt idx="2">
                  <c:v>2020</c:v>
                </c:pt>
              </c:numCache>
            </c:numRef>
          </c:cat>
          <c:val>
            <c:numRef>
              <c:f>Лист1!$B$2:$B$5</c:f>
              <c:numCache>
                <c:formatCode>General</c:formatCode>
                <c:ptCount val="4"/>
                <c:pt idx="0">
                  <c:v>133</c:v>
                </c:pt>
                <c:pt idx="1">
                  <c:v>189</c:v>
                </c:pt>
                <c:pt idx="2">
                  <c:v>45</c:v>
                </c:pt>
              </c:numCache>
            </c:numRef>
          </c:val>
        </c:ser>
        <c:ser>
          <c:idx val="1"/>
          <c:order val="1"/>
          <c:tx>
            <c:strRef>
              <c:f>Лист1!$C$1</c:f>
              <c:strCache>
                <c:ptCount val="1"/>
                <c:pt idx="0">
                  <c:v>Столбец2</c:v>
                </c:pt>
              </c:strCache>
            </c:strRef>
          </c:tx>
          <c:cat>
            <c:numRef>
              <c:f>Лист1!$A$2:$A$5</c:f>
              <c:numCache>
                <c:formatCode>General</c:formatCode>
                <c:ptCount val="4"/>
                <c:pt idx="0">
                  <c:v>2018</c:v>
                </c:pt>
                <c:pt idx="1">
                  <c:v>2019</c:v>
                </c:pt>
                <c:pt idx="2">
                  <c:v>2020</c:v>
                </c:pt>
              </c:numCache>
            </c:numRef>
          </c:cat>
          <c:val>
            <c:numRef>
              <c:f>Лист1!$C$2:$C$5</c:f>
              <c:numCache>
                <c:formatCode>General</c:formatCode>
                <c:ptCount val="4"/>
              </c:numCache>
            </c:numRef>
          </c:val>
        </c:ser>
        <c:ser>
          <c:idx val="2"/>
          <c:order val="2"/>
          <c:tx>
            <c:strRef>
              <c:f>Лист1!$D$1</c:f>
              <c:strCache>
                <c:ptCount val="1"/>
                <c:pt idx="0">
                  <c:v>Столбец3</c:v>
                </c:pt>
              </c:strCache>
            </c:strRef>
          </c:tx>
          <c:cat>
            <c:numRef>
              <c:f>Лист1!$A$2:$A$5</c:f>
              <c:numCache>
                <c:formatCode>General</c:formatCode>
                <c:ptCount val="4"/>
                <c:pt idx="0">
                  <c:v>2018</c:v>
                </c:pt>
                <c:pt idx="1">
                  <c:v>2019</c:v>
                </c:pt>
                <c:pt idx="2">
                  <c:v>2020</c:v>
                </c:pt>
              </c:numCache>
            </c:numRef>
          </c:cat>
          <c:val>
            <c:numRef>
              <c:f>Лист1!$D$2:$D$5</c:f>
              <c:numCache>
                <c:formatCode>General</c:formatCode>
                <c:ptCount val="4"/>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5"/>
      <c:hPercent val="67"/>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
          <c:y val="0.05"/>
          <c:w val="0.578125"/>
          <c:h val="0.83888888888888891"/>
        </c:manualLayout>
      </c:layout>
      <c:bar3DChart>
        <c:barDir val="col"/>
        <c:grouping val="clustered"/>
        <c:varyColors val="0"/>
        <c:ser>
          <c:idx val="0"/>
          <c:order val="0"/>
          <c:tx>
            <c:strRef>
              <c:f>Sheet1!$A$2</c:f>
              <c:strCache>
                <c:ptCount val="1"/>
                <c:pt idx="0">
                  <c:v>2018</c:v>
                </c:pt>
              </c:strCache>
            </c:strRef>
          </c:tx>
          <c:spPr>
            <a:solidFill>
              <a:srgbClr val="9999FF"/>
            </a:solidFill>
            <a:ln w="12696">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1645.5</c:v>
                </c:pt>
              </c:numCache>
            </c:numRef>
          </c:val>
        </c:ser>
        <c:ser>
          <c:idx val="1"/>
          <c:order val="1"/>
          <c:tx>
            <c:strRef>
              <c:f>Sheet1!$A$3</c:f>
              <c:strCache>
                <c:ptCount val="1"/>
                <c:pt idx="0">
                  <c:v>2019</c:v>
                </c:pt>
              </c:strCache>
            </c:strRef>
          </c:tx>
          <c:spPr>
            <a:solidFill>
              <a:srgbClr val="993366"/>
            </a:solidFill>
            <a:ln w="12696">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1683.3</c:v>
                </c:pt>
              </c:numCache>
            </c:numRef>
          </c:val>
        </c:ser>
        <c:ser>
          <c:idx val="2"/>
          <c:order val="2"/>
          <c:tx>
            <c:strRef>
              <c:f>Sheet1!$A$4</c:f>
              <c:strCache>
                <c:ptCount val="1"/>
                <c:pt idx="0">
                  <c:v>2020</c:v>
                </c:pt>
              </c:strCache>
            </c:strRef>
          </c:tx>
          <c:spPr>
            <a:solidFill>
              <a:srgbClr val="FFFFCC"/>
            </a:solidFill>
            <a:ln w="12696">
              <a:solidFill>
                <a:srgbClr val="000000"/>
              </a:solidFill>
              <a:prstDash val="solid"/>
            </a:ln>
          </c:spPr>
          <c:invertIfNegative val="0"/>
          <c:cat>
            <c:numRef>
              <c:f>Sheet1!$B$1:$B$1</c:f>
              <c:numCache>
                <c:formatCode>General</c:formatCode>
                <c:ptCount val="1"/>
              </c:numCache>
            </c:numRef>
          </c:cat>
          <c:val>
            <c:numRef>
              <c:f>Sheet1!$B$4:$B$4</c:f>
              <c:numCache>
                <c:formatCode>#,##0</c:formatCode>
                <c:ptCount val="1"/>
                <c:pt idx="0">
                  <c:v>211.6</c:v>
                </c:pt>
              </c:numCache>
            </c:numRef>
          </c:val>
        </c:ser>
        <c:dLbls>
          <c:showLegendKey val="0"/>
          <c:showVal val="0"/>
          <c:showCatName val="0"/>
          <c:showSerName val="0"/>
          <c:showPercent val="0"/>
          <c:showBubbleSize val="0"/>
        </c:dLbls>
        <c:gapWidth val="150"/>
        <c:gapDepth val="0"/>
        <c:shape val="cone"/>
        <c:axId val="716092488"/>
        <c:axId val="716092880"/>
        <c:axId val="0"/>
      </c:bar3DChart>
      <c:catAx>
        <c:axId val="716092488"/>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716092880"/>
        <c:crosses val="autoZero"/>
        <c:auto val="1"/>
        <c:lblAlgn val="ctr"/>
        <c:lblOffset val="100"/>
        <c:tickLblSkip val="1"/>
        <c:tickMarkSkip val="1"/>
        <c:noMultiLvlLbl val="0"/>
      </c:catAx>
      <c:valAx>
        <c:axId val="716092880"/>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716092488"/>
        <c:crosses val="autoZero"/>
        <c:crossBetween val="between"/>
      </c:valAx>
      <c:spPr>
        <a:noFill/>
        <a:ln w="25391">
          <a:noFill/>
        </a:ln>
      </c:spPr>
    </c:plotArea>
    <c:legend>
      <c:legendPos val="r"/>
      <c:layout>
        <c:manualLayout>
          <c:xMode val="edge"/>
          <c:yMode val="edge"/>
          <c:x val="0.8125"/>
          <c:y val="0.33888888888888891"/>
          <c:w val="0.17499999999999999"/>
          <c:h val="0.32222222222222224"/>
        </c:manualLayout>
      </c:layout>
      <c:overlay val="0"/>
      <c:spPr>
        <a:noFill/>
        <a:ln w="3174">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Составы правонарушений</c:v>
                </c:pt>
              </c:strCache>
            </c:strRef>
          </c:tx>
          <c:cat>
            <c:numRef>
              <c:f>Лист1!$A$2:$A$5</c:f>
              <c:numCache>
                <c:formatCode>General</c:formatCode>
                <c:ptCount val="4"/>
                <c:pt idx="0">
                  <c:v>2018</c:v>
                </c:pt>
                <c:pt idx="1">
                  <c:v>2019</c:v>
                </c:pt>
                <c:pt idx="2">
                  <c:v>2020</c:v>
                </c:pt>
              </c:numCache>
            </c:numRef>
          </c:cat>
          <c:val>
            <c:numRef>
              <c:f>Лист1!$B$2:$B$5</c:f>
              <c:numCache>
                <c:formatCode>General</c:formatCode>
                <c:ptCount val="4"/>
                <c:pt idx="0">
                  <c:v>32</c:v>
                </c:pt>
                <c:pt idx="1">
                  <c:v>30</c:v>
                </c:pt>
                <c:pt idx="2">
                  <c:v>18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0909090909090911E-2"/>
          <c:y val="8.3769633507853408E-2"/>
          <c:w val="0.58181818181818179"/>
          <c:h val="0.73821989528795806"/>
        </c:manualLayout>
      </c:layout>
      <c:bar3DChart>
        <c:barDir val="col"/>
        <c:grouping val="clustered"/>
        <c:varyColors val="0"/>
        <c:ser>
          <c:idx val="0"/>
          <c:order val="0"/>
          <c:tx>
            <c:strRef>
              <c:f>Sheet1!$A$2</c:f>
              <c:strCache>
                <c:ptCount val="1"/>
                <c:pt idx="0">
                  <c:v>количество проб по микробиологическим показателям</c:v>
                </c:pt>
              </c:strCache>
            </c:strRef>
          </c:tx>
          <c:spPr>
            <a:solidFill>
              <a:srgbClr val="9999FF"/>
            </a:solidFill>
            <a:ln w="12632">
              <a:solidFill>
                <a:srgbClr val="000000"/>
              </a:solidFill>
              <a:prstDash val="solid"/>
            </a:ln>
          </c:spPr>
          <c:invertIfNegative val="0"/>
          <c:dPt>
            <c:idx val="0"/>
            <c:invertIfNegative val="0"/>
            <c:bubble3D val="0"/>
            <c:spPr>
              <a:solidFill>
                <a:srgbClr val="969696"/>
              </a:solidFill>
              <a:ln w="12632">
                <a:solidFill>
                  <a:srgbClr val="000000"/>
                </a:solidFill>
                <a:prstDash val="solid"/>
              </a:ln>
            </c:spPr>
          </c:dPt>
          <c:dPt>
            <c:idx val="1"/>
            <c:invertIfNegative val="0"/>
            <c:bubble3D val="0"/>
            <c:spPr>
              <a:solidFill>
                <a:srgbClr val="808080"/>
              </a:solidFill>
              <a:ln w="12632">
                <a:solidFill>
                  <a:srgbClr val="000000"/>
                </a:solidFill>
                <a:prstDash val="solid"/>
              </a:ln>
            </c:spPr>
          </c:dPt>
          <c:dPt>
            <c:idx val="2"/>
            <c:invertIfNegative val="0"/>
            <c:bubble3D val="0"/>
            <c:spPr>
              <a:solidFill>
                <a:srgbClr val="808080"/>
              </a:solidFill>
              <a:ln w="12632">
                <a:solidFill>
                  <a:srgbClr val="000000"/>
                </a:solidFill>
                <a:prstDash val="solid"/>
              </a:ln>
            </c:spPr>
          </c:dPt>
          <c:cat>
            <c:strRef>
              <c:f>Sheet1!$B$1:$E$1</c:f>
              <c:strCache>
                <c:ptCount val="3"/>
                <c:pt idx="0">
                  <c:v>2018г.</c:v>
                </c:pt>
                <c:pt idx="1">
                  <c:v>2019г.</c:v>
                </c:pt>
                <c:pt idx="2">
                  <c:v>2020г</c:v>
                </c:pt>
              </c:strCache>
            </c:strRef>
          </c:cat>
          <c:val>
            <c:numRef>
              <c:f>Sheet1!$B$2:$E$2</c:f>
              <c:numCache>
                <c:formatCode>General</c:formatCode>
                <c:ptCount val="4"/>
                <c:pt idx="0">
                  <c:v>11</c:v>
                </c:pt>
                <c:pt idx="1">
                  <c:v>17</c:v>
                </c:pt>
                <c:pt idx="2">
                  <c:v>5</c:v>
                </c:pt>
              </c:numCache>
            </c:numRef>
          </c:val>
        </c:ser>
        <c:ser>
          <c:idx val="1"/>
          <c:order val="1"/>
          <c:tx>
            <c:strRef>
              <c:f>Sheet1!$A$3</c:f>
              <c:strCache>
                <c:ptCount val="1"/>
                <c:pt idx="0">
                  <c:v>не соответствует  по микробиологическим показателям</c:v>
                </c:pt>
              </c:strCache>
            </c:strRef>
          </c:tx>
          <c:spPr>
            <a:solidFill>
              <a:srgbClr val="993366"/>
            </a:solidFill>
            <a:ln w="12632">
              <a:solidFill>
                <a:srgbClr val="000000"/>
              </a:solidFill>
              <a:prstDash val="solid"/>
            </a:ln>
          </c:spPr>
          <c:invertIfNegative val="0"/>
          <c:cat>
            <c:strRef>
              <c:f>Sheet1!$B$1:$E$1</c:f>
              <c:strCache>
                <c:ptCount val="3"/>
                <c:pt idx="0">
                  <c:v>2018г.</c:v>
                </c:pt>
                <c:pt idx="1">
                  <c:v>2019г.</c:v>
                </c:pt>
                <c:pt idx="2">
                  <c:v>2020г</c:v>
                </c:pt>
              </c:strCache>
            </c:strRef>
          </c:cat>
          <c:val>
            <c:numRef>
              <c:f>Sheet1!$B$3:$E$3</c:f>
              <c:numCache>
                <c:formatCode>General</c:formatCode>
                <c:ptCount val="4"/>
                <c:pt idx="0">
                  <c:v>0</c:v>
                </c:pt>
                <c:pt idx="1">
                  <c:v>0</c:v>
                </c:pt>
                <c:pt idx="2">
                  <c:v>0</c:v>
                </c:pt>
              </c:numCache>
            </c:numRef>
          </c:val>
        </c:ser>
        <c:ser>
          <c:idx val="2"/>
          <c:order val="2"/>
          <c:tx>
            <c:strRef>
              <c:f>Sheet1!$A$4</c:f>
              <c:strCache>
                <c:ptCount val="1"/>
                <c:pt idx="0">
                  <c:v>количество проб по паразитологическим показателям</c:v>
                </c:pt>
              </c:strCache>
            </c:strRef>
          </c:tx>
          <c:spPr>
            <a:pattFill prst="wave">
              <a:fgClr>
                <a:srgbClr xmlns:mc="http://schemas.openxmlformats.org/markup-compatibility/2006" xmlns:a14="http://schemas.microsoft.com/office/drawing/2010/main" val="969696" mc:Ignorable="a14" a14:legacySpreadsheetColorIndex="55"/>
              </a:fgClr>
              <a:bgClr>
                <a:srgbClr xmlns:mc="http://schemas.openxmlformats.org/markup-compatibility/2006" xmlns:a14="http://schemas.microsoft.com/office/drawing/2010/main" val="FFFFFF" mc:Ignorable="a14" a14:legacySpreadsheetColorIndex="9"/>
              </a:bgClr>
            </a:pattFill>
            <a:ln w="12632">
              <a:solidFill>
                <a:srgbClr val="000000"/>
              </a:solidFill>
              <a:prstDash val="solid"/>
            </a:ln>
          </c:spPr>
          <c:invertIfNegative val="0"/>
          <c:cat>
            <c:strRef>
              <c:f>Sheet1!$B$1:$E$1</c:f>
              <c:strCache>
                <c:ptCount val="3"/>
                <c:pt idx="0">
                  <c:v>2018г.</c:v>
                </c:pt>
                <c:pt idx="1">
                  <c:v>2019г.</c:v>
                </c:pt>
                <c:pt idx="2">
                  <c:v>2020г</c:v>
                </c:pt>
              </c:strCache>
            </c:strRef>
          </c:cat>
          <c:val>
            <c:numRef>
              <c:f>Sheet1!$B$4:$E$4</c:f>
              <c:numCache>
                <c:formatCode>General</c:formatCode>
                <c:ptCount val="4"/>
                <c:pt idx="0">
                  <c:v>27</c:v>
                </c:pt>
                <c:pt idx="1">
                  <c:v>35</c:v>
                </c:pt>
                <c:pt idx="2">
                  <c:v>41</c:v>
                </c:pt>
              </c:numCache>
            </c:numRef>
          </c:val>
        </c:ser>
        <c:ser>
          <c:idx val="3"/>
          <c:order val="3"/>
          <c:tx>
            <c:strRef>
              <c:f>Sheet1!$A$5</c:f>
              <c:strCache>
                <c:ptCount val="1"/>
                <c:pt idx="0">
                  <c:v>не соответствуют по паразитолологическим показателям</c:v>
                </c:pt>
              </c:strCache>
            </c:strRef>
          </c:tx>
          <c:spPr>
            <a:solidFill>
              <a:srgbClr val="333333"/>
            </a:solidFill>
            <a:ln w="12632">
              <a:solidFill>
                <a:srgbClr val="000000"/>
              </a:solidFill>
              <a:prstDash val="solid"/>
            </a:ln>
          </c:spPr>
          <c:invertIfNegative val="0"/>
          <c:cat>
            <c:strRef>
              <c:f>Sheet1!$B$1:$E$1</c:f>
              <c:strCache>
                <c:ptCount val="3"/>
                <c:pt idx="0">
                  <c:v>2018г.</c:v>
                </c:pt>
                <c:pt idx="1">
                  <c:v>2019г.</c:v>
                </c:pt>
                <c:pt idx="2">
                  <c:v>2020г</c:v>
                </c:pt>
              </c:strCache>
            </c:strRef>
          </c:cat>
          <c:val>
            <c:numRef>
              <c:f>Sheet1!$B$5:$E$5</c:f>
              <c:numCache>
                <c:formatCode>General</c:formatCode>
                <c:ptCount val="4"/>
                <c:pt idx="0">
                  <c:v>0</c:v>
                </c:pt>
                <c:pt idx="1">
                  <c:v>1</c:v>
                </c:pt>
                <c:pt idx="2">
                  <c:v>0</c:v>
                </c:pt>
              </c:numCache>
            </c:numRef>
          </c:val>
        </c:ser>
        <c:dLbls>
          <c:showLegendKey val="0"/>
          <c:showVal val="0"/>
          <c:showCatName val="0"/>
          <c:showSerName val="0"/>
          <c:showPercent val="0"/>
          <c:showBubbleSize val="0"/>
        </c:dLbls>
        <c:gapWidth val="150"/>
        <c:gapDepth val="0"/>
        <c:shape val="box"/>
        <c:axId val="546883008"/>
        <c:axId val="546883400"/>
        <c:axId val="0"/>
      </c:bar3DChart>
      <c:catAx>
        <c:axId val="546883008"/>
        <c:scaling>
          <c:orientation val="minMax"/>
        </c:scaling>
        <c:delete val="0"/>
        <c:axPos val="b"/>
        <c:numFmt formatCode="General" sourceLinked="1"/>
        <c:majorTickMark val="out"/>
        <c:minorTickMark val="none"/>
        <c:tickLblPos val="low"/>
        <c:spPr>
          <a:ln w="3158">
            <a:solidFill>
              <a:srgbClr val="000000"/>
            </a:solidFill>
            <a:prstDash val="solid"/>
          </a:ln>
        </c:spPr>
        <c:txPr>
          <a:bodyPr rot="0" vert="horz"/>
          <a:lstStyle/>
          <a:p>
            <a:pPr>
              <a:defRPr sz="845" b="1" i="0" u="none" strike="noStrike" baseline="0">
                <a:solidFill>
                  <a:srgbClr val="000000"/>
                </a:solidFill>
                <a:latin typeface="Calibri"/>
                <a:ea typeface="Calibri"/>
                <a:cs typeface="Calibri"/>
              </a:defRPr>
            </a:pPr>
            <a:endParaRPr lang="ru-RU"/>
          </a:p>
        </c:txPr>
        <c:crossAx val="546883400"/>
        <c:crosses val="autoZero"/>
        <c:auto val="1"/>
        <c:lblAlgn val="ctr"/>
        <c:lblOffset val="100"/>
        <c:tickLblSkip val="1"/>
        <c:tickMarkSkip val="1"/>
        <c:noMultiLvlLbl val="0"/>
      </c:catAx>
      <c:valAx>
        <c:axId val="546883400"/>
        <c:scaling>
          <c:orientation val="minMax"/>
        </c:scaling>
        <c:delete val="0"/>
        <c:axPos val="l"/>
        <c:majorGridlines>
          <c:spPr>
            <a:ln w="3158">
              <a:solidFill>
                <a:srgbClr val="000000"/>
              </a:solidFill>
              <a:prstDash val="solid"/>
            </a:ln>
          </c:spPr>
        </c:majorGridlines>
        <c:numFmt formatCode="General" sourceLinked="1"/>
        <c:majorTickMark val="out"/>
        <c:minorTickMark val="none"/>
        <c:tickLblPos val="nextTo"/>
        <c:spPr>
          <a:ln w="3158">
            <a:solidFill>
              <a:srgbClr val="000000"/>
            </a:solidFill>
            <a:prstDash val="solid"/>
          </a:ln>
        </c:spPr>
        <c:txPr>
          <a:bodyPr rot="0" vert="horz"/>
          <a:lstStyle/>
          <a:p>
            <a:pPr>
              <a:defRPr sz="845" b="1" i="0" u="none" strike="noStrike" baseline="0">
                <a:solidFill>
                  <a:srgbClr val="000000"/>
                </a:solidFill>
                <a:latin typeface="Calibri"/>
                <a:ea typeface="Calibri"/>
                <a:cs typeface="Calibri"/>
              </a:defRPr>
            </a:pPr>
            <a:endParaRPr lang="ru-RU"/>
          </a:p>
        </c:txPr>
        <c:crossAx val="546883008"/>
        <c:crosses val="autoZero"/>
        <c:crossBetween val="between"/>
      </c:valAx>
      <c:spPr>
        <a:noFill/>
        <a:ln w="25263">
          <a:noFill/>
        </a:ln>
      </c:spPr>
    </c:plotArea>
    <c:legend>
      <c:legendPos val="r"/>
      <c:layout>
        <c:manualLayout>
          <c:xMode val="edge"/>
          <c:yMode val="edge"/>
          <c:x val="0.65272727272727271"/>
          <c:y val="5.235602094240838E-3"/>
          <c:w val="0.34"/>
          <c:h val="0.98952879581151831"/>
        </c:manualLayout>
      </c:layout>
      <c:overlay val="0"/>
      <c:spPr>
        <a:noFill/>
        <a:ln w="3158">
          <a:solidFill>
            <a:srgbClr val="000000"/>
          </a:solidFill>
          <a:prstDash val="solid"/>
        </a:ln>
      </c:spPr>
      <c:txPr>
        <a:bodyPr/>
        <a:lstStyle/>
        <a:p>
          <a:pPr>
            <a:defRPr sz="77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4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6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8.8513190938342007E-2"/>
          <c:y val="3.9337474120082816E-2"/>
          <c:w val="0.62094763092269323"/>
          <c:h val="0.78260869565217395"/>
        </c:manualLayout>
      </c:layout>
      <c:bar3DChart>
        <c:barDir val="col"/>
        <c:grouping val="clustered"/>
        <c:varyColors val="0"/>
        <c:ser>
          <c:idx val="0"/>
          <c:order val="0"/>
          <c:tx>
            <c:strRef>
              <c:f>Лист1!$A$57</c:f>
              <c:strCache>
                <c:ptCount val="1"/>
                <c:pt idx="0">
                  <c:v>пищевые продукты</c:v>
                </c:pt>
              </c:strCache>
            </c:strRef>
          </c:tx>
          <c:spPr>
            <a:blipFill dpi="0" rotWithShape="0">
              <a:blip xmlns:r="http://schemas.openxmlformats.org/officeDocument/2006/relationships" r:embed="rId1"/>
              <a:srcRect/>
              <a:tile tx="0" ty="0" sx="100000" sy="100000" flip="none" algn="tl"/>
            </a:blipFill>
            <a:ln w="12624">
              <a:solidFill>
                <a:srgbClr val="000000"/>
              </a:solidFill>
              <a:prstDash val="solid"/>
            </a:ln>
          </c:spPr>
          <c:invertIfNegative val="0"/>
          <c:cat>
            <c:strRef>
              <c:f>Лист1!$B$56:$D$56</c:f>
              <c:strCache>
                <c:ptCount val="3"/>
                <c:pt idx="0">
                  <c:v>2018 г.</c:v>
                </c:pt>
                <c:pt idx="1">
                  <c:v>2019 г.</c:v>
                </c:pt>
                <c:pt idx="2">
                  <c:v>2020 г.</c:v>
                </c:pt>
              </c:strCache>
            </c:strRef>
          </c:cat>
          <c:val>
            <c:numRef>
              <c:f>Лист1!$B$57:$D$57</c:f>
              <c:numCache>
                <c:formatCode>General</c:formatCode>
                <c:ptCount val="3"/>
                <c:pt idx="0">
                  <c:v>18</c:v>
                </c:pt>
                <c:pt idx="1">
                  <c:v>5</c:v>
                </c:pt>
                <c:pt idx="2">
                  <c:v>5</c:v>
                </c:pt>
              </c:numCache>
            </c:numRef>
          </c:val>
        </c:ser>
        <c:ser>
          <c:idx val="1"/>
          <c:order val="1"/>
          <c:tx>
            <c:strRef>
              <c:f>Лист1!$A$58</c:f>
              <c:strCache>
                <c:ptCount val="1"/>
                <c:pt idx="0">
                  <c:v>стройматериалы</c:v>
                </c:pt>
              </c:strCache>
            </c:strRef>
          </c:tx>
          <c:spPr>
            <a:blipFill dpi="0" rotWithShape="0">
              <a:blip xmlns:r="http://schemas.openxmlformats.org/officeDocument/2006/relationships" r:embed="rId2"/>
              <a:srcRect/>
              <a:tile tx="0" ty="0" sx="100000" sy="100000" flip="none" algn="tl"/>
            </a:blipFill>
            <a:ln w="12624">
              <a:solidFill>
                <a:srgbClr val="000000"/>
              </a:solidFill>
              <a:prstDash val="solid"/>
            </a:ln>
          </c:spPr>
          <c:invertIfNegative val="0"/>
          <c:cat>
            <c:strRef>
              <c:f>Лист1!$B$56:$D$56</c:f>
              <c:strCache>
                <c:ptCount val="3"/>
                <c:pt idx="0">
                  <c:v>2018 г.</c:v>
                </c:pt>
                <c:pt idx="1">
                  <c:v>2019 г.</c:v>
                </c:pt>
                <c:pt idx="2">
                  <c:v>2020 г.</c:v>
                </c:pt>
              </c:strCache>
            </c:strRef>
          </c:cat>
          <c:val>
            <c:numRef>
              <c:f>Лист1!$B$58:$D$58</c:f>
              <c:numCache>
                <c:formatCode>General</c:formatCode>
                <c:ptCount val="3"/>
                <c:pt idx="0">
                  <c:v>1</c:v>
                </c:pt>
                <c:pt idx="1">
                  <c:v>0</c:v>
                </c:pt>
                <c:pt idx="2">
                  <c:v>0</c:v>
                </c:pt>
              </c:numCache>
            </c:numRef>
          </c:val>
        </c:ser>
        <c:ser>
          <c:idx val="2"/>
          <c:order val="2"/>
          <c:tx>
            <c:strRef>
              <c:f>Лист1!$A$59</c:f>
              <c:strCache>
                <c:ptCount val="1"/>
                <c:pt idx="0">
                  <c:v>почва</c:v>
                </c:pt>
              </c:strCache>
            </c:strRef>
          </c:tx>
          <c:spPr>
            <a:blipFill dpi="0" rotWithShape="0">
              <a:blip xmlns:r="http://schemas.openxmlformats.org/officeDocument/2006/relationships" r:embed="rId3"/>
              <a:srcRect/>
              <a:tile tx="0" ty="0" sx="100000" sy="100000" flip="none" algn="tl"/>
            </a:blipFill>
            <a:ln w="12624">
              <a:solidFill>
                <a:srgbClr val="000000"/>
              </a:solidFill>
              <a:prstDash val="solid"/>
            </a:ln>
          </c:spPr>
          <c:invertIfNegative val="0"/>
          <c:cat>
            <c:strRef>
              <c:f>Лист1!$B$56:$D$56</c:f>
              <c:strCache>
                <c:ptCount val="3"/>
                <c:pt idx="0">
                  <c:v>2018 г.</c:v>
                </c:pt>
                <c:pt idx="1">
                  <c:v>2019 г.</c:v>
                </c:pt>
                <c:pt idx="2">
                  <c:v>2020 г.</c:v>
                </c:pt>
              </c:strCache>
            </c:strRef>
          </c:cat>
          <c:val>
            <c:numRef>
              <c:f>Лист1!$B$59:$D$59</c:f>
              <c:numCache>
                <c:formatCode>General</c:formatCode>
                <c:ptCount val="3"/>
                <c:pt idx="0">
                  <c:v>13</c:v>
                </c:pt>
                <c:pt idx="1">
                  <c:v>1</c:v>
                </c:pt>
                <c:pt idx="2">
                  <c:v>1</c:v>
                </c:pt>
              </c:numCache>
            </c:numRef>
          </c:val>
        </c:ser>
        <c:ser>
          <c:idx val="3"/>
          <c:order val="3"/>
          <c:tx>
            <c:strRef>
              <c:f>Лист1!$A$60</c:f>
              <c:strCache>
                <c:ptCount val="1"/>
                <c:pt idx="0">
                  <c:v>минеральное сырье</c:v>
                </c:pt>
              </c:strCache>
            </c:strRef>
          </c:tx>
          <c:spPr>
            <a:blipFill dpi="0" rotWithShape="0">
              <a:blip xmlns:r="http://schemas.openxmlformats.org/officeDocument/2006/relationships" r:embed="rId4"/>
              <a:srcRect/>
              <a:tile tx="0" ty="0" sx="100000" sy="100000" flip="none" algn="tl"/>
            </a:blipFill>
            <a:ln w="12624">
              <a:solidFill>
                <a:srgbClr val="000000"/>
              </a:solidFill>
              <a:prstDash val="solid"/>
            </a:ln>
          </c:spPr>
          <c:invertIfNegative val="0"/>
          <c:cat>
            <c:strRef>
              <c:f>Лист1!$B$56:$D$56</c:f>
              <c:strCache>
                <c:ptCount val="3"/>
                <c:pt idx="0">
                  <c:v>2018 г.</c:v>
                </c:pt>
                <c:pt idx="1">
                  <c:v>2019 г.</c:v>
                </c:pt>
                <c:pt idx="2">
                  <c:v>2020 г.</c:v>
                </c:pt>
              </c:strCache>
            </c:strRef>
          </c:cat>
          <c:val>
            <c:numRef>
              <c:f>Лист1!$B$60:$D$60</c:f>
              <c:numCache>
                <c:formatCode>General</c:formatCode>
                <c:ptCount val="3"/>
                <c:pt idx="0">
                  <c:v>0</c:v>
                </c:pt>
                <c:pt idx="1">
                  <c:v>0</c:v>
                </c:pt>
                <c:pt idx="2">
                  <c:v>0</c:v>
                </c:pt>
              </c:numCache>
            </c:numRef>
          </c:val>
        </c:ser>
        <c:ser>
          <c:idx val="4"/>
          <c:order val="4"/>
          <c:tx>
            <c:strRef>
              <c:f>Лист1!$A$61</c:f>
              <c:strCache>
                <c:ptCount val="1"/>
                <c:pt idx="0">
                  <c:v>вода питьевая</c:v>
                </c:pt>
              </c:strCache>
            </c:strRef>
          </c:tx>
          <c:spPr>
            <a:blipFill dpi="0" rotWithShape="0">
              <a:blip xmlns:r="http://schemas.openxmlformats.org/officeDocument/2006/relationships" r:embed="rId5"/>
              <a:srcRect/>
              <a:tile tx="0" ty="0" sx="100000" sy="100000" flip="none" algn="tl"/>
            </a:blipFill>
            <a:ln w="12624">
              <a:solidFill>
                <a:srgbClr val="000000"/>
              </a:solidFill>
              <a:prstDash val="solid"/>
            </a:ln>
          </c:spPr>
          <c:invertIfNegative val="0"/>
          <c:cat>
            <c:strRef>
              <c:f>Лист1!$B$56:$D$56</c:f>
              <c:strCache>
                <c:ptCount val="3"/>
                <c:pt idx="0">
                  <c:v>2018 г.</c:v>
                </c:pt>
                <c:pt idx="1">
                  <c:v>2019 г.</c:v>
                </c:pt>
                <c:pt idx="2">
                  <c:v>2020 г.</c:v>
                </c:pt>
              </c:strCache>
            </c:strRef>
          </c:cat>
          <c:val>
            <c:numRef>
              <c:f>Лист1!$B$61:$D$61</c:f>
              <c:numCache>
                <c:formatCode>General</c:formatCode>
                <c:ptCount val="3"/>
                <c:pt idx="0">
                  <c:v>33</c:v>
                </c:pt>
                <c:pt idx="1">
                  <c:v>12</c:v>
                </c:pt>
                <c:pt idx="2">
                  <c:v>21</c:v>
                </c:pt>
              </c:numCache>
            </c:numRef>
          </c:val>
        </c:ser>
        <c:dLbls>
          <c:showLegendKey val="0"/>
          <c:showVal val="0"/>
          <c:showCatName val="0"/>
          <c:showSerName val="0"/>
          <c:showPercent val="0"/>
          <c:showBubbleSize val="0"/>
        </c:dLbls>
        <c:gapWidth val="150"/>
        <c:shape val="box"/>
        <c:axId val="546883792"/>
        <c:axId val="546884184"/>
        <c:axId val="0"/>
      </c:bar3DChart>
      <c:catAx>
        <c:axId val="546883792"/>
        <c:scaling>
          <c:orientation val="minMax"/>
        </c:scaling>
        <c:delete val="0"/>
        <c:axPos val="b"/>
        <c:numFmt formatCode="General" sourceLinked="1"/>
        <c:majorTickMark val="out"/>
        <c:minorTickMark val="none"/>
        <c:tickLblPos val="low"/>
        <c:spPr>
          <a:ln w="3156">
            <a:solidFill>
              <a:srgbClr val="000000"/>
            </a:solidFill>
            <a:prstDash val="solid"/>
          </a:ln>
        </c:spPr>
        <c:txPr>
          <a:bodyPr rot="0" vert="horz"/>
          <a:lstStyle/>
          <a:p>
            <a:pPr>
              <a:defRPr sz="944" b="0" i="0" u="none" strike="noStrike" baseline="0">
                <a:solidFill>
                  <a:srgbClr val="000000"/>
                </a:solidFill>
                <a:latin typeface="Arial Cyr"/>
                <a:ea typeface="Arial Cyr"/>
                <a:cs typeface="Arial Cyr"/>
              </a:defRPr>
            </a:pPr>
            <a:endParaRPr lang="ru-RU"/>
          </a:p>
        </c:txPr>
        <c:crossAx val="546884184"/>
        <c:crosses val="autoZero"/>
        <c:auto val="1"/>
        <c:lblAlgn val="ctr"/>
        <c:lblOffset val="100"/>
        <c:tickLblSkip val="1"/>
        <c:tickMarkSkip val="1"/>
        <c:noMultiLvlLbl val="0"/>
      </c:catAx>
      <c:valAx>
        <c:axId val="546884184"/>
        <c:scaling>
          <c:orientation val="minMax"/>
        </c:scaling>
        <c:delete val="0"/>
        <c:axPos val="l"/>
        <c:majorGridlines>
          <c:spPr>
            <a:ln w="3156">
              <a:solidFill>
                <a:srgbClr val="000000"/>
              </a:solidFill>
              <a:prstDash val="solid"/>
            </a:ln>
          </c:spPr>
        </c:majorGridlines>
        <c:numFmt formatCode="General" sourceLinked="1"/>
        <c:majorTickMark val="out"/>
        <c:minorTickMark val="none"/>
        <c:tickLblPos val="nextTo"/>
        <c:spPr>
          <a:ln w="3156">
            <a:solidFill>
              <a:srgbClr val="000000"/>
            </a:solidFill>
            <a:prstDash val="solid"/>
          </a:ln>
        </c:spPr>
        <c:txPr>
          <a:bodyPr rot="0" vert="horz"/>
          <a:lstStyle/>
          <a:p>
            <a:pPr>
              <a:defRPr sz="944" b="0" i="0" u="none" strike="noStrike" baseline="0">
                <a:solidFill>
                  <a:srgbClr val="000000"/>
                </a:solidFill>
                <a:latin typeface="Arial Cyr"/>
                <a:ea typeface="Arial Cyr"/>
                <a:cs typeface="Arial Cyr"/>
              </a:defRPr>
            </a:pPr>
            <a:endParaRPr lang="ru-RU"/>
          </a:p>
        </c:txPr>
        <c:crossAx val="546883792"/>
        <c:crosses val="autoZero"/>
        <c:crossBetween val="between"/>
      </c:valAx>
      <c:spPr>
        <a:noFill/>
        <a:ln w="25248">
          <a:noFill/>
        </a:ln>
      </c:spPr>
    </c:plotArea>
    <c:legend>
      <c:legendPos val="r"/>
      <c:layout>
        <c:manualLayout>
          <c:xMode val="edge"/>
          <c:yMode val="edge"/>
          <c:x val="0.71199933341665622"/>
          <c:y val="0.28799752972054965"/>
          <c:w val="0.28000000000000003"/>
          <c:h val="0.42399876486027482"/>
        </c:manualLayout>
      </c:layout>
      <c:overlay val="0"/>
      <c:spPr>
        <a:solidFill>
          <a:srgbClr val="FFFFFF"/>
        </a:solidFill>
        <a:ln w="3156">
          <a:solidFill>
            <a:srgbClr val="000000"/>
          </a:solidFill>
          <a:prstDash val="solid"/>
        </a:ln>
      </c:spPr>
      <c:txPr>
        <a:bodyPr/>
        <a:lstStyle/>
        <a:p>
          <a:pPr>
            <a:defRPr sz="865"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56">
      <a:solidFill>
        <a:srgbClr val="000000"/>
      </a:solidFill>
      <a:prstDash val="solid"/>
    </a:ln>
  </c:spPr>
  <c:txPr>
    <a:bodyPr/>
    <a:lstStyle/>
    <a:p>
      <a:pPr>
        <a:defRPr sz="944" b="0" i="0" u="none" strike="noStrike" baseline="0">
          <a:solidFill>
            <a:srgbClr val="000000"/>
          </a:solidFill>
          <a:latin typeface="Arial Cyr"/>
          <a:ea typeface="Arial Cyr"/>
          <a:cs typeface="Arial Cyr"/>
        </a:defRPr>
      </a:pPr>
      <a:endParaRPr lang="ru-RU"/>
    </a:p>
  </c:txPr>
  <c:externalData r:id="rId6">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6.1930783242258654E-2"/>
          <c:y val="7.2115384615384609E-2"/>
          <c:w val="0.65755919854280509"/>
          <c:h val="0.75961538461538458"/>
        </c:manualLayout>
      </c:layout>
      <c:bar3DChart>
        <c:barDir val="col"/>
        <c:grouping val="clustered"/>
        <c:varyColors val="0"/>
        <c:ser>
          <c:idx val="0"/>
          <c:order val="0"/>
          <c:tx>
            <c:strRef>
              <c:f>Sheet1!$A$2</c:f>
              <c:strCache>
                <c:ptCount val="1"/>
                <c:pt idx="0">
                  <c:v>МЭД внешнего гамма-излучения</c:v>
                </c:pt>
              </c:strCache>
            </c:strRef>
          </c:tx>
          <c:spPr>
            <a:pattFill prst="wave">
              <a:fgClr>
                <a:srgbClr xmlns:mc="http://schemas.openxmlformats.org/markup-compatibility/2006" xmlns:a14="http://schemas.microsoft.com/office/drawing/2010/main" val="969696" mc:Ignorable="a14" a14:legacySpreadsheetColorIndex="55"/>
              </a:fgClr>
              <a:bgClr>
                <a:srgbClr xmlns:mc="http://schemas.openxmlformats.org/markup-compatibility/2006" xmlns:a14="http://schemas.microsoft.com/office/drawing/2010/main" val="FFFFFF" mc:Ignorable="a14" a14:legacySpreadsheetColorIndex="9"/>
              </a:bgClr>
            </a:pattFill>
            <a:ln w="12609">
              <a:solidFill>
                <a:srgbClr val="000000"/>
              </a:solidFill>
              <a:prstDash val="solid"/>
            </a:ln>
          </c:spPr>
          <c:invertIfNegative val="0"/>
          <c:cat>
            <c:numRef>
              <c:f>Sheet1!$B$1:$E$1</c:f>
              <c:numCache>
                <c:formatCode>General</c:formatCode>
                <c:ptCount val="4"/>
                <c:pt idx="0">
                  <c:v>2017</c:v>
                </c:pt>
                <c:pt idx="1">
                  <c:v>2018</c:v>
                </c:pt>
                <c:pt idx="2">
                  <c:v>2019</c:v>
                </c:pt>
              </c:numCache>
            </c:numRef>
          </c:cat>
          <c:val>
            <c:numRef>
              <c:f>Sheet1!$B$2:$E$2</c:f>
              <c:numCache>
                <c:formatCode>General</c:formatCode>
                <c:ptCount val="4"/>
                <c:pt idx="0">
                  <c:v>268</c:v>
                </c:pt>
                <c:pt idx="1">
                  <c:v>680</c:v>
                </c:pt>
                <c:pt idx="2">
                  <c:v>189</c:v>
                </c:pt>
              </c:numCache>
            </c:numRef>
          </c:val>
        </c:ser>
        <c:ser>
          <c:idx val="1"/>
          <c:order val="1"/>
          <c:tx>
            <c:strRef>
              <c:f>Sheet1!$A$3</c:f>
              <c:strCache>
                <c:ptCount val="1"/>
                <c:pt idx="0">
                  <c:v>ЭРОА Изотопов радона</c:v>
                </c:pt>
              </c:strCache>
            </c:strRef>
          </c:tx>
          <c:spPr>
            <a:solidFill>
              <a:srgbClr val="969696"/>
            </a:solidFill>
            <a:ln w="12609">
              <a:solidFill>
                <a:srgbClr val="000000"/>
              </a:solidFill>
              <a:prstDash val="solid"/>
            </a:ln>
          </c:spPr>
          <c:invertIfNegative val="0"/>
          <c:cat>
            <c:numRef>
              <c:f>Sheet1!$B$1:$E$1</c:f>
              <c:numCache>
                <c:formatCode>General</c:formatCode>
                <c:ptCount val="4"/>
                <c:pt idx="0">
                  <c:v>2017</c:v>
                </c:pt>
                <c:pt idx="1">
                  <c:v>2018</c:v>
                </c:pt>
                <c:pt idx="2">
                  <c:v>2019</c:v>
                </c:pt>
              </c:numCache>
            </c:numRef>
          </c:cat>
          <c:val>
            <c:numRef>
              <c:f>Sheet1!$B$3:$E$3</c:f>
              <c:numCache>
                <c:formatCode>General</c:formatCode>
                <c:ptCount val="4"/>
                <c:pt idx="0">
                  <c:v>107</c:v>
                </c:pt>
                <c:pt idx="1">
                  <c:v>210</c:v>
                </c:pt>
                <c:pt idx="2">
                  <c:v>40</c:v>
                </c:pt>
              </c:numCache>
            </c:numRef>
          </c:val>
        </c:ser>
        <c:dLbls>
          <c:showLegendKey val="0"/>
          <c:showVal val="0"/>
          <c:showCatName val="0"/>
          <c:showSerName val="0"/>
          <c:showPercent val="0"/>
          <c:showBubbleSize val="0"/>
        </c:dLbls>
        <c:gapWidth val="150"/>
        <c:gapDepth val="0"/>
        <c:shape val="box"/>
        <c:axId val="546884968"/>
        <c:axId val="546885360"/>
        <c:axId val="0"/>
      </c:bar3DChart>
      <c:catAx>
        <c:axId val="546884968"/>
        <c:scaling>
          <c:orientation val="minMax"/>
        </c:scaling>
        <c:delete val="0"/>
        <c:axPos val="b"/>
        <c:numFmt formatCode="General" sourceLinked="1"/>
        <c:majorTickMark val="out"/>
        <c:minorTickMark val="none"/>
        <c:tickLblPos val="low"/>
        <c:spPr>
          <a:ln w="3152">
            <a:solidFill>
              <a:srgbClr val="000000"/>
            </a:solidFill>
            <a:prstDash val="solid"/>
          </a:ln>
        </c:spPr>
        <c:txPr>
          <a:bodyPr rot="0" vert="horz"/>
          <a:lstStyle/>
          <a:p>
            <a:pPr>
              <a:defRPr sz="918" b="1" i="0" u="none" strike="noStrike" baseline="0">
                <a:solidFill>
                  <a:srgbClr val="000000"/>
                </a:solidFill>
                <a:latin typeface="Calibri"/>
                <a:ea typeface="Calibri"/>
                <a:cs typeface="Calibri"/>
              </a:defRPr>
            </a:pPr>
            <a:endParaRPr lang="ru-RU"/>
          </a:p>
        </c:txPr>
        <c:crossAx val="546885360"/>
        <c:crosses val="autoZero"/>
        <c:auto val="1"/>
        <c:lblAlgn val="ctr"/>
        <c:lblOffset val="100"/>
        <c:tickLblSkip val="1"/>
        <c:tickMarkSkip val="1"/>
        <c:noMultiLvlLbl val="0"/>
      </c:catAx>
      <c:valAx>
        <c:axId val="546885360"/>
        <c:scaling>
          <c:orientation val="minMax"/>
        </c:scaling>
        <c:delete val="0"/>
        <c:axPos val="l"/>
        <c:majorGridlines>
          <c:spPr>
            <a:ln w="3152">
              <a:solidFill>
                <a:srgbClr val="000000"/>
              </a:solidFill>
              <a:prstDash val="solid"/>
            </a:ln>
          </c:spPr>
        </c:majorGridlines>
        <c:numFmt formatCode="General" sourceLinked="1"/>
        <c:majorTickMark val="out"/>
        <c:minorTickMark val="none"/>
        <c:tickLblPos val="nextTo"/>
        <c:spPr>
          <a:ln w="3152">
            <a:solidFill>
              <a:srgbClr val="000000"/>
            </a:solidFill>
            <a:prstDash val="solid"/>
          </a:ln>
        </c:spPr>
        <c:txPr>
          <a:bodyPr rot="0" vert="horz"/>
          <a:lstStyle/>
          <a:p>
            <a:pPr>
              <a:defRPr sz="918" b="1" i="0" u="none" strike="noStrike" baseline="0">
                <a:solidFill>
                  <a:srgbClr val="000000"/>
                </a:solidFill>
                <a:latin typeface="Calibri"/>
                <a:ea typeface="Calibri"/>
                <a:cs typeface="Calibri"/>
              </a:defRPr>
            </a:pPr>
            <a:endParaRPr lang="ru-RU"/>
          </a:p>
        </c:txPr>
        <c:crossAx val="546884968"/>
        <c:crosses val="autoZero"/>
        <c:crossBetween val="between"/>
      </c:valAx>
      <c:spPr>
        <a:noFill/>
        <a:ln w="25218">
          <a:noFill/>
        </a:ln>
      </c:spPr>
    </c:plotArea>
    <c:legend>
      <c:legendPos val="r"/>
      <c:layout>
        <c:manualLayout>
          <c:xMode val="edge"/>
          <c:yMode val="edge"/>
          <c:x val="0.73952641165755917"/>
          <c:y val="0.33173076923076922"/>
          <c:w val="0.25318761384335153"/>
          <c:h val="0.34134615384615385"/>
        </c:manualLayout>
      </c:layout>
      <c:overlay val="0"/>
      <c:spPr>
        <a:noFill/>
        <a:ln w="3152">
          <a:solidFill>
            <a:srgbClr val="000000"/>
          </a:solidFill>
          <a:prstDash val="solid"/>
        </a:ln>
      </c:spPr>
      <c:txPr>
        <a:bodyPr/>
        <a:lstStyle/>
        <a:p>
          <a:pPr>
            <a:defRPr sz="84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18"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0"/>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5.4054054054054057E-2"/>
          <c:y val="4.9450549450549448E-2"/>
          <c:w val="0.5977742448330684"/>
          <c:h val="0.76373626373626369"/>
        </c:manualLayout>
      </c:layout>
      <c:bar3DChart>
        <c:barDir val="col"/>
        <c:grouping val="stacked"/>
        <c:varyColors val="0"/>
        <c:ser>
          <c:idx val="0"/>
          <c:order val="0"/>
          <c:tx>
            <c:strRef>
              <c:f>Sheet1!$A$2</c:f>
              <c:strCache>
                <c:ptCount val="1"/>
                <c:pt idx="0">
                  <c:v>лица с эффективной дозой 0-1 мЗв </c:v>
                </c:pt>
              </c:strCache>
            </c:strRef>
          </c:tx>
          <c:spPr>
            <a:pattFill prst="horzBrick">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969696" mc:Ignorable="a14" a14:legacySpreadsheetColorIndex="55"/>
              </a:bgClr>
            </a:pattFill>
            <a:ln w="12700">
              <a:solidFill>
                <a:srgbClr val="000000"/>
              </a:solidFill>
              <a:prstDash val="solid"/>
            </a:ln>
          </c:spPr>
          <c:invertIfNegative val="0"/>
          <c:cat>
            <c:numRef>
              <c:f>Sheet1!$B$1:$E$1</c:f>
              <c:numCache>
                <c:formatCode>General</c:formatCode>
                <c:ptCount val="4"/>
                <c:pt idx="0">
                  <c:v>2016</c:v>
                </c:pt>
                <c:pt idx="1">
                  <c:v>2017</c:v>
                </c:pt>
                <c:pt idx="2">
                  <c:v>2018</c:v>
                </c:pt>
              </c:numCache>
            </c:numRef>
          </c:cat>
          <c:val>
            <c:numRef>
              <c:f>Sheet1!$B$2:$E$2</c:f>
              <c:numCache>
                <c:formatCode>General</c:formatCode>
                <c:ptCount val="4"/>
                <c:pt idx="0">
                  <c:v>204</c:v>
                </c:pt>
                <c:pt idx="1">
                  <c:v>207</c:v>
                </c:pt>
                <c:pt idx="2">
                  <c:v>210</c:v>
                </c:pt>
              </c:numCache>
            </c:numRef>
          </c:val>
        </c:ser>
        <c:ser>
          <c:idx val="1"/>
          <c:order val="1"/>
          <c:tx>
            <c:strRef>
              <c:f>Sheet1!$A$3</c:f>
              <c:strCache>
                <c:ptCount val="1"/>
                <c:pt idx="0">
                  <c:v>лица с эффективной дозой1-2мЗв</c:v>
                </c:pt>
              </c:strCache>
            </c:strRef>
          </c:tx>
          <c:spPr>
            <a:pattFill prst="pct80">
              <a:fgClr>
                <a:srgbClr xmlns:mc="http://schemas.openxmlformats.org/markup-compatibility/2006" xmlns:a14="http://schemas.microsoft.com/office/drawing/2010/main" val="C0C0C0" mc:Ignorable="a14" a14:legacySpreadsheetColorIndex="22"/>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cat>
            <c:numRef>
              <c:f>Sheet1!$B$1:$E$1</c:f>
              <c:numCache>
                <c:formatCode>General</c:formatCode>
                <c:ptCount val="4"/>
                <c:pt idx="0">
                  <c:v>2016</c:v>
                </c:pt>
                <c:pt idx="1">
                  <c:v>2017</c:v>
                </c:pt>
                <c:pt idx="2">
                  <c:v>2018</c:v>
                </c:pt>
              </c:numCache>
            </c:numRef>
          </c:cat>
          <c:val>
            <c:numRef>
              <c:f>Sheet1!$B$3:$E$3</c:f>
              <c:numCache>
                <c:formatCode>General</c:formatCode>
                <c:ptCount val="4"/>
                <c:pt idx="0">
                  <c:v>60</c:v>
                </c:pt>
                <c:pt idx="1">
                  <c:v>22</c:v>
                </c:pt>
                <c:pt idx="2">
                  <c:v>44</c:v>
                </c:pt>
              </c:numCache>
            </c:numRef>
          </c:val>
        </c:ser>
        <c:ser>
          <c:idx val="2"/>
          <c:order val="2"/>
          <c:tx>
            <c:strRef>
              <c:f>Sheet1!$A$4</c:f>
              <c:strCache>
                <c:ptCount val="1"/>
                <c:pt idx="0">
                  <c:v>лица с эффективной дозой 2-5 мЗв</c:v>
                </c:pt>
              </c:strCache>
            </c:strRef>
          </c:tx>
          <c:spPr>
            <a:pattFill prst="diagBrick">
              <a:fgClr>
                <a:srgbClr xmlns:mc="http://schemas.openxmlformats.org/markup-compatibility/2006" xmlns:a14="http://schemas.microsoft.com/office/drawing/2010/main" val="FFFFFF" mc:Ignorable="a14" a14:legacySpreadsheetColorIndex="65"/>
              </a:fgClr>
              <a:bgClr>
                <a:srgbClr xmlns:mc="http://schemas.openxmlformats.org/markup-compatibility/2006" xmlns:a14="http://schemas.microsoft.com/office/drawing/2010/main" val="C0C0C0" mc:Ignorable="a14" a14:legacySpreadsheetColorIndex="22"/>
              </a:bgClr>
            </a:pattFill>
            <a:ln w="12700">
              <a:solidFill>
                <a:srgbClr val="000000"/>
              </a:solidFill>
              <a:prstDash val="solid"/>
            </a:ln>
          </c:spPr>
          <c:invertIfNegative val="0"/>
          <c:cat>
            <c:numRef>
              <c:f>Sheet1!$B$1:$E$1</c:f>
              <c:numCache>
                <c:formatCode>General</c:formatCode>
                <c:ptCount val="4"/>
                <c:pt idx="0">
                  <c:v>2016</c:v>
                </c:pt>
                <c:pt idx="1">
                  <c:v>2017</c:v>
                </c:pt>
                <c:pt idx="2">
                  <c:v>2018</c:v>
                </c:pt>
              </c:numCache>
            </c:numRef>
          </c:cat>
          <c:val>
            <c:numRef>
              <c:f>Sheet1!$B$4:$E$4</c:f>
              <c:numCache>
                <c:formatCode>General</c:formatCode>
                <c:ptCount val="4"/>
                <c:pt idx="0">
                  <c:v>8</c:v>
                </c:pt>
                <c:pt idx="1">
                  <c:v>5</c:v>
                </c:pt>
                <c:pt idx="2">
                  <c:v>1</c:v>
                </c:pt>
              </c:numCache>
            </c:numRef>
          </c:val>
        </c:ser>
        <c:ser>
          <c:idx val="3"/>
          <c:order val="3"/>
          <c:tx>
            <c:strRef>
              <c:f>Sheet1!$A$5</c:f>
              <c:strCache>
                <c:ptCount val="1"/>
                <c:pt idx="0">
                  <c:v>лица с эффективной дозой более 5 мЗв</c:v>
                </c:pt>
              </c:strCache>
            </c:strRef>
          </c:tx>
          <c:spPr>
            <a:solidFill>
              <a:srgbClr val="969696"/>
            </a:solidFill>
            <a:ln w="12700">
              <a:solidFill>
                <a:srgbClr val="000000"/>
              </a:solidFill>
              <a:prstDash val="solid"/>
            </a:ln>
          </c:spPr>
          <c:invertIfNegative val="0"/>
          <c:cat>
            <c:numRef>
              <c:f>Sheet1!$B$1:$E$1</c:f>
              <c:numCache>
                <c:formatCode>General</c:formatCode>
                <c:ptCount val="4"/>
                <c:pt idx="0">
                  <c:v>2016</c:v>
                </c:pt>
                <c:pt idx="1">
                  <c:v>2017</c:v>
                </c:pt>
                <c:pt idx="2">
                  <c:v>2018</c:v>
                </c:pt>
              </c:numCache>
            </c:numRef>
          </c:cat>
          <c:val>
            <c:numRef>
              <c:f>Sheet1!$B$5:$E$5</c:f>
              <c:numCache>
                <c:formatCode>General</c:formatCode>
                <c:ptCount val="4"/>
                <c:pt idx="0">
                  <c:v>0</c:v>
                </c:pt>
                <c:pt idx="1">
                  <c:v>0</c:v>
                </c:pt>
                <c:pt idx="2">
                  <c:v>0</c:v>
                </c:pt>
              </c:numCache>
            </c:numRef>
          </c:val>
        </c:ser>
        <c:dLbls>
          <c:showLegendKey val="0"/>
          <c:showVal val="0"/>
          <c:showCatName val="0"/>
          <c:showSerName val="0"/>
          <c:showPercent val="0"/>
          <c:showBubbleSize val="0"/>
        </c:dLbls>
        <c:gapWidth val="150"/>
        <c:gapDepth val="0"/>
        <c:shape val="box"/>
        <c:axId val="546886144"/>
        <c:axId val="546886536"/>
        <c:axId val="0"/>
      </c:bar3DChart>
      <c:catAx>
        <c:axId val="54688614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546886536"/>
        <c:crossesAt val="0"/>
        <c:auto val="1"/>
        <c:lblAlgn val="ctr"/>
        <c:lblOffset val="100"/>
        <c:tickLblSkip val="1"/>
        <c:tickMarkSkip val="1"/>
        <c:noMultiLvlLbl val="0"/>
      </c:catAx>
      <c:valAx>
        <c:axId val="546886536"/>
        <c:scaling>
          <c:orientation val="minMax"/>
          <c:max val="300"/>
          <c:min val="0"/>
        </c:scaling>
        <c:delete val="0"/>
        <c:axPos val="l"/>
        <c:majorGridlines>
          <c:spPr>
            <a:ln w="3175">
              <a:solidFill>
                <a:srgbClr val="000000"/>
              </a:solidFill>
              <a:prstDash val="solid"/>
            </a:ln>
          </c:spPr>
        </c:majorGridlines>
        <c:numFmt formatCode="General" sourceLinked="0"/>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546886144"/>
        <c:crosses val="autoZero"/>
        <c:crossBetween val="between"/>
        <c:majorUnit val="50"/>
        <c:minorUnit val="5"/>
      </c:valAx>
      <c:spPr>
        <a:noFill/>
        <a:ln w="25400">
          <a:noFill/>
        </a:ln>
      </c:spPr>
    </c:plotArea>
    <c:legend>
      <c:legendPos val="r"/>
      <c:layout>
        <c:manualLayout>
          <c:xMode val="edge"/>
          <c:yMode val="edge"/>
          <c:x val="0.66931637519872811"/>
          <c:y val="0.29120879120879123"/>
          <c:w val="0.32432432432432434"/>
          <c:h val="0.42307692307692307"/>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8"/>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2.0236087689713321E-2"/>
          <c:y val="5.8823529411764705E-3"/>
          <c:w val="0.71053350831146111"/>
          <c:h val="0.87058823529411766"/>
        </c:manualLayout>
      </c:layout>
      <c:bar3DChart>
        <c:barDir val="col"/>
        <c:grouping val="standard"/>
        <c:varyColors val="0"/>
        <c:ser>
          <c:idx val="0"/>
          <c:order val="0"/>
          <c:tx>
            <c:strRef>
              <c:f>Sheet1!$A$2</c:f>
              <c:strCache>
                <c:ptCount val="1"/>
                <c:pt idx="0">
                  <c:v>флюорографические</c:v>
                </c:pt>
              </c:strCache>
            </c:strRef>
          </c:tx>
          <c:spPr>
            <a:pattFill prst="pct10">
              <a:fgClr>
                <a:srgbClr xmlns:mc="http://schemas.openxmlformats.org/markup-compatibility/2006" xmlns:a14="http://schemas.microsoft.com/office/drawing/2010/main" val="9999FF" mc:Ignorable="a14" a14:legacySpreadsheetColorIndex="24"/>
              </a:fgClr>
              <a:bgClr>
                <a:srgbClr xmlns:mc="http://schemas.openxmlformats.org/markup-compatibility/2006" xmlns:a14="http://schemas.microsoft.com/office/drawing/2010/main" val="FFFFFF" mc:Ignorable="a14" a14:legacySpreadsheetColorIndex="9"/>
              </a:bgClr>
            </a:pattFill>
            <a:ln w="12637">
              <a:solidFill>
                <a:srgbClr val="000000"/>
              </a:solidFill>
              <a:prstDash val="solid"/>
            </a:ln>
          </c:spPr>
          <c:invertIfNegative val="0"/>
          <c:dLbls>
            <c:spPr>
              <a:noFill/>
              <a:ln w="25273">
                <a:noFill/>
              </a:ln>
            </c:spPr>
            <c:txPr>
              <a:bodyPr wrap="square" lIns="38100" tIns="19050" rIns="38100" bIns="19050" anchor="ctr">
                <a:spAutoFit/>
              </a:bodyPr>
              <a:lstStyle/>
              <a:p>
                <a:pPr>
                  <a:defRPr sz="7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2017</c:v>
                </c:pt>
                <c:pt idx="1">
                  <c:v>2018</c:v>
                </c:pt>
                <c:pt idx="2">
                  <c:v>2019</c:v>
                </c:pt>
              </c:numCache>
            </c:numRef>
          </c:cat>
          <c:val>
            <c:numRef>
              <c:f>Sheet1!$B$2:$E$2</c:f>
              <c:numCache>
                <c:formatCode>General</c:formatCode>
                <c:ptCount val="4"/>
                <c:pt idx="0">
                  <c:v>0.01</c:v>
                </c:pt>
                <c:pt idx="1">
                  <c:v>0.04</c:v>
                </c:pt>
                <c:pt idx="2">
                  <c:v>0.03</c:v>
                </c:pt>
              </c:numCache>
            </c:numRef>
          </c:val>
        </c:ser>
        <c:ser>
          <c:idx val="1"/>
          <c:order val="1"/>
          <c:tx>
            <c:strRef>
              <c:f>Sheet1!$A$3</c:f>
              <c:strCache>
                <c:ptCount val="1"/>
                <c:pt idx="0">
                  <c:v>рентгенографические</c:v>
                </c:pt>
              </c:strCache>
            </c:strRef>
          </c:tx>
          <c:spPr>
            <a:pattFill prst="pct90">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12637">
              <a:solidFill>
                <a:srgbClr val="000000"/>
              </a:solidFill>
              <a:prstDash val="solid"/>
            </a:ln>
          </c:spPr>
          <c:invertIfNegative val="0"/>
          <c:dLbls>
            <c:spPr>
              <a:noFill/>
              <a:ln w="25273">
                <a:noFill/>
              </a:ln>
            </c:spPr>
            <c:txPr>
              <a:bodyPr wrap="square" lIns="38100" tIns="19050" rIns="38100" bIns="19050" anchor="ctr">
                <a:spAutoFit/>
              </a:bodyPr>
              <a:lstStyle/>
              <a:p>
                <a:pPr>
                  <a:defRPr sz="7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2017</c:v>
                </c:pt>
                <c:pt idx="1">
                  <c:v>2018</c:v>
                </c:pt>
                <c:pt idx="2">
                  <c:v>2019</c:v>
                </c:pt>
              </c:numCache>
            </c:numRef>
          </c:cat>
          <c:val>
            <c:numRef>
              <c:f>Sheet1!$B$3:$E$3</c:f>
              <c:numCache>
                <c:formatCode>General</c:formatCode>
                <c:ptCount val="4"/>
                <c:pt idx="0">
                  <c:v>0.08</c:v>
                </c:pt>
                <c:pt idx="1">
                  <c:v>0.2</c:v>
                </c:pt>
                <c:pt idx="2">
                  <c:v>0.16</c:v>
                </c:pt>
              </c:numCache>
            </c:numRef>
          </c:val>
        </c:ser>
        <c:ser>
          <c:idx val="2"/>
          <c:order val="2"/>
          <c:tx>
            <c:strRef>
              <c:f>Sheet1!$A$4</c:f>
              <c:strCache>
                <c:ptCount val="1"/>
                <c:pt idx="0">
                  <c:v>рентгеноскопические</c:v>
                </c:pt>
              </c:strCache>
            </c:strRef>
          </c:tx>
          <c:spPr>
            <a:pattFill prst="wave">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C0C0C0" mc:Ignorable="a14" a14:legacySpreadsheetColorIndex="22"/>
              </a:bgClr>
            </a:pattFill>
            <a:ln w="12637">
              <a:solidFill>
                <a:srgbClr val="000000"/>
              </a:solidFill>
              <a:prstDash val="solid"/>
            </a:ln>
          </c:spPr>
          <c:invertIfNegative val="0"/>
          <c:dLbls>
            <c:dLbl>
              <c:idx val="1"/>
              <c:spPr>
                <a:noFill/>
                <a:ln w="25273">
                  <a:noFill/>
                </a:ln>
              </c:spPr>
              <c:txPr>
                <a:bodyPr/>
                <a:lstStyle/>
                <a:p>
                  <a:pPr>
                    <a:defRPr sz="796"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dLbl>
            <c:dLbl>
              <c:idx val="2"/>
              <c:spPr>
                <a:noFill/>
                <a:ln w="25273">
                  <a:noFill/>
                </a:ln>
              </c:spPr>
              <c:txPr>
                <a:bodyPr/>
                <a:lstStyle/>
                <a:p>
                  <a:pPr>
                    <a:defRPr sz="7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25273">
                <a:noFill/>
              </a:ln>
            </c:spPr>
            <c:txPr>
              <a:bodyPr wrap="square" lIns="38100" tIns="19050" rIns="38100" bIns="19050" anchor="ctr">
                <a:spAutoFit/>
              </a:bodyPr>
              <a:lstStyle/>
              <a:p>
                <a:pPr>
                  <a:defRPr sz="1194"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2017</c:v>
                </c:pt>
                <c:pt idx="1">
                  <c:v>2018</c:v>
                </c:pt>
                <c:pt idx="2">
                  <c:v>2019</c:v>
                </c:pt>
              </c:numCache>
            </c:numRef>
          </c:cat>
          <c:val>
            <c:numRef>
              <c:f>Sheet1!$B$4:$E$4</c:f>
              <c:numCache>
                <c:formatCode>General</c:formatCode>
                <c:ptCount val="4"/>
                <c:pt idx="0">
                  <c:v>0.22</c:v>
                </c:pt>
                <c:pt idx="1">
                  <c:v>3.03</c:v>
                </c:pt>
                <c:pt idx="2">
                  <c:v>2.75</c:v>
                </c:pt>
              </c:numCache>
            </c:numRef>
          </c:val>
        </c:ser>
        <c:ser>
          <c:idx val="3"/>
          <c:order val="3"/>
          <c:tx>
            <c:strRef>
              <c:f>Sheet1!$A$5</c:f>
              <c:strCache>
                <c:ptCount val="1"/>
                <c:pt idx="0">
                  <c:v>исследования компьютерной томографии</c:v>
                </c:pt>
              </c:strCache>
            </c:strRef>
          </c:tx>
          <c:spPr>
            <a:pattFill prst="dashUpDi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969696" mc:Ignorable="a14" a14:legacySpreadsheetColorIndex="55"/>
              </a:bgClr>
            </a:pattFill>
            <a:ln w="12637">
              <a:solidFill>
                <a:srgbClr val="000000"/>
              </a:solidFill>
              <a:prstDash val="solid"/>
            </a:ln>
          </c:spPr>
          <c:invertIfNegative val="0"/>
          <c:dLbls>
            <c:dLbl>
              <c:idx val="0"/>
              <c:spPr>
                <a:noFill/>
                <a:ln w="25273">
                  <a:noFill/>
                </a:ln>
              </c:spPr>
              <c:txPr>
                <a:bodyPr/>
                <a:lstStyle/>
                <a:p>
                  <a:pPr>
                    <a:defRPr sz="7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dLbl>
              <c:idx val="2"/>
              <c:spPr>
                <a:noFill/>
                <a:ln w="25273">
                  <a:noFill/>
                </a:ln>
              </c:spPr>
              <c:txPr>
                <a:bodyPr/>
                <a:lstStyle/>
                <a:p>
                  <a:pPr>
                    <a:defRPr sz="7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25273">
                <a:noFill/>
              </a:ln>
            </c:spPr>
            <c:txPr>
              <a:bodyPr wrap="square" lIns="38100" tIns="19050" rIns="38100" bIns="19050" anchor="ctr">
                <a:spAutoFit/>
              </a:bodyPr>
              <a:lstStyle/>
              <a:p>
                <a:pPr>
                  <a:defRPr sz="7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2017</c:v>
                </c:pt>
                <c:pt idx="1">
                  <c:v>2018</c:v>
                </c:pt>
                <c:pt idx="2">
                  <c:v>2019</c:v>
                </c:pt>
              </c:numCache>
            </c:numRef>
          </c:cat>
          <c:val>
            <c:numRef>
              <c:f>Sheet1!$B$5:$E$5</c:f>
              <c:numCache>
                <c:formatCode>General</c:formatCode>
                <c:ptCount val="4"/>
                <c:pt idx="0">
                  <c:v>3.91</c:v>
                </c:pt>
                <c:pt idx="1">
                  <c:v>4.9800000000000004</c:v>
                </c:pt>
                <c:pt idx="2">
                  <c:v>5.41</c:v>
                </c:pt>
              </c:numCache>
            </c:numRef>
          </c:val>
        </c:ser>
        <c:dLbls>
          <c:showLegendKey val="0"/>
          <c:showVal val="0"/>
          <c:showCatName val="0"/>
          <c:showSerName val="0"/>
          <c:showPercent val="0"/>
          <c:showBubbleSize val="0"/>
        </c:dLbls>
        <c:gapWidth val="150"/>
        <c:gapDepth val="0"/>
        <c:shape val="box"/>
        <c:axId val="546887320"/>
        <c:axId val="546887712"/>
        <c:axId val="879799808"/>
      </c:bar3DChart>
      <c:catAx>
        <c:axId val="546887320"/>
        <c:scaling>
          <c:orientation val="minMax"/>
        </c:scaling>
        <c:delete val="0"/>
        <c:axPos val="b"/>
        <c:numFmt formatCode="General" sourceLinked="1"/>
        <c:majorTickMark val="out"/>
        <c:minorTickMark val="none"/>
        <c:tickLblPos val="low"/>
        <c:spPr>
          <a:ln w="3159">
            <a:solidFill>
              <a:srgbClr val="000000"/>
            </a:solidFill>
            <a:prstDash val="solid"/>
          </a:ln>
        </c:spPr>
        <c:txPr>
          <a:bodyPr rot="0" vert="horz"/>
          <a:lstStyle/>
          <a:p>
            <a:pPr>
              <a:defRPr sz="796" b="1" i="0" u="none" strike="noStrike" baseline="0">
                <a:solidFill>
                  <a:srgbClr val="000000"/>
                </a:solidFill>
                <a:latin typeface="Times New Roman"/>
                <a:ea typeface="Times New Roman"/>
                <a:cs typeface="Times New Roman"/>
              </a:defRPr>
            </a:pPr>
            <a:endParaRPr lang="ru-RU"/>
          </a:p>
        </c:txPr>
        <c:crossAx val="546887712"/>
        <c:crosses val="autoZero"/>
        <c:auto val="1"/>
        <c:lblAlgn val="ctr"/>
        <c:lblOffset val="100"/>
        <c:tickLblSkip val="1"/>
        <c:tickMarkSkip val="1"/>
        <c:noMultiLvlLbl val="0"/>
      </c:catAx>
      <c:valAx>
        <c:axId val="546887712"/>
        <c:scaling>
          <c:orientation val="minMax"/>
        </c:scaling>
        <c:delete val="0"/>
        <c:axPos val="l"/>
        <c:majorGridlines>
          <c:spPr>
            <a:ln w="3159">
              <a:solidFill>
                <a:srgbClr val="000000"/>
              </a:solidFill>
              <a:prstDash val="solid"/>
            </a:ln>
          </c:spPr>
        </c:majorGridlines>
        <c:numFmt formatCode="General" sourceLinked="1"/>
        <c:majorTickMark val="out"/>
        <c:minorTickMark val="none"/>
        <c:tickLblPos val="nextTo"/>
        <c:spPr>
          <a:ln w="3159">
            <a:solidFill>
              <a:srgbClr val="000000"/>
            </a:solidFill>
            <a:prstDash val="solid"/>
          </a:ln>
        </c:spPr>
        <c:txPr>
          <a:bodyPr rot="0" vert="horz"/>
          <a:lstStyle/>
          <a:p>
            <a:pPr>
              <a:defRPr sz="796" b="1" i="0" u="none" strike="noStrike" baseline="0">
                <a:solidFill>
                  <a:srgbClr val="000000"/>
                </a:solidFill>
                <a:latin typeface="Times New Roman"/>
                <a:ea typeface="Times New Roman"/>
                <a:cs typeface="Times New Roman"/>
              </a:defRPr>
            </a:pPr>
            <a:endParaRPr lang="ru-RU"/>
          </a:p>
        </c:txPr>
        <c:crossAx val="546887320"/>
        <c:crosses val="autoZero"/>
        <c:crossBetween val="between"/>
      </c:valAx>
      <c:serAx>
        <c:axId val="879799808"/>
        <c:scaling>
          <c:orientation val="minMax"/>
        </c:scaling>
        <c:delete val="0"/>
        <c:axPos val="b"/>
        <c:numFmt formatCode="General" sourceLinked="1"/>
        <c:majorTickMark val="out"/>
        <c:minorTickMark val="none"/>
        <c:tickLblPos val="low"/>
        <c:spPr>
          <a:ln w="6318">
            <a:noFill/>
          </a:ln>
        </c:spPr>
        <c:txPr>
          <a:bodyPr rot="0" vert="horz"/>
          <a:lstStyle/>
          <a:p>
            <a:pPr>
              <a:defRPr sz="1194" b="1" i="0" u="none" strike="noStrike" baseline="0">
                <a:solidFill>
                  <a:srgbClr val="FFFFFF"/>
                </a:solidFill>
                <a:latin typeface="Calibri"/>
                <a:ea typeface="Calibri"/>
                <a:cs typeface="Calibri"/>
              </a:defRPr>
            </a:pPr>
            <a:endParaRPr lang="ru-RU"/>
          </a:p>
        </c:txPr>
        <c:crossAx val="546887712"/>
        <c:crosses val="autoZero"/>
        <c:tickLblSkip val="4"/>
        <c:tickMarkSkip val="1"/>
      </c:serAx>
      <c:spPr>
        <a:noFill/>
        <a:ln w="3159">
          <a:solidFill>
            <a:srgbClr val="000000"/>
          </a:solidFill>
          <a:prstDash val="solid"/>
        </a:ln>
      </c:spPr>
    </c:plotArea>
    <c:legend>
      <c:legendPos val="r"/>
      <c:layout>
        <c:manualLayout>
          <c:xMode val="edge"/>
          <c:yMode val="edge"/>
          <c:x val="0.6897133220910624"/>
          <c:y val="8.8235294117647065E-2"/>
          <c:w val="0.30354131534569984"/>
          <c:h val="0.8294117647058824"/>
        </c:manualLayout>
      </c:layout>
      <c:overlay val="0"/>
      <c:spPr>
        <a:noFill/>
        <a:ln w="3159">
          <a:solidFill>
            <a:srgbClr val="000000"/>
          </a:solidFill>
          <a:prstDash val="solid"/>
        </a:ln>
      </c:spPr>
      <c:txPr>
        <a:bodyPr/>
        <a:lstStyle/>
        <a:p>
          <a:pPr>
            <a:defRPr sz="821"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796" b="1" i="0" u="none" strike="noStrike" baseline="0">
          <a:solidFill>
            <a:srgbClr val="000000"/>
          </a:solidFill>
          <a:latin typeface="Calibri"/>
          <a:ea typeface="Calibri"/>
          <a:cs typeface="Calibri"/>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0.5005</cdr:x>
      <cdr:y>0.485</cdr:y>
    </cdr:from>
    <cdr:to>
      <cdr:x>0.54275</cdr:x>
      <cdr:y>0.5385</cdr:y>
    </cdr:to>
    <cdr:sp macro="" textlink="">
      <cdr:nvSpPr>
        <cdr:cNvPr id="1025" name="Text Box 1"/>
        <cdr:cNvSpPr txBox="1">
          <a:spLocks xmlns:a="http://schemas.openxmlformats.org/drawingml/2006/main" noChangeArrowheads="1"/>
        </cdr:cNvSpPr>
      </cdr:nvSpPr>
      <cdr:spPr bwMode="auto">
        <a:xfrm xmlns:a="http://schemas.openxmlformats.org/drawingml/2006/main">
          <a:off x="2703038" y="1556814"/>
          <a:ext cx="228178" cy="17173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u="none" strike="noStrike" baseline="0">
              <a:solidFill>
                <a:srgbClr val="000000"/>
              </a:solidFill>
              <a:latin typeface="Calibri"/>
            </a:rPr>
            <a:t>220,9</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168</Pages>
  <Words>70162</Words>
  <Characters>399928</Characters>
  <Application>Microsoft Office Word</Application>
  <DocSecurity>0</DocSecurity>
  <Lines>3332</Lines>
  <Paragraphs>938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Мещерякова</dc:creator>
  <cp:keywords/>
  <dc:description/>
  <cp:lastModifiedBy>Вероника Мещерякова</cp:lastModifiedBy>
  <cp:revision>3</cp:revision>
  <dcterms:created xsi:type="dcterms:W3CDTF">2021-04-08T04:04:00Z</dcterms:created>
  <dcterms:modified xsi:type="dcterms:W3CDTF">2021-04-08T04:42:00Z</dcterms:modified>
</cp:coreProperties>
</file>