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9DC" w:rsidRDefault="006C06D3" w:rsidP="008D79DC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514350" cy="752475"/>
            <wp:effectExtent l="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9DC" w:rsidRDefault="008D79DC" w:rsidP="008D7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8D79DC" w:rsidRDefault="008D79DC" w:rsidP="008D7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8D79DC" w:rsidRDefault="008D79DC" w:rsidP="008D7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8D79DC" w:rsidRDefault="008D79DC" w:rsidP="008D79DC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8D79DC" w:rsidRDefault="008D79DC" w:rsidP="008D79DC">
      <w:pPr>
        <w:jc w:val="center"/>
        <w:rPr>
          <w:sz w:val="36"/>
          <w:szCs w:val="36"/>
        </w:rPr>
      </w:pPr>
    </w:p>
    <w:p w:rsidR="008D79DC" w:rsidRDefault="008D79DC" w:rsidP="008D79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8D79DC" w:rsidRPr="005C5B46" w:rsidRDefault="008D79DC" w:rsidP="008D79DC">
      <w:pPr>
        <w:pStyle w:val="3"/>
        <w:tabs>
          <w:tab w:val="left" w:pos="0"/>
        </w:tabs>
        <w:jc w:val="both"/>
        <w:rPr>
          <w:sz w:val="28"/>
          <w:szCs w:val="28"/>
        </w:rPr>
      </w:pPr>
    </w:p>
    <w:p w:rsidR="005C5B46" w:rsidRDefault="00A13E73" w:rsidP="00680A62">
      <w:pPr>
        <w:rPr>
          <w:sz w:val="28"/>
          <w:szCs w:val="28"/>
        </w:rPr>
      </w:pPr>
      <w:r>
        <w:rPr>
          <w:sz w:val="28"/>
          <w:szCs w:val="28"/>
        </w:rPr>
        <w:t>От 1</w:t>
      </w:r>
      <w:r w:rsidR="008B4BDF">
        <w:rPr>
          <w:sz w:val="28"/>
          <w:szCs w:val="28"/>
        </w:rPr>
        <w:t>6</w:t>
      </w:r>
      <w:r>
        <w:rPr>
          <w:sz w:val="28"/>
          <w:szCs w:val="28"/>
        </w:rPr>
        <w:t>.10.2017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17</w:t>
      </w:r>
      <w:r w:rsidR="008B4BDF">
        <w:rPr>
          <w:sz w:val="28"/>
          <w:szCs w:val="28"/>
        </w:rPr>
        <w:t>89</w:t>
      </w:r>
      <w:r>
        <w:rPr>
          <w:sz w:val="28"/>
          <w:szCs w:val="28"/>
        </w:rPr>
        <w:t>-ра</w:t>
      </w:r>
    </w:p>
    <w:p w:rsidR="0003618E" w:rsidRPr="005C5B46" w:rsidRDefault="0003618E" w:rsidP="00680A62">
      <w:pPr>
        <w:rPr>
          <w:sz w:val="28"/>
          <w:szCs w:val="28"/>
        </w:rPr>
      </w:pPr>
    </w:p>
    <w:p w:rsidR="008D79DC" w:rsidRDefault="008D79DC" w:rsidP="008D79DC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Об утверждении основных направлений</w:t>
      </w:r>
    </w:p>
    <w:p w:rsidR="008D79DC" w:rsidRDefault="008D79DC" w:rsidP="008D79DC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C71C7">
        <w:rPr>
          <w:sz w:val="28"/>
          <w:szCs w:val="28"/>
        </w:rPr>
        <w:t>алоговой,</w:t>
      </w:r>
      <w:r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 xml:space="preserve">бюджетной и долговой политики </w:t>
      </w:r>
    </w:p>
    <w:p w:rsidR="008D79DC" w:rsidRDefault="008D79DC" w:rsidP="008D79DC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>образования городско</w:t>
      </w:r>
      <w:r w:rsidR="00C456E7">
        <w:rPr>
          <w:sz w:val="28"/>
          <w:szCs w:val="28"/>
        </w:rPr>
        <w:t>го</w:t>
      </w:r>
      <w:r w:rsidR="00F034FB"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>округ</w:t>
      </w:r>
      <w:r w:rsidR="00C456E7"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</w:t>
      </w:r>
    </w:p>
    <w:p w:rsidR="008D79DC" w:rsidRPr="008C71C7" w:rsidRDefault="008D79DC" w:rsidP="008D79DC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город</w:t>
      </w:r>
      <w:r w:rsidR="00C456E7"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Пыть-</w:t>
      </w:r>
      <w:r w:rsidR="00064F2A" w:rsidRPr="008C71C7">
        <w:rPr>
          <w:sz w:val="28"/>
          <w:szCs w:val="28"/>
        </w:rPr>
        <w:t>Ях</w:t>
      </w:r>
      <w:r w:rsidR="00C456E7">
        <w:rPr>
          <w:sz w:val="28"/>
          <w:szCs w:val="28"/>
        </w:rPr>
        <w:t>а</w:t>
      </w:r>
      <w:r w:rsidR="00064F2A" w:rsidRPr="008C71C7">
        <w:rPr>
          <w:sz w:val="28"/>
          <w:szCs w:val="28"/>
        </w:rPr>
        <w:t xml:space="preserve"> </w:t>
      </w:r>
      <w:r w:rsidR="00064F2A">
        <w:rPr>
          <w:sz w:val="28"/>
          <w:szCs w:val="28"/>
        </w:rPr>
        <w:t>на</w:t>
      </w:r>
      <w:r>
        <w:rPr>
          <w:sz w:val="28"/>
          <w:szCs w:val="28"/>
        </w:rPr>
        <w:t xml:space="preserve"> 201</w:t>
      </w:r>
      <w:r w:rsidR="008332D5">
        <w:rPr>
          <w:sz w:val="28"/>
          <w:szCs w:val="28"/>
        </w:rPr>
        <w:t>8</w:t>
      </w:r>
      <w:r w:rsidRPr="008C71C7">
        <w:rPr>
          <w:sz w:val="28"/>
          <w:szCs w:val="28"/>
        </w:rPr>
        <w:t>-20</w:t>
      </w:r>
      <w:r w:rsidR="008332D5">
        <w:rPr>
          <w:sz w:val="28"/>
          <w:szCs w:val="28"/>
        </w:rPr>
        <w:t>20</w:t>
      </w:r>
      <w:r w:rsidRPr="008C71C7">
        <w:rPr>
          <w:sz w:val="28"/>
          <w:szCs w:val="28"/>
        </w:rPr>
        <w:t xml:space="preserve"> годы </w:t>
      </w:r>
    </w:p>
    <w:p w:rsidR="008D79DC" w:rsidRPr="005C5B46" w:rsidRDefault="008D79DC" w:rsidP="008D79DC">
      <w:pPr>
        <w:rPr>
          <w:sz w:val="28"/>
          <w:szCs w:val="28"/>
        </w:rPr>
      </w:pPr>
    </w:p>
    <w:p w:rsidR="008D79DC" w:rsidRPr="005C5B46" w:rsidRDefault="008D79DC" w:rsidP="008D79DC">
      <w:pPr>
        <w:rPr>
          <w:sz w:val="28"/>
          <w:szCs w:val="28"/>
        </w:rPr>
      </w:pPr>
    </w:p>
    <w:p w:rsidR="008D79DC" w:rsidRPr="005C5B46" w:rsidRDefault="008D79DC" w:rsidP="008D79DC">
      <w:pPr>
        <w:rPr>
          <w:sz w:val="28"/>
          <w:szCs w:val="28"/>
        </w:rPr>
      </w:pPr>
    </w:p>
    <w:p w:rsidR="008D79DC" w:rsidRDefault="008D79DC" w:rsidP="008D79DC">
      <w:pPr>
        <w:spacing w:line="360" w:lineRule="auto"/>
        <w:ind w:firstLine="70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>На основании решения Думы города Пыть-Яха от 2</w:t>
      </w:r>
      <w:r>
        <w:rPr>
          <w:sz w:val="28"/>
          <w:szCs w:val="28"/>
        </w:rPr>
        <w:t>1</w:t>
      </w:r>
      <w:r w:rsidRPr="008C71C7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C71C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8C71C7">
        <w:rPr>
          <w:sz w:val="28"/>
          <w:szCs w:val="28"/>
        </w:rPr>
        <w:t xml:space="preserve"> № </w:t>
      </w:r>
      <w:r>
        <w:rPr>
          <w:sz w:val="28"/>
          <w:szCs w:val="28"/>
        </w:rPr>
        <w:t>258</w:t>
      </w:r>
      <w:r w:rsidRPr="008C71C7">
        <w:rPr>
          <w:sz w:val="28"/>
          <w:szCs w:val="28"/>
        </w:rPr>
        <w:t xml:space="preserve">                          </w:t>
      </w:r>
      <w:proofErr w:type="gramStart"/>
      <w:r w:rsidRPr="008C71C7">
        <w:rPr>
          <w:sz w:val="28"/>
          <w:szCs w:val="28"/>
        </w:rPr>
        <w:t xml:space="preserve">   «</w:t>
      </w:r>
      <w:proofErr w:type="gramEnd"/>
      <w:r w:rsidRPr="008C71C7">
        <w:rPr>
          <w:sz w:val="28"/>
          <w:szCs w:val="28"/>
        </w:rPr>
        <w:t xml:space="preserve">Об утверждении Положения о бюджетном процессе в муниципальном образовании городской округ город Пыть-Ях», в соответствии с постановлением администрации города от </w:t>
      </w:r>
      <w:r w:rsidR="008D09DA">
        <w:rPr>
          <w:sz w:val="28"/>
          <w:szCs w:val="28"/>
        </w:rPr>
        <w:t>14.07.2014 № 175-па</w:t>
      </w:r>
      <w:r w:rsidRPr="008C71C7">
        <w:rPr>
          <w:sz w:val="28"/>
          <w:szCs w:val="28"/>
        </w:rPr>
        <w:t xml:space="preserve"> «О порядке составления проекта бюджета муниципального образования на очередной финансовый год и плановый период»:</w:t>
      </w:r>
    </w:p>
    <w:p w:rsidR="008D79DC" w:rsidRPr="005C5B46" w:rsidRDefault="008D79DC" w:rsidP="008338BF">
      <w:pPr>
        <w:rPr>
          <w:sz w:val="28"/>
          <w:szCs w:val="28"/>
        </w:rPr>
      </w:pPr>
    </w:p>
    <w:p w:rsidR="008338BF" w:rsidRPr="005C5B46" w:rsidRDefault="008338BF" w:rsidP="008338BF">
      <w:pPr>
        <w:rPr>
          <w:sz w:val="28"/>
          <w:szCs w:val="28"/>
        </w:rPr>
      </w:pPr>
    </w:p>
    <w:p w:rsidR="008338BF" w:rsidRPr="005C5B46" w:rsidRDefault="008338BF" w:rsidP="008338BF">
      <w:pPr>
        <w:rPr>
          <w:sz w:val="28"/>
          <w:szCs w:val="28"/>
        </w:rPr>
      </w:pPr>
    </w:p>
    <w:p w:rsidR="008D79DC" w:rsidRPr="008C71C7" w:rsidRDefault="007C59D6" w:rsidP="008D79DC">
      <w:pPr>
        <w:pStyle w:val="3"/>
        <w:spacing w:line="360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ab/>
      </w:r>
      <w:r w:rsidR="008D79DC">
        <w:rPr>
          <w:rFonts w:eastAsia="Calibri"/>
          <w:sz w:val="28"/>
          <w:szCs w:val="28"/>
        </w:rPr>
        <w:t>О</w:t>
      </w:r>
      <w:r w:rsidR="000767E6">
        <w:rPr>
          <w:sz w:val="28"/>
          <w:szCs w:val="28"/>
        </w:rPr>
        <w:t>добрить</w:t>
      </w:r>
      <w:r w:rsidR="008D79DC" w:rsidRPr="008C71C7">
        <w:rPr>
          <w:sz w:val="28"/>
          <w:szCs w:val="28"/>
        </w:rPr>
        <w:tab/>
      </w:r>
      <w:r w:rsidR="000767E6">
        <w:rPr>
          <w:sz w:val="28"/>
          <w:szCs w:val="28"/>
        </w:rPr>
        <w:t>о</w:t>
      </w:r>
      <w:r w:rsidR="008D79DC" w:rsidRPr="008C71C7">
        <w:rPr>
          <w:sz w:val="28"/>
          <w:szCs w:val="28"/>
        </w:rPr>
        <w:t>сновные направления бюджетной, налоговой и долговой политики муниципального образования город</w:t>
      </w:r>
      <w:r w:rsidR="008D79DC">
        <w:rPr>
          <w:sz w:val="28"/>
          <w:szCs w:val="28"/>
        </w:rPr>
        <w:t>ско</w:t>
      </w:r>
      <w:r w:rsidR="00C456E7">
        <w:rPr>
          <w:sz w:val="28"/>
          <w:szCs w:val="28"/>
        </w:rPr>
        <w:t>го</w:t>
      </w:r>
      <w:r w:rsidR="008D79DC">
        <w:rPr>
          <w:sz w:val="28"/>
          <w:szCs w:val="28"/>
        </w:rPr>
        <w:t xml:space="preserve"> округ</w:t>
      </w:r>
      <w:r w:rsidR="00C456E7">
        <w:rPr>
          <w:sz w:val="28"/>
          <w:szCs w:val="28"/>
        </w:rPr>
        <w:t>а</w:t>
      </w:r>
      <w:r w:rsidR="008D79DC">
        <w:rPr>
          <w:sz w:val="28"/>
          <w:szCs w:val="28"/>
        </w:rPr>
        <w:t xml:space="preserve"> город</w:t>
      </w:r>
      <w:r w:rsidR="00C456E7">
        <w:rPr>
          <w:sz w:val="28"/>
          <w:szCs w:val="28"/>
        </w:rPr>
        <w:t>а</w:t>
      </w:r>
      <w:r w:rsidR="008D79DC">
        <w:rPr>
          <w:sz w:val="28"/>
          <w:szCs w:val="28"/>
        </w:rPr>
        <w:t xml:space="preserve"> Пыть-Ях</w:t>
      </w:r>
      <w:r w:rsidR="00C456E7">
        <w:rPr>
          <w:sz w:val="28"/>
          <w:szCs w:val="28"/>
        </w:rPr>
        <w:t>а</w:t>
      </w:r>
      <w:r w:rsidR="008D79DC">
        <w:rPr>
          <w:sz w:val="28"/>
          <w:szCs w:val="28"/>
        </w:rPr>
        <w:t xml:space="preserve"> на 201</w:t>
      </w:r>
      <w:r w:rsidR="00EC5C77">
        <w:rPr>
          <w:sz w:val="28"/>
          <w:szCs w:val="28"/>
        </w:rPr>
        <w:t>8</w:t>
      </w:r>
      <w:r w:rsidR="008D79DC" w:rsidRPr="008C71C7">
        <w:rPr>
          <w:sz w:val="28"/>
          <w:szCs w:val="28"/>
        </w:rPr>
        <w:t xml:space="preserve"> год и на плановый период 2</w:t>
      </w:r>
      <w:r w:rsidR="008D79DC">
        <w:rPr>
          <w:sz w:val="28"/>
          <w:szCs w:val="28"/>
        </w:rPr>
        <w:t>01</w:t>
      </w:r>
      <w:r w:rsidR="00EC5C77">
        <w:rPr>
          <w:sz w:val="28"/>
          <w:szCs w:val="28"/>
        </w:rPr>
        <w:t>9</w:t>
      </w:r>
      <w:r w:rsidR="008D79DC">
        <w:rPr>
          <w:sz w:val="28"/>
          <w:szCs w:val="28"/>
        </w:rPr>
        <w:t xml:space="preserve"> и 20</w:t>
      </w:r>
      <w:r w:rsidR="00EC5C77">
        <w:rPr>
          <w:sz w:val="28"/>
          <w:szCs w:val="28"/>
        </w:rPr>
        <w:t>20</w:t>
      </w:r>
      <w:r w:rsidR="008D79DC" w:rsidRPr="008C71C7">
        <w:rPr>
          <w:sz w:val="28"/>
          <w:szCs w:val="28"/>
        </w:rPr>
        <w:t xml:space="preserve"> годов (приложение).</w:t>
      </w:r>
    </w:p>
    <w:p w:rsidR="008D79DC" w:rsidRPr="008C71C7" w:rsidRDefault="008D79DC" w:rsidP="00680A6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2. </w:t>
      </w:r>
      <w:r w:rsidRPr="008C71C7">
        <w:rPr>
          <w:sz w:val="28"/>
          <w:szCs w:val="28"/>
        </w:rPr>
        <w:tab/>
        <w:t>Направить настоящее распоряжение в Думу города Пыть-Яха.</w:t>
      </w:r>
    </w:p>
    <w:p w:rsidR="008D79DC" w:rsidRPr="008C71C7" w:rsidRDefault="008D79DC" w:rsidP="00680A6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3. </w:t>
      </w:r>
      <w:r w:rsidRPr="008C71C7">
        <w:rPr>
          <w:sz w:val="28"/>
          <w:szCs w:val="28"/>
        </w:rPr>
        <w:tab/>
        <w:t xml:space="preserve">Заместителю главы города - председателю комитета по финансам Стефогло В.В. принять участие в депутатских слушаниях с представлением информации о характеристиках проекта бюджета муниципального образования </w:t>
      </w:r>
      <w:r w:rsidRPr="008C71C7">
        <w:rPr>
          <w:sz w:val="28"/>
          <w:szCs w:val="28"/>
        </w:rPr>
        <w:lastRenderedPageBreak/>
        <w:t>город</w:t>
      </w:r>
      <w:r>
        <w:rPr>
          <w:sz w:val="28"/>
          <w:szCs w:val="28"/>
        </w:rPr>
        <w:t>ской округ город Пыть-Ях на 201</w:t>
      </w:r>
      <w:r w:rsidR="00EC5C77">
        <w:rPr>
          <w:sz w:val="28"/>
          <w:szCs w:val="28"/>
        </w:rPr>
        <w:t>8</w:t>
      </w:r>
      <w:r w:rsidRPr="008C71C7">
        <w:rPr>
          <w:sz w:val="28"/>
          <w:szCs w:val="28"/>
        </w:rPr>
        <w:t xml:space="preserve"> год и на плановый </w:t>
      </w:r>
      <w:r>
        <w:rPr>
          <w:sz w:val="28"/>
          <w:szCs w:val="28"/>
        </w:rPr>
        <w:t>период 201</w:t>
      </w:r>
      <w:r w:rsidR="00EC5C77">
        <w:rPr>
          <w:sz w:val="28"/>
          <w:szCs w:val="28"/>
        </w:rPr>
        <w:t>9</w:t>
      </w:r>
      <w:r w:rsidRPr="008C71C7">
        <w:rPr>
          <w:sz w:val="28"/>
          <w:szCs w:val="28"/>
        </w:rPr>
        <w:t xml:space="preserve"> и 20</w:t>
      </w:r>
      <w:r w:rsidR="00EC5C77">
        <w:rPr>
          <w:sz w:val="28"/>
          <w:szCs w:val="28"/>
        </w:rPr>
        <w:t>20</w:t>
      </w:r>
      <w:r w:rsidRPr="008C71C7">
        <w:rPr>
          <w:sz w:val="28"/>
          <w:szCs w:val="28"/>
        </w:rPr>
        <w:t xml:space="preserve"> годов.</w:t>
      </w:r>
    </w:p>
    <w:p w:rsidR="008D79DC" w:rsidRPr="008C71C7" w:rsidRDefault="008D79DC" w:rsidP="00680A6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4. </w:t>
      </w:r>
      <w:r w:rsidRPr="008C71C7">
        <w:rPr>
          <w:sz w:val="28"/>
          <w:szCs w:val="28"/>
        </w:rPr>
        <w:tab/>
        <w:t xml:space="preserve">Контроль за выполнением распоряжения </w:t>
      </w:r>
      <w:r>
        <w:rPr>
          <w:sz w:val="28"/>
          <w:szCs w:val="28"/>
        </w:rPr>
        <w:t>возложить на заместителя главы города - председателя комитета по финансам Стефогло В.В.</w:t>
      </w:r>
    </w:p>
    <w:p w:rsidR="008D79DC" w:rsidRPr="008C71C7" w:rsidRDefault="008D79DC" w:rsidP="008D79DC">
      <w:pPr>
        <w:ind w:firstLine="540"/>
        <w:jc w:val="both"/>
        <w:rPr>
          <w:sz w:val="28"/>
          <w:szCs w:val="28"/>
        </w:rPr>
      </w:pPr>
    </w:p>
    <w:p w:rsidR="008D79DC" w:rsidRDefault="008D79DC" w:rsidP="008D79DC">
      <w:pPr>
        <w:ind w:right="57" w:firstLine="539"/>
        <w:rPr>
          <w:sz w:val="28"/>
          <w:szCs w:val="28"/>
        </w:rPr>
      </w:pPr>
    </w:p>
    <w:p w:rsidR="008D79DC" w:rsidRPr="008C71C7" w:rsidRDefault="008D79DC" w:rsidP="008D79DC">
      <w:pPr>
        <w:ind w:right="57" w:firstLine="539"/>
        <w:rPr>
          <w:sz w:val="28"/>
          <w:szCs w:val="28"/>
        </w:rPr>
      </w:pPr>
    </w:p>
    <w:p w:rsidR="009A68E8" w:rsidRPr="00DD5FCF" w:rsidRDefault="009A68E8" w:rsidP="009A68E8">
      <w:pPr>
        <w:rPr>
          <w:sz w:val="28"/>
          <w:szCs w:val="28"/>
        </w:rPr>
      </w:pPr>
      <w:r w:rsidRPr="00DD5FCF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r w:rsidRPr="00DD5FCF">
        <w:rPr>
          <w:sz w:val="28"/>
          <w:szCs w:val="28"/>
        </w:rPr>
        <w:t xml:space="preserve">города Пыть-Яха                           </w:t>
      </w:r>
      <w:r>
        <w:rPr>
          <w:sz w:val="28"/>
          <w:szCs w:val="28"/>
        </w:rPr>
        <w:t xml:space="preserve">                                       О.Л. Ковалевский</w:t>
      </w:r>
    </w:p>
    <w:p w:rsidR="008D79DC" w:rsidRDefault="008D79DC" w:rsidP="008D79DC">
      <w:pPr>
        <w:ind w:right="57" w:firstLine="709"/>
        <w:jc w:val="right"/>
        <w:rPr>
          <w:sz w:val="24"/>
          <w:szCs w:val="24"/>
        </w:rPr>
      </w:pPr>
    </w:p>
    <w:p w:rsidR="008D79DC" w:rsidRDefault="008D79DC" w:rsidP="008D79DC">
      <w:pPr>
        <w:ind w:right="57" w:firstLine="709"/>
        <w:jc w:val="right"/>
        <w:rPr>
          <w:sz w:val="24"/>
          <w:szCs w:val="24"/>
        </w:rPr>
      </w:pPr>
    </w:p>
    <w:p w:rsidR="008D79DC" w:rsidRDefault="008D79DC" w:rsidP="008D79DC">
      <w:pPr>
        <w:ind w:right="57" w:firstLine="709"/>
        <w:jc w:val="right"/>
        <w:rPr>
          <w:sz w:val="24"/>
          <w:szCs w:val="24"/>
        </w:rPr>
      </w:pPr>
    </w:p>
    <w:p w:rsidR="008D79DC" w:rsidRDefault="008D79DC" w:rsidP="008D79DC">
      <w:pPr>
        <w:ind w:right="57" w:firstLine="709"/>
        <w:jc w:val="right"/>
        <w:rPr>
          <w:sz w:val="24"/>
          <w:szCs w:val="24"/>
        </w:rPr>
      </w:pPr>
    </w:p>
    <w:p w:rsidR="008D79DC" w:rsidRDefault="008D79DC" w:rsidP="008D79DC">
      <w:pPr>
        <w:ind w:right="57" w:firstLine="709"/>
        <w:jc w:val="right"/>
        <w:rPr>
          <w:sz w:val="24"/>
          <w:szCs w:val="24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4E192D" w:rsidRDefault="004E192D" w:rsidP="00C836CA">
      <w:pPr>
        <w:pStyle w:val="a8"/>
        <w:jc w:val="right"/>
        <w:rPr>
          <w:b w:val="0"/>
        </w:rPr>
      </w:pPr>
    </w:p>
    <w:p w:rsidR="004E192D" w:rsidRDefault="004E192D" w:rsidP="00C836CA">
      <w:pPr>
        <w:pStyle w:val="a8"/>
        <w:jc w:val="right"/>
        <w:rPr>
          <w:b w:val="0"/>
        </w:rPr>
      </w:pPr>
    </w:p>
    <w:p w:rsidR="004E192D" w:rsidRDefault="004E192D" w:rsidP="00C836CA">
      <w:pPr>
        <w:pStyle w:val="a8"/>
        <w:jc w:val="right"/>
        <w:rPr>
          <w:b w:val="0"/>
        </w:rPr>
      </w:pPr>
    </w:p>
    <w:p w:rsidR="004E192D" w:rsidRDefault="004E192D" w:rsidP="00C836CA">
      <w:pPr>
        <w:pStyle w:val="a8"/>
        <w:jc w:val="right"/>
        <w:rPr>
          <w:b w:val="0"/>
        </w:rPr>
      </w:pPr>
    </w:p>
    <w:p w:rsidR="004E192D" w:rsidRDefault="004E192D" w:rsidP="00C836CA">
      <w:pPr>
        <w:pStyle w:val="a8"/>
        <w:jc w:val="right"/>
        <w:rPr>
          <w:b w:val="0"/>
        </w:rPr>
      </w:pPr>
    </w:p>
    <w:p w:rsidR="0005092E" w:rsidRDefault="0005092E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8338BF" w:rsidRDefault="008338BF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B61F0C" w:rsidRDefault="00B61F0C" w:rsidP="00C836CA">
      <w:pPr>
        <w:pStyle w:val="a8"/>
        <w:jc w:val="right"/>
        <w:rPr>
          <w:b w:val="0"/>
        </w:rPr>
      </w:pPr>
    </w:p>
    <w:p w:rsidR="00E37941" w:rsidRDefault="00E37941" w:rsidP="00C836CA">
      <w:pPr>
        <w:pStyle w:val="a8"/>
        <w:jc w:val="right"/>
        <w:rPr>
          <w:b w:val="0"/>
        </w:rPr>
      </w:pPr>
    </w:p>
    <w:p w:rsidR="00E37941" w:rsidRDefault="00E37941" w:rsidP="00C836CA">
      <w:pPr>
        <w:pStyle w:val="a8"/>
        <w:jc w:val="right"/>
        <w:rPr>
          <w:b w:val="0"/>
        </w:rPr>
      </w:pPr>
    </w:p>
    <w:p w:rsidR="00C836CA" w:rsidRPr="0024205D" w:rsidRDefault="00B61F0C" w:rsidP="00C836CA">
      <w:pPr>
        <w:pStyle w:val="a8"/>
        <w:jc w:val="right"/>
        <w:rPr>
          <w:b w:val="0"/>
        </w:rPr>
      </w:pPr>
      <w:r>
        <w:rPr>
          <w:b w:val="0"/>
        </w:rPr>
        <w:lastRenderedPageBreak/>
        <w:t xml:space="preserve">Приложение </w:t>
      </w:r>
    </w:p>
    <w:p w:rsidR="00C836CA" w:rsidRPr="0024205D" w:rsidRDefault="00C836CA" w:rsidP="00C836CA">
      <w:pPr>
        <w:pStyle w:val="a8"/>
        <w:jc w:val="right"/>
        <w:rPr>
          <w:b w:val="0"/>
        </w:rPr>
      </w:pPr>
      <w:r w:rsidRPr="0024205D">
        <w:rPr>
          <w:b w:val="0"/>
        </w:rPr>
        <w:t xml:space="preserve">к распоряжению администрации </w:t>
      </w:r>
    </w:p>
    <w:p w:rsidR="00C836CA" w:rsidRPr="0024205D" w:rsidRDefault="00C836CA" w:rsidP="00C836CA">
      <w:pPr>
        <w:pStyle w:val="a8"/>
        <w:ind w:left="2123"/>
        <w:jc w:val="right"/>
        <w:rPr>
          <w:b w:val="0"/>
        </w:rPr>
      </w:pPr>
      <w:r w:rsidRPr="0024205D">
        <w:rPr>
          <w:b w:val="0"/>
        </w:rPr>
        <w:t xml:space="preserve">       города Пыть-Яха</w:t>
      </w:r>
    </w:p>
    <w:p w:rsidR="00680A62" w:rsidRPr="00201C45" w:rsidRDefault="00201C45" w:rsidP="00201C4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</w:t>
      </w:r>
      <w:r w:rsidR="00A13E73">
        <w:rPr>
          <w:bCs/>
          <w:sz w:val="28"/>
          <w:szCs w:val="28"/>
        </w:rPr>
        <w:t>от 1</w:t>
      </w:r>
      <w:r w:rsidR="00B70268">
        <w:rPr>
          <w:bCs/>
          <w:sz w:val="28"/>
          <w:szCs w:val="28"/>
        </w:rPr>
        <w:t>6.10.2017 № 1786</w:t>
      </w:r>
      <w:r w:rsidR="00A13E73">
        <w:rPr>
          <w:bCs/>
          <w:sz w:val="28"/>
          <w:szCs w:val="28"/>
        </w:rPr>
        <w:t>-ра</w:t>
      </w:r>
    </w:p>
    <w:p w:rsidR="005163AC" w:rsidRDefault="005163AC" w:rsidP="00680A62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4A1F9F" w:rsidRPr="00845E67" w:rsidRDefault="004A1F9F" w:rsidP="00C66B0F">
      <w:pPr>
        <w:widowControl w:val="0"/>
        <w:autoSpaceDE w:val="0"/>
        <w:autoSpaceDN w:val="0"/>
        <w:adjustRightInd w:val="0"/>
        <w:spacing w:line="360" w:lineRule="auto"/>
        <w:ind w:firstLine="539"/>
        <w:jc w:val="center"/>
        <w:rPr>
          <w:bCs/>
          <w:sz w:val="28"/>
          <w:szCs w:val="28"/>
        </w:rPr>
      </w:pPr>
      <w:r w:rsidRPr="00845E67">
        <w:rPr>
          <w:bCs/>
          <w:sz w:val="28"/>
          <w:szCs w:val="28"/>
        </w:rPr>
        <w:t xml:space="preserve">Основные направления налоговой, бюджетной и долговой политики </w:t>
      </w:r>
      <w:r w:rsidR="00221336" w:rsidRPr="00845E67">
        <w:rPr>
          <w:bCs/>
          <w:sz w:val="28"/>
          <w:szCs w:val="28"/>
        </w:rPr>
        <w:t xml:space="preserve">городского округа города Пыть-Яха </w:t>
      </w:r>
      <w:r w:rsidRPr="00845E67">
        <w:rPr>
          <w:bCs/>
          <w:sz w:val="28"/>
          <w:szCs w:val="28"/>
        </w:rPr>
        <w:t>на 201</w:t>
      </w:r>
      <w:r w:rsidR="008332D5">
        <w:rPr>
          <w:bCs/>
          <w:sz w:val="28"/>
          <w:szCs w:val="28"/>
        </w:rPr>
        <w:t>8</w:t>
      </w:r>
      <w:r w:rsidRPr="00845E67">
        <w:rPr>
          <w:bCs/>
          <w:sz w:val="28"/>
          <w:szCs w:val="28"/>
        </w:rPr>
        <w:t xml:space="preserve"> год</w:t>
      </w:r>
    </w:p>
    <w:p w:rsidR="004A1F9F" w:rsidRPr="00845E67" w:rsidRDefault="004A1F9F" w:rsidP="00C66B0F">
      <w:pPr>
        <w:widowControl w:val="0"/>
        <w:autoSpaceDE w:val="0"/>
        <w:autoSpaceDN w:val="0"/>
        <w:adjustRightInd w:val="0"/>
        <w:spacing w:line="360" w:lineRule="auto"/>
        <w:ind w:firstLine="539"/>
        <w:jc w:val="center"/>
        <w:rPr>
          <w:bCs/>
          <w:sz w:val="28"/>
          <w:szCs w:val="28"/>
        </w:rPr>
      </w:pPr>
      <w:r w:rsidRPr="00845E67">
        <w:rPr>
          <w:bCs/>
          <w:sz w:val="28"/>
          <w:szCs w:val="28"/>
        </w:rPr>
        <w:t>и на плановый период 201</w:t>
      </w:r>
      <w:r w:rsidR="008332D5">
        <w:rPr>
          <w:bCs/>
          <w:sz w:val="28"/>
          <w:szCs w:val="28"/>
        </w:rPr>
        <w:t>9</w:t>
      </w:r>
      <w:r w:rsidRPr="00845E67">
        <w:rPr>
          <w:bCs/>
          <w:sz w:val="28"/>
          <w:szCs w:val="28"/>
        </w:rPr>
        <w:t xml:space="preserve"> и 20</w:t>
      </w:r>
      <w:r w:rsidR="008332D5">
        <w:rPr>
          <w:bCs/>
          <w:sz w:val="28"/>
          <w:szCs w:val="28"/>
        </w:rPr>
        <w:t>20</w:t>
      </w:r>
      <w:r w:rsidRPr="00845E67">
        <w:rPr>
          <w:bCs/>
          <w:sz w:val="28"/>
          <w:szCs w:val="28"/>
        </w:rPr>
        <w:t xml:space="preserve"> годов</w:t>
      </w:r>
    </w:p>
    <w:p w:rsidR="004A1F9F" w:rsidRPr="00845E67" w:rsidRDefault="004A1F9F" w:rsidP="00E37941">
      <w:pPr>
        <w:spacing w:line="360" w:lineRule="auto"/>
        <w:ind w:firstLine="539"/>
        <w:jc w:val="both"/>
        <w:rPr>
          <w:sz w:val="28"/>
          <w:szCs w:val="28"/>
        </w:rPr>
      </w:pPr>
    </w:p>
    <w:p w:rsidR="00E37941" w:rsidRPr="00492136" w:rsidRDefault="0003618E" w:rsidP="0003618E">
      <w:pPr>
        <w:numPr>
          <w:ilvl w:val="0"/>
          <w:numId w:val="1"/>
        </w:numPr>
        <w:spacing w:line="360" w:lineRule="auto"/>
        <w:ind w:left="0" w:firstLine="0"/>
        <w:jc w:val="center"/>
        <w:rPr>
          <w:rFonts w:eastAsia="Calibri"/>
          <w:bCs/>
          <w:sz w:val="28"/>
          <w:szCs w:val="28"/>
        </w:rPr>
      </w:pPr>
      <w:bookmarkStart w:id="0" w:name="Par1"/>
      <w:bookmarkStart w:id="1" w:name="Par28"/>
      <w:bookmarkEnd w:id="0"/>
      <w:bookmarkEnd w:id="1"/>
      <w:r>
        <w:rPr>
          <w:rFonts w:eastAsia="Calibri"/>
          <w:bCs/>
          <w:sz w:val="28"/>
          <w:szCs w:val="28"/>
        </w:rPr>
        <w:t>О</w:t>
      </w:r>
      <w:r w:rsidRPr="00492136">
        <w:rPr>
          <w:rFonts w:eastAsia="Calibri"/>
          <w:bCs/>
          <w:sz w:val="28"/>
          <w:szCs w:val="28"/>
        </w:rPr>
        <w:t>бщие положения</w:t>
      </w:r>
    </w:p>
    <w:p w:rsidR="00E37941" w:rsidRPr="00492136" w:rsidRDefault="00E37941" w:rsidP="00E37941">
      <w:pPr>
        <w:spacing w:line="360" w:lineRule="auto"/>
        <w:ind w:firstLine="539"/>
        <w:jc w:val="both"/>
        <w:rPr>
          <w:rFonts w:eastAsia="Calibri"/>
          <w:b/>
          <w:bCs/>
          <w:sz w:val="28"/>
          <w:szCs w:val="28"/>
        </w:rPr>
      </w:pPr>
    </w:p>
    <w:p w:rsidR="00E37941" w:rsidRPr="00C66B0F" w:rsidRDefault="00E37941" w:rsidP="00E37941">
      <w:pP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C66B0F">
        <w:rPr>
          <w:rFonts w:eastAsia="Calibri"/>
          <w:sz w:val="28"/>
          <w:szCs w:val="28"/>
        </w:rPr>
        <w:t>Основные направления бюджетной и на</w:t>
      </w:r>
      <w:bookmarkStart w:id="2" w:name="_GoBack"/>
      <w:bookmarkEnd w:id="2"/>
      <w:r w:rsidRPr="00C66B0F">
        <w:rPr>
          <w:rFonts w:eastAsia="Calibri"/>
          <w:sz w:val="28"/>
          <w:szCs w:val="28"/>
        </w:rPr>
        <w:t>логовой политики городского округа город</w:t>
      </w:r>
      <w:r w:rsidR="00C66B0F" w:rsidRPr="00C66B0F">
        <w:rPr>
          <w:rFonts w:eastAsia="Calibri"/>
          <w:sz w:val="28"/>
          <w:szCs w:val="28"/>
        </w:rPr>
        <w:t>а</w:t>
      </w:r>
      <w:r w:rsidRPr="00C66B0F">
        <w:rPr>
          <w:rFonts w:eastAsia="Calibri"/>
          <w:sz w:val="28"/>
          <w:szCs w:val="28"/>
        </w:rPr>
        <w:t xml:space="preserve"> </w:t>
      </w:r>
      <w:r w:rsidR="00C66B0F" w:rsidRPr="00C66B0F">
        <w:rPr>
          <w:rFonts w:eastAsia="Calibri"/>
          <w:sz w:val="28"/>
          <w:szCs w:val="28"/>
        </w:rPr>
        <w:t>Пыть-Яха</w:t>
      </w:r>
      <w:r w:rsidRPr="00C66B0F">
        <w:rPr>
          <w:rFonts w:eastAsia="Calibri"/>
          <w:sz w:val="28"/>
          <w:szCs w:val="28"/>
        </w:rPr>
        <w:t xml:space="preserve"> на 2018 год и плановый период 2019 – 2020 годов (далее – Основные направления) подготовлены в соответствии со статьёй 172 Бюджетного кодекса Российской Федерации, статьёй </w:t>
      </w:r>
      <w:r w:rsidR="00C66B0F" w:rsidRPr="00C66B0F">
        <w:rPr>
          <w:rFonts w:eastAsia="Calibri"/>
          <w:sz w:val="28"/>
          <w:szCs w:val="28"/>
        </w:rPr>
        <w:t>13</w:t>
      </w:r>
      <w:r w:rsidRPr="00C66B0F">
        <w:rPr>
          <w:rFonts w:eastAsia="Calibri"/>
          <w:sz w:val="28"/>
          <w:szCs w:val="28"/>
        </w:rPr>
        <w:t xml:space="preserve"> Положения о бюджетном процессе в городском округе город</w:t>
      </w:r>
      <w:r w:rsidR="00C66B0F" w:rsidRPr="00C66B0F">
        <w:rPr>
          <w:rFonts w:eastAsia="Calibri"/>
          <w:sz w:val="28"/>
          <w:szCs w:val="28"/>
        </w:rPr>
        <w:t>а</w:t>
      </w:r>
      <w:r w:rsidRPr="00C66B0F">
        <w:rPr>
          <w:rFonts w:eastAsia="Calibri"/>
          <w:sz w:val="28"/>
          <w:szCs w:val="28"/>
        </w:rPr>
        <w:t xml:space="preserve"> </w:t>
      </w:r>
      <w:r w:rsidR="00C66B0F" w:rsidRPr="00C66B0F">
        <w:rPr>
          <w:rFonts w:eastAsia="Calibri"/>
          <w:sz w:val="28"/>
          <w:szCs w:val="28"/>
        </w:rPr>
        <w:t>Пыть-Яха</w:t>
      </w:r>
      <w:r w:rsidRPr="00C66B0F">
        <w:rPr>
          <w:rFonts w:eastAsia="Calibri"/>
          <w:sz w:val="28"/>
          <w:szCs w:val="28"/>
        </w:rPr>
        <w:t>.</w:t>
      </w:r>
    </w:p>
    <w:p w:rsidR="00E37941" w:rsidRPr="00C66B0F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C66B0F">
        <w:rPr>
          <w:sz w:val="28"/>
          <w:szCs w:val="28"/>
        </w:rPr>
        <w:t xml:space="preserve">В целях обеспечения согласованности бюджетной политики города и бюджетной политики органов государственной власти, ряд положений Основных направлений сформулирован с учетом </w:t>
      </w:r>
      <w:r w:rsidRPr="00C66B0F">
        <w:rPr>
          <w:rFonts w:eastAsia="Calibri"/>
          <w:sz w:val="28"/>
          <w:szCs w:val="28"/>
        </w:rPr>
        <w:t>отдельных положений Послания Президента Российской Федерации Федеральному собранию Российской Федерации от 01.12.2016,</w:t>
      </w:r>
      <w:r w:rsidRPr="00C66B0F">
        <w:rPr>
          <w:sz w:val="28"/>
          <w:szCs w:val="28"/>
        </w:rPr>
        <w:t xml:space="preserve"> проекта </w:t>
      </w:r>
      <w:r w:rsidRPr="00C66B0F">
        <w:rPr>
          <w:rFonts w:eastAsia="Calibri"/>
          <w:sz w:val="28"/>
          <w:szCs w:val="28"/>
        </w:rPr>
        <w:t>Основных направлений бюджетной, налоговой и таможенно-тарифной политики на 2018 год и плановый период 2019 – 2020 годов Российской Федерации и Основных направлений бюджетной и налоговой политики Ханты-Мансийского автономного округа – Югры на 2018 год и плановый период 2019 – 2020 годов.</w:t>
      </w:r>
    </w:p>
    <w:p w:rsidR="00E37941" w:rsidRPr="00C66B0F" w:rsidRDefault="00E37941" w:rsidP="00E37941">
      <w:pP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C66B0F">
        <w:rPr>
          <w:sz w:val="28"/>
          <w:szCs w:val="28"/>
        </w:rPr>
        <w:t xml:space="preserve">Целью Основных направлений является </w:t>
      </w:r>
      <w:r w:rsidRPr="00C66B0F">
        <w:rPr>
          <w:rFonts w:eastAsia="Calibri"/>
          <w:sz w:val="28"/>
          <w:szCs w:val="28"/>
        </w:rPr>
        <w:t>определение целей и задач бюджетной и налоговой политики в очередном бюджетном цикле,</w:t>
      </w:r>
      <w:r w:rsidRPr="00C66B0F">
        <w:rPr>
          <w:sz w:val="28"/>
          <w:szCs w:val="28"/>
        </w:rPr>
        <w:t xml:space="preserve"> описание условий, принимаемых для составления проекта бюджета на 2018 год и на плановый период 2019 и 2020 годы, основных подходов к его формированию и разработке прогнозируемых параметров, что позволит обеспечить прозрачность и открытость бюджетного планирования на всех его этапах.</w:t>
      </w:r>
      <w:r w:rsidRPr="00C66B0F">
        <w:rPr>
          <w:rFonts w:eastAsia="Calibri"/>
          <w:sz w:val="28"/>
          <w:szCs w:val="28"/>
        </w:rPr>
        <w:t xml:space="preserve"> </w:t>
      </w:r>
    </w:p>
    <w:p w:rsidR="00E37941" w:rsidRPr="00C66B0F" w:rsidRDefault="00E37941" w:rsidP="00E37941">
      <w:pP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C66B0F">
        <w:rPr>
          <w:rFonts w:eastAsia="Calibri"/>
          <w:sz w:val="28"/>
          <w:szCs w:val="28"/>
        </w:rPr>
        <w:lastRenderedPageBreak/>
        <w:t>Ориентиром Основных направлений остается обеспечение стабильности и сбалансированности бюджета, повышение эффективности муниципального управления, преемственность целей и задач, определенных в предыдущих бюджетных циклах.</w:t>
      </w:r>
    </w:p>
    <w:p w:rsidR="00E37941" w:rsidRPr="002918E8" w:rsidRDefault="00E37941" w:rsidP="0003618E">
      <w:pPr>
        <w:spacing w:line="360" w:lineRule="auto"/>
        <w:jc w:val="center"/>
        <w:rPr>
          <w:rFonts w:eastAsia="Calibri"/>
          <w:sz w:val="28"/>
          <w:szCs w:val="28"/>
          <w:highlight w:val="yellow"/>
        </w:rPr>
      </w:pPr>
    </w:p>
    <w:p w:rsidR="00E37941" w:rsidRPr="00C456E7" w:rsidRDefault="0003618E" w:rsidP="0003618E">
      <w:pPr>
        <w:pStyle w:val="a9"/>
        <w:keepNext/>
        <w:numPr>
          <w:ilvl w:val="0"/>
          <w:numId w:val="1"/>
        </w:numPr>
        <w:suppressAutoHyphens/>
        <w:snapToGrid/>
        <w:spacing w:line="360" w:lineRule="auto"/>
        <w:ind w:left="0" w:firstLine="0"/>
        <w:jc w:val="center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>О</w:t>
      </w:r>
      <w:r w:rsidRPr="00C456E7">
        <w:rPr>
          <w:rFonts w:eastAsia="Calibri"/>
          <w:bCs/>
          <w:color w:val="000000"/>
          <w:sz w:val="28"/>
          <w:szCs w:val="28"/>
        </w:rPr>
        <w:t xml:space="preserve">сновные результаты бюджетной и налоговой политики в 2016 году и </w:t>
      </w:r>
      <w:proofErr w:type="spellStart"/>
      <w:r w:rsidRPr="00C456E7">
        <w:rPr>
          <w:rFonts w:eastAsia="Calibri"/>
          <w:bCs/>
          <w:color w:val="000000"/>
          <w:sz w:val="28"/>
          <w:szCs w:val="28"/>
          <w:lang w:val="en-US"/>
        </w:rPr>
        <w:t>i</w:t>
      </w:r>
      <w:proofErr w:type="spellEnd"/>
      <w:r w:rsidRPr="00C456E7">
        <w:rPr>
          <w:rFonts w:eastAsia="Calibri"/>
          <w:bCs/>
          <w:color w:val="000000"/>
          <w:sz w:val="28"/>
          <w:szCs w:val="28"/>
        </w:rPr>
        <w:t xml:space="preserve"> полугодии 2017 года</w:t>
      </w:r>
    </w:p>
    <w:p w:rsidR="00E37941" w:rsidRPr="00C456E7" w:rsidRDefault="00E37941" w:rsidP="00E37941">
      <w:pPr>
        <w:spacing w:line="360" w:lineRule="auto"/>
        <w:ind w:firstLine="539"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E37941" w:rsidRPr="00C456E7" w:rsidRDefault="00E37941" w:rsidP="00E3794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C456E7">
        <w:rPr>
          <w:color w:val="000000"/>
          <w:sz w:val="28"/>
          <w:szCs w:val="28"/>
          <w:lang w:eastAsia="ar-SA"/>
        </w:rPr>
        <w:t xml:space="preserve">Бюджетная деятельность муниципального образования в 2016 году и первом полугодии 2017 года осуществлялась на фоне </w:t>
      </w:r>
      <w:r w:rsidRPr="00C456E7">
        <w:rPr>
          <w:sz w:val="28"/>
          <w:szCs w:val="28"/>
        </w:rPr>
        <w:t>негативных тенденций в экономике,</w:t>
      </w:r>
      <w:r w:rsidRPr="00C456E7">
        <w:rPr>
          <w:color w:val="000000"/>
          <w:sz w:val="28"/>
          <w:szCs w:val="28"/>
          <w:lang w:eastAsia="ar-SA"/>
        </w:rPr>
        <w:t xml:space="preserve"> что отразилось и на снижении </w:t>
      </w:r>
      <w:r w:rsidRPr="00C456E7">
        <w:rPr>
          <w:rFonts w:eastAsia="Calibri"/>
          <w:sz w:val="28"/>
          <w:szCs w:val="28"/>
        </w:rPr>
        <w:t>показателей социально-экономического развития города</w:t>
      </w:r>
      <w:r w:rsidRPr="00C456E7">
        <w:rPr>
          <w:rFonts w:eastAsia="Calibri"/>
          <w:color w:val="000000"/>
          <w:sz w:val="28"/>
          <w:szCs w:val="28"/>
          <w:lang w:eastAsia="ar-SA"/>
        </w:rPr>
        <w:t>.</w:t>
      </w:r>
    </w:p>
    <w:p w:rsidR="00E37941" w:rsidRPr="00492136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C456E7">
        <w:rPr>
          <w:color w:val="000000"/>
          <w:sz w:val="28"/>
          <w:szCs w:val="28"/>
        </w:rPr>
        <w:t xml:space="preserve">В качестве положительного фактора следует отметить возвращение в 2016 году к </w:t>
      </w:r>
      <w:r w:rsidRPr="00C456E7">
        <w:rPr>
          <w:iCs/>
          <w:color w:val="000000"/>
          <w:sz w:val="28"/>
          <w:szCs w:val="28"/>
        </w:rPr>
        <w:t>трехлетнему планированию</w:t>
      </w:r>
      <w:r w:rsidRPr="00C456E7">
        <w:rPr>
          <w:i/>
          <w:iCs/>
          <w:color w:val="000000"/>
          <w:sz w:val="28"/>
          <w:szCs w:val="28"/>
        </w:rPr>
        <w:t xml:space="preserve"> </w:t>
      </w:r>
      <w:r w:rsidRPr="00C456E7">
        <w:rPr>
          <w:color w:val="000000"/>
          <w:sz w:val="28"/>
          <w:szCs w:val="28"/>
        </w:rPr>
        <w:t>бюджета, что способствовало снижению уровня неопределенности относительно основных прогнозных параметров, приоритетов и механизмов реализации бюджетной политики.</w:t>
      </w:r>
    </w:p>
    <w:p w:rsidR="00E37941" w:rsidRPr="002918E8" w:rsidRDefault="00E37941" w:rsidP="00E3794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2918E8">
        <w:rPr>
          <w:color w:val="000000"/>
          <w:sz w:val="28"/>
          <w:szCs w:val="28"/>
        </w:rPr>
        <w:t xml:space="preserve">В указанном периоде деятельность </w:t>
      </w:r>
      <w:r w:rsidRPr="002918E8">
        <w:rPr>
          <w:color w:val="000000"/>
          <w:sz w:val="28"/>
          <w:szCs w:val="28"/>
          <w:u w:val="single"/>
        </w:rPr>
        <w:t>в сфере доходов бюджета города</w:t>
      </w:r>
      <w:r w:rsidRPr="002918E8">
        <w:rPr>
          <w:color w:val="000000"/>
          <w:sz w:val="28"/>
          <w:szCs w:val="28"/>
        </w:rPr>
        <w:t xml:space="preserve"> была направлена на формирование объективных прогнозных показателей и обеспечение </w:t>
      </w:r>
      <w:r w:rsidRPr="002918E8">
        <w:rPr>
          <w:snapToGrid w:val="0"/>
          <w:color w:val="000000"/>
          <w:sz w:val="28"/>
          <w:szCs w:val="28"/>
        </w:rPr>
        <w:t>стабильного поступления доходов в утверждённых объёмах.</w:t>
      </w:r>
      <w:r w:rsidRPr="002918E8">
        <w:rPr>
          <w:color w:val="000000"/>
          <w:sz w:val="28"/>
          <w:szCs w:val="28"/>
        </w:rPr>
        <w:t xml:space="preserve"> </w:t>
      </w:r>
    </w:p>
    <w:p w:rsidR="00E37941" w:rsidRPr="002918E8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lang w:eastAsia="ar-SA"/>
        </w:rPr>
      </w:pPr>
      <w:r w:rsidRPr="002918E8">
        <w:rPr>
          <w:sz w:val="28"/>
          <w:szCs w:val="28"/>
        </w:rPr>
        <w:t xml:space="preserve">В целях исключения рисков </w:t>
      </w:r>
      <w:proofErr w:type="spellStart"/>
      <w:r w:rsidRPr="002918E8">
        <w:rPr>
          <w:sz w:val="28"/>
          <w:szCs w:val="28"/>
        </w:rPr>
        <w:t>недополучения</w:t>
      </w:r>
      <w:proofErr w:type="spellEnd"/>
      <w:r w:rsidRPr="002918E8">
        <w:rPr>
          <w:sz w:val="28"/>
          <w:szCs w:val="28"/>
        </w:rPr>
        <w:t xml:space="preserve"> доходов, планирование бюджета осуществлялось исходя из прогнозируемой экономической ситуации, </w:t>
      </w:r>
      <w:r w:rsidRPr="002918E8">
        <w:rPr>
          <w:sz w:val="28"/>
          <w:szCs w:val="28"/>
          <w:lang w:eastAsia="ar-SA"/>
        </w:rPr>
        <w:t xml:space="preserve">изменений налогового и бюджетного законодательств. </w:t>
      </w:r>
    </w:p>
    <w:p w:rsidR="00F034FB" w:rsidRPr="002918E8" w:rsidRDefault="00F034FB" w:rsidP="00F034FB">
      <w:pPr>
        <w:spacing w:line="360" w:lineRule="auto"/>
        <w:ind w:firstLine="539"/>
        <w:jc w:val="both"/>
        <w:rPr>
          <w:bCs/>
          <w:color w:val="000000"/>
          <w:sz w:val="28"/>
          <w:szCs w:val="28"/>
        </w:rPr>
      </w:pPr>
      <w:r w:rsidRPr="002918E8">
        <w:rPr>
          <w:sz w:val="28"/>
          <w:szCs w:val="28"/>
          <w:lang w:eastAsia="ar-SA"/>
        </w:rPr>
        <w:t>Результатом стало</w:t>
      </w:r>
      <w:r w:rsidRPr="002918E8">
        <w:rPr>
          <w:bCs/>
          <w:color w:val="000000"/>
          <w:sz w:val="28"/>
          <w:szCs w:val="28"/>
        </w:rPr>
        <w:t xml:space="preserve"> исполнение бюджетных назначений по налоговым и неналоговым доходам в 2016 году в общем объёме</w:t>
      </w:r>
      <w:r w:rsidRPr="002918E8">
        <w:rPr>
          <w:bCs/>
          <w:color w:val="000000"/>
          <w:szCs w:val="28"/>
        </w:rPr>
        <w:t xml:space="preserve"> </w:t>
      </w:r>
      <w:r w:rsidRPr="002918E8">
        <w:rPr>
          <w:bCs/>
          <w:color w:val="000000"/>
          <w:sz w:val="28"/>
          <w:szCs w:val="28"/>
        </w:rPr>
        <w:t xml:space="preserve">103,8%. </w:t>
      </w:r>
    </w:p>
    <w:p w:rsidR="00F034FB" w:rsidRPr="002918E8" w:rsidRDefault="00F034FB" w:rsidP="00F034FB">
      <w:pPr>
        <w:spacing w:line="360" w:lineRule="auto"/>
        <w:ind w:firstLine="539"/>
        <w:jc w:val="both"/>
        <w:rPr>
          <w:sz w:val="28"/>
          <w:szCs w:val="28"/>
        </w:rPr>
      </w:pPr>
      <w:r w:rsidRPr="002918E8">
        <w:rPr>
          <w:rFonts w:eastAsia="Calibri" w:cs="Calibri"/>
          <w:bCs/>
          <w:color w:val="000000"/>
          <w:sz w:val="28"/>
          <w:szCs w:val="28"/>
        </w:rPr>
        <w:t xml:space="preserve">Однако </w:t>
      </w:r>
      <w:r w:rsidRPr="002918E8">
        <w:rPr>
          <w:color w:val="000000"/>
          <w:sz w:val="28"/>
          <w:szCs w:val="28"/>
        </w:rPr>
        <w:t xml:space="preserve">имущественные налоги – земельный и налог на имущество физических лиц - не достигли первоначальных плановых показателей (исполнены на 95,2 %), что было обусловлено </w:t>
      </w:r>
      <w:r w:rsidRPr="002918E8">
        <w:rPr>
          <w:sz w:val="28"/>
          <w:szCs w:val="28"/>
        </w:rPr>
        <w:t xml:space="preserve">в основном оспариванием организациями кадастровой стоимости земельных участков (АО СибурТюменьГаз по 10 земельным участкам), а также переносом срока уплаты имущественных налогов на более поздний период - 1 декабря. </w:t>
      </w:r>
    </w:p>
    <w:p w:rsidR="00F034FB" w:rsidRPr="002918E8" w:rsidRDefault="00F034FB" w:rsidP="00F034FB">
      <w:pPr>
        <w:spacing w:line="360" w:lineRule="auto"/>
        <w:ind w:firstLine="539"/>
        <w:jc w:val="both"/>
        <w:rPr>
          <w:sz w:val="28"/>
          <w:szCs w:val="28"/>
        </w:rPr>
      </w:pPr>
      <w:r w:rsidRPr="002918E8">
        <w:rPr>
          <w:rFonts w:eastAsia="Calibri"/>
          <w:color w:val="000000"/>
          <w:sz w:val="28"/>
          <w:szCs w:val="28"/>
        </w:rPr>
        <w:lastRenderedPageBreak/>
        <w:t>Неналоговые доходы исполнены на 108,4%к уточненным плановым назначения и на 123,3% к первоначальному плану.</w:t>
      </w:r>
      <w:r w:rsidRPr="002918E8">
        <w:rPr>
          <w:sz w:val="28"/>
          <w:szCs w:val="28"/>
        </w:rPr>
        <w:t xml:space="preserve"> </w:t>
      </w:r>
    </w:p>
    <w:p w:rsidR="00F034FB" w:rsidRPr="002918E8" w:rsidRDefault="00F034FB" w:rsidP="00F034FB">
      <w:pPr>
        <w:tabs>
          <w:tab w:val="left" w:pos="2127"/>
        </w:tabs>
        <w:spacing w:line="360" w:lineRule="auto"/>
        <w:ind w:firstLine="539"/>
        <w:jc w:val="both"/>
        <w:rPr>
          <w:sz w:val="28"/>
          <w:szCs w:val="28"/>
        </w:rPr>
      </w:pPr>
      <w:r w:rsidRPr="002918E8">
        <w:rPr>
          <w:sz w:val="28"/>
          <w:szCs w:val="28"/>
        </w:rPr>
        <w:t xml:space="preserve">Несмотря на достигнутые результаты, сохраняется фактор низкой платёжной дисциплины граждан-налогоплательщиков и арендаторов муниципального имущества. Сумма недоимки по налоговым и арендным платежам на 1 января 2017 года составила 78 072,1 </w:t>
      </w:r>
      <w:proofErr w:type="spellStart"/>
      <w:r w:rsidRPr="002918E8">
        <w:rPr>
          <w:sz w:val="28"/>
          <w:szCs w:val="28"/>
        </w:rPr>
        <w:t>тыс.рублей</w:t>
      </w:r>
      <w:proofErr w:type="spellEnd"/>
      <w:r w:rsidRPr="002918E8">
        <w:rPr>
          <w:sz w:val="28"/>
          <w:szCs w:val="28"/>
        </w:rPr>
        <w:t>.</w:t>
      </w:r>
    </w:p>
    <w:p w:rsidR="00F034FB" w:rsidRPr="00492136" w:rsidRDefault="00F034FB" w:rsidP="00F034FB">
      <w:pPr>
        <w:spacing w:line="360" w:lineRule="auto"/>
        <w:ind w:right="57" w:firstLine="539"/>
        <w:jc w:val="both"/>
        <w:rPr>
          <w:sz w:val="28"/>
          <w:szCs w:val="28"/>
        </w:rPr>
      </w:pPr>
      <w:r w:rsidRPr="002918E8">
        <w:rPr>
          <w:sz w:val="28"/>
          <w:szCs w:val="28"/>
        </w:rPr>
        <w:t>В 1 полугодии текущего года налоговые и неналоговые доходы поступили в пределах планируемых показателей (53,7% от годовых плановых назначений).</w:t>
      </w:r>
      <w:r w:rsidRPr="00492136">
        <w:rPr>
          <w:sz w:val="28"/>
          <w:szCs w:val="28"/>
        </w:rPr>
        <w:t xml:space="preserve"> </w:t>
      </w:r>
    </w:p>
    <w:p w:rsidR="00B44667" w:rsidRPr="0003618E" w:rsidRDefault="00194DB5" w:rsidP="00B44667">
      <w:pPr>
        <w:suppressAutoHyphens/>
        <w:spacing w:line="360" w:lineRule="auto"/>
        <w:jc w:val="both"/>
        <w:rPr>
          <w:sz w:val="28"/>
          <w:szCs w:val="28"/>
        </w:rPr>
      </w:pPr>
      <w:r w:rsidRPr="0003618E">
        <w:rPr>
          <w:sz w:val="28"/>
          <w:szCs w:val="28"/>
        </w:rPr>
        <w:tab/>
      </w:r>
      <w:r w:rsidR="00B44667" w:rsidRPr="0003618E">
        <w:rPr>
          <w:sz w:val="28"/>
          <w:szCs w:val="28"/>
        </w:rPr>
        <w:t>На постоянной основе проводится работа по мобилизации доходов в бюджет муниципального образования городского округа города Пыть-Ях, сокращения размера дефицита бюджета, повышения качества и эффективности управления финансовыми ресурсами. На уровне муниципального образования принят план мероприятий по росту доходов и оптимизации расходов бюджета на 2016 год, утвержденный распоряжением администрации города от 31.12.2015 № 2608-ра «О мероприятиях по исполнению решения Думы «О бюджете города Пыть-Яха на 2016 год».</w:t>
      </w:r>
      <w:r w:rsidR="00B44667" w:rsidRPr="0003618E">
        <w:rPr>
          <w:color w:val="FF0000"/>
          <w:sz w:val="28"/>
          <w:szCs w:val="28"/>
        </w:rPr>
        <w:t xml:space="preserve"> </w:t>
      </w:r>
      <w:r w:rsidR="00B44667" w:rsidRPr="0003618E">
        <w:rPr>
          <w:sz w:val="28"/>
          <w:szCs w:val="28"/>
        </w:rPr>
        <w:t>Планируемый бюджетный эффект на 2016 год составляет 88 029,3 тыс. рублей или 10,0% от собственных доходов.</w:t>
      </w:r>
    </w:p>
    <w:p w:rsidR="00B44667" w:rsidRPr="0003618E" w:rsidRDefault="00B44667" w:rsidP="00B44667">
      <w:pPr>
        <w:suppressAutoHyphens/>
        <w:spacing w:line="360" w:lineRule="auto"/>
        <w:jc w:val="both"/>
        <w:rPr>
          <w:sz w:val="28"/>
          <w:szCs w:val="28"/>
        </w:rPr>
      </w:pPr>
      <w:r w:rsidRPr="0003618E">
        <w:rPr>
          <w:color w:val="FF0000"/>
          <w:sz w:val="28"/>
          <w:szCs w:val="28"/>
        </w:rPr>
        <w:tab/>
      </w:r>
      <w:r w:rsidRPr="0003618E">
        <w:rPr>
          <w:sz w:val="28"/>
          <w:szCs w:val="28"/>
        </w:rPr>
        <w:t>За 2016 год проведены следующие меры по привлечению дополнительных доходов в бюджет муниципального образования:</w:t>
      </w:r>
    </w:p>
    <w:p w:rsidR="00B44667" w:rsidRPr="0003618E" w:rsidRDefault="00B44667" w:rsidP="0003618E">
      <w:pPr>
        <w:numPr>
          <w:ilvl w:val="0"/>
          <w:numId w:val="6"/>
        </w:numPr>
        <w:tabs>
          <w:tab w:val="clear" w:pos="1164"/>
          <w:tab w:val="num" w:pos="0"/>
        </w:tabs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заключено 7 соглашений о социально-экономическом сотрудничестве с предприятиями и индивидуальными предпринимателями города. По состоянию на 01.01.2017 года в рамках заключенных соглашений поступило 292,1 тыс. рублей;</w:t>
      </w:r>
    </w:p>
    <w:p w:rsidR="00B44667" w:rsidRPr="0003618E" w:rsidRDefault="00B44667" w:rsidP="0003618E">
      <w:pPr>
        <w:numPr>
          <w:ilvl w:val="0"/>
          <w:numId w:val="6"/>
        </w:numPr>
        <w:tabs>
          <w:tab w:val="clear" w:pos="1164"/>
          <w:tab w:val="num" w:pos="0"/>
        </w:tabs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заключено 69 договоров мены жилых помещений. Дополнительные поступления в бюджет от реализации данного мероприятия составили 4 439,9 тыс. рублей;</w:t>
      </w:r>
    </w:p>
    <w:p w:rsidR="00B44667" w:rsidRPr="0003618E" w:rsidRDefault="00B44667" w:rsidP="0003618E">
      <w:pPr>
        <w:numPr>
          <w:ilvl w:val="0"/>
          <w:numId w:val="6"/>
        </w:numPr>
        <w:tabs>
          <w:tab w:val="clear" w:pos="1164"/>
          <w:tab w:val="num" w:pos="0"/>
        </w:tabs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 xml:space="preserve">проведена претензионная работа по арендным платежам за земельные участки и муниципальное имущество. По состоянию на 01.01.2017 года предъявлено 259 претензий на сумму 44 741,7 тыс. рублей, оплачено по претензиям 12 622,2 тыс. рублей. Направлено в суд 80 исковых заявлений на </w:t>
      </w:r>
      <w:r w:rsidRPr="0003618E">
        <w:rPr>
          <w:sz w:val="28"/>
          <w:szCs w:val="28"/>
        </w:rPr>
        <w:lastRenderedPageBreak/>
        <w:t>сумму 13 426,2 тыс. рублей, вынесено 58 решений суда и судебных приказов на сумму 9 915,8 тыс. рублей. Дополнительно в бюджет города поступило по решениям суда 1 982,4 тыс. рублей, пени по выставленным претензиям - 719,1 тыс. рублей.</w:t>
      </w:r>
    </w:p>
    <w:p w:rsidR="00B44667" w:rsidRPr="0003618E" w:rsidRDefault="00B44667" w:rsidP="0003618E">
      <w:pPr>
        <w:numPr>
          <w:ilvl w:val="0"/>
          <w:numId w:val="6"/>
        </w:numPr>
        <w:tabs>
          <w:tab w:val="clear" w:pos="1164"/>
          <w:tab w:val="num" w:pos="0"/>
        </w:tabs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По результатам аукционов на право заключения договоров аренды земельных участков дополнительные поступления в бюджет составили 20 340,2 тыс. рублей.</w:t>
      </w:r>
    </w:p>
    <w:p w:rsidR="00B44667" w:rsidRPr="0003618E" w:rsidRDefault="00B44667" w:rsidP="0003618E">
      <w:pPr>
        <w:numPr>
          <w:ilvl w:val="0"/>
          <w:numId w:val="6"/>
        </w:numPr>
        <w:tabs>
          <w:tab w:val="clear" w:pos="1164"/>
          <w:tab w:val="num" w:pos="0"/>
        </w:tabs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В результате увеличения размера платы по договорам социального найма жилых помещений дополнительно в бюджет города за отчетный период поступило 619,9 тыс. рублей.</w:t>
      </w:r>
    </w:p>
    <w:p w:rsidR="00E37941" w:rsidRPr="00B44667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B44667">
        <w:rPr>
          <w:sz w:val="28"/>
          <w:szCs w:val="28"/>
        </w:rPr>
        <w:t xml:space="preserve">В условиях снижающихся бюджетных возможностей бюджетная политика </w:t>
      </w:r>
      <w:r w:rsidRPr="00B44667">
        <w:rPr>
          <w:sz w:val="28"/>
          <w:szCs w:val="28"/>
          <w:u w:val="single"/>
        </w:rPr>
        <w:t>в области расходов</w:t>
      </w:r>
      <w:r w:rsidRPr="00B44667">
        <w:rPr>
          <w:sz w:val="28"/>
          <w:szCs w:val="28"/>
        </w:rPr>
        <w:t xml:space="preserve"> бюджета строилась с учетом необходимости </w:t>
      </w:r>
      <w:proofErr w:type="spellStart"/>
      <w:r w:rsidRPr="00B44667">
        <w:rPr>
          <w:sz w:val="28"/>
          <w:szCs w:val="28"/>
        </w:rPr>
        <w:t>приоритезации</w:t>
      </w:r>
      <w:proofErr w:type="spellEnd"/>
      <w:r w:rsidRPr="00B44667">
        <w:rPr>
          <w:sz w:val="28"/>
          <w:szCs w:val="28"/>
        </w:rPr>
        <w:t xml:space="preserve"> расходов и поиска внутренних резервов.</w:t>
      </w:r>
    </w:p>
    <w:p w:rsidR="005B7851" w:rsidRPr="00EC2ABD" w:rsidRDefault="005B7851" w:rsidP="00B44667">
      <w:pPr>
        <w:suppressAutoHyphens/>
        <w:spacing w:line="360" w:lineRule="auto"/>
        <w:jc w:val="both"/>
        <w:rPr>
          <w:sz w:val="26"/>
          <w:szCs w:val="26"/>
        </w:rPr>
      </w:pPr>
      <w:r w:rsidRPr="00EC2ABD">
        <w:rPr>
          <w:sz w:val="26"/>
          <w:szCs w:val="26"/>
        </w:rPr>
        <w:t>Запланированные мероприятия по оптимизации расходов бюджета муниципального образования исполнены и бюдже</w:t>
      </w:r>
      <w:r>
        <w:rPr>
          <w:sz w:val="26"/>
          <w:szCs w:val="26"/>
        </w:rPr>
        <w:t>тный эффект по состоянию на 01.01</w:t>
      </w:r>
      <w:r w:rsidRPr="00EC2ABD">
        <w:rPr>
          <w:sz w:val="26"/>
          <w:szCs w:val="26"/>
        </w:rPr>
        <w:t>.201</w:t>
      </w:r>
      <w:r>
        <w:rPr>
          <w:sz w:val="26"/>
          <w:szCs w:val="26"/>
        </w:rPr>
        <w:t xml:space="preserve">7 </w:t>
      </w:r>
      <w:r w:rsidRPr="00EC2ABD">
        <w:rPr>
          <w:sz w:val="26"/>
          <w:szCs w:val="26"/>
        </w:rPr>
        <w:t xml:space="preserve">года составил </w:t>
      </w:r>
      <w:r>
        <w:rPr>
          <w:sz w:val="26"/>
          <w:szCs w:val="26"/>
        </w:rPr>
        <w:t>49 176,3</w:t>
      </w:r>
      <w:r w:rsidRPr="00EC2ABD">
        <w:rPr>
          <w:sz w:val="26"/>
          <w:szCs w:val="26"/>
        </w:rPr>
        <w:t xml:space="preserve"> тыс. рублей, в том числе:</w:t>
      </w:r>
    </w:p>
    <w:p w:rsidR="005B7851" w:rsidRPr="0003618E" w:rsidRDefault="0003618E" w:rsidP="0003618E">
      <w:pPr>
        <w:numPr>
          <w:ilvl w:val="0"/>
          <w:numId w:val="4"/>
        </w:numPr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7851" w:rsidRPr="0003618E">
        <w:rPr>
          <w:sz w:val="28"/>
          <w:szCs w:val="28"/>
        </w:rPr>
        <w:t xml:space="preserve"> ходе исполнения городского бюджета по отдельным статьям расходов бюджета сложилась экономия средств в сумме 39 967,3 тыс. рублей, которая перенаправлена на другие статьи расходов с учетом приоритетности и эффективности расходов бюджета;</w:t>
      </w:r>
    </w:p>
    <w:p w:rsidR="005B7851" w:rsidRPr="0003618E" w:rsidRDefault="0003618E" w:rsidP="0003618E">
      <w:pPr>
        <w:numPr>
          <w:ilvl w:val="0"/>
          <w:numId w:val="4"/>
        </w:numPr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7851" w:rsidRPr="0003618E">
        <w:rPr>
          <w:sz w:val="28"/>
          <w:szCs w:val="28"/>
        </w:rPr>
        <w:t>овышение эффективности формирования муниципального задания (сокращение бюджетных ассигнований без сокращения объёма муниципальных услуг) составила 6 779,2 тыс. рублей.</w:t>
      </w:r>
    </w:p>
    <w:p w:rsidR="005B7851" w:rsidRPr="0003618E" w:rsidRDefault="0003618E" w:rsidP="0003618E">
      <w:pPr>
        <w:numPr>
          <w:ilvl w:val="0"/>
          <w:numId w:val="4"/>
        </w:numPr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B7851" w:rsidRPr="0003618E">
        <w:rPr>
          <w:sz w:val="28"/>
          <w:szCs w:val="28"/>
        </w:rPr>
        <w:t xml:space="preserve">оздание централизованных бухгалтерий и служб, передача несвойственных функций на аутсорсинг в сумме 665,6 тыс. рублей.  </w:t>
      </w:r>
    </w:p>
    <w:p w:rsidR="005B7851" w:rsidRPr="0003618E" w:rsidRDefault="0003618E" w:rsidP="0003618E">
      <w:pPr>
        <w:numPr>
          <w:ilvl w:val="0"/>
          <w:numId w:val="4"/>
        </w:numPr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B7851" w:rsidRPr="0003618E">
        <w:rPr>
          <w:sz w:val="28"/>
          <w:szCs w:val="28"/>
        </w:rPr>
        <w:t xml:space="preserve"> целях оптимизации расходов сокращены объемы бюджетных ассигнований, предусмотренных на предоставление субсидии юр. лицам (на основании конкурса проектов социально-ориентированных некоммерческих организаций) в сумме 698,6 тыс. рублей;</w:t>
      </w:r>
    </w:p>
    <w:p w:rsidR="005B7851" w:rsidRPr="0003618E" w:rsidRDefault="0003618E" w:rsidP="0003618E">
      <w:pPr>
        <w:numPr>
          <w:ilvl w:val="0"/>
          <w:numId w:val="4"/>
        </w:numPr>
        <w:suppressAutoHyphens/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5B7851" w:rsidRPr="0003618E">
        <w:rPr>
          <w:sz w:val="28"/>
          <w:szCs w:val="28"/>
        </w:rPr>
        <w:t>окращение доли софинансирования за счет средств местного бюджета в сумме 1 065,6 тыс. рублей.</w:t>
      </w:r>
    </w:p>
    <w:p w:rsidR="005B7851" w:rsidRPr="0003618E" w:rsidRDefault="005B7851" w:rsidP="0003618E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Бюджетный эффект по итогам 2016 года составил 90 192,1 тыс. рублей или 9,9% к исполнению по собственным доходам муниципального образования.</w:t>
      </w:r>
    </w:p>
    <w:p w:rsidR="005B7851" w:rsidRPr="0003618E" w:rsidRDefault="005B7851" w:rsidP="0003618E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03618E">
        <w:rPr>
          <w:sz w:val="28"/>
          <w:szCs w:val="28"/>
        </w:rPr>
        <w:t>Реализация мероприятий проводилась в соответствии с установленными сроками достижения бюджетного эффекта от принимаемых мер по привлечению дополнительных доходов и оптимизации расходов.</w:t>
      </w:r>
    </w:p>
    <w:p w:rsidR="00E37941" w:rsidRPr="0003618E" w:rsidRDefault="00E37941" w:rsidP="0003618E">
      <w:pPr>
        <w:spacing w:line="360" w:lineRule="auto"/>
        <w:ind w:firstLine="540"/>
        <w:jc w:val="both"/>
        <w:rPr>
          <w:sz w:val="28"/>
          <w:szCs w:val="28"/>
          <w:highlight w:val="yellow"/>
        </w:rPr>
      </w:pPr>
    </w:p>
    <w:p w:rsidR="00E37941" w:rsidRPr="00492136" w:rsidRDefault="0003618E" w:rsidP="0003618E"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Ц</w:t>
      </w:r>
      <w:r w:rsidRPr="002918E8">
        <w:rPr>
          <w:rFonts w:eastAsia="Calibri"/>
          <w:bCs/>
          <w:sz w:val="28"/>
          <w:szCs w:val="28"/>
        </w:rPr>
        <w:t>ели и основные задачи бюджетной</w:t>
      </w:r>
      <w:r w:rsidRPr="00492136">
        <w:rPr>
          <w:rFonts w:eastAsia="Calibri"/>
          <w:bCs/>
          <w:sz w:val="28"/>
          <w:szCs w:val="28"/>
        </w:rPr>
        <w:t xml:space="preserve"> и налоговой политики и проектируемые параметры бюджета города на 2018 год и плановый период 2019 - 2020 годов</w:t>
      </w:r>
    </w:p>
    <w:p w:rsidR="00E37941" w:rsidRPr="00492136" w:rsidRDefault="00E37941" w:rsidP="00E37941">
      <w:pPr>
        <w:tabs>
          <w:tab w:val="left" w:pos="720"/>
        </w:tabs>
        <w:spacing w:line="360" w:lineRule="auto"/>
        <w:ind w:left="567" w:firstLine="539"/>
        <w:jc w:val="both"/>
        <w:rPr>
          <w:rFonts w:eastAsia="Calibri"/>
          <w:sz w:val="28"/>
          <w:szCs w:val="28"/>
        </w:rPr>
      </w:pPr>
    </w:p>
    <w:p w:rsidR="00E37941" w:rsidRPr="0049213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>Бюджетная и налоговая политика муниципального образования на 2018 год и плановый период 2019 – 2020 годов будет сохранять свою направленность на долгосрочную сбалансированность и обеспечение стабильности в бюджетном секторе.</w:t>
      </w:r>
    </w:p>
    <w:p w:rsidR="00E37941" w:rsidRPr="0049213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>Главными рисками, которые могут возникнуть в ходе её реализации являются</w:t>
      </w:r>
      <w:r>
        <w:rPr>
          <w:sz w:val="28"/>
          <w:szCs w:val="28"/>
        </w:rPr>
        <w:t xml:space="preserve"> </w:t>
      </w:r>
      <w:r w:rsidRPr="00492136">
        <w:rPr>
          <w:sz w:val="28"/>
          <w:szCs w:val="28"/>
        </w:rPr>
        <w:t xml:space="preserve">изменения норм федерального и окружного законодательства, влекущие за собой снижение доходов и (или) увеличение расходов бюджета </w:t>
      </w:r>
      <w:r w:rsidR="002D3D75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и </w:t>
      </w:r>
      <w:r w:rsidRPr="00492136">
        <w:rPr>
          <w:sz w:val="28"/>
          <w:szCs w:val="28"/>
        </w:rPr>
        <w:t xml:space="preserve">ухудшение общеэкономической ситуации как в стране в целом, так и в городе </w:t>
      </w:r>
      <w:r w:rsidR="002D3D75">
        <w:rPr>
          <w:sz w:val="28"/>
          <w:szCs w:val="28"/>
        </w:rPr>
        <w:t>Пыть-Яхе</w:t>
      </w:r>
      <w:r w:rsidRPr="00492136">
        <w:rPr>
          <w:sz w:val="28"/>
          <w:szCs w:val="28"/>
        </w:rPr>
        <w:t>, приводящ</w:t>
      </w:r>
      <w:r>
        <w:rPr>
          <w:sz w:val="28"/>
          <w:szCs w:val="28"/>
        </w:rPr>
        <w:t>е</w:t>
      </w:r>
      <w:r w:rsidRPr="00492136">
        <w:rPr>
          <w:sz w:val="28"/>
          <w:szCs w:val="28"/>
        </w:rPr>
        <w:t xml:space="preserve">е к уменьшению поступлений налоговых и неналоговых доходов бюджета. </w:t>
      </w:r>
    </w:p>
    <w:p w:rsidR="00E37941" w:rsidRPr="0049213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>При наступлении указанных рисков могут потребоваться дополнительные меры по минимизации их негативных последствий.</w:t>
      </w:r>
    </w:p>
    <w:p w:rsidR="00E37941" w:rsidRPr="00492136" w:rsidRDefault="00E37941" w:rsidP="00E37941">
      <w:pPr>
        <w:tabs>
          <w:tab w:val="left" w:pos="567"/>
        </w:tabs>
        <w:spacing w:line="360" w:lineRule="auto"/>
        <w:ind w:firstLine="539"/>
        <w:jc w:val="both"/>
        <w:rPr>
          <w:sz w:val="28"/>
          <w:szCs w:val="28"/>
        </w:rPr>
      </w:pPr>
      <w:r w:rsidRPr="00E76451">
        <w:rPr>
          <w:rFonts w:eastAsia="Calibri"/>
          <w:sz w:val="28"/>
          <w:szCs w:val="28"/>
        </w:rPr>
        <w:t xml:space="preserve">С учетом этого, </w:t>
      </w:r>
      <w:r>
        <w:rPr>
          <w:rFonts w:eastAsia="Calibri"/>
          <w:sz w:val="28"/>
          <w:szCs w:val="28"/>
        </w:rPr>
        <w:t>бюджетная и налоговая</w:t>
      </w:r>
      <w:r w:rsidRPr="00E76451">
        <w:rPr>
          <w:rFonts w:eastAsia="Calibri"/>
          <w:sz w:val="28"/>
          <w:szCs w:val="28"/>
        </w:rPr>
        <w:t xml:space="preserve"> политика трехлетнего периода </w:t>
      </w:r>
      <w:r>
        <w:rPr>
          <w:rFonts w:eastAsia="Calibri"/>
          <w:sz w:val="28"/>
          <w:szCs w:val="28"/>
        </w:rPr>
        <w:t xml:space="preserve">должна быть </w:t>
      </w:r>
      <w:r w:rsidRPr="00E76451">
        <w:rPr>
          <w:rFonts w:eastAsia="Calibri"/>
          <w:sz w:val="28"/>
          <w:szCs w:val="28"/>
        </w:rPr>
        <w:t xml:space="preserve">направлена на проведение целенаправленной работы с администраторами </w:t>
      </w:r>
      <w:r w:rsidRPr="00D55BEC">
        <w:rPr>
          <w:rFonts w:eastAsia="Calibri"/>
          <w:sz w:val="28"/>
          <w:szCs w:val="28"/>
          <w:u w:val="single"/>
        </w:rPr>
        <w:t>доходов бюджета</w:t>
      </w:r>
      <w:r w:rsidRPr="00E76451">
        <w:rPr>
          <w:rFonts w:eastAsia="Calibri"/>
          <w:sz w:val="28"/>
          <w:szCs w:val="28"/>
        </w:rPr>
        <w:t xml:space="preserve"> с целью пополнения</w:t>
      </w:r>
      <w:r>
        <w:rPr>
          <w:rFonts w:eastAsia="Calibri"/>
          <w:sz w:val="28"/>
          <w:szCs w:val="28"/>
        </w:rPr>
        <w:t xml:space="preserve"> </w:t>
      </w:r>
      <w:r w:rsidRPr="00E76451">
        <w:rPr>
          <w:rFonts w:eastAsia="Calibri"/>
          <w:sz w:val="28"/>
          <w:szCs w:val="28"/>
        </w:rPr>
        <w:t>доходной части</w:t>
      </w:r>
      <w:r>
        <w:rPr>
          <w:rFonts w:eastAsia="Calibri"/>
          <w:sz w:val="28"/>
          <w:szCs w:val="28"/>
        </w:rPr>
        <w:t xml:space="preserve"> бюджета</w:t>
      </w:r>
      <w:r w:rsidRPr="00E76451">
        <w:rPr>
          <w:rFonts w:eastAsia="Calibri"/>
          <w:sz w:val="28"/>
          <w:szCs w:val="28"/>
        </w:rPr>
        <w:t>, выявления скрытых резервов, повышения уровня собираемости доходов, сокращения недоимки.</w:t>
      </w:r>
    </w:p>
    <w:p w:rsidR="00E37941" w:rsidRPr="00D55BEC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55BEC">
        <w:rPr>
          <w:sz w:val="28"/>
          <w:szCs w:val="28"/>
        </w:rPr>
        <w:t>Приоритетными направлениями остаются:</w:t>
      </w:r>
    </w:p>
    <w:p w:rsidR="00E37941" w:rsidRPr="00D55BEC" w:rsidRDefault="0003618E" w:rsidP="00E37941">
      <w:pPr>
        <w:tabs>
          <w:tab w:val="left" w:pos="567"/>
        </w:tabs>
        <w:spacing w:line="360" w:lineRule="auto"/>
        <w:ind w:firstLine="53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</w:t>
      </w:r>
      <w:r w:rsidR="00E37941" w:rsidRPr="00D55BEC">
        <w:rPr>
          <w:rFonts w:eastAsia="Calibri"/>
          <w:sz w:val="28"/>
          <w:szCs w:val="28"/>
        </w:rPr>
        <w:t>обеспечение надежности предпосылок, положенных в основу формирования доходной базы бюджета;</w:t>
      </w:r>
    </w:p>
    <w:p w:rsidR="00E37941" w:rsidRPr="00492136" w:rsidRDefault="0003618E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7941" w:rsidRPr="00D55BEC">
        <w:rPr>
          <w:sz w:val="28"/>
          <w:szCs w:val="28"/>
        </w:rPr>
        <w:t>повышение уровня ответственности главных администраторов доходов за качественное планирование и выполнение плановых назначений по доходам, урегулирование и снижение задолженности по обязательным платежам, обеспечение рационального и эффективного использования муниципального имущества.</w:t>
      </w:r>
    </w:p>
    <w:p w:rsidR="00F034FB" w:rsidRPr="00492136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pacing w:val="-6"/>
          <w:sz w:val="28"/>
          <w:szCs w:val="28"/>
        </w:rPr>
        <w:t xml:space="preserve">В связи с этим </w:t>
      </w:r>
      <w:r w:rsidRPr="00492136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продолжить проведение мероприятий</w:t>
      </w:r>
      <w:r w:rsidRPr="00492136">
        <w:rPr>
          <w:sz w:val="28"/>
          <w:szCs w:val="28"/>
        </w:rPr>
        <w:t>:</w:t>
      </w:r>
    </w:p>
    <w:p w:rsidR="00F034FB" w:rsidRPr="00DB023A" w:rsidRDefault="00F034FB" w:rsidP="00F034FB">
      <w:pPr>
        <w:pStyle w:val="a9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napToGrid/>
        <w:spacing w:line="360" w:lineRule="auto"/>
        <w:ind w:left="0" w:firstLine="539"/>
        <w:jc w:val="both"/>
        <w:rPr>
          <w:sz w:val="28"/>
          <w:szCs w:val="28"/>
        </w:rPr>
      </w:pPr>
      <w:r w:rsidRPr="00DB023A">
        <w:rPr>
          <w:sz w:val="28"/>
          <w:szCs w:val="28"/>
        </w:rPr>
        <w:t xml:space="preserve">по выявлению объектов недвижимости, не включённых в Перечень объектов недвижимого имущества, в отношении которых налоговая база определяется как кадастровая стоимость, </w:t>
      </w:r>
      <w:r>
        <w:rPr>
          <w:sz w:val="28"/>
          <w:szCs w:val="28"/>
        </w:rPr>
        <w:t>формируемого</w:t>
      </w:r>
      <w:r w:rsidRPr="00DB023A">
        <w:rPr>
          <w:sz w:val="28"/>
          <w:szCs w:val="28"/>
        </w:rPr>
        <w:t xml:space="preserve"> в соответствии со статьей 378.2 Налогового кодекса Российской Федерации.</w:t>
      </w:r>
    </w:p>
    <w:p w:rsidR="00F034FB" w:rsidRPr="00492136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B023A">
        <w:rPr>
          <w:rFonts w:eastAsia="Calibri"/>
          <w:sz w:val="28"/>
          <w:szCs w:val="28"/>
        </w:rPr>
        <w:t xml:space="preserve">В целях выявления </w:t>
      </w:r>
      <w:r>
        <w:rPr>
          <w:rFonts w:eastAsia="Calibri"/>
          <w:sz w:val="28"/>
          <w:szCs w:val="28"/>
        </w:rPr>
        <w:t xml:space="preserve">таких </w:t>
      </w:r>
      <w:r w:rsidR="0003618E">
        <w:rPr>
          <w:rFonts w:eastAsia="Calibri"/>
          <w:sz w:val="28"/>
          <w:szCs w:val="28"/>
        </w:rPr>
        <w:t>объектов а</w:t>
      </w:r>
      <w:r w:rsidRPr="00DB023A">
        <w:rPr>
          <w:rFonts w:eastAsia="Calibri"/>
          <w:sz w:val="28"/>
          <w:szCs w:val="28"/>
        </w:rPr>
        <w:t xml:space="preserve">дминистрацией города совместно с </w:t>
      </w:r>
      <w:r>
        <w:rPr>
          <w:rFonts w:eastAsia="Calibri"/>
          <w:sz w:val="28"/>
          <w:szCs w:val="28"/>
        </w:rPr>
        <w:t xml:space="preserve">Межрайонной </w:t>
      </w:r>
      <w:r w:rsidRPr="00DB023A">
        <w:rPr>
          <w:rFonts w:eastAsia="Calibri"/>
          <w:sz w:val="28"/>
          <w:szCs w:val="28"/>
        </w:rPr>
        <w:t xml:space="preserve">инспекцией ФНС России </w:t>
      </w:r>
      <w:r>
        <w:rPr>
          <w:rFonts w:eastAsia="Calibri"/>
          <w:sz w:val="28"/>
          <w:szCs w:val="28"/>
        </w:rPr>
        <w:t xml:space="preserve">№7 по Ханты-Мансийскому автономному округу - Югре </w:t>
      </w:r>
      <w:r w:rsidRPr="00DB023A">
        <w:rPr>
          <w:rFonts w:eastAsia="Calibri"/>
          <w:sz w:val="28"/>
          <w:szCs w:val="28"/>
        </w:rPr>
        <w:t>пров</w:t>
      </w:r>
      <w:r>
        <w:rPr>
          <w:rFonts w:eastAsia="Calibri"/>
          <w:sz w:val="28"/>
          <w:szCs w:val="28"/>
        </w:rPr>
        <w:t xml:space="preserve">одится </w:t>
      </w:r>
      <w:r w:rsidRPr="00DB023A">
        <w:rPr>
          <w:rFonts w:eastAsia="Calibri"/>
          <w:sz w:val="28"/>
          <w:szCs w:val="28"/>
        </w:rPr>
        <w:t xml:space="preserve">мониторинг объектов, находящихся в базе данных </w:t>
      </w:r>
      <w:proofErr w:type="spellStart"/>
      <w:r w:rsidRPr="00DB023A">
        <w:rPr>
          <w:rFonts w:eastAsia="Calibri"/>
          <w:sz w:val="28"/>
          <w:szCs w:val="28"/>
        </w:rPr>
        <w:t>Росреестра</w:t>
      </w:r>
      <w:proofErr w:type="spellEnd"/>
      <w:r w:rsidRPr="00DB023A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В</w:t>
      </w:r>
      <w:r w:rsidRPr="00DB023A">
        <w:rPr>
          <w:rFonts w:eastAsia="Calibri"/>
          <w:sz w:val="28"/>
          <w:szCs w:val="28"/>
        </w:rPr>
        <w:t xml:space="preserve"> Департамент финансов автономного округа направл</w:t>
      </w:r>
      <w:r>
        <w:rPr>
          <w:rFonts w:eastAsia="Calibri"/>
          <w:sz w:val="28"/>
          <w:szCs w:val="28"/>
        </w:rPr>
        <w:t>ялись</w:t>
      </w:r>
      <w:r w:rsidRPr="00DB023A">
        <w:rPr>
          <w:rFonts w:eastAsia="Calibri"/>
          <w:sz w:val="28"/>
          <w:szCs w:val="28"/>
        </w:rPr>
        <w:t xml:space="preserve"> предложения о дополнительном включении отдельных объектов торговли и общественного питания в вышеуказанный Перечень. </w:t>
      </w:r>
      <w:r>
        <w:rPr>
          <w:rFonts w:eastAsia="Calibri"/>
          <w:sz w:val="28"/>
          <w:szCs w:val="28"/>
        </w:rPr>
        <w:t>Р</w:t>
      </w:r>
      <w:r>
        <w:rPr>
          <w:sz w:val="28"/>
          <w:szCs w:val="28"/>
        </w:rPr>
        <w:t>абота в данном направлении будет продолжена в плановом периоде</w:t>
      </w:r>
      <w:r w:rsidRPr="00492136">
        <w:rPr>
          <w:sz w:val="28"/>
          <w:szCs w:val="28"/>
        </w:rPr>
        <w:t>;</w:t>
      </w:r>
    </w:p>
    <w:p w:rsidR="00F034FB" w:rsidRPr="009500E0" w:rsidRDefault="00F034FB" w:rsidP="00F034F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2</w:t>
      </w:r>
      <w:r w:rsidRPr="00492136">
        <w:rPr>
          <w:rFonts w:eastAsia="TimesNewRomanPSMT"/>
          <w:sz w:val="28"/>
          <w:szCs w:val="28"/>
        </w:rPr>
        <w:t xml:space="preserve">) по обеспечению взаимодействия и координации деятельности Администрации города и федеральных фискальных, контролирующих органов </w:t>
      </w:r>
      <w:r w:rsidRPr="00492136">
        <w:rPr>
          <w:sz w:val="28"/>
          <w:szCs w:val="28"/>
        </w:rPr>
        <w:t>по информационному взаимодействию с налогоплательщиками,</w:t>
      </w:r>
      <w:r w:rsidRPr="00492136">
        <w:rPr>
          <w:rFonts w:eastAsia="TimesNewRomanPSMT"/>
          <w:sz w:val="28"/>
          <w:szCs w:val="28"/>
        </w:rPr>
        <w:t xml:space="preserve"> выявлению налоговых правонарушений, взысканию задолженности по платежам в бюджет города, в том числе посредством деятельности </w:t>
      </w:r>
      <w:r>
        <w:rPr>
          <w:rFonts w:eastAsia="TimesNewRomanPSMT"/>
          <w:sz w:val="28"/>
          <w:szCs w:val="28"/>
        </w:rPr>
        <w:t xml:space="preserve">бюджетной </w:t>
      </w:r>
      <w:r w:rsidRPr="00492136">
        <w:rPr>
          <w:rFonts w:eastAsia="TimesNewRomanPSMT"/>
          <w:sz w:val="28"/>
          <w:szCs w:val="28"/>
        </w:rPr>
        <w:t xml:space="preserve">комиссии </w:t>
      </w:r>
      <w:r>
        <w:rPr>
          <w:rFonts w:eastAsia="TimesNewRomanPSMT"/>
          <w:sz w:val="28"/>
          <w:szCs w:val="28"/>
        </w:rPr>
        <w:t xml:space="preserve">и </w:t>
      </w:r>
      <w:r w:rsidRPr="005B7FBC">
        <w:rPr>
          <w:sz w:val="26"/>
          <w:szCs w:val="26"/>
        </w:rPr>
        <w:t xml:space="preserve">комиссии </w:t>
      </w:r>
      <w:r w:rsidRPr="009500E0">
        <w:rPr>
          <w:sz w:val="28"/>
          <w:szCs w:val="28"/>
        </w:rPr>
        <w:t>по вопросам стабилизации и развития финансового рынка и поддержке реального сектора экономики</w:t>
      </w:r>
      <w:r w:rsidRPr="009500E0">
        <w:rPr>
          <w:rFonts w:eastAsia="TimesNewRomanPSMT"/>
          <w:sz w:val="28"/>
          <w:szCs w:val="28"/>
        </w:rPr>
        <w:t>.</w:t>
      </w:r>
    </w:p>
    <w:p w:rsidR="00F034FB" w:rsidRPr="00492136" w:rsidRDefault="00F034FB" w:rsidP="00F034FB">
      <w:pPr>
        <w:spacing w:line="360" w:lineRule="auto"/>
        <w:ind w:firstLine="539"/>
        <w:jc w:val="both"/>
        <w:rPr>
          <w:rFonts w:ascii="TimesNewRomanPSMT" w:hAnsi="TimesNewRomanPSMT" w:cs="TimesNewRomanPSMT"/>
          <w:sz w:val="28"/>
          <w:szCs w:val="28"/>
        </w:rPr>
      </w:pPr>
      <w:r w:rsidRPr="003B7939">
        <w:rPr>
          <w:color w:val="000000"/>
          <w:sz w:val="28"/>
          <w:szCs w:val="28"/>
        </w:rPr>
        <w:t xml:space="preserve">В отчетном периоде было </w:t>
      </w:r>
      <w:r w:rsidRPr="003B7939">
        <w:rPr>
          <w:rFonts w:eastAsia="Calibri"/>
          <w:sz w:val="28"/>
          <w:szCs w:val="28"/>
          <w:lang w:eastAsia="ar-SA"/>
        </w:rPr>
        <w:t xml:space="preserve">проведено </w:t>
      </w:r>
      <w:r>
        <w:rPr>
          <w:rFonts w:eastAsia="Calibri"/>
          <w:sz w:val="28"/>
          <w:szCs w:val="28"/>
          <w:lang w:eastAsia="ar-SA"/>
        </w:rPr>
        <w:t>4</w:t>
      </w:r>
      <w:r w:rsidRPr="003B7939">
        <w:rPr>
          <w:rFonts w:eastAsia="Calibri"/>
          <w:sz w:val="28"/>
          <w:szCs w:val="28"/>
          <w:lang w:eastAsia="ar-SA"/>
        </w:rPr>
        <w:t xml:space="preserve"> заседаний </w:t>
      </w:r>
      <w:r>
        <w:rPr>
          <w:color w:val="000000"/>
          <w:sz w:val="28"/>
          <w:szCs w:val="28"/>
        </w:rPr>
        <w:t>комиссий</w:t>
      </w:r>
      <w:r w:rsidRPr="003B7939">
        <w:rPr>
          <w:color w:val="000000"/>
          <w:sz w:val="28"/>
          <w:szCs w:val="28"/>
        </w:rPr>
        <w:t xml:space="preserve"> по </w:t>
      </w:r>
      <w:r w:rsidRPr="003B7939">
        <w:rPr>
          <w:rFonts w:eastAsia="Calibri"/>
          <w:sz w:val="28"/>
          <w:szCs w:val="28"/>
          <w:lang w:eastAsia="ar-SA"/>
        </w:rPr>
        <w:t xml:space="preserve">с приглашением более </w:t>
      </w:r>
      <w:r>
        <w:rPr>
          <w:rFonts w:eastAsia="Calibri"/>
          <w:sz w:val="28"/>
          <w:szCs w:val="28"/>
          <w:lang w:eastAsia="ar-SA"/>
        </w:rPr>
        <w:t>170</w:t>
      </w:r>
      <w:r w:rsidRPr="003B7939">
        <w:rPr>
          <w:rFonts w:eastAsia="Calibri"/>
          <w:sz w:val="28"/>
          <w:szCs w:val="28"/>
          <w:lang w:eastAsia="ar-SA"/>
        </w:rPr>
        <w:t xml:space="preserve"> налогоплательщиков</w:t>
      </w:r>
      <w:r>
        <w:rPr>
          <w:rFonts w:eastAsia="Calibri"/>
          <w:sz w:val="28"/>
          <w:szCs w:val="28"/>
          <w:lang w:eastAsia="ar-SA"/>
        </w:rPr>
        <w:t xml:space="preserve"> юридических и физических лиц</w:t>
      </w:r>
      <w:r w:rsidRPr="003B7939">
        <w:rPr>
          <w:rFonts w:eastAsia="Calibri"/>
          <w:sz w:val="28"/>
          <w:szCs w:val="28"/>
          <w:lang w:eastAsia="ar-SA"/>
        </w:rPr>
        <w:t>, имеющих задолженность</w:t>
      </w:r>
      <w:r w:rsidRPr="003B7939">
        <w:rPr>
          <w:sz w:val="28"/>
          <w:szCs w:val="28"/>
        </w:rPr>
        <w:t>.</w:t>
      </w:r>
      <w:r w:rsidRPr="003B7939">
        <w:rPr>
          <w:rFonts w:eastAsia="Calibri"/>
          <w:sz w:val="28"/>
          <w:szCs w:val="28"/>
          <w:lang w:eastAsia="ar-SA"/>
        </w:rPr>
        <w:t xml:space="preserve"> В результате такой адресной работы дополнительные </w:t>
      </w:r>
      <w:r w:rsidRPr="003B7939">
        <w:rPr>
          <w:rFonts w:eastAsia="Calibri"/>
          <w:sz w:val="28"/>
          <w:szCs w:val="28"/>
          <w:lang w:eastAsia="ar-SA"/>
        </w:rPr>
        <w:lastRenderedPageBreak/>
        <w:t xml:space="preserve">поступления налогов составили </w:t>
      </w:r>
      <w:r>
        <w:rPr>
          <w:rFonts w:eastAsia="Calibri"/>
          <w:sz w:val="28"/>
          <w:szCs w:val="28"/>
          <w:lang w:eastAsia="ar-SA"/>
        </w:rPr>
        <w:t xml:space="preserve">3 252,6 тыс. </w:t>
      </w:r>
      <w:r w:rsidRPr="003B7939">
        <w:rPr>
          <w:rFonts w:eastAsia="Calibri"/>
          <w:sz w:val="28"/>
          <w:szCs w:val="28"/>
          <w:lang w:eastAsia="ar-SA"/>
        </w:rPr>
        <w:t>рублей.</w:t>
      </w:r>
      <w:r w:rsidRPr="003B7939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мероприятий по мобилизации доходов необходимо продолжать и далее</w:t>
      </w:r>
      <w:r w:rsidRPr="00492136">
        <w:rPr>
          <w:sz w:val="28"/>
          <w:szCs w:val="28"/>
        </w:rPr>
        <w:t>;</w:t>
      </w:r>
      <w:r w:rsidRPr="00492136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F034FB" w:rsidRPr="005A0FA4" w:rsidRDefault="00F034FB" w:rsidP="0003618E">
      <w:pPr>
        <w:pStyle w:val="a9"/>
        <w:numPr>
          <w:ilvl w:val="0"/>
          <w:numId w:val="3"/>
        </w:numPr>
        <w:autoSpaceDE w:val="0"/>
        <w:autoSpaceDN w:val="0"/>
        <w:adjustRightInd w:val="0"/>
        <w:snapToGrid/>
        <w:spacing w:line="360" w:lineRule="auto"/>
        <w:ind w:left="0" w:firstLine="540"/>
        <w:jc w:val="both"/>
        <w:rPr>
          <w:rFonts w:cs="Arial"/>
          <w:sz w:val="28"/>
          <w:szCs w:val="28"/>
        </w:rPr>
      </w:pPr>
      <w:r w:rsidRPr="005A0FA4">
        <w:rPr>
          <w:rFonts w:cs="Arial"/>
          <w:sz w:val="28"/>
          <w:szCs w:val="28"/>
        </w:rPr>
        <w:t xml:space="preserve">по </w:t>
      </w:r>
      <w:r w:rsidRPr="005A0FA4">
        <w:rPr>
          <w:sz w:val="28"/>
          <w:szCs w:val="28"/>
        </w:rPr>
        <w:t xml:space="preserve">оптимизации налоговых льгот на основе анализа их эффективности. </w:t>
      </w:r>
    </w:p>
    <w:p w:rsidR="00F034FB" w:rsidRPr="00C05BE7" w:rsidRDefault="00F034FB" w:rsidP="00F034FB">
      <w:pPr>
        <w:pStyle w:val="a9"/>
        <w:autoSpaceDE w:val="0"/>
        <w:autoSpaceDN w:val="0"/>
        <w:adjustRightInd w:val="0"/>
        <w:spacing w:line="360" w:lineRule="auto"/>
        <w:ind w:left="0" w:firstLine="539"/>
        <w:jc w:val="both"/>
        <w:rPr>
          <w:rFonts w:cs="Arial"/>
          <w:sz w:val="28"/>
          <w:szCs w:val="28"/>
        </w:rPr>
      </w:pPr>
      <w:r w:rsidRPr="00C05BE7">
        <w:rPr>
          <w:sz w:val="28"/>
          <w:szCs w:val="28"/>
        </w:rPr>
        <w:t>В</w:t>
      </w:r>
      <w:r w:rsidRPr="00C05BE7">
        <w:rPr>
          <w:rFonts w:cs="Arial"/>
          <w:sz w:val="28"/>
          <w:szCs w:val="28"/>
        </w:rPr>
        <w:t>о избежание роста выпадающих доходов бюджета города налоговая политика в плановом периоде будет предусматривать ограничение предоставления новых налоговых льгот.</w:t>
      </w:r>
    </w:p>
    <w:p w:rsidR="00F034FB" w:rsidRPr="0060496D" w:rsidRDefault="00F034FB" w:rsidP="00F034F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cs="Arial"/>
          <w:sz w:val="28"/>
          <w:szCs w:val="28"/>
        </w:rPr>
      </w:pPr>
      <w:r w:rsidRPr="0060496D">
        <w:rPr>
          <w:rFonts w:cs="Arial"/>
          <w:sz w:val="28"/>
          <w:szCs w:val="28"/>
        </w:rPr>
        <w:t xml:space="preserve">4) по снижению неформальной занятости, легализации заработной платы, повышению собираемости страховых взносов во внебюджетные фонды. </w:t>
      </w:r>
    </w:p>
    <w:p w:rsidR="00F034FB" w:rsidRPr="0060496D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  <w:lang w:eastAsia="ar-SA"/>
        </w:rPr>
      </w:pPr>
      <w:r w:rsidRPr="0060496D">
        <w:rPr>
          <w:color w:val="000000"/>
          <w:sz w:val="28"/>
          <w:szCs w:val="28"/>
          <w:lang w:eastAsia="ar-SA"/>
        </w:rPr>
        <w:t>Следует продолжать деятельность рабочей группы по выявлению и снижению неформальной занятости, легализации «серой» заработной платы, повышению собираемости страховых взносов во внебюджетные фонды.</w:t>
      </w:r>
    </w:p>
    <w:p w:rsidR="00F034FB" w:rsidRPr="003B7939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  <w:lang w:eastAsia="ar-SA"/>
        </w:rPr>
      </w:pPr>
      <w:r w:rsidRPr="0060496D">
        <w:rPr>
          <w:color w:val="000000"/>
          <w:sz w:val="28"/>
          <w:szCs w:val="28"/>
          <w:lang w:eastAsia="ar-SA"/>
        </w:rPr>
        <w:t xml:space="preserve">Так, в отчетном периоде было проведено </w:t>
      </w:r>
      <w:r>
        <w:rPr>
          <w:color w:val="000000"/>
          <w:sz w:val="28"/>
          <w:szCs w:val="28"/>
          <w:lang w:eastAsia="ar-SA"/>
        </w:rPr>
        <w:t>5</w:t>
      </w:r>
      <w:r w:rsidRPr="0060496D">
        <w:rPr>
          <w:color w:val="000000"/>
          <w:sz w:val="28"/>
          <w:szCs w:val="28"/>
          <w:lang w:eastAsia="ar-SA"/>
        </w:rPr>
        <w:t xml:space="preserve"> заседани</w:t>
      </w:r>
      <w:r>
        <w:rPr>
          <w:color w:val="000000"/>
          <w:sz w:val="28"/>
          <w:szCs w:val="28"/>
          <w:lang w:eastAsia="ar-SA"/>
        </w:rPr>
        <w:t>й</w:t>
      </w:r>
      <w:r w:rsidRPr="0060496D">
        <w:rPr>
          <w:color w:val="000000"/>
          <w:sz w:val="28"/>
          <w:szCs w:val="28"/>
          <w:lang w:eastAsia="ar-SA"/>
        </w:rPr>
        <w:t xml:space="preserve"> рабочей группы, на которых рассмотрены нарушения, выявленные у </w:t>
      </w:r>
      <w:r>
        <w:rPr>
          <w:color w:val="000000"/>
          <w:sz w:val="28"/>
          <w:szCs w:val="28"/>
          <w:lang w:eastAsia="ar-SA"/>
        </w:rPr>
        <w:t>75</w:t>
      </w:r>
      <w:r w:rsidRPr="0060496D">
        <w:rPr>
          <w:color w:val="000000"/>
          <w:sz w:val="28"/>
          <w:szCs w:val="28"/>
          <w:lang w:eastAsia="ar-SA"/>
        </w:rPr>
        <w:t xml:space="preserve"> работодателей. По результатам проведённых контрольно-надзорных мероприятий легализовано </w:t>
      </w:r>
      <w:r>
        <w:rPr>
          <w:color w:val="000000"/>
          <w:sz w:val="28"/>
          <w:szCs w:val="28"/>
          <w:lang w:eastAsia="ar-SA"/>
        </w:rPr>
        <w:t>486</w:t>
      </w:r>
      <w:r w:rsidRPr="0060496D">
        <w:rPr>
          <w:color w:val="000000"/>
          <w:sz w:val="28"/>
          <w:szCs w:val="28"/>
          <w:lang w:eastAsia="ar-SA"/>
        </w:rPr>
        <w:t xml:space="preserve"> трудовых договоров.</w:t>
      </w:r>
    </w:p>
    <w:p w:rsidR="00F034FB" w:rsidRPr="00866AF4" w:rsidRDefault="00F034FB" w:rsidP="00F034F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5) </w:t>
      </w:r>
      <w:r w:rsidRPr="00F07F19">
        <w:rPr>
          <w:rFonts w:eastAsia="TimesNewRomanPSMT"/>
          <w:sz w:val="28"/>
          <w:szCs w:val="28"/>
        </w:rPr>
        <w:t xml:space="preserve">по </w:t>
      </w:r>
      <w:r>
        <w:rPr>
          <w:rFonts w:eastAsia="TimesNewRomanPSMT"/>
          <w:sz w:val="28"/>
          <w:szCs w:val="28"/>
        </w:rPr>
        <w:t xml:space="preserve">повышению эффективности администрирования </w:t>
      </w:r>
      <w:r w:rsidRPr="00F07F19">
        <w:rPr>
          <w:rFonts w:eastAsia="TimesNewRomanPSMT"/>
          <w:sz w:val="28"/>
          <w:szCs w:val="28"/>
        </w:rPr>
        <w:t xml:space="preserve">неналоговых </w:t>
      </w:r>
      <w:r>
        <w:rPr>
          <w:rFonts w:eastAsia="TimesNewRomanPSMT"/>
          <w:sz w:val="28"/>
          <w:szCs w:val="28"/>
        </w:rPr>
        <w:t>платежей, исключению практики занижения их объема на этапе прогнозирования, минимизировав тем самым занижение доходной базы для реализации реальных бюджетных обязательств.</w:t>
      </w:r>
    </w:p>
    <w:p w:rsidR="00F034FB" w:rsidRPr="00492136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92136">
        <w:rPr>
          <w:sz w:val="28"/>
          <w:szCs w:val="28"/>
        </w:rPr>
        <w:t xml:space="preserve">по проведению анализа возможностей увеличения поступлений доходов от использования муниципального имущества </w:t>
      </w:r>
      <w:r>
        <w:rPr>
          <w:sz w:val="28"/>
          <w:szCs w:val="28"/>
        </w:rPr>
        <w:t>путем проведения</w:t>
      </w:r>
      <w:r w:rsidRPr="00492136">
        <w:rPr>
          <w:sz w:val="28"/>
          <w:szCs w:val="28"/>
        </w:rPr>
        <w:t xml:space="preserve"> инвентаризации имущества, выявлени</w:t>
      </w:r>
      <w:r>
        <w:rPr>
          <w:sz w:val="28"/>
          <w:szCs w:val="28"/>
        </w:rPr>
        <w:t>я</w:t>
      </w:r>
      <w:r w:rsidRPr="00492136">
        <w:rPr>
          <w:sz w:val="28"/>
          <w:szCs w:val="28"/>
        </w:rPr>
        <w:t xml:space="preserve"> неиспользованного (бесхозного) имущества и установлени</w:t>
      </w:r>
      <w:r>
        <w:rPr>
          <w:sz w:val="28"/>
          <w:szCs w:val="28"/>
        </w:rPr>
        <w:t>я</w:t>
      </w:r>
      <w:r w:rsidRPr="00492136">
        <w:rPr>
          <w:sz w:val="28"/>
          <w:szCs w:val="28"/>
        </w:rPr>
        <w:t xml:space="preserve"> мер по перепрофилированию, продаже или предоставлению в аренду, проведени</w:t>
      </w:r>
      <w:r>
        <w:rPr>
          <w:sz w:val="28"/>
          <w:szCs w:val="28"/>
        </w:rPr>
        <w:t>я</w:t>
      </w:r>
      <w:r w:rsidRPr="00492136">
        <w:rPr>
          <w:sz w:val="28"/>
          <w:szCs w:val="28"/>
        </w:rPr>
        <w:t xml:space="preserve"> муниципального земельного контроля</w:t>
      </w:r>
      <w:r>
        <w:rPr>
          <w:sz w:val="28"/>
          <w:szCs w:val="28"/>
        </w:rPr>
        <w:t>.</w:t>
      </w:r>
      <w:r w:rsidRPr="00492136">
        <w:rPr>
          <w:sz w:val="28"/>
          <w:szCs w:val="28"/>
        </w:rPr>
        <w:t xml:space="preserve"> </w:t>
      </w:r>
    </w:p>
    <w:p w:rsidR="00F034FB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7) по</w:t>
      </w:r>
      <w:r w:rsidRPr="00492136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снижению</w:t>
      </w:r>
      <w:r w:rsidRPr="00492136">
        <w:rPr>
          <w:sz w:val="28"/>
          <w:szCs w:val="28"/>
        </w:rPr>
        <w:t xml:space="preserve"> дебиторской задолженности по доходам бюджета города</w:t>
      </w:r>
      <w:r>
        <w:rPr>
          <w:sz w:val="28"/>
          <w:szCs w:val="28"/>
        </w:rPr>
        <w:t>.</w:t>
      </w:r>
    </w:p>
    <w:p w:rsidR="00F034FB" w:rsidRPr="003010B9" w:rsidRDefault="00F034FB" w:rsidP="00F034FB">
      <w:pPr>
        <w:tabs>
          <w:tab w:val="left" w:pos="567"/>
          <w:tab w:val="left" w:pos="2127"/>
        </w:tabs>
        <w:spacing w:line="360" w:lineRule="auto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В 2016 году должникам - арендаторам н</w:t>
      </w:r>
      <w:r w:rsidRPr="00C827D9">
        <w:rPr>
          <w:sz w:val="28"/>
          <w:szCs w:val="28"/>
        </w:rPr>
        <w:t xml:space="preserve">аправлено </w:t>
      </w:r>
      <w:r>
        <w:rPr>
          <w:sz w:val="28"/>
          <w:szCs w:val="28"/>
        </w:rPr>
        <w:t>259</w:t>
      </w:r>
      <w:r w:rsidRPr="00C827D9">
        <w:rPr>
          <w:sz w:val="28"/>
          <w:szCs w:val="28"/>
        </w:rPr>
        <w:t xml:space="preserve"> претензий</w:t>
      </w:r>
      <w:r>
        <w:rPr>
          <w:sz w:val="28"/>
          <w:szCs w:val="28"/>
        </w:rPr>
        <w:t>, по направленным в суд исковым заявлениям, вынесено 58 решений суда и судебных приказов</w:t>
      </w:r>
      <w:r w:rsidRPr="00C827D9">
        <w:rPr>
          <w:sz w:val="28"/>
          <w:szCs w:val="28"/>
        </w:rPr>
        <w:t xml:space="preserve">. </w:t>
      </w:r>
      <w:r w:rsidRPr="00D4599A">
        <w:rPr>
          <w:sz w:val="28"/>
          <w:szCs w:val="28"/>
        </w:rPr>
        <w:t>Эффект от мероприятий</w:t>
      </w:r>
      <w:r w:rsidRPr="00D4599A">
        <w:rPr>
          <w:snapToGrid w:val="0"/>
          <w:sz w:val="28"/>
          <w:szCs w:val="28"/>
        </w:rPr>
        <w:t xml:space="preserve"> по снижению дебиторской задолженности </w:t>
      </w:r>
      <w:r w:rsidRPr="00D4599A">
        <w:rPr>
          <w:snapToGrid w:val="0"/>
          <w:sz w:val="28"/>
          <w:szCs w:val="28"/>
        </w:rPr>
        <w:lastRenderedPageBreak/>
        <w:t xml:space="preserve">составил </w:t>
      </w:r>
      <w:r>
        <w:rPr>
          <w:snapToGrid w:val="0"/>
          <w:sz w:val="28"/>
          <w:szCs w:val="28"/>
        </w:rPr>
        <w:t>15 323,7тыс</w:t>
      </w:r>
      <w:r w:rsidRPr="00D4599A">
        <w:rPr>
          <w:snapToGrid w:val="0"/>
          <w:sz w:val="28"/>
          <w:szCs w:val="28"/>
        </w:rPr>
        <w:t>. рублей</w:t>
      </w:r>
      <w:r>
        <w:rPr>
          <w:snapToGrid w:val="0"/>
          <w:sz w:val="28"/>
          <w:szCs w:val="28"/>
        </w:rPr>
        <w:t xml:space="preserve">. </w:t>
      </w:r>
      <w:r w:rsidRPr="00C827D9">
        <w:rPr>
          <w:color w:val="000000"/>
          <w:sz w:val="28"/>
          <w:szCs w:val="28"/>
          <w:shd w:val="clear" w:color="auto" w:fill="FFFFFF"/>
        </w:rPr>
        <w:t xml:space="preserve">Данная деятельность должна </w:t>
      </w:r>
      <w:r>
        <w:rPr>
          <w:color w:val="000000"/>
          <w:sz w:val="28"/>
          <w:szCs w:val="28"/>
          <w:shd w:val="clear" w:color="auto" w:fill="FFFFFF"/>
        </w:rPr>
        <w:t>продолжаться и находиться на постоянном контроле;</w:t>
      </w:r>
    </w:p>
    <w:p w:rsidR="00F034FB" w:rsidRPr="00492136" w:rsidRDefault="00F034FB" w:rsidP="00F034F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92136">
        <w:rPr>
          <w:sz w:val="28"/>
          <w:szCs w:val="28"/>
        </w:rPr>
        <w:t xml:space="preserve">) </w:t>
      </w:r>
      <w:r>
        <w:rPr>
          <w:sz w:val="28"/>
          <w:szCs w:val="28"/>
        </w:rPr>
        <w:t>по</w:t>
      </w:r>
      <w:r w:rsidRPr="00492136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492136">
        <w:rPr>
          <w:sz w:val="28"/>
          <w:szCs w:val="28"/>
        </w:rPr>
        <w:t xml:space="preserve"> сведений, необходимых для формирования перечня и реестра источников доходов бюджета города в информационных системах управления общественными финансами «Электронный бюджет» и му</w:t>
      </w:r>
      <w:r>
        <w:rPr>
          <w:sz w:val="28"/>
          <w:szCs w:val="28"/>
        </w:rPr>
        <w:t>ниципальными финансами.</w:t>
      </w:r>
    </w:p>
    <w:p w:rsidR="00E37941" w:rsidRPr="00DD2FD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rFonts w:eastAsia="Calibri"/>
          <w:sz w:val="28"/>
          <w:szCs w:val="28"/>
        </w:rPr>
        <w:t xml:space="preserve">В сфере финансирования </w:t>
      </w:r>
      <w:r w:rsidRPr="00DD2FD6">
        <w:rPr>
          <w:rFonts w:eastAsia="Calibri"/>
          <w:sz w:val="28"/>
          <w:szCs w:val="28"/>
          <w:u w:val="single"/>
        </w:rPr>
        <w:t>дефицита бюджета</w:t>
      </w:r>
      <w:r w:rsidRPr="00DD2FD6">
        <w:rPr>
          <w:rFonts w:eastAsia="Calibri"/>
          <w:sz w:val="28"/>
          <w:szCs w:val="28"/>
        </w:rPr>
        <w:t xml:space="preserve"> основными задачами традиционно будет являться обеспечение сбалансированности бюджета при сохранении обоснованного уровня долговой нагрузки и </w:t>
      </w:r>
      <w:r w:rsidRPr="00DD2FD6">
        <w:rPr>
          <w:sz w:val="28"/>
          <w:szCs w:val="28"/>
        </w:rPr>
        <w:t>безусловного обеспечения принятых городом долговых обязательств.</w:t>
      </w:r>
    </w:p>
    <w:p w:rsidR="00E37941" w:rsidRPr="00DD2FD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sz w:val="28"/>
          <w:szCs w:val="28"/>
        </w:rPr>
        <w:t>Планируется продолжать практику снижения уровня процентных ставок по действующим обязательствам</w:t>
      </w:r>
      <w:bookmarkStart w:id="3" w:name="sub_323"/>
      <w:r w:rsidRPr="00DD2FD6">
        <w:rPr>
          <w:sz w:val="28"/>
          <w:szCs w:val="28"/>
        </w:rPr>
        <w:t xml:space="preserve">, являющихся условными обязательствами города. </w:t>
      </w:r>
    </w:p>
    <w:bookmarkEnd w:id="3"/>
    <w:p w:rsidR="00E37941" w:rsidRPr="00DD2FD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sz w:val="28"/>
          <w:szCs w:val="28"/>
        </w:rPr>
        <w:t xml:space="preserve">Муниципалитетом в случае образования кассовых разрывов также могут быть использованы краткосрочные инструменты, предусмотренные законодательством для применения в пределах одного финансового года, например, использование на возвратной основе остатков средств на счетах </w:t>
      </w:r>
      <w:r w:rsidR="00DD2FD6" w:rsidRPr="00DD2FD6">
        <w:rPr>
          <w:sz w:val="28"/>
          <w:szCs w:val="28"/>
        </w:rPr>
        <w:t>комитета по</w:t>
      </w:r>
      <w:r w:rsidRPr="00DD2FD6">
        <w:rPr>
          <w:sz w:val="28"/>
          <w:szCs w:val="28"/>
        </w:rPr>
        <w:t xml:space="preserve"> финанс</w:t>
      </w:r>
      <w:r w:rsidR="00DD2FD6" w:rsidRPr="00DD2FD6">
        <w:rPr>
          <w:sz w:val="28"/>
          <w:szCs w:val="28"/>
        </w:rPr>
        <w:t>ам</w:t>
      </w:r>
      <w:r w:rsidRPr="00DD2FD6">
        <w:rPr>
          <w:sz w:val="28"/>
          <w:szCs w:val="28"/>
        </w:rPr>
        <w:t>, открытых в учреждениях Центрального банка Российской Федерации для отражения операций со средствами бюджетных и автономных учреждений.</w:t>
      </w:r>
    </w:p>
    <w:p w:rsidR="00E37941" w:rsidRPr="00DD2FD6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sz w:val="28"/>
          <w:szCs w:val="28"/>
        </w:rPr>
        <w:t xml:space="preserve">Главной целью бюджетной политики в сфере </w:t>
      </w:r>
      <w:r w:rsidRPr="00DD2FD6">
        <w:rPr>
          <w:sz w:val="28"/>
          <w:szCs w:val="28"/>
          <w:u w:val="single"/>
        </w:rPr>
        <w:t>расходов бюджета</w:t>
      </w:r>
      <w:r w:rsidRPr="00DD2FD6">
        <w:rPr>
          <w:sz w:val="28"/>
          <w:szCs w:val="28"/>
        </w:rPr>
        <w:t xml:space="preserve"> в следующем бюджетном цикле остается обеспечение мер, направленных на устойчивое социально-экономическое развитие города, создание благоприятных и комфортных условий для проживания. </w:t>
      </w:r>
    </w:p>
    <w:p w:rsidR="00E37941" w:rsidRPr="00DD2FD6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sz w:val="28"/>
          <w:szCs w:val="28"/>
        </w:rPr>
        <w:t>Для сохранения достигнутого уровня предоставляемых населению услуг и дальнейшего развития городской среды на фоне негативных проявлений в экономике, снижающихся доходов бюджета и структурного дисбаланса бюджетных расходов, ключевая роль отводится эффективности муниципального управления, ориентированного не только на концентрацию и рациональное использование имеющихся ресурсов, но и на стимулирование экономической активности населения и бизнеса.</w:t>
      </w:r>
    </w:p>
    <w:p w:rsidR="00E37941" w:rsidRPr="00DD2FD6" w:rsidRDefault="00E37941" w:rsidP="00E37941">
      <w:pPr>
        <w:tabs>
          <w:tab w:val="left" w:pos="0"/>
        </w:tabs>
        <w:spacing w:line="360" w:lineRule="auto"/>
        <w:ind w:firstLine="539"/>
        <w:jc w:val="both"/>
        <w:rPr>
          <w:sz w:val="28"/>
          <w:szCs w:val="28"/>
        </w:rPr>
      </w:pPr>
      <w:r w:rsidRPr="00DD2FD6">
        <w:rPr>
          <w:sz w:val="28"/>
          <w:szCs w:val="28"/>
        </w:rPr>
        <w:lastRenderedPageBreak/>
        <w:tab/>
        <w:t>Во-первых, это создание условий для развития конкуренции на рынке социально значимых услуг и расширение доступа негосударственных организаций к их предоставлению. Эта работа уже начата путем составления и реализации комплексного плана («дорожной карты»).</w:t>
      </w:r>
    </w:p>
    <w:p w:rsidR="00E37941" w:rsidRPr="000F71A9" w:rsidRDefault="00E37941" w:rsidP="00E37941">
      <w:pPr>
        <w:spacing w:line="360" w:lineRule="auto"/>
        <w:ind w:firstLine="539"/>
        <w:jc w:val="both"/>
        <w:rPr>
          <w:rFonts w:cs="Verdana"/>
          <w:color w:val="000000"/>
          <w:sz w:val="28"/>
          <w:szCs w:val="28"/>
        </w:rPr>
      </w:pPr>
      <w:r w:rsidRPr="00B44667">
        <w:rPr>
          <w:rFonts w:cs="Verdana"/>
          <w:color w:val="000000"/>
          <w:sz w:val="28"/>
          <w:szCs w:val="28"/>
        </w:rPr>
        <w:t xml:space="preserve">В рамках плана утверждены перечни услуг (работ), востребованных </w:t>
      </w:r>
      <w:r w:rsidRPr="000F71A9">
        <w:rPr>
          <w:rFonts w:cs="Verdana"/>
          <w:color w:val="000000"/>
          <w:sz w:val="28"/>
          <w:szCs w:val="28"/>
        </w:rPr>
        <w:t>населением города, услуг, на получение которых есть спрос, превышающий возможности муниципальных учреждений, для их передачи на исполнение немуниципальным учреждениям, и перечень потенциальных поставщиков таких услуг. Для информационной поддержки поставщиков социальны</w:t>
      </w:r>
      <w:r w:rsidR="0003618E">
        <w:rPr>
          <w:rFonts w:cs="Verdana"/>
          <w:color w:val="000000"/>
          <w:sz w:val="28"/>
          <w:szCs w:val="28"/>
        </w:rPr>
        <w:t>х услуг на официальном портале а</w:t>
      </w:r>
      <w:r w:rsidRPr="000F71A9">
        <w:rPr>
          <w:rFonts w:cs="Verdana"/>
          <w:color w:val="000000"/>
          <w:sz w:val="28"/>
          <w:szCs w:val="28"/>
        </w:rPr>
        <w:t xml:space="preserve">дминистрации города создан специальный раздел. </w:t>
      </w:r>
    </w:p>
    <w:p w:rsidR="00E37941" w:rsidRPr="000F71A9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0F71A9">
        <w:rPr>
          <w:sz w:val="28"/>
          <w:szCs w:val="28"/>
        </w:rPr>
        <w:t>Начиная с 201</w:t>
      </w:r>
      <w:r w:rsidR="000F71A9" w:rsidRPr="000F71A9">
        <w:rPr>
          <w:sz w:val="28"/>
          <w:szCs w:val="28"/>
        </w:rPr>
        <w:t>7</w:t>
      </w:r>
      <w:r w:rsidRPr="000F71A9">
        <w:rPr>
          <w:sz w:val="28"/>
          <w:szCs w:val="28"/>
        </w:rPr>
        <w:t xml:space="preserve"> года</w:t>
      </w:r>
      <w:r w:rsidR="000F71A9" w:rsidRPr="000F71A9">
        <w:rPr>
          <w:sz w:val="28"/>
          <w:szCs w:val="28"/>
        </w:rPr>
        <w:t xml:space="preserve">, в соответствии с утвержденной «дорожной </w:t>
      </w:r>
      <w:proofErr w:type="gramStart"/>
      <w:r w:rsidR="000F71A9" w:rsidRPr="000F71A9">
        <w:rPr>
          <w:sz w:val="28"/>
          <w:szCs w:val="28"/>
        </w:rPr>
        <w:t xml:space="preserve">карты» </w:t>
      </w:r>
      <w:r w:rsidRPr="000F71A9">
        <w:rPr>
          <w:sz w:val="28"/>
          <w:szCs w:val="28"/>
        </w:rPr>
        <w:t xml:space="preserve"> </w:t>
      </w:r>
      <w:r w:rsidR="000F71A9" w:rsidRPr="000F71A9">
        <w:rPr>
          <w:sz w:val="28"/>
          <w:szCs w:val="28"/>
        </w:rPr>
        <w:t>планируется</w:t>
      </w:r>
      <w:proofErr w:type="gramEnd"/>
      <w:r w:rsidR="000F71A9" w:rsidRPr="000F71A9">
        <w:rPr>
          <w:sz w:val="28"/>
          <w:szCs w:val="28"/>
        </w:rPr>
        <w:t xml:space="preserve"> переход на </w:t>
      </w:r>
      <w:r w:rsidRPr="000F71A9">
        <w:rPr>
          <w:sz w:val="28"/>
          <w:szCs w:val="28"/>
        </w:rPr>
        <w:t>персонифицированно</w:t>
      </w:r>
      <w:r w:rsidR="000F71A9" w:rsidRPr="000F71A9">
        <w:rPr>
          <w:sz w:val="28"/>
          <w:szCs w:val="28"/>
        </w:rPr>
        <w:t>е</w:t>
      </w:r>
      <w:r w:rsidRPr="000F71A9">
        <w:rPr>
          <w:sz w:val="28"/>
          <w:szCs w:val="28"/>
        </w:rPr>
        <w:t xml:space="preserve"> финансировани</w:t>
      </w:r>
      <w:r w:rsidR="000F71A9" w:rsidRPr="000F71A9">
        <w:rPr>
          <w:sz w:val="28"/>
          <w:szCs w:val="28"/>
        </w:rPr>
        <w:t>е</w:t>
      </w:r>
      <w:r w:rsidRPr="000F71A9">
        <w:rPr>
          <w:sz w:val="28"/>
          <w:szCs w:val="28"/>
        </w:rPr>
        <w:t xml:space="preserve"> дополнительного образования детей путем предоставления именных сертификатов для детей на получение гарантированных бесплатных услуг дополнительного образования, позволяющих детям самостоятельно формировать спрос на дополнительное образование, тем самым стимулируя конкуренцию между муниципальными и немуниципальными организациями за получение средств из бюджета города.</w:t>
      </w:r>
      <w:r w:rsidR="000F71A9" w:rsidRPr="000F71A9">
        <w:rPr>
          <w:sz w:val="28"/>
          <w:szCs w:val="28"/>
        </w:rPr>
        <w:t xml:space="preserve">  </w:t>
      </w:r>
      <w:r w:rsidRPr="000F71A9">
        <w:rPr>
          <w:sz w:val="28"/>
          <w:szCs w:val="28"/>
        </w:rPr>
        <w:t>На 201</w:t>
      </w:r>
      <w:r w:rsidR="000F71A9" w:rsidRPr="000F71A9">
        <w:rPr>
          <w:sz w:val="28"/>
          <w:szCs w:val="28"/>
        </w:rPr>
        <w:t>7</w:t>
      </w:r>
      <w:r w:rsidRPr="000F71A9">
        <w:rPr>
          <w:sz w:val="28"/>
          <w:szCs w:val="28"/>
        </w:rPr>
        <w:t>-201</w:t>
      </w:r>
      <w:r w:rsidR="000F71A9" w:rsidRPr="000F71A9">
        <w:rPr>
          <w:sz w:val="28"/>
          <w:szCs w:val="28"/>
        </w:rPr>
        <w:t>8</w:t>
      </w:r>
      <w:r w:rsidRPr="000F71A9">
        <w:rPr>
          <w:sz w:val="28"/>
          <w:szCs w:val="28"/>
        </w:rPr>
        <w:t xml:space="preserve"> учебный год </w:t>
      </w:r>
      <w:r w:rsidR="000F71A9" w:rsidRPr="000F71A9">
        <w:rPr>
          <w:sz w:val="28"/>
          <w:szCs w:val="28"/>
        </w:rPr>
        <w:t>планируется выдать</w:t>
      </w:r>
      <w:r w:rsidRPr="000F71A9">
        <w:rPr>
          <w:sz w:val="28"/>
          <w:szCs w:val="28"/>
        </w:rPr>
        <w:t xml:space="preserve"> </w:t>
      </w:r>
      <w:r w:rsidR="000F71A9" w:rsidRPr="000F71A9">
        <w:rPr>
          <w:sz w:val="28"/>
          <w:szCs w:val="28"/>
        </w:rPr>
        <w:t>720</w:t>
      </w:r>
      <w:r w:rsidRPr="000F71A9">
        <w:rPr>
          <w:sz w:val="28"/>
          <w:szCs w:val="28"/>
        </w:rPr>
        <w:t xml:space="preserve"> сертификат</w:t>
      </w:r>
      <w:r w:rsidR="000F71A9" w:rsidRPr="000F71A9">
        <w:rPr>
          <w:sz w:val="28"/>
          <w:szCs w:val="28"/>
        </w:rPr>
        <w:t>ов</w:t>
      </w:r>
      <w:r w:rsidRPr="000F71A9">
        <w:rPr>
          <w:sz w:val="28"/>
          <w:szCs w:val="28"/>
        </w:rPr>
        <w:t xml:space="preserve"> дополнительного образования. </w:t>
      </w:r>
    </w:p>
    <w:p w:rsidR="00E37941" w:rsidRPr="000F71A9" w:rsidRDefault="00E37941" w:rsidP="00E37941">
      <w:pPr>
        <w:tabs>
          <w:tab w:val="left" w:pos="720"/>
        </w:tabs>
        <w:spacing w:line="360" w:lineRule="auto"/>
        <w:ind w:firstLine="539"/>
        <w:jc w:val="both"/>
        <w:rPr>
          <w:sz w:val="28"/>
          <w:szCs w:val="28"/>
        </w:rPr>
      </w:pPr>
      <w:r w:rsidRPr="000F71A9">
        <w:rPr>
          <w:sz w:val="28"/>
          <w:szCs w:val="28"/>
        </w:rPr>
        <w:t>В предстоящем бюджетном цикле следует расширить сферу внедрения персонифицированного финансирования дополнительного образования детей в городе, включив в нее учреждения культуры и увеличив количество участвующих в ней немуниципальных организаций.</w:t>
      </w:r>
    </w:p>
    <w:p w:rsidR="00E37941" w:rsidRPr="000F71A9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0F71A9">
        <w:rPr>
          <w:sz w:val="28"/>
          <w:szCs w:val="28"/>
        </w:rPr>
        <w:t>В случае завершения в планируемом периоде на федеральном и региональном уровнях формирования нормативно-правовой базы по обеспечению доступа негосударственных организаций к оказанию услуг наработанную в муниципалитете практику потребуется адаптировать под федеральные требования, и продолжить реализацию мер по совершенствованию конкурентных способов отбора организаций для оказания муниципальных услуг.</w:t>
      </w:r>
    </w:p>
    <w:p w:rsidR="00E37941" w:rsidRPr="000F71A9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0F71A9">
        <w:rPr>
          <w:sz w:val="28"/>
          <w:szCs w:val="28"/>
        </w:rPr>
        <w:lastRenderedPageBreak/>
        <w:t xml:space="preserve">Для сохранения доступности и качества услуг на фоне демографического роста особое внимание необходимо уделить взаимодействию с автономным округом и потенциальными инвесторами по развитию городской инфраструктуры, в частности, созданию новых современных зданий общеобразовательных учреждений, строительству детских садов и прочих социальных и досуговых объектов.  </w:t>
      </w:r>
    </w:p>
    <w:p w:rsidR="00E37941" w:rsidRPr="000F71A9" w:rsidRDefault="00E37941" w:rsidP="00E37941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0F71A9">
        <w:rPr>
          <w:sz w:val="28"/>
          <w:szCs w:val="28"/>
        </w:rPr>
        <w:t xml:space="preserve">Вторым, не менее значимым направлением деятельности по созданию благоприятных условий для роста экономической активности в муниципальном образовании в планируемом периоде является улучшение инвестиционного климата. </w:t>
      </w:r>
    </w:p>
    <w:p w:rsidR="00663B49" w:rsidRPr="007E4603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 w:rsidRPr="007E4603">
        <w:rPr>
          <w:sz w:val="28"/>
          <w:szCs w:val="28"/>
        </w:rPr>
        <w:t xml:space="preserve">Инвестиционная привлекательность муниципального образования является одним из определяющих условий социально-экономического развития муниципалитета. </w:t>
      </w:r>
    </w:p>
    <w:p w:rsidR="00663B49" w:rsidRPr="007E4603" w:rsidRDefault="00663B49" w:rsidP="00663B49">
      <w:pPr>
        <w:spacing w:line="360" w:lineRule="auto"/>
        <w:ind w:firstLine="708"/>
        <w:jc w:val="both"/>
        <w:rPr>
          <w:sz w:val="28"/>
          <w:szCs w:val="28"/>
        </w:rPr>
      </w:pPr>
      <w:r w:rsidRPr="007E4603">
        <w:rPr>
          <w:sz w:val="28"/>
          <w:szCs w:val="28"/>
        </w:rPr>
        <w:t xml:space="preserve">В целях создания условий для обеспечения благоприятного инвестиционного климата планом создания объектов инвестиционной инфраструктуры на территории города предусматривается строительство объектов образования, спорта, ремонт и строительство автомобильных дорог, </w:t>
      </w:r>
      <w:r>
        <w:rPr>
          <w:sz w:val="28"/>
          <w:szCs w:val="28"/>
        </w:rPr>
        <w:t xml:space="preserve">строительство </w:t>
      </w:r>
      <w:r w:rsidRPr="007E4603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7E4603">
        <w:rPr>
          <w:sz w:val="28"/>
          <w:szCs w:val="28"/>
        </w:rPr>
        <w:t xml:space="preserve"> электросетевого хозяйства и коммунальной инфраструктуры на период до 2020 года.</w:t>
      </w:r>
      <w:r>
        <w:rPr>
          <w:sz w:val="28"/>
          <w:szCs w:val="28"/>
        </w:rPr>
        <w:t xml:space="preserve"> Для информирования более широкого круга потенциальных инвесторов актуальная информация о планируемых к созданию объектах размещается на Интерактивной карте Югры.</w:t>
      </w:r>
    </w:p>
    <w:p w:rsidR="00663B49" w:rsidRPr="007E4603" w:rsidRDefault="00663B49" w:rsidP="00663B49">
      <w:pPr>
        <w:spacing w:line="360" w:lineRule="auto"/>
        <w:ind w:firstLine="540"/>
        <w:jc w:val="both"/>
        <w:rPr>
          <w:sz w:val="28"/>
          <w:szCs w:val="28"/>
        </w:rPr>
      </w:pPr>
      <w:r w:rsidRPr="007E4603">
        <w:rPr>
          <w:sz w:val="28"/>
          <w:szCs w:val="28"/>
        </w:rPr>
        <w:t>Для стимулирования инвестиционной и предпринимательской активности на территории города Пыть-Яха ведется работа по внедрению успешных практик, включенных в атлас муниципальных практик, разработанный АНО «Агентство стратегических инициатив», направленных на развитие и поддержку малого и среднего предпринимательства на муниципальном уровне.</w:t>
      </w:r>
    </w:p>
    <w:p w:rsidR="00663B49" w:rsidRDefault="00663B49" w:rsidP="00663B49">
      <w:pPr>
        <w:spacing w:line="360" w:lineRule="auto"/>
        <w:ind w:firstLine="540"/>
        <w:jc w:val="both"/>
        <w:rPr>
          <w:sz w:val="28"/>
          <w:szCs w:val="28"/>
        </w:rPr>
      </w:pPr>
      <w:r w:rsidRPr="007E4603">
        <w:rPr>
          <w:sz w:val="28"/>
          <w:szCs w:val="28"/>
        </w:rPr>
        <w:t>При внедрении практик для более эффективной их реализации используются методы проектного управления как на местном, так и на окружном</w:t>
      </w:r>
      <w:r w:rsidRPr="00895C68">
        <w:rPr>
          <w:sz w:val="28"/>
          <w:szCs w:val="28"/>
        </w:rPr>
        <w:t xml:space="preserve"> </w:t>
      </w:r>
      <w:r w:rsidRPr="007E4603">
        <w:rPr>
          <w:sz w:val="28"/>
          <w:szCs w:val="28"/>
        </w:rPr>
        <w:t>уровне.</w:t>
      </w:r>
      <w:r>
        <w:rPr>
          <w:sz w:val="28"/>
          <w:szCs w:val="28"/>
        </w:rPr>
        <w:t xml:space="preserve"> Муниципалитет участвует в реализации 6 окружных портфелей </w:t>
      </w:r>
      <w:r>
        <w:rPr>
          <w:sz w:val="28"/>
          <w:szCs w:val="28"/>
        </w:rPr>
        <w:lastRenderedPageBreak/>
        <w:t>проектов, основанных на целевых моделях упрощения процедур ведения бизнеса и повышения инвестиционной привлекательности.</w:t>
      </w:r>
    </w:p>
    <w:p w:rsidR="00663B49" w:rsidRPr="007E4603" w:rsidRDefault="00663B49" w:rsidP="00663B4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муниципальном уровне запущено и реализуется 3 проекта. В дальнейшем планируется расширить перечень проектов, реализуемых в соответствии с системой управления проектной деятельностью администрации города Пыть-Яха.</w:t>
      </w:r>
    </w:p>
    <w:p w:rsidR="00663B49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 w:rsidRPr="007E4603">
        <w:rPr>
          <w:sz w:val="28"/>
          <w:szCs w:val="28"/>
        </w:rPr>
        <w:t xml:space="preserve">Муниципальное образование в рамках реализации инвестиционной политики предлагает взаимное сотрудничество с инвесторами в рамках сопровождения инвестиционных проектов </w:t>
      </w:r>
      <w:r>
        <w:rPr>
          <w:sz w:val="28"/>
          <w:szCs w:val="28"/>
        </w:rPr>
        <w:t>по принципу</w:t>
      </w:r>
      <w:r w:rsidRPr="007E460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E4603">
        <w:rPr>
          <w:sz w:val="28"/>
          <w:szCs w:val="28"/>
        </w:rPr>
        <w:t>одного окна</w:t>
      </w:r>
      <w:r>
        <w:rPr>
          <w:sz w:val="28"/>
          <w:szCs w:val="28"/>
        </w:rPr>
        <w:t>»</w:t>
      </w:r>
      <w:r w:rsidRPr="007E4603">
        <w:rPr>
          <w:sz w:val="28"/>
          <w:szCs w:val="28"/>
        </w:rPr>
        <w:t>.</w:t>
      </w:r>
    </w:p>
    <w:p w:rsidR="00663B49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планируемом периоде продолжится дальнейшая поддержка инвестиционных проектов, имеющих важное значение для экономики города, реализация которых в ближайшей перспективе принесет как социальный, так и экономический эффект.</w:t>
      </w:r>
    </w:p>
    <w:p w:rsidR="00663B49" w:rsidRPr="007E4603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 продолжена работа по формированию системы управления земельно-имущественным комплексом, соответствующим инвестиционным приоритетам муниципального образования.</w:t>
      </w:r>
    </w:p>
    <w:p w:rsidR="00663B49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 w:rsidRPr="00D1508C">
        <w:rPr>
          <w:sz w:val="28"/>
          <w:szCs w:val="28"/>
        </w:rPr>
        <w:t xml:space="preserve">Также одним из перспективных направлений привлечения </w:t>
      </w:r>
      <w:r>
        <w:rPr>
          <w:sz w:val="28"/>
          <w:szCs w:val="28"/>
        </w:rPr>
        <w:t xml:space="preserve">долгосрочных </w:t>
      </w:r>
      <w:r w:rsidRPr="00D1508C">
        <w:rPr>
          <w:sz w:val="28"/>
          <w:szCs w:val="28"/>
        </w:rPr>
        <w:t xml:space="preserve">внебюджетных инвестиций является развитие института </w:t>
      </w:r>
      <w:proofErr w:type="spellStart"/>
      <w:r w:rsidRPr="00D1508C">
        <w:rPr>
          <w:sz w:val="28"/>
          <w:szCs w:val="28"/>
        </w:rPr>
        <w:t>муниципально</w:t>
      </w:r>
      <w:proofErr w:type="spellEnd"/>
      <w:r w:rsidRPr="00D1508C">
        <w:rPr>
          <w:sz w:val="28"/>
          <w:szCs w:val="28"/>
        </w:rPr>
        <w:t xml:space="preserve">-частного партнерства, заключение концессионных соглашений. </w:t>
      </w:r>
      <w:r>
        <w:rPr>
          <w:sz w:val="28"/>
          <w:szCs w:val="28"/>
        </w:rPr>
        <w:t xml:space="preserve">Администрацией города разработана нормативно-правовая база в данной сфере, определен порядок формирования перечня объектов, </w:t>
      </w:r>
      <w:r w:rsidRPr="002736E6">
        <w:rPr>
          <w:sz w:val="28"/>
          <w:szCs w:val="28"/>
        </w:rPr>
        <w:t>в отношении которых планируется заключение концессионных соглашений</w:t>
      </w:r>
      <w:r>
        <w:rPr>
          <w:sz w:val="28"/>
          <w:szCs w:val="28"/>
        </w:rPr>
        <w:t>.</w:t>
      </w:r>
    </w:p>
    <w:p w:rsidR="00663B49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Формированию положительного инвестиционного имиджа территории способствует разработанный инвестиционный паспорт города, размещенный как на сайте органов местного самоуправления, так и на Инвестиционном портале Югры. Помимо этого, проводится работа по информированию субъектов инвестиционной и предпринимательской деятельности, посредством размещения необходимой информации на официальном сайте города в разделе «Инвестиционная деятельность».</w:t>
      </w:r>
    </w:p>
    <w:p w:rsidR="00663B49" w:rsidRPr="00D1508C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организации наиболее информативного взаимодействия с инвесторами и предпринимателями города, планируется организовать инвестиционный портал города Пыть-Яха, где будет размещена необходимая информация об инвестиционных площадках, плане создания объектов инвестиционной инфраструктуры, нормативно-правовая база, об услугах, предоставляемых индивидуальным предпринимателям и юридическим лицам.</w:t>
      </w:r>
    </w:p>
    <w:p w:rsidR="00663B49" w:rsidRPr="002736E6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 w:rsidRPr="002736E6">
        <w:rPr>
          <w:sz w:val="28"/>
          <w:szCs w:val="28"/>
        </w:rPr>
        <w:t>На территории города значительный объем инвестиций привлекается</w:t>
      </w:r>
      <w:r>
        <w:rPr>
          <w:sz w:val="28"/>
          <w:szCs w:val="28"/>
        </w:rPr>
        <w:t xml:space="preserve"> и планируется к привлечению</w:t>
      </w:r>
      <w:r w:rsidRPr="002736E6">
        <w:rPr>
          <w:sz w:val="28"/>
          <w:szCs w:val="28"/>
        </w:rPr>
        <w:t xml:space="preserve"> в жилищное строительство. Продолжаются работы по строительству 7 многоквартирных жилых домов общей площадью 40 601 кв.м., 97 индивидуальных жилых дом</w:t>
      </w:r>
      <w:r>
        <w:rPr>
          <w:sz w:val="28"/>
          <w:szCs w:val="28"/>
        </w:rPr>
        <w:t>а</w:t>
      </w:r>
      <w:r w:rsidRPr="002736E6">
        <w:rPr>
          <w:sz w:val="28"/>
          <w:szCs w:val="28"/>
        </w:rPr>
        <w:t xml:space="preserve"> (11 350 кв.м.), согласно выданной исходно-разрешительной документации. </w:t>
      </w:r>
    </w:p>
    <w:p w:rsidR="00663B49" w:rsidRPr="002736E6" w:rsidRDefault="00663B49" w:rsidP="00663B49">
      <w:pPr>
        <w:spacing w:line="360" w:lineRule="auto"/>
        <w:ind w:firstLine="709"/>
        <w:jc w:val="both"/>
        <w:rPr>
          <w:sz w:val="28"/>
          <w:szCs w:val="28"/>
        </w:rPr>
      </w:pPr>
      <w:r w:rsidRPr="002736E6">
        <w:rPr>
          <w:sz w:val="28"/>
          <w:szCs w:val="28"/>
        </w:rPr>
        <w:t xml:space="preserve">Администрацией города будет продолжена работа по улучшению инвестиционного климата, создание благоприятных условий для ведения предпринимательской и инвестиционной деятельности. </w:t>
      </w:r>
      <w:r>
        <w:rPr>
          <w:sz w:val="28"/>
          <w:szCs w:val="28"/>
        </w:rPr>
        <w:t>Также в планируемом периоде необходимо продолжить поддержку малого и среднего предпринимательства, в том числе посредством предоставления консультационно-информационной, образовательной, финансовой и имущественной поддержки.</w:t>
      </w:r>
      <w:r w:rsidRPr="002736E6">
        <w:rPr>
          <w:sz w:val="28"/>
          <w:szCs w:val="28"/>
        </w:rPr>
        <w:t xml:space="preserve"> </w:t>
      </w:r>
    </w:p>
    <w:p w:rsidR="00E37941" w:rsidRPr="00663B49" w:rsidRDefault="00E37941" w:rsidP="00E3794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 xml:space="preserve">Особое внимание в среднесрочном периоде необходимо уделить формированию комфортной городской среды, отвечающей современным запросам жителей города и способствующей развитию человеческого капитала. </w:t>
      </w:r>
    </w:p>
    <w:p w:rsidR="00E37941" w:rsidRPr="00663B49" w:rsidRDefault="00E37941" w:rsidP="00E3794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 xml:space="preserve">Эта задача обозначена на всех уровнях власти и частично решается в рамках соответствующего федерального приоритетного национального проекта. В этом направлении планируется продолжить обустройство парков, скверов, точек социального притяжения, современных остановочных комплексов, благоустройство дворовых территорий многоквартирных домов, в том числе с привлечением софинансирования жителей. </w:t>
      </w:r>
    </w:p>
    <w:p w:rsidR="00E37941" w:rsidRPr="00663B49" w:rsidRDefault="00E37941" w:rsidP="0003618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>По-прежнему актуальна в среднесрочной перспективе задача совершенствования системы документов стратегического планирования.</w:t>
      </w:r>
      <w:r w:rsidRPr="00663B49">
        <w:rPr>
          <w:b/>
          <w:sz w:val="28"/>
          <w:szCs w:val="28"/>
        </w:rPr>
        <w:t xml:space="preserve">  </w:t>
      </w:r>
      <w:r w:rsidRPr="00663B49">
        <w:rPr>
          <w:sz w:val="28"/>
          <w:szCs w:val="28"/>
        </w:rPr>
        <w:t xml:space="preserve">В связи с принятием в июне 2017 года на региональном уровне изменений в </w:t>
      </w:r>
      <w:r w:rsidRPr="00663B49">
        <w:rPr>
          <w:sz w:val="28"/>
          <w:szCs w:val="28"/>
        </w:rPr>
        <w:lastRenderedPageBreak/>
        <w:t xml:space="preserve">Стратегию социально-экономического развития Ханты-Мансийского автономного округа – Югры до 2030, в </w:t>
      </w:r>
      <w:r w:rsidR="001E6023">
        <w:rPr>
          <w:sz w:val="28"/>
          <w:szCs w:val="28"/>
        </w:rPr>
        <w:t xml:space="preserve">декабре </w:t>
      </w:r>
      <w:r w:rsidRPr="00663B49">
        <w:rPr>
          <w:sz w:val="28"/>
          <w:szCs w:val="28"/>
        </w:rPr>
        <w:t>201</w:t>
      </w:r>
      <w:r w:rsidR="001E6023">
        <w:rPr>
          <w:sz w:val="28"/>
          <w:szCs w:val="28"/>
        </w:rPr>
        <w:t>7</w:t>
      </w:r>
      <w:r w:rsidRPr="00663B49">
        <w:rPr>
          <w:sz w:val="28"/>
          <w:szCs w:val="28"/>
        </w:rPr>
        <w:t xml:space="preserve"> год</w:t>
      </w:r>
      <w:r w:rsidR="001E6023">
        <w:rPr>
          <w:sz w:val="28"/>
          <w:szCs w:val="28"/>
        </w:rPr>
        <w:t>а</w:t>
      </w:r>
      <w:r w:rsidRPr="00663B49">
        <w:rPr>
          <w:sz w:val="28"/>
          <w:szCs w:val="28"/>
        </w:rPr>
        <w:t xml:space="preserve"> </w:t>
      </w:r>
      <w:r w:rsidR="001E6023">
        <w:rPr>
          <w:sz w:val="28"/>
          <w:szCs w:val="28"/>
        </w:rPr>
        <w:t>будет</w:t>
      </w:r>
      <w:r w:rsidRPr="00663B49">
        <w:rPr>
          <w:sz w:val="28"/>
          <w:szCs w:val="28"/>
        </w:rPr>
        <w:t xml:space="preserve"> заверш</w:t>
      </w:r>
      <w:r w:rsidR="001E6023">
        <w:rPr>
          <w:sz w:val="28"/>
          <w:szCs w:val="28"/>
        </w:rPr>
        <w:t>ена</w:t>
      </w:r>
      <w:r w:rsidRPr="00663B49">
        <w:rPr>
          <w:sz w:val="28"/>
          <w:szCs w:val="28"/>
        </w:rPr>
        <w:t xml:space="preserve"> работ</w:t>
      </w:r>
      <w:r w:rsidR="001E6023">
        <w:rPr>
          <w:sz w:val="28"/>
          <w:szCs w:val="28"/>
        </w:rPr>
        <w:t>а</w:t>
      </w:r>
      <w:r w:rsidRPr="00663B49">
        <w:rPr>
          <w:sz w:val="28"/>
          <w:szCs w:val="28"/>
        </w:rPr>
        <w:t xml:space="preserve"> по корректировке и актуализации Стратегии социально-экономического развития муниципального образования и плана мероприятий по ее реализации.</w:t>
      </w:r>
    </w:p>
    <w:p w:rsidR="00E37941" w:rsidRPr="00663B49" w:rsidRDefault="00E37941" w:rsidP="0003618E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>С учетом изменения внешних условий и пересмотра стратегических приоритетов назрела необходимость оптимизации структуры и состава реализуемых муниципальных программ. Данную работу необходимо провести уже при формировании проекта бюджета на 2018 год и плановый период 2019 – 2020 годов.</w:t>
      </w:r>
    </w:p>
    <w:p w:rsidR="00E37941" w:rsidRPr="00663B49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 xml:space="preserve">В целях установления ориентиров для определения объема финансового обеспечения муниципальных программ и выстраивания взаимоувязанной системы документов стратегического планирования муниципалитета, начиная с составления проекта бюджета на 2019 год и плановый период 2020-2021 годов предстоит разработать долгосрочный бюджетный прогноз муниципального образования. </w:t>
      </w:r>
    </w:p>
    <w:p w:rsidR="00E37941" w:rsidRPr="00663B49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 xml:space="preserve">В течение следующего бюджетного цикла необходимо продолжить последовательную работу по повышению открытости деятельности органов местного самоуправления и вовлечению в процесс управления городом граждан. </w:t>
      </w:r>
    </w:p>
    <w:p w:rsidR="00E37941" w:rsidRPr="00663B49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63B49">
        <w:rPr>
          <w:sz w:val="28"/>
          <w:szCs w:val="28"/>
        </w:rPr>
        <w:t>На территории города на регулярной основе проводится комплекс мероприятий, направленных на повышение финансовой грамотности населения, функционирует информационный портал «Бюджет для граждан».</w:t>
      </w:r>
    </w:p>
    <w:p w:rsidR="00E37941" w:rsidRPr="000D42A2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0D42A2">
        <w:rPr>
          <w:sz w:val="28"/>
          <w:szCs w:val="28"/>
        </w:rPr>
        <w:t xml:space="preserve">В 2017 году начата реализация проекта </w:t>
      </w:r>
      <w:r w:rsidR="000D42A2" w:rsidRPr="000D42A2">
        <w:rPr>
          <w:sz w:val="28"/>
          <w:szCs w:val="28"/>
        </w:rPr>
        <w:t>инициативного</w:t>
      </w:r>
      <w:r w:rsidRPr="000D42A2">
        <w:rPr>
          <w:sz w:val="28"/>
          <w:szCs w:val="28"/>
        </w:rPr>
        <w:t xml:space="preserve"> бюджетирования</w:t>
      </w:r>
      <w:r w:rsidR="000D42A2" w:rsidRPr="000D42A2">
        <w:rPr>
          <w:sz w:val="28"/>
          <w:szCs w:val="28"/>
        </w:rPr>
        <w:t xml:space="preserve">. Постановлением администрации города утверждено Положение о проведении конкурсного отбора проектов инициативного бюджетирования «Твоя инициатива – Твой бюджет». Конкурсный отбор проектов инициативного бюджетирования «Твоя инициатива – Твой бюджет» направлен на определение и реализацию социально значимых проектов на территории города </w:t>
      </w:r>
      <w:proofErr w:type="gramStart"/>
      <w:r w:rsidR="000D42A2" w:rsidRPr="000D42A2">
        <w:rPr>
          <w:sz w:val="28"/>
          <w:szCs w:val="28"/>
        </w:rPr>
        <w:t xml:space="preserve">с </w:t>
      </w:r>
      <w:r w:rsidRPr="000D42A2">
        <w:rPr>
          <w:sz w:val="28"/>
          <w:szCs w:val="28"/>
        </w:rPr>
        <w:t xml:space="preserve"> </w:t>
      </w:r>
      <w:r w:rsidR="000D42A2" w:rsidRPr="000D42A2">
        <w:rPr>
          <w:sz w:val="28"/>
          <w:szCs w:val="28"/>
        </w:rPr>
        <w:t>привлечением</w:t>
      </w:r>
      <w:proofErr w:type="gramEnd"/>
      <w:r w:rsidR="000D42A2" w:rsidRPr="000D42A2">
        <w:rPr>
          <w:sz w:val="28"/>
          <w:szCs w:val="28"/>
        </w:rPr>
        <w:t xml:space="preserve"> </w:t>
      </w:r>
      <w:r w:rsidRPr="000D42A2">
        <w:rPr>
          <w:sz w:val="28"/>
          <w:szCs w:val="28"/>
        </w:rPr>
        <w:t xml:space="preserve">граждан </w:t>
      </w:r>
      <w:r w:rsidR="000D42A2" w:rsidRPr="000D42A2">
        <w:rPr>
          <w:sz w:val="28"/>
          <w:szCs w:val="28"/>
        </w:rPr>
        <w:t>и организаций к деятельности органов местного самоуправления в решении вопросов местного значения.</w:t>
      </w:r>
      <w:r w:rsidRPr="000D42A2">
        <w:rPr>
          <w:sz w:val="28"/>
          <w:szCs w:val="28"/>
        </w:rPr>
        <w:t xml:space="preserve">. Результаты работы по </w:t>
      </w:r>
      <w:r w:rsidRPr="000D42A2">
        <w:rPr>
          <w:sz w:val="28"/>
          <w:szCs w:val="28"/>
        </w:rPr>
        <w:lastRenderedPageBreak/>
        <w:t xml:space="preserve">отбору инициатив граждан будут учтены уже при формировании проекта бюджета на 2018 год и плановый период 2019-2020 годов. </w:t>
      </w:r>
    </w:p>
    <w:p w:rsidR="00E37941" w:rsidRPr="000D42A2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0D42A2">
        <w:rPr>
          <w:sz w:val="28"/>
          <w:szCs w:val="28"/>
        </w:rPr>
        <w:t>Развитие деятельности по внедрению инструментов учета мнений и предложений граждан во всех сферах станет приоритетом бюджетной политики на 2018 – 2020 годы, однако реализация поставленной задачи должна осуществляется комплексно. Для этого следует консолидировать используемые органами местного самоуправления механизмы и элементы инициативного бюджетирования в единую систему.</w:t>
      </w:r>
    </w:p>
    <w:p w:rsidR="00E37941" w:rsidRPr="000D42A2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0D42A2">
        <w:rPr>
          <w:sz w:val="28"/>
          <w:szCs w:val="28"/>
        </w:rPr>
        <w:t xml:space="preserve">На фоне таких масштабных задач в планируемом периоде не следует забывать о соблюдении и совершенствовании бюджетных процедур. </w:t>
      </w:r>
    </w:p>
    <w:p w:rsidR="00E37941" w:rsidRPr="000D42A2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0D42A2">
        <w:rPr>
          <w:sz w:val="28"/>
          <w:szCs w:val="28"/>
        </w:rPr>
        <w:t>В настоящее время на уровне муниципального образования практически завершена интеграция закупочного и бюджетного процессов, функционирует информационная система, в автоматическом режиме реализован механизм финансового контроля в сфере закупок.</w:t>
      </w:r>
    </w:p>
    <w:p w:rsidR="00E37941" w:rsidRPr="00687A55" w:rsidRDefault="00E37941" w:rsidP="00E37941">
      <w:pPr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87A55">
        <w:rPr>
          <w:sz w:val="28"/>
          <w:szCs w:val="28"/>
        </w:rPr>
        <w:t>Дальнейшее развитие контрактной системы планируется по следующим направлениям:</w:t>
      </w:r>
    </w:p>
    <w:p w:rsidR="00E37941" w:rsidRPr="00687A55" w:rsidRDefault="0003618E" w:rsidP="00E37941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7941" w:rsidRPr="00687A55">
        <w:rPr>
          <w:sz w:val="28"/>
          <w:szCs w:val="28"/>
        </w:rPr>
        <w:t>практики проведения совместных процедур определения поставщиков на территории города в целях консолидации закупок продукции, приобретаемой всеми заказчиками из года в год, и, как следствие, обеспечение достижения максимального экономического эффекта от их осуществления;</w:t>
      </w:r>
    </w:p>
    <w:p w:rsidR="00E37941" w:rsidRPr="00687A55" w:rsidRDefault="0003618E" w:rsidP="00E37941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7941" w:rsidRPr="00687A55">
        <w:rPr>
          <w:sz w:val="28"/>
          <w:szCs w:val="28"/>
        </w:rPr>
        <w:t>внедрение унифицированных описаний объектов закупок при их осуществлении для обеспечения муниципальных нужд;</w:t>
      </w:r>
    </w:p>
    <w:p w:rsidR="00E37941" w:rsidRPr="00687A55" w:rsidRDefault="0003618E" w:rsidP="00E37941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7941" w:rsidRPr="00687A55">
        <w:rPr>
          <w:sz w:val="28"/>
          <w:szCs w:val="28"/>
        </w:rPr>
        <w:t>развитие института нормирования закупок, развитие информационного пространства в целях повышения прозрачности закупочных процессов.</w:t>
      </w:r>
    </w:p>
    <w:p w:rsidR="00E37941" w:rsidRPr="00492136" w:rsidRDefault="00E37941" w:rsidP="00E37941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687A55">
        <w:rPr>
          <w:sz w:val="28"/>
          <w:szCs w:val="28"/>
        </w:rPr>
        <w:t xml:space="preserve">В целях повышения операционной эффективности бюджетных средств и снижения уровня остатков на лицевых счетах бюджетных и автономных учреждений </w:t>
      </w:r>
      <w:r w:rsidR="00687A55" w:rsidRPr="00687A55">
        <w:rPr>
          <w:sz w:val="28"/>
          <w:szCs w:val="28"/>
        </w:rPr>
        <w:t>приняты муниципальные правовые акты по пр</w:t>
      </w:r>
      <w:r w:rsidRPr="00687A55">
        <w:rPr>
          <w:sz w:val="28"/>
          <w:szCs w:val="28"/>
        </w:rPr>
        <w:t>едоставлени</w:t>
      </w:r>
      <w:r w:rsidR="00687A55" w:rsidRPr="00687A55">
        <w:rPr>
          <w:sz w:val="28"/>
          <w:szCs w:val="28"/>
        </w:rPr>
        <w:t>ю</w:t>
      </w:r>
      <w:r w:rsidRPr="00687A55">
        <w:rPr>
          <w:sz w:val="28"/>
          <w:szCs w:val="28"/>
        </w:rPr>
        <w:t xml:space="preserve"> в течение года субсидий на финансовое обеспечение муниципальных заданий в пределах суммы, необходимой для оплаты денежных обязательств ее получателей.</w:t>
      </w:r>
    </w:p>
    <w:p w:rsidR="00E37941" w:rsidRPr="00492136" w:rsidRDefault="00E37941" w:rsidP="000A7BC3">
      <w:pPr>
        <w:spacing w:line="360" w:lineRule="auto"/>
        <w:ind w:firstLine="539"/>
        <w:jc w:val="center"/>
        <w:rPr>
          <w:sz w:val="28"/>
          <w:szCs w:val="28"/>
        </w:rPr>
      </w:pPr>
    </w:p>
    <w:p w:rsidR="00E37941" w:rsidRPr="00492136" w:rsidRDefault="0003618E" w:rsidP="000361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18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  <w:t>О</w:t>
      </w:r>
      <w:r w:rsidRPr="00492136">
        <w:rPr>
          <w:rFonts w:eastAsia="Calibri" w:cs="Calibri"/>
          <w:sz w:val="28"/>
          <w:szCs w:val="28"/>
        </w:rPr>
        <w:t>ценка проектируемых параметров бюджета города на 2018 год и плановый период 2019 – 2020 годов</w:t>
      </w:r>
    </w:p>
    <w:p w:rsidR="00E37941" w:rsidRPr="00492136" w:rsidRDefault="00E37941" w:rsidP="000A7BC3">
      <w:pPr>
        <w:widowControl w:val="0"/>
        <w:autoSpaceDE w:val="0"/>
        <w:autoSpaceDN w:val="0"/>
        <w:adjustRightInd w:val="0"/>
        <w:spacing w:line="360" w:lineRule="auto"/>
        <w:ind w:firstLine="539"/>
        <w:jc w:val="center"/>
        <w:rPr>
          <w:sz w:val="28"/>
          <w:szCs w:val="28"/>
        </w:rPr>
      </w:pPr>
    </w:p>
    <w:p w:rsidR="00E37941" w:rsidRPr="00492136" w:rsidRDefault="00E37941" w:rsidP="00E3794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>Прогнозирование доходной части бюджета осуществлялось исходя из действующих норм бюджетного и налогового законодательства Российской Федерации, автономного округа и городского округа город</w:t>
      </w:r>
      <w:r w:rsidR="00FA20EC">
        <w:rPr>
          <w:sz w:val="28"/>
          <w:szCs w:val="28"/>
        </w:rPr>
        <w:t>а</w:t>
      </w:r>
      <w:r w:rsidRPr="00492136">
        <w:rPr>
          <w:sz w:val="28"/>
          <w:szCs w:val="28"/>
        </w:rPr>
        <w:t xml:space="preserve"> </w:t>
      </w:r>
      <w:r w:rsidR="00FA20EC">
        <w:rPr>
          <w:sz w:val="28"/>
          <w:szCs w:val="28"/>
        </w:rPr>
        <w:t>Пыть-Яха</w:t>
      </w:r>
      <w:r w:rsidRPr="00492136">
        <w:rPr>
          <w:sz w:val="28"/>
          <w:szCs w:val="28"/>
        </w:rPr>
        <w:t>, в условиях сохранения стабильности налогообложения.</w:t>
      </w:r>
    </w:p>
    <w:p w:rsidR="00E37941" w:rsidRPr="00492136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2136">
        <w:rPr>
          <w:sz w:val="28"/>
          <w:szCs w:val="28"/>
        </w:rPr>
        <w:t xml:space="preserve"> целях обеспечения единого с автономным округом подхода к формированию параметров бюджета, при определении прогнозных показателей по доходам бюджета применялся базовый вариант прогноза социально-экономического развития города, учитывающего возможности положительной динамики основных показателей развития.</w:t>
      </w:r>
    </w:p>
    <w:p w:rsidR="00E37941" w:rsidRPr="00492136" w:rsidRDefault="00E37941" w:rsidP="00E3794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D318CA">
        <w:rPr>
          <w:sz w:val="28"/>
          <w:szCs w:val="28"/>
        </w:rPr>
        <w:t>На дату подготовки настоящих основных направлений, показатели по доходам согласованы с Департаментом финансов автономного округа.</w:t>
      </w:r>
    </w:p>
    <w:p w:rsidR="00E37941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>Основное внимание уделено оценке исполнения доходов в текущем периоде, которая легла в основу формирования доходной базы в очередном бюджетном цикле.</w:t>
      </w:r>
      <w:r w:rsidRPr="00DE5EDB">
        <w:rPr>
          <w:sz w:val="28"/>
          <w:szCs w:val="28"/>
        </w:rPr>
        <w:t xml:space="preserve"> </w:t>
      </w:r>
    </w:p>
    <w:p w:rsidR="00125FE3" w:rsidRDefault="00125FE3" w:rsidP="00125FE3">
      <w:pPr>
        <w:widowControl w:val="0"/>
        <w:tabs>
          <w:tab w:val="left" w:pos="3402"/>
        </w:tabs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E43609">
        <w:rPr>
          <w:color w:val="000000"/>
          <w:sz w:val="28"/>
          <w:szCs w:val="28"/>
        </w:rPr>
        <w:t>С учетом этого прогнозный</w:t>
      </w:r>
      <w:r w:rsidRPr="00E43609">
        <w:rPr>
          <w:sz w:val="28"/>
          <w:szCs w:val="28"/>
        </w:rPr>
        <w:t xml:space="preserve"> объем поступлений в бюджет города доходов на 2018 год и плановый период 2019 – 2020 годов оценивается в следующих размерах:</w:t>
      </w:r>
    </w:p>
    <w:p w:rsidR="00125FE3" w:rsidRPr="00E7402E" w:rsidRDefault="00125FE3" w:rsidP="00125FE3">
      <w:pPr>
        <w:widowControl w:val="0"/>
        <w:tabs>
          <w:tab w:val="left" w:pos="3402"/>
        </w:tabs>
        <w:autoSpaceDE w:val="0"/>
        <w:autoSpaceDN w:val="0"/>
        <w:adjustRightInd w:val="0"/>
        <w:spacing w:line="360" w:lineRule="auto"/>
        <w:ind w:firstLine="539"/>
        <w:jc w:val="right"/>
      </w:pPr>
      <w:r w:rsidRPr="00E7402E"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63"/>
        <w:gridCol w:w="1288"/>
        <w:gridCol w:w="1053"/>
        <w:gridCol w:w="1166"/>
        <w:gridCol w:w="1183"/>
        <w:gridCol w:w="1134"/>
        <w:gridCol w:w="1241"/>
      </w:tblGrid>
      <w:tr w:rsidR="00125FE3" w:rsidRPr="005F0498" w:rsidTr="00B63FA7">
        <w:tc>
          <w:tcPr>
            <w:tcW w:w="1526" w:type="dxa"/>
            <w:vMerge w:val="restart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Вид доходов</w:t>
            </w:r>
          </w:p>
        </w:tc>
        <w:tc>
          <w:tcPr>
            <w:tcW w:w="3604" w:type="dxa"/>
            <w:gridSpan w:val="3"/>
            <w:shd w:val="clear" w:color="auto" w:fill="auto"/>
          </w:tcPr>
          <w:p w:rsidR="00125FE3" w:rsidRPr="005F0498" w:rsidRDefault="00125FE3" w:rsidP="00B63FA7">
            <w:pPr>
              <w:jc w:val="center"/>
              <w:rPr>
                <w:rFonts w:eastAsia="Calibri"/>
              </w:rPr>
            </w:pPr>
            <w:r w:rsidRPr="005F0498">
              <w:rPr>
                <w:rFonts w:eastAsia="Calibri"/>
              </w:rPr>
              <w:t>2018</w:t>
            </w:r>
          </w:p>
        </w:tc>
        <w:tc>
          <w:tcPr>
            <w:tcW w:w="3483" w:type="dxa"/>
            <w:gridSpan w:val="3"/>
            <w:shd w:val="clear" w:color="auto" w:fill="auto"/>
          </w:tcPr>
          <w:p w:rsidR="00125FE3" w:rsidRPr="005F0498" w:rsidRDefault="00125FE3" w:rsidP="00B63FA7">
            <w:pPr>
              <w:jc w:val="center"/>
              <w:rPr>
                <w:rFonts w:eastAsia="Calibri"/>
              </w:rPr>
            </w:pPr>
            <w:r w:rsidRPr="005F0498">
              <w:rPr>
                <w:rFonts w:eastAsia="Calibri"/>
              </w:rPr>
              <w:t>2019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center"/>
              <w:rPr>
                <w:rFonts w:eastAsia="Calibri"/>
              </w:rPr>
            </w:pPr>
            <w:r w:rsidRPr="005F0498">
              <w:rPr>
                <w:rFonts w:eastAsia="Calibri"/>
              </w:rPr>
              <w:t>2020</w:t>
            </w:r>
          </w:p>
        </w:tc>
      </w:tr>
      <w:tr w:rsidR="00125FE3" w:rsidRPr="005F0498" w:rsidTr="00B63FA7">
        <w:tc>
          <w:tcPr>
            <w:tcW w:w="1526" w:type="dxa"/>
            <w:vMerge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Утв. в бюджете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Проект на 2018-2020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proofErr w:type="spellStart"/>
            <w:r w:rsidRPr="005F0498">
              <w:rPr>
                <w:rFonts w:eastAsia="Calibri"/>
              </w:rPr>
              <w:t>Отк</w:t>
            </w:r>
            <w:proofErr w:type="spellEnd"/>
            <w:r w:rsidRPr="005F0498">
              <w:rPr>
                <w:rFonts w:eastAsia="Calibri"/>
              </w:rPr>
              <w:t>.</w:t>
            </w:r>
          </w:p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(+,-)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  <w:sz w:val="22"/>
                <w:szCs w:val="22"/>
              </w:rPr>
            </w:pPr>
            <w:r w:rsidRPr="005F0498">
              <w:rPr>
                <w:rFonts w:eastAsia="Calibri"/>
                <w:sz w:val="22"/>
                <w:szCs w:val="22"/>
              </w:rPr>
              <w:t>Утв. в бюджете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  <w:sz w:val="22"/>
                <w:szCs w:val="22"/>
              </w:rPr>
            </w:pPr>
            <w:r w:rsidRPr="005F0498">
              <w:rPr>
                <w:rFonts w:eastAsia="Calibri"/>
                <w:sz w:val="22"/>
                <w:szCs w:val="22"/>
              </w:rPr>
              <w:t>Проект на 2018-2020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proofErr w:type="spellStart"/>
            <w:r w:rsidRPr="005F0498">
              <w:rPr>
                <w:rFonts w:eastAsia="Calibri"/>
              </w:rPr>
              <w:t>Отк</w:t>
            </w:r>
            <w:proofErr w:type="spellEnd"/>
            <w:r w:rsidRPr="005F0498">
              <w:rPr>
                <w:rFonts w:eastAsia="Calibri"/>
              </w:rPr>
              <w:t>.</w:t>
            </w:r>
          </w:p>
          <w:p w:rsidR="00125FE3" w:rsidRPr="005F0498" w:rsidRDefault="00125FE3" w:rsidP="00B63FA7">
            <w:pPr>
              <w:rPr>
                <w:rFonts w:eastAsia="Calibri"/>
                <w:sz w:val="22"/>
                <w:szCs w:val="22"/>
              </w:rPr>
            </w:pPr>
            <w:r w:rsidRPr="005F0498">
              <w:rPr>
                <w:rFonts w:eastAsia="Calibri"/>
              </w:rPr>
              <w:t>(+,-)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Проект на 2018-2020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Всего доходов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 w:rsidRPr="005F0498">
              <w:rPr>
                <w:rFonts w:eastAsia="Calibri"/>
              </w:rPr>
              <w:t>2 541 419,1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 w:rsidRPr="005F0498">
              <w:rPr>
                <w:rFonts w:eastAsia="Calibri"/>
              </w:rPr>
              <w:t>2 761</w:t>
            </w:r>
            <w:r>
              <w:rPr>
                <w:rFonts w:eastAsia="Calibri"/>
              </w:rPr>
              <w:t> 748,7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>
              <w:rPr>
                <w:rFonts w:eastAsia="Calibri"/>
              </w:rPr>
              <w:t>220 329,6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 w:rsidRPr="005F0498">
              <w:rPr>
                <w:rFonts w:eastAsia="Calibri"/>
              </w:rPr>
              <w:t>2 442 320,9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 w:rsidRPr="005F0498">
              <w:rPr>
                <w:rFonts w:eastAsia="Calibri"/>
              </w:rPr>
              <w:t>3 055 780,0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>
              <w:rPr>
                <w:rFonts w:eastAsia="Calibri"/>
              </w:rPr>
              <w:t>613 459,1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rPr>
                <w:rFonts w:eastAsia="Calibri"/>
              </w:rPr>
            </w:pPr>
            <w:r w:rsidRPr="005F0498">
              <w:rPr>
                <w:rFonts w:eastAsia="Calibri"/>
              </w:rPr>
              <w:t>2 791 022,5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Налоговые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765 103,1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813 413,0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48 309,9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790 236,1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834 805,7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44 569,6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856 904,2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в </w:t>
            </w:r>
            <w:proofErr w:type="spellStart"/>
            <w:r w:rsidRPr="005F0498">
              <w:rPr>
                <w:rFonts w:eastAsia="Calibri"/>
              </w:rPr>
              <w:t>т.ч</w:t>
            </w:r>
            <w:proofErr w:type="spellEnd"/>
            <w:r w:rsidRPr="005F0498">
              <w:rPr>
                <w:rFonts w:eastAsia="Calibri"/>
              </w:rPr>
              <w:t>.: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НДФЛ</w:t>
            </w:r>
            <w:r>
              <w:rPr>
                <w:rFonts w:eastAsia="Calibri"/>
              </w:rPr>
              <w:t>*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579 421,9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588 904,4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9 482,5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604 043,9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609 809,9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5 766,0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631 414,2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Налоги на совокупный доход 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98 258,8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136</w:t>
            </w:r>
            <w:r>
              <w:rPr>
                <w:rFonts w:eastAsia="Calibri"/>
              </w:rPr>
              <w:t xml:space="preserve"> </w:t>
            </w:r>
            <w:r w:rsidRPr="005F0498">
              <w:rPr>
                <w:rFonts w:eastAsia="Calibri"/>
              </w:rPr>
              <w:t>543,6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38 284,8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98 258,8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136 892,4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38 633,6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137 248,2</w:t>
            </w:r>
          </w:p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Налоги на имущество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67 752,4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70 853,6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3 201,2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67 752,4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70 992,0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3 239,6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71 130,4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Неналоговые доходы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211 903,4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225</w:t>
            </w:r>
            <w:r>
              <w:rPr>
                <w:rFonts w:eastAsia="Calibri"/>
              </w:rPr>
              <w:t> 155,1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13 251,7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213 022,4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225 551,8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12 529,4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227 803,9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в </w:t>
            </w:r>
            <w:proofErr w:type="spellStart"/>
            <w:r w:rsidRPr="005F0498">
              <w:rPr>
                <w:rFonts w:eastAsia="Calibri"/>
              </w:rPr>
              <w:t>т.ч</w:t>
            </w:r>
            <w:proofErr w:type="spellEnd"/>
            <w:r w:rsidRPr="005F0498">
              <w:rPr>
                <w:rFonts w:eastAsia="Calibri"/>
              </w:rPr>
              <w:t>.: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Доходы от использования </w:t>
            </w:r>
            <w:r w:rsidRPr="005F0498">
              <w:rPr>
                <w:rFonts w:eastAsia="Calibri"/>
              </w:rPr>
              <w:lastRenderedPageBreak/>
              <w:t>муниципального имущества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lastRenderedPageBreak/>
              <w:t>170 5</w:t>
            </w:r>
            <w:r>
              <w:rPr>
                <w:rFonts w:eastAsia="Calibri"/>
              </w:rPr>
              <w:t>2</w:t>
            </w:r>
            <w:r w:rsidRPr="005F0498">
              <w:rPr>
                <w:rFonts w:eastAsia="Calibri"/>
              </w:rPr>
              <w:t>0,0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178 123,6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7 603,6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170 520,0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178 117,6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7 597,6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178 117,6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материальных и нематериальных активов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35 980,9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38 187,4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2 206,5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37 071,4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38 515,1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1 443,7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40 546,1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Безвозмездные поступления от других бюджетов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1 564 412,6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1 723 180,6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158 768,0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1 439 062,4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1 995 422,5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556 360,1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1 706 314,4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в </w:t>
            </w:r>
            <w:proofErr w:type="spellStart"/>
            <w:r w:rsidRPr="005F0498">
              <w:rPr>
                <w:rFonts w:eastAsia="Calibri"/>
              </w:rPr>
              <w:t>т.ч</w:t>
            </w:r>
            <w:proofErr w:type="spellEnd"/>
            <w:r w:rsidRPr="005F0498">
              <w:rPr>
                <w:rFonts w:eastAsia="Calibri"/>
              </w:rPr>
              <w:t>.: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Дотации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225 429,4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285 771,7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60 342,3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225 429,4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285 515,7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60 086,3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285 515,7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Субсидии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219 731,2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200 192,7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-19 538,5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146 108,6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516 768,6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370 660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233 736,5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>Субвенции</w:t>
            </w:r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1 118 556,8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1 235 746,3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117 189,5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1 066 829,6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1 191 506,4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124 676,8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1 185 268,5</w:t>
            </w:r>
          </w:p>
        </w:tc>
      </w:tr>
      <w:tr w:rsidR="00125FE3" w:rsidRPr="00000517" w:rsidTr="00B63FA7">
        <w:tc>
          <w:tcPr>
            <w:tcW w:w="152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 w:rsidRPr="005F0498">
              <w:rPr>
                <w:rFonts w:eastAsia="Calibri"/>
              </w:rPr>
              <w:t xml:space="preserve">Иные </w:t>
            </w:r>
            <w:proofErr w:type="spellStart"/>
            <w:r w:rsidRPr="005F0498">
              <w:rPr>
                <w:rFonts w:eastAsia="Calibri"/>
              </w:rPr>
              <w:t>межбюдж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 w:rsidRPr="005F0498">
              <w:rPr>
                <w:rFonts w:eastAsia="Calibri"/>
              </w:rPr>
              <w:t>траснферты</w:t>
            </w:r>
            <w:proofErr w:type="spellEnd"/>
          </w:p>
        </w:tc>
        <w:tc>
          <w:tcPr>
            <w:tcW w:w="126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695,2</w:t>
            </w:r>
          </w:p>
        </w:tc>
        <w:tc>
          <w:tcPr>
            <w:tcW w:w="1288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1 469,9</w:t>
            </w:r>
          </w:p>
        </w:tc>
        <w:tc>
          <w:tcPr>
            <w:tcW w:w="105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774,7</w:t>
            </w:r>
          </w:p>
        </w:tc>
        <w:tc>
          <w:tcPr>
            <w:tcW w:w="1166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694,8</w:t>
            </w:r>
          </w:p>
        </w:tc>
        <w:tc>
          <w:tcPr>
            <w:tcW w:w="1183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1 631,8</w:t>
            </w:r>
          </w:p>
        </w:tc>
        <w:tc>
          <w:tcPr>
            <w:tcW w:w="1134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937,0</w:t>
            </w:r>
          </w:p>
        </w:tc>
        <w:tc>
          <w:tcPr>
            <w:tcW w:w="1241" w:type="dxa"/>
            <w:shd w:val="clear" w:color="auto" w:fill="auto"/>
          </w:tcPr>
          <w:p w:rsidR="00125FE3" w:rsidRPr="005F0498" w:rsidRDefault="00125FE3" w:rsidP="00B63FA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1 793,7</w:t>
            </w:r>
          </w:p>
        </w:tc>
      </w:tr>
    </w:tbl>
    <w:p w:rsidR="00125FE3" w:rsidRPr="00000517" w:rsidRDefault="00125FE3" w:rsidP="00125FE3">
      <w:pPr>
        <w:spacing w:line="360" w:lineRule="auto"/>
        <w:ind w:firstLine="539"/>
        <w:jc w:val="both"/>
      </w:pPr>
    </w:p>
    <w:p w:rsidR="00125FE3" w:rsidRPr="00492136" w:rsidRDefault="00125FE3" w:rsidP="00125FE3">
      <w:pPr>
        <w:spacing w:line="360" w:lineRule="auto"/>
        <w:ind w:firstLine="539"/>
        <w:jc w:val="both"/>
        <w:rPr>
          <w:sz w:val="24"/>
          <w:szCs w:val="24"/>
        </w:rPr>
      </w:pPr>
      <w:r w:rsidRPr="00492136">
        <w:rPr>
          <w:sz w:val="24"/>
          <w:szCs w:val="24"/>
        </w:rPr>
        <w:t xml:space="preserve">Примечание: </w:t>
      </w:r>
    </w:p>
    <w:p w:rsidR="00125FE3" w:rsidRDefault="00125FE3" w:rsidP="00125FE3">
      <w:pPr>
        <w:spacing w:line="360" w:lineRule="auto"/>
        <w:ind w:firstLine="539"/>
        <w:jc w:val="both"/>
        <w:rPr>
          <w:sz w:val="24"/>
          <w:szCs w:val="24"/>
        </w:rPr>
      </w:pPr>
      <w:r w:rsidRPr="00492136">
        <w:rPr>
          <w:sz w:val="24"/>
          <w:szCs w:val="24"/>
        </w:rPr>
        <w:t>* Показатели налога на доходы физических лиц, соответствуют нормативу зачисления в бюджет города в размере 2017 -</w:t>
      </w:r>
      <w:r>
        <w:rPr>
          <w:sz w:val="24"/>
          <w:szCs w:val="24"/>
        </w:rPr>
        <w:t xml:space="preserve"> 41,1</w:t>
      </w:r>
      <w:r w:rsidRPr="00492136">
        <w:rPr>
          <w:sz w:val="24"/>
          <w:szCs w:val="24"/>
        </w:rPr>
        <w:t>%; 2018-</w:t>
      </w:r>
      <w:r>
        <w:rPr>
          <w:sz w:val="24"/>
          <w:szCs w:val="24"/>
        </w:rPr>
        <w:t>40,8</w:t>
      </w:r>
      <w:r w:rsidRPr="00492136">
        <w:rPr>
          <w:sz w:val="24"/>
          <w:szCs w:val="24"/>
        </w:rPr>
        <w:t>%; 2019-</w:t>
      </w:r>
      <w:r>
        <w:rPr>
          <w:sz w:val="24"/>
          <w:szCs w:val="24"/>
        </w:rPr>
        <w:t>40,5</w:t>
      </w:r>
      <w:r w:rsidRPr="00492136">
        <w:rPr>
          <w:sz w:val="24"/>
          <w:szCs w:val="24"/>
        </w:rPr>
        <w:t>%</w:t>
      </w:r>
      <w:r>
        <w:rPr>
          <w:sz w:val="24"/>
          <w:szCs w:val="24"/>
        </w:rPr>
        <w:t xml:space="preserve"> (решение Думы города от 07.09.2016 № 455).</w:t>
      </w:r>
    </w:p>
    <w:p w:rsidR="00125FE3" w:rsidRDefault="00125FE3" w:rsidP="00125FE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>
        <w:rPr>
          <w:sz w:val="28"/>
          <w:szCs w:val="28"/>
        </w:rPr>
        <w:t>ормативы отчислений НДФЛ</w:t>
      </w:r>
      <w:r>
        <w:rPr>
          <w:rFonts w:eastAsia="Calibri"/>
          <w:color w:val="000000"/>
          <w:sz w:val="28"/>
          <w:szCs w:val="28"/>
        </w:rPr>
        <w:t xml:space="preserve"> спрогнозированы в соответствии с решением Думы города от 26.09.2017 №109 «О согласии на частичную замену дотаций из регионального фонда финансовой поддержки муниципальных районов (городских округов) и из регионального фонда финансовой поддержки поселений дополнительными нормативами отчислений от НДФЛ» в размерах:</w:t>
      </w:r>
    </w:p>
    <w:p w:rsidR="00125FE3" w:rsidRDefault="00125FE3" w:rsidP="00125FE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на 2018 год - 38,3%;</w:t>
      </w:r>
    </w:p>
    <w:p w:rsidR="00125FE3" w:rsidRDefault="00125FE3" w:rsidP="00125FE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на 2019 год – 38,2%;</w:t>
      </w:r>
    </w:p>
    <w:p w:rsidR="00125FE3" w:rsidRDefault="00125FE3" w:rsidP="00125FE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на 2020 год – 38,1%. </w:t>
      </w:r>
    </w:p>
    <w:p w:rsidR="00125FE3" w:rsidRDefault="00125FE3" w:rsidP="00125FE3">
      <w:pP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Законодательных изменений на уровне Российской Федерации и автономного округа в составе доходов и нормативах их зачисления для муниципальных образований не отмечается.</w:t>
      </w:r>
    </w:p>
    <w:p w:rsidR="00125FE3" w:rsidRDefault="00125FE3" w:rsidP="00125FE3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В целом налоговые и неналоговые доходы спрогнозированы с увеличением к утвержденному бюджету 2017-2019 года. </w:t>
      </w:r>
    </w:p>
    <w:p w:rsidR="00125FE3" w:rsidRDefault="00125FE3" w:rsidP="00125FE3">
      <w:pPr>
        <w:spacing w:line="360" w:lineRule="auto"/>
        <w:ind w:firstLine="539"/>
        <w:jc w:val="both"/>
        <w:rPr>
          <w:sz w:val="28"/>
          <w:szCs w:val="28"/>
        </w:rPr>
      </w:pPr>
      <w:r w:rsidRPr="00E37941">
        <w:rPr>
          <w:color w:val="000000"/>
          <w:sz w:val="28"/>
          <w:szCs w:val="28"/>
        </w:rPr>
        <w:t>Налог на доходы физических лиц.</w:t>
      </w:r>
      <w:r w:rsidRPr="00E37941">
        <w:rPr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Прогнозные назначения планируются исходя из ожидаемой оценки, с учетом темпов роста фонда заработной платы в городе 104%, а также с учетом динамики возвратов </w:t>
      </w:r>
      <w:r w:rsidR="00D157C6">
        <w:rPr>
          <w:sz w:val="28"/>
          <w:szCs w:val="28"/>
        </w:rPr>
        <w:t xml:space="preserve">физическим лицам </w:t>
      </w:r>
      <w:r>
        <w:rPr>
          <w:sz w:val="28"/>
          <w:szCs w:val="28"/>
        </w:rPr>
        <w:t>имущественны</w:t>
      </w:r>
      <w:r w:rsidR="00D157C6">
        <w:rPr>
          <w:sz w:val="28"/>
          <w:szCs w:val="28"/>
        </w:rPr>
        <w:t>х</w:t>
      </w:r>
      <w:r>
        <w:rPr>
          <w:sz w:val="28"/>
          <w:szCs w:val="28"/>
        </w:rPr>
        <w:t xml:space="preserve"> вычет</w:t>
      </w:r>
      <w:r w:rsidR="00D157C6">
        <w:rPr>
          <w:sz w:val="28"/>
          <w:szCs w:val="28"/>
        </w:rPr>
        <w:t>ов</w:t>
      </w:r>
      <w:r>
        <w:rPr>
          <w:sz w:val="28"/>
          <w:szCs w:val="28"/>
        </w:rPr>
        <w:t>.</w:t>
      </w:r>
    </w:p>
    <w:p w:rsidR="00125FE3" w:rsidRPr="00492136" w:rsidRDefault="00125FE3" w:rsidP="00125FE3">
      <w:pPr>
        <w:pStyle w:val="a9"/>
        <w:spacing w:line="360" w:lineRule="auto"/>
        <w:ind w:left="0"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Налоги на имущество</w:t>
      </w:r>
      <w:r w:rsidRPr="00E37941">
        <w:rPr>
          <w:color w:val="000000"/>
          <w:sz w:val="28"/>
          <w:szCs w:val="28"/>
        </w:rPr>
        <w:t>.</w:t>
      </w:r>
      <w:r w:rsidRPr="00E37941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Показатели запланированы исходя из ожидаемой оценки, с учетом роста поступлений по налогу на имущество физических лиц в результате применения коэффициентов переходного</w:t>
      </w:r>
      <w:r w:rsidRPr="00492136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периода, а также возможного снижения поступлений земельного налога</w:t>
      </w:r>
      <w:r w:rsidR="00D157C6">
        <w:rPr>
          <w:sz w:val="28"/>
          <w:szCs w:val="28"/>
        </w:rPr>
        <w:t>,</w:t>
      </w:r>
      <w:r>
        <w:rPr>
          <w:sz w:val="28"/>
          <w:szCs w:val="28"/>
        </w:rPr>
        <w:t xml:space="preserve"> в следствии оспаривание кадастровой стоимости земельных участков в сторону уменьшения.</w:t>
      </w:r>
    </w:p>
    <w:p w:rsidR="00125FE3" w:rsidRPr="00492136" w:rsidRDefault="00125FE3" w:rsidP="00125FE3">
      <w:pPr>
        <w:widowControl w:val="0"/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color w:val="000000"/>
          <w:sz w:val="28"/>
          <w:szCs w:val="28"/>
        </w:rPr>
      </w:pPr>
      <w:r>
        <w:rPr>
          <w:spacing w:val="-4"/>
          <w:sz w:val="28"/>
          <w:szCs w:val="28"/>
        </w:rPr>
        <w:t>В связи с увеличение величины предельного размера доходов для перехода на упрощённую систему налогообложения,</w:t>
      </w:r>
      <w:r w:rsidRPr="00E2681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а также исходя из ожидаемой оценки поступлений в 2017 году, н</w:t>
      </w:r>
      <w:r w:rsidRPr="00E26813">
        <w:rPr>
          <w:spacing w:val="-4"/>
          <w:sz w:val="28"/>
          <w:szCs w:val="28"/>
        </w:rPr>
        <w:t>алоги</w:t>
      </w:r>
      <w:r w:rsidRPr="00E26813">
        <w:rPr>
          <w:color w:val="000000"/>
          <w:sz w:val="28"/>
          <w:szCs w:val="28"/>
        </w:rPr>
        <w:t xml:space="preserve"> на совокупный доход</w:t>
      </w:r>
      <w:r w:rsidRPr="00492136">
        <w:rPr>
          <w:color w:val="000000"/>
          <w:sz w:val="28"/>
          <w:szCs w:val="28"/>
        </w:rPr>
        <w:t xml:space="preserve"> прогнозиру</w:t>
      </w:r>
      <w:r>
        <w:rPr>
          <w:color w:val="000000"/>
          <w:sz w:val="28"/>
          <w:szCs w:val="28"/>
        </w:rPr>
        <w:t>ются с ростом на 138,4</w:t>
      </w:r>
      <w:r w:rsidRPr="00492136">
        <w:rPr>
          <w:color w:val="000000"/>
          <w:sz w:val="28"/>
          <w:szCs w:val="28"/>
        </w:rPr>
        <w:t xml:space="preserve"> %.</w:t>
      </w:r>
    </w:p>
    <w:p w:rsidR="00125FE3" w:rsidRPr="00492136" w:rsidRDefault="00125FE3" w:rsidP="00125FE3">
      <w:pPr>
        <w:spacing w:line="360" w:lineRule="auto"/>
        <w:ind w:firstLine="539"/>
        <w:jc w:val="both"/>
        <w:rPr>
          <w:sz w:val="28"/>
          <w:szCs w:val="28"/>
        </w:rPr>
      </w:pPr>
      <w:r w:rsidRPr="00492136">
        <w:rPr>
          <w:sz w:val="28"/>
          <w:szCs w:val="28"/>
        </w:rPr>
        <w:t xml:space="preserve">Рост поступлений </w:t>
      </w:r>
      <w:r>
        <w:rPr>
          <w:sz w:val="28"/>
          <w:szCs w:val="28"/>
        </w:rPr>
        <w:t xml:space="preserve">прогнозируется и </w:t>
      </w:r>
      <w:r w:rsidRPr="00492136">
        <w:rPr>
          <w:sz w:val="28"/>
          <w:szCs w:val="28"/>
        </w:rPr>
        <w:t xml:space="preserve">по </w:t>
      </w:r>
      <w:r w:rsidRPr="007A0DF9">
        <w:rPr>
          <w:sz w:val="28"/>
          <w:szCs w:val="28"/>
        </w:rPr>
        <w:t>патентной системе налогообложения</w:t>
      </w:r>
      <w:r>
        <w:rPr>
          <w:sz w:val="28"/>
          <w:szCs w:val="28"/>
        </w:rPr>
        <w:t xml:space="preserve"> (</w:t>
      </w:r>
      <w:r w:rsidRPr="007A0DF9">
        <w:rPr>
          <w:sz w:val="28"/>
          <w:szCs w:val="28"/>
        </w:rPr>
        <w:t>1</w:t>
      </w:r>
      <w:r>
        <w:rPr>
          <w:sz w:val="28"/>
          <w:szCs w:val="28"/>
        </w:rPr>
        <w:t>76,8</w:t>
      </w:r>
      <w:r w:rsidRPr="007A0DF9">
        <w:rPr>
          <w:sz w:val="28"/>
          <w:szCs w:val="28"/>
        </w:rPr>
        <w:t>%</w:t>
      </w:r>
      <w:r>
        <w:rPr>
          <w:sz w:val="28"/>
          <w:szCs w:val="28"/>
        </w:rPr>
        <w:t>), которая</w:t>
      </w:r>
      <w:r w:rsidRPr="00492136">
        <w:rPr>
          <w:bCs/>
          <w:sz w:val="28"/>
          <w:szCs w:val="28"/>
        </w:rPr>
        <w:t xml:space="preserve"> остаётся востребованной многими индивидуальными предпринимателями. </w:t>
      </w:r>
    </w:p>
    <w:p w:rsidR="00125FE3" w:rsidRDefault="00125FE3" w:rsidP="00125FE3">
      <w:pPr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неналоговых доходов осуществлено в основном с ростом к утвержденным показателям (106,3%).</w:t>
      </w:r>
    </w:p>
    <w:p w:rsidR="00E37941" w:rsidRPr="00FA20EC" w:rsidRDefault="00E37941" w:rsidP="00DB3D32">
      <w:pPr>
        <w:pBdr>
          <w:top w:val="single" w:sz="4" w:space="0" w:color="FFFFFF"/>
          <w:left w:val="single" w:sz="4" w:space="0" w:color="FFFFFF"/>
          <w:bottom w:val="single" w:sz="4" w:space="3" w:color="FFFFFF"/>
          <w:right w:val="single" w:sz="4" w:space="0" w:color="FFFFFF"/>
        </w:pBdr>
        <w:spacing w:line="360" w:lineRule="auto"/>
        <w:ind w:firstLine="539"/>
        <w:contextualSpacing/>
        <w:jc w:val="both"/>
        <w:rPr>
          <w:sz w:val="28"/>
          <w:szCs w:val="28"/>
          <w:highlight w:val="yellow"/>
        </w:rPr>
      </w:pPr>
      <w:r w:rsidRPr="000A7BC3">
        <w:rPr>
          <w:sz w:val="28"/>
          <w:szCs w:val="28"/>
        </w:rPr>
        <w:t xml:space="preserve">При формировании источников финансирования дефицита бюджета будет учтена необходимость погашения долговых обязательств в рамках действующих муниципальных контрактов и обеспечения возможного исполнения обязательств по муниципальной гарантии </w:t>
      </w:r>
      <w:r w:rsidR="000A7BC3" w:rsidRPr="000A7BC3">
        <w:rPr>
          <w:sz w:val="28"/>
          <w:szCs w:val="28"/>
        </w:rPr>
        <w:t>МУП «УГХ»</w:t>
      </w:r>
      <w:r w:rsidRPr="000A7BC3">
        <w:rPr>
          <w:sz w:val="28"/>
          <w:szCs w:val="28"/>
        </w:rPr>
        <w:t xml:space="preserve">, действующей до конца 2019 года. </w:t>
      </w:r>
    </w:p>
    <w:p w:rsidR="00E37941" w:rsidRPr="00DB3D32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Общие параметры проекта бюджета по расходам определены с учетом прогнозируемого объема доходов и поступлений источников финансирования дефицита бюджета и составляют по годам:</w:t>
      </w:r>
    </w:p>
    <w:p w:rsidR="00E37941" w:rsidRPr="00DB3D32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- на 2018 год –</w:t>
      </w:r>
      <w:r w:rsidR="00DB3D32" w:rsidRPr="00DB3D32">
        <w:rPr>
          <w:sz w:val="28"/>
          <w:szCs w:val="28"/>
        </w:rPr>
        <w:t>2 858,6 млн.</w:t>
      </w:r>
      <w:r w:rsidRPr="00DB3D32">
        <w:rPr>
          <w:sz w:val="28"/>
          <w:szCs w:val="28"/>
        </w:rPr>
        <w:t xml:space="preserve"> рублей;</w:t>
      </w:r>
    </w:p>
    <w:p w:rsidR="00E37941" w:rsidRPr="00DB3D32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- на 2019 год –</w:t>
      </w:r>
      <w:r w:rsidR="00DB3D32" w:rsidRPr="00DB3D32">
        <w:rPr>
          <w:sz w:val="28"/>
          <w:szCs w:val="28"/>
        </w:rPr>
        <w:t>3 155,1</w:t>
      </w:r>
      <w:r w:rsidRPr="00DB3D32">
        <w:rPr>
          <w:sz w:val="28"/>
          <w:szCs w:val="28"/>
        </w:rPr>
        <w:t xml:space="preserve"> млн. рублей;</w:t>
      </w:r>
    </w:p>
    <w:p w:rsidR="00E37941" w:rsidRPr="00DB3D32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- на 2020 год –</w:t>
      </w:r>
      <w:r w:rsidR="00DB3D32" w:rsidRPr="00DB3D32">
        <w:rPr>
          <w:sz w:val="28"/>
          <w:szCs w:val="28"/>
        </w:rPr>
        <w:t>2 892,8</w:t>
      </w:r>
      <w:r w:rsidRPr="00DB3D32">
        <w:rPr>
          <w:sz w:val="28"/>
          <w:szCs w:val="28"/>
        </w:rPr>
        <w:t xml:space="preserve"> млн. рублей.</w:t>
      </w:r>
    </w:p>
    <w:p w:rsidR="00DB3D32" w:rsidRPr="00DB3D32" w:rsidRDefault="00E37941" w:rsidP="00E37941">
      <w:pP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Указанный объем расходов позволяет обеспечить утвержденные действующей редакцией решения о бюджете расходы главных распорядителей бюджетных средств на 2018 год</w:t>
      </w:r>
      <w:r w:rsidR="00DB3D32" w:rsidRPr="00DB3D32">
        <w:rPr>
          <w:sz w:val="28"/>
          <w:szCs w:val="28"/>
        </w:rPr>
        <w:t>.</w:t>
      </w:r>
    </w:p>
    <w:p w:rsidR="00E37941" w:rsidRPr="00DB3D32" w:rsidRDefault="00E37941" w:rsidP="00E37941">
      <w:pPr>
        <w:spacing w:line="360" w:lineRule="auto"/>
        <w:ind w:firstLine="53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B3D32">
        <w:rPr>
          <w:rFonts w:cs="Verdana"/>
          <w:color w:val="000000"/>
          <w:sz w:val="28"/>
          <w:szCs w:val="28"/>
        </w:rPr>
        <w:t xml:space="preserve">Дальнейшая процедура составления проекта бюджета предполагает самостоятельное распределение ГРБС доведенного объема ассигнований </w:t>
      </w:r>
      <w:r w:rsidRPr="00DB3D32">
        <w:rPr>
          <w:rFonts w:ascii="Times New Roman CYR" w:hAnsi="Times New Roman CYR" w:cs="Times New Roman CYR"/>
          <w:color w:val="000000"/>
          <w:sz w:val="28"/>
          <w:szCs w:val="28"/>
        </w:rPr>
        <w:t xml:space="preserve">с учетом определенных ими приоритетов, принятия конкретных мер по </w:t>
      </w:r>
      <w:r w:rsidRPr="00DB3D32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оптимизации действующих расходных обязательств </w:t>
      </w:r>
      <w:r w:rsidRPr="00DB3D32">
        <w:rPr>
          <w:rFonts w:cs="Verdana"/>
          <w:color w:val="000000"/>
          <w:sz w:val="28"/>
          <w:szCs w:val="28"/>
        </w:rPr>
        <w:t xml:space="preserve">с учетом ответственности за достижение показателей реализации муниципальных программ. </w:t>
      </w:r>
      <w:r w:rsidRPr="00DB3D32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финансовом обеспечении оказания муниципальных услуг необходимо учитывать такие внутренние ресурсы, как остатки средств на счетах бюджетных и автономных учреждений на начало года с учетом их динамики за ряд лет, с учетом их размера возможно корректировать нормативные затраты на оказание услуг. </w:t>
      </w:r>
    </w:p>
    <w:p w:rsidR="00E37941" w:rsidRPr="00DB3D32" w:rsidRDefault="00E37941" w:rsidP="00E379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sz w:val="28"/>
          <w:szCs w:val="28"/>
        </w:rPr>
        <w:t>Финансовое обеспечение Указов Президента Российской Федерации в части повышения оплаты труда отдельным категориям работников необходимо обеспечить путем проведения структурных изменений в отраслях, оптимизационных мероприятий с привлечением на эти цели доходов от предпринимательской деятельности.</w:t>
      </w:r>
    </w:p>
    <w:p w:rsidR="00E37941" w:rsidRPr="00DB3D32" w:rsidRDefault="00E37941" w:rsidP="00E379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360" w:lineRule="auto"/>
        <w:ind w:firstLine="539"/>
        <w:jc w:val="both"/>
        <w:rPr>
          <w:rFonts w:eastAsia="Calibri"/>
          <w:sz w:val="28"/>
          <w:szCs w:val="28"/>
        </w:rPr>
      </w:pPr>
      <w:r w:rsidRPr="00DB3D32">
        <w:rPr>
          <w:rFonts w:eastAsia="Calibri"/>
          <w:sz w:val="28"/>
          <w:szCs w:val="28"/>
        </w:rPr>
        <w:t xml:space="preserve">Бюджетные ассигнования будут направлены на выполнение законодательно установленных полномочий. Расходы бюджета будут сформированы на основе муниципальных программ, за исключением расходов на обеспечение деятельности представительного и </w:t>
      </w:r>
      <w:r w:rsidR="00DB3D32" w:rsidRPr="00DB3D32">
        <w:rPr>
          <w:rFonts w:eastAsia="Calibri"/>
          <w:sz w:val="28"/>
          <w:szCs w:val="28"/>
        </w:rPr>
        <w:t xml:space="preserve">счетного - контрольного </w:t>
      </w:r>
      <w:r w:rsidRPr="00DB3D32">
        <w:rPr>
          <w:rFonts w:eastAsia="Calibri"/>
          <w:sz w:val="28"/>
          <w:szCs w:val="28"/>
        </w:rPr>
        <w:t xml:space="preserve">органов. </w:t>
      </w:r>
    </w:p>
    <w:p w:rsidR="00E37941" w:rsidRPr="00DB3D32" w:rsidRDefault="00E37941" w:rsidP="00E3794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rFonts w:eastAsia="Calibri"/>
          <w:sz w:val="28"/>
          <w:szCs w:val="28"/>
        </w:rPr>
        <w:t>Программная структура бюджета города в целом будет сохранена. Перечень и структура муниципальных программ будут оптимизированы</w:t>
      </w:r>
      <w:r w:rsidRPr="00DB3D32">
        <w:rPr>
          <w:sz w:val="28"/>
          <w:szCs w:val="28"/>
        </w:rPr>
        <w:t>, общая их характеристика на следующий бюджетный цикл, показатели результатов бюджетной деятельности, которые будут включены в их состав, будут отражены в пояснительной записке к проекту бюджета города на 2018 год и плановый период 2019 – 2020 годов.</w:t>
      </w:r>
    </w:p>
    <w:p w:rsidR="00C836CA" w:rsidRPr="0024205D" w:rsidRDefault="00E37941" w:rsidP="00DB3D32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line="360" w:lineRule="auto"/>
        <w:ind w:firstLine="539"/>
        <w:jc w:val="both"/>
        <w:rPr>
          <w:sz w:val="28"/>
          <w:szCs w:val="28"/>
        </w:rPr>
      </w:pPr>
      <w:r w:rsidRPr="00DB3D32">
        <w:rPr>
          <w:rFonts w:eastAsia="Calibri"/>
          <w:sz w:val="28"/>
          <w:szCs w:val="28"/>
        </w:rPr>
        <w:t>К моменту внесения проекта бюджета в Думу города параметры расходов могут быть скорректированы на объем межбюджетных трансфертов из бюджета автономного округа, а также в случае уточнения прогнозных значений главными администраторами доходов бюджета</w:t>
      </w:r>
      <w:r w:rsidR="00DB3D32" w:rsidRPr="00DB3D32">
        <w:rPr>
          <w:rFonts w:eastAsia="Calibri"/>
          <w:sz w:val="28"/>
          <w:szCs w:val="28"/>
        </w:rPr>
        <w:t>.</w:t>
      </w:r>
    </w:p>
    <w:sectPr w:rsidR="00C836CA" w:rsidRPr="0024205D" w:rsidSect="0003618E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50D" w:rsidRDefault="0023550D">
      <w:r>
        <w:separator/>
      </w:r>
    </w:p>
  </w:endnote>
  <w:endnote w:type="continuationSeparator" w:id="0">
    <w:p w:rsidR="0023550D" w:rsidRDefault="0023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50D" w:rsidRDefault="0023550D">
      <w:r>
        <w:separator/>
      </w:r>
    </w:p>
  </w:footnote>
  <w:footnote w:type="continuationSeparator" w:id="0">
    <w:p w:rsidR="0023550D" w:rsidRDefault="00235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6E7" w:rsidRDefault="00C456E7" w:rsidP="004B26AC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456E7" w:rsidRDefault="00C456E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6E7" w:rsidRDefault="00C456E7" w:rsidP="004B26AC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70268">
      <w:rPr>
        <w:rStyle w:val="af"/>
        <w:noProof/>
      </w:rPr>
      <w:t>20</w:t>
    </w:r>
    <w:r>
      <w:rPr>
        <w:rStyle w:val="af"/>
      </w:rPr>
      <w:fldChar w:fldCharType="end"/>
    </w:r>
  </w:p>
  <w:p w:rsidR="00C456E7" w:rsidRDefault="00C456E7" w:rsidP="008338B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27595"/>
    <w:multiLevelType w:val="hybridMultilevel"/>
    <w:tmpl w:val="2D56B42A"/>
    <w:lvl w:ilvl="0" w:tplc="CC1E16EC">
      <w:start w:val="1"/>
      <w:numFmt w:val="bullet"/>
      <w:lvlText w:val=""/>
      <w:lvlJc w:val="left"/>
      <w:pPr>
        <w:tabs>
          <w:tab w:val="num" w:pos="1164"/>
        </w:tabs>
        <w:ind w:left="11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4"/>
        </w:tabs>
        <w:ind w:left="18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4"/>
        </w:tabs>
        <w:ind w:left="26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4"/>
        </w:tabs>
        <w:ind w:left="33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4"/>
        </w:tabs>
        <w:ind w:left="40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4"/>
        </w:tabs>
        <w:ind w:left="47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4"/>
        </w:tabs>
        <w:ind w:left="54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4"/>
        </w:tabs>
        <w:ind w:left="62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4"/>
        </w:tabs>
        <w:ind w:left="6924" w:hanging="360"/>
      </w:pPr>
      <w:rPr>
        <w:rFonts w:ascii="Wingdings" w:hAnsi="Wingdings" w:hint="default"/>
      </w:rPr>
    </w:lvl>
  </w:abstractNum>
  <w:abstractNum w:abstractNumId="1" w15:restartNumberingAfterBreak="0">
    <w:nsid w:val="30D93188"/>
    <w:multiLevelType w:val="hybridMultilevel"/>
    <w:tmpl w:val="ED7A1250"/>
    <w:lvl w:ilvl="0" w:tplc="CC1E1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344A392D"/>
    <w:multiLevelType w:val="hybridMultilevel"/>
    <w:tmpl w:val="77E86F92"/>
    <w:lvl w:ilvl="0" w:tplc="CC1E16E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9041164"/>
    <w:multiLevelType w:val="hybridMultilevel"/>
    <w:tmpl w:val="20523A94"/>
    <w:lvl w:ilvl="0" w:tplc="E72AD94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BD63517"/>
    <w:multiLevelType w:val="multilevel"/>
    <w:tmpl w:val="91E0E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64B7253"/>
    <w:multiLevelType w:val="hybridMultilevel"/>
    <w:tmpl w:val="21EA991E"/>
    <w:lvl w:ilvl="0" w:tplc="9300DB5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F9F"/>
    <w:rsid w:val="0000472A"/>
    <w:rsid w:val="000069E3"/>
    <w:rsid w:val="00016B25"/>
    <w:rsid w:val="00035715"/>
    <w:rsid w:val="0003618E"/>
    <w:rsid w:val="0005092E"/>
    <w:rsid w:val="000540E4"/>
    <w:rsid w:val="000601C9"/>
    <w:rsid w:val="00064F2A"/>
    <w:rsid w:val="000767E6"/>
    <w:rsid w:val="00080E66"/>
    <w:rsid w:val="00081A1D"/>
    <w:rsid w:val="00082869"/>
    <w:rsid w:val="00085429"/>
    <w:rsid w:val="00091743"/>
    <w:rsid w:val="00096B75"/>
    <w:rsid w:val="00097F36"/>
    <w:rsid w:val="000A2E08"/>
    <w:rsid w:val="000A7BC3"/>
    <w:rsid w:val="000B4D4F"/>
    <w:rsid w:val="000C6BF4"/>
    <w:rsid w:val="000D42A2"/>
    <w:rsid w:val="000D531E"/>
    <w:rsid w:val="000D7187"/>
    <w:rsid w:val="000F1BEB"/>
    <w:rsid w:val="000F71A9"/>
    <w:rsid w:val="00101A1C"/>
    <w:rsid w:val="00102B54"/>
    <w:rsid w:val="001116F8"/>
    <w:rsid w:val="00112084"/>
    <w:rsid w:val="001235DA"/>
    <w:rsid w:val="00123BE7"/>
    <w:rsid w:val="001248FB"/>
    <w:rsid w:val="00124DFD"/>
    <w:rsid w:val="00125FE3"/>
    <w:rsid w:val="00130130"/>
    <w:rsid w:val="00131A6B"/>
    <w:rsid w:val="001343DE"/>
    <w:rsid w:val="001365FC"/>
    <w:rsid w:val="001536CC"/>
    <w:rsid w:val="00166B07"/>
    <w:rsid w:val="001701C8"/>
    <w:rsid w:val="0019250B"/>
    <w:rsid w:val="00193B99"/>
    <w:rsid w:val="00194DB5"/>
    <w:rsid w:val="00196C1E"/>
    <w:rsid w:val="001A5555"/>
    <w:rsid w:val="001E345A"/>
    <w:rsid w:val="001E6023"/>
    <w:rsid w:val="001E6236"/>
    <w:rsid w:val="001E6860"/>
    <w:rsid w:val="001F0CF2"/>
    <w:rsid w:val="00201B18"/>
    <w:rsid w:val="00201C45"/>
    <w:rsid w:val="00212D24"/>
    <w:rsid w:val="00221336"/>
    <w:rsid w:val="00224745"/>
    <w:rsid w:val="0023550D"/>
    <w:rsid w:val="0024205D"/>
    <w:rsid w:val="00263471"/>
    <w:rsid w:val="00263F83"/>
    <w:rsid w:val="00266893"/>
    <w:rsid w:val="00271531"/>
    <w:rsid w:val="002918E8"/>
    <w:rsid w:val="002B4D93"/>
    <w:rsid w:val="002C12F0"/>
    <w:rsid w:val="002C1BF8"/>
    <w:rsid w:val="002C2F36"/>
    <w:rsid w:val="002D1D7C"/>
    <w:rsid w:val="002D3D75"/>
    <w:rsid w:val="002E6154"/>
    <w:rsid w:val="002F3C5F"/>
    <w:rsid w:val="00301F39"/>
    <w:rsid w:val="0030263F"/>
    <w:rsid w:val="003028E7"/>
    <w:rsid w:val="0031086D"/>
    <w:rsid w:val="00315348"/>
    <w:rsid w:val="00317625"/>
    <w:rsid w:val="003250A8"/>
    <w:rsid w:val="0032519E"/>
    <w:rsid w:val="00331423"/>
    <w:rsid w:val="003472EC"/>
    <w:rsid w:val="003615F2"/>
    <w:rsid w:val="00362E3F"/>
    <w:rsid w:val="00380787"/>
    <w:rsid w:val="00387788"/>
    <w:rsid w:val="00392D76"/>
    <w:rsid w:val="003A5714"/>
    <w:rsid w:val="003A759B"/>
    <w:rsid w:val="003A7DF9"/>
    <w:rsid w:val="003C3574"/>
    <w:rsid w:val="003D19CD"/>
    <w:rsid w:val="003D7F95"/>
    <w:rsid w:val="003E1228"/>
    <w:rsid w:val="003E23BD"/>
    <w:rsid w:val="003E4CCF"/>
    <w:rsid w:val="003E64FF"/>
    <w:rsid w:val="003E6932"/>
    <w:rsid w:val="003F3B13"/>
    <w:rsid w:val="003F6E5B"/>
    <w:rsid w:val="00402FFA"/>
    <w:rsid w:val="00424B54"/>
    <w:rsid w:val="004441D9"/>
    <w:rsid w:val="00453917"/>
    <w:rsid w:val="00453AB0"/>
    <w:rsid w:val="00453D53"/>
    <w:rsid w:val="00455238"/>
    <w:rsid w:val="00460C32"/>
    <w:rsid w:val="00463E85"/>
    <w:rsid w:val="00475987"/>
    <w:rsid w:val="00481822"/>
    <w:rsid w:val="0048453B"/>
    <w:rsid w:val="0049367D"/>
    <w:rsid w:val="004A1F9F"/>
    <w:rsid w:val="004A6787"/>
    <w:rsid w:val="004B26AC"/>
    <w:rsid w:val="004B5F1A"/>
    <w:rsid w:val="004D0509"/>
    <w:rsid w:val="004D1809"/>
    <w:rsid w:val="004D2EFE"/>
    <w:rsid w:val="004D42E6"/>
    <w:rsid w:val="004D6080"/>
    <w:rsid w:val="004D7DAD"/>
    <w:rsid w:val="004E192D"/>
    <w:rsid w:val="004F59C3"/>
    <w:rsid w:val="005037C5"/>
    <w:rsid w:val="005163AC"/>
    <w:rsid w:val="0052543F"/>
    <w:rsid w:val="005360E7"/>
    <w:rsid w:val="00546574"/>
    <w:rsid w:val="0056342F"/>
    <w:rsid w:val="00566361"/>
    <w:rsid w:val="00585D51"/>
    <w:rsid w:val="00585E4C"/>
    <w:rsid w:val="00592B85"/>
    <w:rsid w:val="005953B6"/>
    <w:rsid w:val="005A017E"/>
    <w:rsid w:val="005A0D3C"/>
    <w:rsid w:val="005A4D7E"/>
    <w:rsid w:val="005A4F6D"/>
    <w:rsid w:val="005A64B1"/>
    <w:rsid w:val="005A7CC4"/>
    <w:rsid w:val="005B17A6"/>
    <w:rsid w:val="005B5A6C"/>
    <w:rsid w:val="005B7851"/>
    <w:rsid w:val="005C5B46"/>
    <w:rsid w:val="005D05A5"/>
    <w:rsid w:val="005D16EF"/>
    <w:rsid w:val="00610A2B"/>
    <w:rsid w:val="00613C80"/>
    <w:rsid w:val="006158BF"/>
    <w:rsid w:val="006170B4"/>
    <w:rsid w:val="00627338"/>
    <w:rsid w:val="00627C2C"/>
    <w:rsid w:val="0063190F"/>
    <w:rsid w:val="006345DB"/>
    <w:rsid w:val="00635C44"/>
    <w:rsid w:val="00660642"/>
    <w:rsid w:val="00663B49"/>
    <w:rsid w:val="00680A62"/>
    <w:rsid w:val="00680A71"/>
    <w:rsid w:val="006843CB"/>
    <w:rsid w:val="00687A55"/>
    <w:rsid w:val="00690CEC"/>
    <w:rsid w:val="006933C3"/>
    <w:rsid w:val="006A3AD7"/>
    <w:rsid w:val="006A6626"/>
    <w:rsid w:val="006A74E5"/>
    <w:rsid w:val="006B1568"/>
    <w:rsid w:val="006B1AC9"/>
    <w:rsid w:val="006C06D3"/>
    <w:rsid w:val="006C56B2"/>
    <w:rsid w:val="006D59F4"/>
    <w:rsid w:val="006E26F2"/>
    <w:rsid w:val="006E52BD"/>
    <w:rsid w:val="006F215D"/>
    <w:rsid w:val="0072657A"/>
    <w:rsid w:val="007340F5"/>
    <w:rsid w:val="00744E05"/>
    <w:rsid w:val="007578F4"/>
    <w:rsid w:val="00757FB6"/>
    <w:rsid w:val="00773EB6"/>
    <w:rsid w:val="00781402"/>
    <w:rsid w:val="00785584"/>
    <w:rsid w:val="00792960"/>
    <w:rsid w:val="007A51D1"/>
    <w:rsid w:val="007B4081"/>
    <w:rsid w:val="007B550D"/>
    <w:rsid w:val="007B5A85"/>
    <w:rsid w:val="007B5B86"/>
    <w:rsid w:val="007B5C97"/>
    <w:rsid w:val="007C59D6"/>
    <w:rsid w:val="007D0C72"/>
    <w:rsid w:val="007E2097"/>
    <w:rsid w:val="007E375C"/>
    <w:rsid w:val="007F1B4D"/>
    <w:rsid w:val="007F3DFD"/>
    <w:rsid w:val="007F5B0C"/>
    <w:rsid w:val="00804992"/>
    <w:rsid w:val="0082023F"/>
    <w:rsid w:val="008273A5"/>
    <w:rsid w:val="008332D5"/>
    <w:rsid w:val="008338BF"/>
    <w:rsid w:val="00835210"/>
    <w:rsid w:val="00836C1C"/>
    <w:rsid w:val="00845E67"/>
    <w:rsid w:val="008479AF"/>
    <w:rsid w:val="008531F6"/>
    <w:rsid w:val="00863554"/>
    <w:rsid w:val="0086717B"/>
    <w:rsid w:val="008672F9"/>
    <w:rsid w:val="008678B0"/>
    <w:rsid w:val="00883FF8"/>
    <w:rsid w:val="00894DC8"/>
    <w:rsid w:val="008A7588"/>
    <w:rsid w:val="008B4BDF"/>
    <w:rsid w:val="008D09DA"/>
    <w:rsid w:val="008D79DC"/>
    <w:rsid w:val="008E1FC9"/>
    <w:rsid w:val="008E6B7F"/>
    <w:rsid w:val="008F073A"/>
    <w:rsid w:val="008F7201"/>
    <w:rsid w:val="008F7DA8"/>
    <w:rsid w:val="009007BE"/>
    <w:rsid w:val="00901FC6"/>
    <w:rsid w:val="009032B5"/>
    <w:rsid w:val="009060D6"/>
    <w:rsid w:val="00912E2C"/>
    <w:rsid w:val="00915550"/>
    <w:rsid w:val="00920720"/>
    <w:rsid w:val="00920963"/>
    <w:rsid w:val="00923B65"/>
    <w:rsid w:val="00932DE2"/>
    <w:rsid w:val="00940126"/>
    <w:rsid w:val="009402EF"/>
    <w:rsid w:val="0094395A"/>
    <w:rsid w:val="009440A4"/>
    <w:rsid w:val="009500E0"/>
    <w:rsid w:val="00961503"/>
    <w:rsid w:val="00966EAF"/>
    <w:rsid w:val="00985E98"/>
    <w:rsid w:val="0099082E"/>
    <w:rsid w:val="00994450"/>
    <w:rsid w:val="009A15AC"/>
    <w:rsid w:val="009A68E8"/>
    <w:rsid w:val="009C09E3"/>
    <w:rsid w:val="009C61D8"/>
    <w:rsid w:val="009D6741"/>
    <w:rsid w:val="009F1EF2"/>
    <w:rsid w:val="00A03B5B"/>
    <w:rsid w:val="00A13E73"/>
    <w:rsid w:val="00A14912"/>
    <w:rsid w:val="00A15073"/>
    <w:rsid w:val="00A245A1"/>
    <w:rsid w:val="00A250B7"/>
    <w:rsid w:val="00A41040"/>
    <w:rsid w:val="00A507CE"/>
    <w:rsid w:val="00A63490"/>
    <w:rsid w:val="00A676F8"/>
    <w:rsid w:val="00A7226C"/>
    <w:rsid w:val="00A804B9"/>
    <w:rsid w:val="00A8402A"/>
    <w:rsid w:val="00A979AB"/>
    <w:rsid w:val="00AA7352"/>
    <w:rsid w:val="00AC6E30"/>
    <w:rsid w:val="00AE59D3"/>
    <w:rsid w:val="00B35D4C"/>
    <w:rsid w:val="00B40ECA"/>
    <w:rsid w:val="00B41E44"/>
    <w:rsid w:val="00B43C96"/>
    <w:rsid w:val="00B44667"/>
    <w:rsid w:val="00B51ECE"/>
    <w:rsid w:val="00B61F0C"/>
    <w:rsid w:val="00B63FA7"/>
    <w:rsid w:val="00B64D13"/>
    <w:rsid w:val="00B70268"/>
    <w:rsid w:val="00B8101F"/>
    <w:rsid w:val="00BA375B"/>
    <w:rsid w:val="00BB7D4F"/>
    <w:rsid w:val="00BD0945"/>
    <w:rsid w:val="00BD4503"/>
    <w:rsid w:val="00BF7325"/>
    <w:rsid w:val="00C017A1"/>
    <w:rsid w:val="00C14350"/>
    <w:rsid w:val="00C20D21"/>
    <w:rsid w:val="00C216D7"/>
    <w:rsid w:val="00C22623"/>
    <w:rsid w:val="00C26641"/>
    <w:rsid w:val="00C3194E"/>
    <w:rsid w:val="00C33102"/>
    <w:rsid w:val="00C420A1"/>
    <w:rsid w:val="00C456E7"/>
    <w:rsid w:val="00C555B8"/>
    <w:rsid w:val="00C66B0F"/>
    <w:rsid w:val="00C71AA1"/>
    <w:rsid w:val="00C73A7A"/>
    <w:rsid w:val="00C836CA"/>
    <w:rsid w:val="00C84717"/>
    <w:rsid w:val="00C95A7D"/>
    <w:rsid w:val="00CA015B"/>
    <w:rsid w:val="00CA4D2A"/>
    <w:rsid w:val="00CB1768"/>
    <w:rsid w:val="00CC08B8"/>
    <w:rsid w:val="00CC371F"/>
    <w:rsid w:val="00CD6F36"/>
    <w:rsid w:val="00CF09D2"/>
    <w:rsid w:val="00D007CE"/>
    <w:rsid w:val="00D075AC"/>
    <w:rsid w:val="00D12086"/>
    <w:rsid w:val="00D13A28"/>
    <w:rsid w:val="00D157C6"/>
    <w:rsid w:val="00D17069"/>
    <w:rsid w:val="00D21D62"/>
    <w:rsid w:val="00D32553"/>
    <w:rsid w:val="00D34FE1"/>
    <w:rsid w:val="00D64635"/>
    <w:rsid w:val="00D64CE3"/>
    <w:rsid w:val="00D73824"/>
    <w:rsid w:val="00D81FA8"/>
    <w:rsid w:val="00D85356"/>
    <w:rsid w:val="00DA3796"/>
    <w:rsid w:val="00DA4197"/>
    <w:rsid w:val="00DA512B"/>
    <w:rsid w:val="00DB3D32"/>
    <w:rsid w:val="00DD2E2C"/>
    <w:rsid w:val="00DD2FD6"/>
    <w:rsid w:val="00DD704B"/>
    <w:rsid w:val="00DE58D7"/>
    <w:rsid w:val="00DF6E5A"/>
    <w:rsid w:val="00E00A9C"/>
    <w:rsid w:val="00E017F0"/>
    <w:rsid w:val="00E37941"/>
    <w:rsid w:val="00E52C52"/>
    <w:rsid w:val="00E66DC4"/>
    <w:rsid w:val="00E73147"/>
    <w:rsid w:val="00E87FB7"/>
    <w:rsid w:val="00EA4C92"/>
    <w:rsid w:val="00EB5A2C"/>
    <w:rsid w:val="00EC5C77"/>
    <w:rsid w:val="00EC6A61"/>
    <w:rsid w:val="00EC6CE4"/>
    <w:rsid w:val="00ED1496"/>
    <w:rsid w:val="00F007ED"/>
    <w:rsid w:val="00F0201A"/>
    <w:rsid w:val="00F02927"/>
    <w:rsid w:val="00F031FD"/>
    <w:rsid w:val="00F034FB"/>
    <w:rsid w:val="00F0431F"/>
    <w:rsid w:val="00F04AE7"/>
    <w:rsid w:val="00F11FAA"/>
    <w:rsid w:val="00F13FFD"/>
    <w:rsid w:val="00F34B77"/>
    <w:rsid w:val="00F43380"/>
    <w:rsid w:val="00F83C1D"/>
    <w:rsid w:val="00F8737F"/>
    <w:rsid w:val="00F87B3B"/>
    <w:rsid w:val="00FA05A3"/>
    <w:rsid w:val="00FA20EC"/>
    <w:rsid w:val="00FB3EFA"/>
    <w:rsid w:val="00FB6D8D"/>
    <w:rsid w:val="00FB79F5"/>
    <w:rsid w:val="00FC17CF"/>
    <w:rsid w:val="00FD0B2A"/>
    <w:rsid w:val="00FE064D"/>
    <w:rsid w:val="00FF06C5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8C46D-3CD6-4FD7-A8EB-7D11D30A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F9F"/>
  </w:style>
  <w:style w:type="paragraph" w:styleId="1">
    <w:name w:val="heading 1"/>
    <w:basedOn w:val="a"/>
    <w:next w:val="a"/>
    <w:link w:val="10"/>
    <w:qFormat/>
    <w:rsid w:val="008D7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8D79DC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A1F9F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Знак"/>
    <w:link w:val="a5"/>
    <w:locked/>
    <w:rsid w:val="004A1F9F"/>
    <w:rPr>
      <w:rFonts w:ascii="Zhikaryov" w:eastAsia="Zhikaryov" w:hAnsi="Zhikaryov"/>
      <w:b/>
      <w:sz w:val="26"/>
      <w:lang w:val="x-none" w:eastAsia="x-none" w:bidi="ar-SA"/>
    </w:rPr>
  </w:style>
  <w:style w:type="paragraph" w:styleId="a5">
    <w:name w:val="Body Text"/>
    <w:basedOn w:val="a"/>
    <w:link w:val="a4"/>
    <w:rsid w:val="004A1F9F"/>
    <w:pPr>
      <w:ind w:right="4109"/>
      <w:jc w:val="both"/>
    </w:pPr>
    <w:rPr>
      <w:rFonts w:ascii="Zhikaryov" w:eastAsia="Zhikaryov" w:hAnsi="Zhikaryov"/>
      <w:b/>
      <w:sz w:val="26"/>
      <w:lang w:val="x-none" w:eastAsia="x-none"/>
    </w:rPr>
  </w:style>
  <w:style w:type="character" w:customStyle="1" w:styleId="a6">
    <w:name w:val="Основной текст с отступом Знак"/>
    <w:link w:val="a7"/>
    <w:locked/>
    <w:rsid w:val="004A1F9F"/>
    <w:rPr>
      <w:rFonts w:ascii="Calibri" w:eastAsia="Calibri" w:hAnsi="Calibri"/>
      <w:sz w:val="22"/>
      <w:szCs w:val="22"/>
      <w:lang w:val="x-none" w:eastAsia="en-US" w:bidi="ar-SA"/>
    </w:rPr>
  </w:style>
  <w:style w:type="paragraph" w:styleId="a7">
    <w:name w:val="Body Text Indent"/>
    <w:basedOn w:val="a"/>
    <w:link w:val="a6"/>
    <w:rsid w:val="004A1F9F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8">
    <w:name w:val="Всегда"/>
    <w:basedOn w:val="a"/>
    <w:autoRedefine/>
    <w:rsid w:val="004A1F9F"/>
    <w:pPr>
      <w:ind w:firstLine="709"/>
    </w:pPr>
    <w:rPr>
      <w:b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4A1F9F"/>
    <w:pPr>
      <w:snapToGrid w:val="0"/>
      <w:ind w:left="720"/>
      <w:contextualSpacing/>
    </w:pPr>
    <w:rPr>
      <w:sz w:val="26"/>
    </w:rPr>
  </w:style>
  <w:style w:type="paragraph" w:customStyle="1" w:styleId="11">
    <w:name w:val="Абзац списка1"/>
    <w:basedOn w:val="a"/>
    <w:rsid w:val="004A1F9F"/>
    <w:pPr>
      <w:ind w:left="720"/>
    </w:pPr>
    <w:rPr>
      <w:rFonts w:eastAsia="Calibri"/>
    </w:rPr>
  </w:style>
  <w:style w:type="paragraph" w:customStyle="1" w:styleId="Default">
    <w:name w:val="Default"/>
    <w:rsid w:val="004A1F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 Spacing"/>
    <w:qFormat/>
    <w:rsid w:val="004A1F9F"/>
    <w:pPr>
      <w:snapToGrid w:val="0"/>
    </w:pPr>
    <w:rPr>
      <w:sz w:val="26"/>
    </w:rPr>
  </w:style>
  <w:style w:type="character" w:customStyle="1" w:styleId="apple-converted-space">
    <w:name w:val="apple-converted-space"/>
    <w:basedOn w:val="a0"/>
    <w:rsid w:val="004A1F9F"/>
  </w:style>
  <w:style w:type="character" w:styleId="ab">
    <w:name w:val="Hyperlink"/>
    <w:rsid w:val="004A1F9F"/>
    <w:rPr>
      <w:color w:val="0000FF"/>
      <w:u w:val="single"/>
    </w:rPr>
  </w:style>
  <w:style w:type="paragraph" w:styleId="ac">
    <w:name w:val="Balloon Text"/>
    <w:basedOn w:val="a"/>
    <w:semiHidden/>
    <w:rsid w:val="00221336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7340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7340F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d">
    <w:name w:val="annotation reference"/>
    <w:unhideWhenUsed/>
    <w:rsid w:val="007340F5"/>
    <w:rPr>
      <w:sz w:val="16"/>
      <w:szCs w:val="16"/>
    </w:rPr>
  </w:style>
  <w:style w:type="paragraph" w:customStyle="1" w:styleId="31">
    <w:name w:val="Основной текст с отступом 31"/>
    <w:basedOn w:val="a"/>
    <w:rsid w:val="00B51ECE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10">
    <w:name w:val="Заголовок 1 Знак"/>
    <w:link w:val="1"/>
    <w:locked/>
    <w:rsid w:val="00C420A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e">
    <w:name w:val="header"/>
    <w:basedOn w:val="a"/>
    <w:rsid w:val="00680A62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680A62"/>
  </w:style>
  <w:style w:type="paragraph" w:styleId="af0">
    <w:name w:val="footer"/>
    <w:basedOn w:val="a"/>
    <w:rsid w:val="008338BF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locked/>
    <w:rsid w:val="00224745"/>
    <w:rPr>
      <w:rFonts w:ascii="Arial" w:eastAsia="Calibri" w:hAnsi="Arial" w:cs="Arial"/>
      <w:lang w:val="ru-RU" w:eastAsia="ru-RU" w:bidi="ar-SA"/>
    </w:rPr>
  </w:style>
  <w:style w:type="table" w:styleId="af1">
    <w:name w:val="Table Grid"/>
    <w:basedOn w:val="a1"/>
    <w:uiPriority w:val="39"/>
    <w:rsid w:val="00E379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4991</Words>
  <Characters>28450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налоговой, бюджетной и долговой политики Ханты-Мансийского автономного округа – Югры на 2015 год</vt:lpstr>
    </vt:vector>
  </TitlesOfParts>
  <Company>МКУ Администрация г.Пыть-Яха</Company>
  <LinksUpToDate>false</LinksUpToDate>
  <CharactersWithSpaces>33375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налоговой, бюджетной и долговой политики Ханты-Мансийского автономного округа – Югры на 2015 год</dc:title>
  <dc:subject/>
  <dc:creator>Баляева</dc:creator>
  <cp:keywords/>
  <dc:description/>
  <cp:lastModifiedBy>Сергей Медведев</cp:lastModifiedBy>
  <cp:revision>3</cp:revision>
  <cp:lastPrinted>2016-10-14T04:28:00Z</cp:lastPrinted>
  <dcterms:created xsi:type="dcterms:W3CDTF">2017-10-16T08:20:00Z</dcterms:created>
  <dcterms:modified xsi:type="dcterms:W3CDTF">2017-10-16T08:38:00Z</dcterms:modified>
</cp:coreProperties>
</file>